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 Operation Manual 5.1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bm1718121u3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管理平台常用Config整理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94j5srl1dlqp" w:id="2"/>
      <w:bookmarkEnd w:id="2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cd /opt/nvidia/deepstream/deepstream-5.1/sources/apps/sample_apps/deepstream-app_yolo_and_pose/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4facg2pnourh" w:id="3"/>
      <w:bookmarkEnd w:id="3"/>
      <w:r w:rsidDel="00000000" w:rsidR="00000000" w:rsidRPr="00000000">
        <w:rPr>
          <w:rtl w:val="0"/>
        </w:rPr>
        <w:t xml:space="preserve">deepstream_app_config.txt</w:t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mv5nxu7fhfr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[tiled-display]，應用程序中的平鋪顯示。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00"/>
        <w:gridCol w:w="2220"/>
        <w:gridCol w:w="1965"/>
        <w:tblGridChange w:id="0">
          <w:tblGrid>
            <w:gridCol w:w="2100"/>
            <w:gridCol w:w="2100"/>
            <w:gridCol w:w="222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指示是否啟用平鋪顯示。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enable=0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2160" w:hanging="360"/>
      </w:pPr>
      <w:bookmarkStart w:colFirst="0" w:colLast="0" w:name="_shbi0irbr6f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[sink0]，指定代表輸出的接收器組件的屬性和修改行為，例如用於渲染、編碼和文件保存的顯示和文件。和文件保存。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啟用或禁用接收器。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ind w:left="2160" w:hanging="360"/>
        <w:rPr>
          <w:color w:val="434343"/>
          <w:sz w:val="28"/>
          <w:szCs w:val="28"/>
        </w:rPr>
      </w:pPr>
      <w:bookmarkStart w:colFirst="0" w:colLast="0" w:name="_bftef53b5lva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[osd]，指定屬性並修改在框架上覆蓋文本和矩形的屏幕顯示 (OSD) 組件。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啟用或禁用屏幕顯示 (OSD)。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mhma5qvv5ccg" w:id="7"/>
      <w:bookmarkEnd w:id="7"/>
      <w:r w:rsidDel="00000000" w:rsidR="00000000" w:rsidRPr="00000000">
        <w:rPr>
          <w:rtl w:val="0"/>
        </w:rPr>
        <w:t xml:space="preserve">deepstream_pose_estimation_config.txt</w:t>
      </w:r>
    </w:p>
    <w:p w:rsidR="00000000" w:rsidDel="00000000" w:rsidP="00000000" w:rsidRDefault="00000000" w:rsidRPr="00000000" w14:paraId="00000026">
      <w:pPr>
        <w:pStyle w:val="Heading3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agkwpzpuzq0q" w:id="8"/>
      <w:bookmarkEnd w:id="8"/>
      <w:r w:rsidDel="00000000" w:rsidR="00000000" w:rsidRPr="00000000">
        <w:rPr>
          <w:rtl w:val="0"/>
        </w:rPr>
        <w:t xml:space="preserve">[property]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8"/>
          <w:szCs w:val="28"/>
          <w:rtl w:val="0"/>
        </w:rPr>
        <w:t xml:space="preserve">，指定屬性並修改在姿態辨識的各項設定。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指定要跳過推理的連續批次數。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預設27，如為999999則關閉該辨識。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5495o9kj84zo" w:id="9"/>
      <w:bookmarkEnd w:id="9"/>
      <w:r w:rsidDel="00000000" w:rsidR="00000000" w:rsidRPr="00000000">
        <w:rPr>
          <w:rtl w:val="0"/>
        </w:rPr>
        <w:t xml:space="preserve">config_infer_primary0.txt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g3evk11x8vv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[property]，指定屬性並修改在物件偵測的各項設定。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指定要跳過推理的連續批次數。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預設27，如為999999則關閉該辨識。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q3faty7oio0e" w:id="11"/>
      <w:bookmarkEnd w:id="11"/>
      <w:r w:rsidDel="00000000" w:rsidR="00000000" w:rsidRPr="00000000">
        <w:rPr>
          <w:rtl w:val="0"/>
        </w:rPr>
        <w:t xml:space="preserve">deepstream_app_server_config.txt</w:t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ut0524v811f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指定屬性並修改在鎖屏封包的各項設定。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port_lock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啟用或禁用Port來發鎖屏封包，禁用則使用IP發封包。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Port 號碼。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需鎖屏電腦的IP。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192.168.55.1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pose_estimation_muxer_output_width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輸入姿態辨識模型的幀縮放到這個。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寬度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pose_estimation_muxer_output_height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輸入姿態辨識模型的幀縮放到這個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高度。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open_send_socket_count_limit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啟用或禁用發送封包次數限制。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send_socket_count_limit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封包傳遞到達次數限制後，系統自動關機。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5400，約為1小時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open_hand_lock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啟用或禁用手部存在偵測的機制，開啟後，左右完整手臂如無法偵測就會鎖屏。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LeftArmMin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左手臂最小角度值，大於該彎曲角度就鎖屏。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LeftArmMax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左手臂最大角度值，小於該彎曲角度就鎖屏。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RightArmMin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右手臂最小角度值，大於該彎曲角度就鎖屏。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RightArmMax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右手臂最大角度值，小於該彎曲角度就鎖屏。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PoseWarningLimit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姿態辨識警告次數限制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PeopleWarningLimit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多人偵測警告次數限制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8，允許多人存在約5秒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NobodyWarningLimit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無人偵測警告次數限制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SuspiciousItemWarningLimit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物件偵測警告次數限制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ind w:left="0" w:firstLine="0"/>
        <w:rPr/>
      </w:pPr>
      <w:bookmarkStart w:colFirst="0" w:colLast="0" w:name="_h3cq3bjs7gd2" w:id="13"/>
      <w:bookmarkEnd w:id="1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