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617A" w14:textId="5A4CDC04" w:rsidR="00206D63" w:rsidRDefault="00637F85">
      <w:r>
        <w:t>Questões MFC I – Simulações</w:t>
      </w:r>
    </w:p>
    <w:p w14:paraId="5A260C62" w14:textId="0233DDDF" w:rsidR="008A48FF" w:rsidRPr="008A48FF" w:rsidRDefault="008369F7" w:rsidP="008A48FF">
      <w:r>
        <w:t xml:space="preserve">1. </w:t>
      </w:r>
      <w:r w:rsidR="008A48FF">
        <w:t>Mulher de</w:t>
      </w:r>
      <w:r w:rsidR="008A48FF" w:rsidRPr="008A48FF">
        <w:t xml:space="preserve"> 27 anos, comparece à Unidade de Pronto Atendimento com queixa de dor ao urinar há dois dias, associada a urgência miccional e prurido </w:t>
      </w:r>
      <w:proofErr w:type="spellStart"/>
      <w:r w:rsidR="008A48FF" w:rsidRPr="008A48FF">
        <w:t>meatal</w:t>
      </w:r>
      <w:proofErr w:type="spellEnd"/>
      <w:r w:rsidR="008A48FF" w:rsidRPr="008A48FF">
        <w:t>. Refere também discreta secreção uretral, sem odor fétido ou coloração purulenta. Nega febre, dor lombar ou corrimento vaginal. Ao exame, observa-se secreção mucoide em pequena quantidade na uretra. O EAS revela leucócitos 15/campo, esterase leucocitária positiva e nitrito negativo.</w:t>
      </w:r>
    </w:p>
    <w:p w14:paraId="00B5E525" w14:textId="268C7684" w:rsidR="008A48FF" w:rsidRPr="008A48FF" w:rsidRDefault="008A48FF" w:rsidP="008A48FF">
      <w:r w:rsidRPr="008A48FF">
        <w:t xml:space="preserve">Considerando o quadro clínico </w:t>
      </w:r>
      <w:r>
        <w:t>acima descrito</w:t>
      </w:r>
      <w:r w:rsidRPr="008A48FF">
        <w:t xml:space="preserve"> e com base nas recomendações atuais de tratamento, qual a melhor conduta inicial empírica?</w:t>
      </w:r>
    </w:p>
    <w:p w14:paraId="2BF6368C" w14:textId="0F30D4B0" w:rsidR="008369F7" w:rsidRDefault="002E6861" w:rsidP="008369F7">
      <w:r w:rsidRPr="002E6861">
        <w:t>A) Azitromicina 500 mg VO por 1 dia, seguida de 250 mg VO por 4 dias</w:t>
      </w:r>
      <w:r w:rsidRPr="002E6861">
        <w:br/>
        <w:t>B) Amoxicilina 500 mg VO 8/8h por 7 dias</w:t>
      </w:r>
      <w:r w:rsidRPr="002E6861">
        <w:br/>
        <w:t xml:space="preserve">C) Ceftriaxona 500 mg IM, dose única, associada a </w:t>
      </w:r>
      <w:proofErr w:type="spellStart"/>
      <w:r w:rsidRPr="002E6861">
        <w:t>doxiciclina</w:t>
      </w:r>
      <w:proofErr w:type="spellEnd"/>
      <w:r w:rsidRPr="002E6861">
        <w:t xml:space="preserve"> 100 mg VO 2x/dia por 7 dias</w:t>
      </w:r>
      <w:r w:rsidRPr="002E6861">
        <w:br/>
        <w:t xml:space="preserve">D) </w:t>
      </w:r>
      <w:proofErr w:type="spellStart"/>
      <w:r w:rsidRPr="002E6861">
        <w:t>Levofloxacino</w:t>
      </w:r>
      <w:proofErr w:type="spellEnd"/>
      <w:r w:rsidRPr="002E6861">
        <w:t xml:space="preserve"> 500 mg VO 1x/dia por 3 dias</w:t>
      </w:r>
      <w:r w:rsidRPr="002E6861">
        <w:br/>
        <w:t>E) Metronidazol 500 mg VO 2x/dia por 7 dias</w:t>
      </w:r>
    </w:p>
    <w:p w14:paraId="755BA0E3" w14:textId="77777777" w:rsidR="002E6861" w:rsidRDefault="002E6861" w:rsidP="009A210C"/>
    <w:p w14:paraId="431F3F3E" w14:textId="0CE40FD2" w:rsidR="002E6861" w:rsidRPr="002E6861" w:rsidRDefault="002E6861" w:rsidP="002E6861">
      <w:r>
        <w:t>2. Mulher de</w:t>
      </w:r>
      <w:r w:rsidRPr="002E6861">
        <w:t xml:space="preserve"> 28 anos, previamente saudável e não grávida, procura atendimento com queixa de disúria, polaciúria noturna, urgência miccional e sensação de esvaziamento incompleto. Nega febre, dor lombar, corrimento vaginal ou sintomas sistêmicos. Exame físico sem alterações.</w:t>
      </w:r>
    </w:p>
    <w:p w14:paraId="20CA11C8" w14:textId="77777777" w:rsidR="002E6861" w:rsidRPr="002E6861" w:rsidRDefault="002E6861" w:rsidP="002E6861">
      <w:r w:rsidRPr="002E6861">
        <w:t>Considerando a abordagem baseada em evidências para infecção do trato urinário inferior em mulheres, qual das condutas abaixo é a mais adequada neste momento?</w:t>
      </w:r>
    </w:p>
    <w:p w14:paraId="0318DA7C" w14:textId="77777777" w:rsidR="002E6861" w:rsidRDefault="002E6861" w:rsidP="002E6861">
      <w:r w:rsidRPr="002E6861">
        <w:t>A) Solicitar urocultura e iniciar antibioticoterapia apenas após o resultado, pois não há sinais sistêmicos</w:t>
      </w:r>
      <w:r w:rsidRPr="002E6861">
        <w:br/>
        <w:t xml:space="preserve">B) Iniciar tratamento empírico com </w:t>
      </w:r>
      <w:proofErr w:type="spellStart"/>
      <w:r w:rsidRPr="002E6861">
        <w:t>nitrofurantoína</w:t>
      </w:r>
      <w:proofErr w:type="spellEnd"/>
      <w:r w:rsidRPr="002E6861">
        <w:t xml:space="preserve"> por 5 dias, mesmo sem exames laboratoriais prévios</w:t>
      </w:r>
      <w:r w:rsidRPr="002E6861">
        <w:br/>
        <w:t xml:space="preserve">C) Solicitar EAS e iniciar </w:t>
      </w:r>
      <w:proofErr w:type="spellStart"/>
      <w:r w:rsidRPr="002E6861">
        <w:t>sulfametoxazol-trimetoprima</w:t>
      </w:r>
      <w:proofErr w:type="spellEnd"/>
      <w:r w:rsidRPr="002E6861">
        <w:t xml:space="preserve"> apenas se </w:t>
      </w:r>
      <w:proofErr w:type="spellStart"/>
      <w:r w:rsidRPr="002E6861">
        <w:t>leucocitúria</w:t>
      </w:r>
      <w:proofErr w:type="spellEnd"/>
      <w:r w:rsidRPr="002E6861">
        <w:t xml:space="preserve"> e nitrito estiverem presentes</w:t>
      </w:r>
      <w:r w:rsidRPr="002E6861">
        <w:br/>
        <w:t xml:space="preserve">D) Iniciar </w:t>
      </w:r>
      <w:proofErr w:type="spellStart"/>
      <w:r w:rsidRPr="002E6861">
        <w:t>fosfomicina</w:t>
      </w:r>
      <w:proofErr w:type="spellEnd"/>
      <w:r w:rsidRPr="002E6861">
        <w:t xml:space="preserve"> em dose única apenas se houver mais de 3 episódios de ITU no último ano</w:t>
      </w:r>
      <w:r w:rsidRPr="002E6861">
        <w:br/>
        <w:t>E) Excluir ITU com teste de nitrito negativo e ausência de febre, pois o quadro é mais sugestivo de uretrite</w:t>
      </w:r>
    </w:p>
    <w:p w14:paraId="280A0AE1" w14:textId="77777777" w:rsidR="002217B6" w:rsidRDefault="002217B6" w:rsidP="002E6861"/>
    <w:p w14:paraId="1C879A0F" w14:textId="758DF13B" w:rsidR="002217B6" w:rsidRPr="002217B6" w:rsidRDefault="002217B6" w:rsidP="002217B6">
      <w:r>
        <w:t xml:space="preserve">3. </w:t>
      </w:r>
      <w:r w:rsidRPr="002217B6">
        <w:t>Paciente de 34 anos, previamente saudável, relata episódios recorrentes de palpitações rápidas, iniciadas de forma súbita, associadas a leve tontura e sudorese, com duração de 10 a 20 minutos. Em atendimento, encontra-se em bom estado geral, consciente, com PA 122/76 mmHg, FC 180 bpm, ritmo regular, QRS estreito e ausência de onda P visível no ECG.</w:t>
      </w:r>
    </w:p>
    <w:p w14:paraId="192E055F" w14:textId="77777777" w:rsidR="002217B6" w:rsidRPr="002217B6" w:rsidRDefault="002217B6" w:rsidP="002217B6">
      <w:r w:rsidRPr="002217B6">
        <w:t>Qual é a conduta inicial mais apropriada neste cenário?</w:t>
      </w:r>
    </w:p>
    <w:p w14:paraId="1590D1C6" w14:textId="77777777" w:rsidR="002217B6" w:rsidRPr="002217B6" w:rsidRDefault="002217B6" w:rsidP="002217B6">
      <w:r w:rsidRPr="002217B6">
        <w:t xml:space="preserve">A) </w:t>
      </w:r>
      <w:proofErr w:type="spellStart"/>
      <w:r w:rsidRPr="002217B6">
        <w:t>Cardioversão</w:t>
      </w:r>
      <w:proofErr w:type="spellEnd"/>
      <w:r w:rsidRPr="002217B6">
        <w:t xml:space="preserve"> elétrica sincronizada</w:t>
      </w:r>
      <w:r w:rsidRPr="002217B6">
        <w:br/>
        <w:t xml:space="preserve">B) Administração de adenosina IV em </w:t>
      </w:r>
      <w:proofErr w:type="spellStart"/>
      <w:r w:rsidRPr="002217B6">
        <w:t>bolus</w:t>
      </w:r>
      <w:proofErr w:type="spellEnd"/>
      <w:r w:rsidRPr="002217B6">
        <w:t xml:space="preserve"> rápido</w:t>
      </w:r>
      <w:r w:rsidRPr="002217B6">
        <w:br/>
        <w:t>C) Administração de propranolol oral</w:t>
      </w:r>
      <w:r w:rsidRPr="002217B6">
        <w:br/>
        <w:t xml:space="preserve">D) Realização de manobra vagal, como a manobra de </w:t>
      </w:r>
      <w:proofErr w:type="spellStart"/>
      <w:r w:rsidRPr="002217B6">
        <w:t>Valsalva</w:t>
      </w:r>
      <w:proofErr w:type="spellEnd"/>
      <w:r w:rsidRPr="002217B6">
        <w:t xml:space="preserve"> modificada</w:t>
      </w:r>
      <w:r w:rsidRPr="002217B6">
        <w:br/>
        <w:t xml:space="preserve">E) Administração de </w:t>
      </w:r>
      <w:proofErr w:type="spellStart"/>
      <w:r w:rsidRPr="002217B6">
        <w:t>verapamil</w:t>
      </w:r>
      <w:proofErr w:type="spellEnd"/>
      <w:r w:rsidRPr="002217B6">
        <w:t xml:space="preserve"> IV em infusão lenta</w:t>
      </w:r>
    </w:p>
    <w:p w14:paraId="3D3F0333" w14:textId="69D8BE0A" w:rsidR="004B5159" w:rsidRPr="004B5159" w:rsidRDefault="004B5159" w:rsidP="004B5159">
      <w:r w:rsidRPr="004B5159">
        <w:lastRenderedPageBreak/>
        <w:t xml:space="preserve">4. Um homem de 45 anos, previamente hígido, apresenta episódios recorrentes de palpitações rápidas, com início e término abruptos, duração entre 10 e 15 minutos, sem dor torácica, dispneia ou sinais de instabilidade hemodinâmica. Durante o episódio atual, encontra-se em bom estado geral, com frequência cardíaca de 190 bpm, pressão arterial normal e ritmo cardíaco regular. O eletrocardiograma realizado </w:t>
      </w:r>
      <w:r>
        <w:t>confirma o diagnóstico de taquicardia supraventricular paroxística.</w:t>
      </w:r>
    </w:p>
    <w:p w14:paraId="356A89AE" w14:textId="6C86A4D4" w:rsidR="004B5159" w:rsidRPr="004B5159" w:rsidRDefault="004B5159" w:rsidP="004B5159">
      <w:r w:rsidRPr="004B5159">
        <w:t xml:space="preserve">Com base no quadro clínico e nos dados do eletrocardiograma, qual das opções abaixo descreve </w:t>
      </w:r>
      <w:r w:rsidR="00CB5491" w:rsidRPr="00CB5491">
        <w:t xml:space="preserve">melhor </w:t>
      </w:r>
      <w:r w:rsidRPr="004B5159">
        <w:t>a característica eletrocardiográfica mais compatível com taquicardia supraventricular paroxística por reentrada nodal (TRNAV)?</w:t>
      </w:r>
    </w:p>
    <w:p w14:paraId="53309CFF" w14:textId="6ED92936" w:rsidR="004B5159" w:rsidRPr="004B5159" w:rsidRDefault="004B5159" w:rsidP="004B5159">
      <w:r w:rsidRPr="004B5159">
        <w:t xml:space="preserve">A) Complexos QRS largos, com frequência superior a 250 bpm, e ondas P negativas antes de cada QRS em DII, DIII e </w:t>
      </w:r>
      <w:proofErr w:type="spellStart"/>
      <w:r w:rsidRPr="004B5159">
        <w:t>aVF</w:t>
      </w:r>
      <w:proofErr w:type="spellEnd"/>
      <w:r w:rsidRPr="004B5159">
        <w:t>.</w:t>
      </w:r>
      <w:r w:rsidRPr="004B5159">
        <w:br/>
        <w:t xml:space="preserve">B) Complexos QRS estreitos, com ondas P positivas antes de cada QRS em DII, DIII e </w:t>
      </w:r>
      <w:proofErr w:type="spellStart"/>
      <w:r w:rsidRPr="004B5159">
        <w:t>aVF</w:t>
      </w:r>
      <w:proofErr w:type="spellEnd"/>
      <w:r w:rsidR="00CB5491">
        <w:t>.</w:t>
      </w:r>
      <w:r w:rsidRPr="004B5159">
        <w:br/>
        <w:t>C) Complexos QRS estreitos, com frequência entre 150 e 250 bpm, e ondas P retrógradas ausentes, discretas ou sobrepostas ao QRS.</w:t>
      </w:r>
      <w:r w:rsidRPr="004B5159">
        <w:br/>
        <w:t>D) Complexos QRS largos com ritmo irregular e variação dos intervalos RR.</w:t>
      </w:r>
      <w:r w:rsidRPr="004B5159">
        <w:br/>
        <w:t>E) Presença de alternância elétrica e intervalo QT corrigido prolongado.</w:t>
      </w:r>
    </w:p>
    <w:p w14:paraId="74DDC5C1" w14:textId="6D10CDC9" w:rsidR="002217B6" w:rsidRDefault="002217B6" w:rsidP="002E6861"/>
    <w:p w14:paraId="062B3449" w14:textId="603B03C6" w:rsidR="00CB5491" w:rsidRDefault="00CB5491" w:rsidP="002E6861">
      <w:r>
        <w:t>Gabarito:</w:t>
      </w:r>
    </w:p>
    <w:p w14:paraId="262C0023" w14:textId="3E111090" w:rsidR="00CB5491" w:rsidRDefault="00CB5491" w:rsidP="00CB5491">
      <w:pPr>
        <w:pStyle w:val="PargrafodaLista"/>
        <w:numPr>
          <w:ilvl w:val="0"/>
          <w:numId w:val="2"/>
        </w:numPr>
      </w:pPr>
      <w:r>
        <w:t>C</w:t>
      </w:r>
    </w:p>
    <w:p w14:paraId="57632CBC" w14:textId="12B811E0" w:rsidR="00CB5491" w:rsidRDefault="00CB5491" w:rsidP="00CB5491">
      <w:pPr>
        <w:pStyle w:val="PargrafodaLista"/>
        <w:numPr>
          <w:ilvl w:val="0"/>
          <w:numId w:val="2"/>
        </w:numPr>
      </w:pPr>
      <w:r>
        <w:t>B</w:t>
      </w:r>
    </w:p>
    <w:p w14:paraId="1EC1EE65" w14:textId="10E368DE" w:rsidR="00CB5491" w:rsidRDefault="00CB5491" w:rsidP="00CB5491">
      <w:pPr>
        <w:pStyle w:val="PargrafodaLista"/>
        <w:numPr>
          <w:ilvl w:val="0"/>
          <w:numId w:val="2"/>
        </w:numPr>
      </w:pPr>
      <w:r>
        <w:t>D</w:t>
      </w:r>
    </w:p>
    <w:p w14:paraId="0DF485C3" w14:textId="78BC4E19" w:rsidR="00CB5491" w:rsidRPr="002E6861" w:rsidRDefault="00CB5491" w:rsidP="00CB5491">
      <w:pPr>
        <w:pStyle w:val="PargrafodaLista"/>
        <w:numPr>
          <w:ilvl w:val="0"/>
          <w:numId w:val="2"/>
        </w:numPr>
      </w:pPr>
      <w:r>
        <w:t>C</w:t>
      </w:r>
    </w:p>
    <w:sectPr w:rsidR="00CB5491" w:rsidRPr="002E68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68A"/>
    <w:multiLevelType w:val="hybridMultilevel"/>
    <w:tmpl w:val="49ACC4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4302A"/>
    <w:multiLevelType w:val="hybridMultilevel"/>
    <w:tmpl w:val="91ACF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837532">
    <w:abstractNumId w:val="0"/>
  </w:num>
  <w:num w:numId="2" w16cid:durableId="1646155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85"/>
    <w:rsid w:val="00206D63"/>
    <w:rsid w:val="002217B6"/>
    <w:rsid w:val="002E6861"/>
    <w:rsid w:val="004B5159"/>
    <w:rsid w:val="004C7EA6"/>
    <w:rsid w:val="00637F85"/>
    <w:rsid w:val="008369F7"/>
    <w:rsid w:val="008A48FF"/>
    <w:rsid w:val="009A210C"/>
    <w:rsid w:val="00C4480F"/>
    <w:rsid w:val="00CB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92AB7"/>
  <w15:chartTrackingRefBased/>
  <w15:docId w15:val="{2A82CC7B-4C90-4F5C-9567-498B2E7B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8FF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21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DeAssis Oliveira</dc:creator>
  <cp:keywords/>
  <dc:description/>
  <cp:lastModifiedBy>DeAssis Oliveira</cp:lastModifiedBy>
  <cp:revision>2</cp:revision>
  <dcterms:created xsi:type="dcterms:W3CDTF">2025-07-12T13:57:00Z</dcterms:created>
  <dcterms:modified xsi:type="dcterms:W3CDTF">2025-07-12T13:57:00Z</dcterms:modified>
</cp:coreProperties>
</file>