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A0EC" w14:textId="3A2F30BE" w:rsidR="0095502A" w:rsidRDefault="0095502A" w:rsidP="0095502A">
      <w:r>
        <w:rPr>
          <w:rFonts w:hint="eastAsia"/>
        </w:rPr>
        <w:t>一、公司及核心人物介绍：</w:t>
      </w:r>
    </w:p>
    <w:p w14:paraId="2CF22E62" w14:textId="3CF6C252" w:rsidR="0095502A" w:rsidRPr="0095502A" w:rsidRDefault="0095502A" w:rsidP="0095502A">
      <w:r w:rsidRPr="0095502A">
        <w:t>杭州理博私募基金管理有限公司是一家以深厚的学术和理论为基础并依此指导投</w:t>
      </w:r>
      <w:proofErr w:type="gramStart"/>
      <w:r w:rsidRPr="0095502A">
        <w:t>研</w:t>
      </w:r>
      <w:proofErr w:type="gramEnd"/>
      <w:r w:rsidRPr="0095502A">
        <w:t>的量化私募基金公司。公司于2021年12月获得私募基金管理人牌照(P1072890)。</w:t>
      </w:r>
    </w:p>
    <w:p w14:paraId="61EA213E" w14:textId="77777777" w:rsidR="0095502A" w:rsidRPr="0095502A" w:rsidRDefault="0095502A" w:rsidP="0095502A"/>
    <w:p w14:paraId="6E0A37D7" w14:textId="77777777" w:rsidR="0095502A" w:rsidRPr="0095502A" w:rsidRDefault="0095502A" w:rsidP="0095502A">
      <w:r w:rsidRPr="0095502A">
        <w:t>核心人物王黎博士本科毕业于清华大学计算机系，获美国密歇根大学Ross商学院工商管理学博士（人工智能及数据挖掘方向），且拥有四个硕士学位：密歇根大学的统计硕士、金融工程硕士、工业工程硕士，以及弗吉尼亚理工大学计算机硕士。攻读博士期间发表16篇国际期刊、会议文章，涵盖人工智能、机器学习、计算机等多个领域，被引用</w:t>
      </w:r>
      <w:proofErr w:type="gramStart"/>
      <w:r w:rsidRPr="0095502A">
        <w:t>次数超</w:t>
      </w:r>
      <w:proofErr w:type="gramEnd"/>
      <w:r w:rsidRPr="0095502A">
        <w:t>900次。获得美国犹他大学商学院管理系聘书（终身教授计划）。回国前担任BGI（后与贝莱德合并）全球主动量化管理部门VP，担任核心策略研究员及基金经理，管理大中华地区及新兴市场基金，拥有全球市场</w:t>
      </w:r>
      <w:proofErr w:type="gramStart"/>
      <w:r w:rsidRPr="0095502A">
        <w:t>资管及风控经验</w:t>
      </w:r>
      <w:proofErr w:type="gramEnd"/>
      <w:r w:rsidRPr="0095502A">
        <w:t>及成熟的量化投</w:t>
      </w:r>
      <w:proofErr w:type="gramStart"/>
      <w:r w:rsidRPr="0095502A">
        <w:t>研</w:t>
      </w:r>
      <w:proofErr w:type="gramEnd"/>
      <w:r w:rsidRPr="0095502A">
        <w:t>框架和理念（2007-2012）；拥有国内10余年量化投资管理经验：为龙</w:t>
      </w:r>
      <w:proofErr w:type="gramStart"/>
      <w:r w:rsidRPr="0095502A">
        <w:t>旗科技</w:t>
      </w:r>
      <w:proofErr w:type="gramEnd"/>
      <w:r w:rsidRPr="0095502A">
        <w:t>联合创始人及第二大股东，担任龙</w:t>
      </w:r>
      <w:proofErr w:type="gramStart"/>
      <w:r w:rsidRPr="0095502A">
        <w:t>旗科技</w:t>
      </w:r>
      <w:proofErr w:type="gramEnd"/>
      <w:r w:rsidRPr="0095502A">
        <w:t>CIO&amp;CTO（2012-2016），杭州</w:t>
      </w:r>
      <w:proofErr w:type="gramStart"/>
      <w:r w:rsidRPr="0095502A">
        <w:t>风禾资产总经理兼基金</w:t>
      </w:r>
      <w:proofErr w:type="gramEnd"/>
      <w:r w:rsidRPr="0095502A">
        <w:t>经理（2016-2020）。</w:t>
      </w:r>
    </w:p>
    <w:p w14:paraId="190D17A9" w14:textId="77777777" w:rsidR="0095502A" w:rsidRPr="0095502A" w:rsidRDefault="0095502A" w:rsidP="0095502A"/>
    <w:p w14:paraId="26517F3E" w14:textId="77777777" w:rsidR="0095502A" w:rsidRDefault="0095502A" w:rsidP="0095502A">
      <w:r w:rsidRPr="0095502A">
        <w:t>公司团队以多资产、多策略、多频段为理念构建了包含长、中、短三个频段的策略体系，策略资产类别涵盖股票资产和期货资产，策略包含指数增强策略、量化选股策略、股票择时策略、可转</w:t>
      </w:r>
      <w:proofErr w:type="gramStart"/>
      <w:r w:rsidRPr="0095502A">
        <w:t>债增强</w:t>
      </w:r>
      <w:proofErr w:type="gramEnd"/>
      <w:r w:rsidRPr="0095502A">
        <w:t>策略、期货CTA策略等，旨在为投资人提供高夏普的投资回报。团队具备长时期、稳定的实盘业绩，国内累计管理规模超100亿。</w:t>
      </w:r>
    </w:p>
    <w:p w14:paraId="1AD35E9F" w14:textId="77777777" w:rsidR="0095502A" w:rsidRDefault="0095502A" w:rsidP="0095502A">
      <w:pPr>
        <w:rPr>
          <w:rFonts w:hint="eastAsia"/>
        </w:rPr>
      </w:pPr>
    </w:p>
    <w:p w14:paraId="6FA0180D" w14:textId="0697BB19" w:rsidR="0095502A" w:rsidRPr="0095502A" w:rsidRDefault="0095502A" w:rsidP="0095502A">
      <w:pPr>
        <w:rPr>
          <w:rFonts w:hint="eastAsia"/>
        </w:rPr>
      </w:pPr>
      <w:r>
        <w:rPr>
          <w:rFonts w:hint="eastAsia"/>
        </w:rPr>
        <w:t>二、公司策略和产品介绍：</w:t>
      </w:r>
    </w:p>
    <w:p w14:paraId="6D8B640B" w14:textId="3D019FC7" w:rsidR="0095502A" w:rsidRPr="0095502A" w:rsidRDefault="0095502A" w:rsidP="0095502A">
      <w:pPr>
        <w:rPr>
          <w:rFonts w:hint="eastAsia"/>
        </w:rPr>
      </w:pPr>
      <w:r>
        <w:rPr>
          <w:rFonts w:hint="eastAsia"/>
        </w:rPr>
        <w:t>目前发行较多的策略/产品：</w:t>
      </w:r>
    </w:p>
    <w:p w14:paraId="1789DEC7" w14:textId="77777777" w:rsidR="0095502A" w:rsidRPr="0095502A" w:rsidRDefault="0095502A" w:rsidP="0095502A">
      <w:r w:rsidRPr="0095502A">
        <w:t>1、量化选股策略/AI选股策略</w:t>
      </w:r>
    </w:p>
    <w:p w14:paraId="1F34379C" w14:textId="77777777" w:rsidR="0095502A" w:rsidRPr="0095502A" w:rsidRDefault="0095502A" w:rsidP="0095502A">
      <w:r w:rsidRPr="0095502A">
        <w:t>•策略描述：量化多因子模型，包含高频、技术、量价、基本面等多维度的因子，结合自</w:t>
      </w:r>
      <w:proofErr w:type="gramStart"/>
      <w:r w:rsidRPr="0095502A">
        <w:t>研</w:t>
      </w:r>
      <w:proofErr w:type="gramEnd"/>
      <w:r w:rsidRPr="0095502A">
        <w:t>的人工智能、机器学习算法组合和优化多因子模型，在全市场选取800-900只未来一段时间上涨幅度大概率超过行业水平的股票构建投资组合，并通过高频次调仓，力求获得收益风险比高的超额收益</w:t>
      </w:r>
    </w:p>
    <w:p w14:paraId="314621CE" w14:textId="77777777" w:rsidR="0095502A" w:rsidRPr="0095502A" w:rsidRDefault="0095502A" w:rsidP="0095502A">
      <w:r w:rsidRPr="0095502A">
        <w:t>•</w:t>
      </w:r>
      <w:proofErr w:type="gramStart"/>
      <w:r w:rsidRPr="0095502A">
        <w:t>仓位</w:t>
      </w:r>
      <w:proofErr w:type="gramEnd"/>
      <w:r w:rsidRPr="0095502A">
        <w:t>：满仓，通过选</w:t>
      </w:r>
      <w:proofErr w:type="gramStart"/>
      <w:r w:rsidRPr="0095502A">
        <w:t>股调仓</w:t>
      </w:r>
      <w:proofErr w:type="gramEnd"/>
      <w:r w:rsidRPr="0095502A">
        <w:t>，获得长期跑赢市场的收益</w:t>
      </w:r>
    </w:p>
    <w:p w14:paraId="6A8BB646" w14:textId="77777777" w:rsidR="0095502A" w:rsidRPr="0095502A" w:rsidRDefault="0095502A" w:rsidP="0095502A">
      <w:r w:rsidRPr="0095502A">
        <w:t>•策略特点：</w:t>
      </w:r>
      <w:proofErr w:type="gramStart"/>
      <w:r w:rsidRPr="0095502A">
        <w:t>年化换手</w:t>
      </w:r>
      <w:proofErr w:type="gramEnd"/>
      <w:r w:rsidRPr="0095502A">
        <w:t>率100-120倍，持续迭代，当前为成熟的贝莱德基本面选股模型+结合国内市场特点的量价及AI选股模型，以获得高收益风险比的超额收益为目标。在因子配置上相对均衡。量化多头策略与市场beta的相关性较高，需要承受市场波动，但由于有长期稳定的跑赢市场的收益，回撤小于指数</w:t>
      </w:r>
    </w:p>
    <w:p w14:paraId="0CDC7E7D" w14:textId="77777777" w:rsidR="0095502A" w:rsidRDefault="0095502A" w:rsidP="0095502A">
      <w:r w:rsidRPr="0095502A">
        <w:lastRenderedPageBreak/>
        <w:t>•适应/</w:t>
      </w:r>
      <w:proofErr w:type="gramStart"/>
      <w:r w:rsidRPr="0095502A">
        <w:t>不</w:t>
      </w:r>
      <w:proofErr w:type="gramEnd"/>
      <w:r w:rsidRPr="0095502A">
        <w:t>适应的市场环境：适应市场、个股活跃，市场成交量大，趋势向上或者震荡市场行情；不适应市场、个股不活跃，市场萎靡，缩量下跌的市场环境</w:t>
      </w:r>
    </w:p>
    <w:p w14:paraId="068FD660" w14:textId="4A9F3DF5" w:rsidR="0095502A" w:rsidRPr="0095502A" w:rsidRDefault="0095502A" w:rsidP="0095502A">
      <w:pPr>
        <w:rPr>
          <w:rFonts w:hint="eastAsia"/>
        </w:rPr>
      </w:pPr>
      <w:r>
        <w:rPr>
          <w:rFonts w:hint="eastAsia"/>
        </w:rPr>
        <w:t>代表产品：</w:t>
      </w:r>
      <w:proofErr w:type="gramStart"/>
      <w:r>
        <w:rPr>
          <w:rFonts w:hint="eastAsia"/>
        </w:rPr>
        <w:t>理博1号</w:t>
      </w:r>
      <w:proofErr w:type="gramEnd"/>
      <w:r>
        <w:rPr>
          <w:rFonts w:hint="eastAsia"/>
        </w:rPr>
        <w:t>、远景1号、远景2号，</w:t>
      </w:r>
      <w:proofErr w:type="gramStart"/>
      <w:r>
        <w:rPr>
          <w:rFonts w:hint="eastAsia"/>
        </w:rPr>
        <w:t>理博1号</w:t>
      </w:r>
      <w:proofErr w:type="gramEnd"/>
      <w:r>
        <w:rPr>
          <w:rFonts w:hint="eastAsia"/>
        </w:rPr>
        <w:t>和远景2号每周五开放，远景1号每周二开放，无锁定期</w:t>
      </w:r>
    </w:p>
    <w:p w14:paraId="01ED39D6" w14:textId="77777777" w:rsidR="0095502A" w:rsidRPr="0095502A" w:rsidRDefault="0095502A" w:rsidP="0095502A">
      <w:r w:rsidRPr="0095502A">
        <w:t>2.可转</w:t>
      </w:r>
      <w:proofErr w:type="gramStart"/>
      <w:r w:rsidRPr="0095502A">
        <w:t>债增强</w:t>
      </w:r>
      <w:proofErr w:type="gramEnd"/>
      <w:r w:rsidRPr="0095502A">
        <w:t>策略</w:t>
      </w:r>
    </w:p>
    <w:p w14:paraId="04D0719B" w14:textId="77777777" w:rsidR="0095502A" w:rsidRPr="0095502A" w:rsidRDefault="0095502A" w:rsidP="0095502A">
      <w:r w:rsidRPr="0095502A">
        <w:t>•策略描述：利用量化多因子模型对可转</w:t>
      </w:r>
      <w:proofErr w:type="gramStart"/>
      <w:r w:rsidRPr="0095502A">
        <w:t>债进行</w:t>
      </w:r>
      <w:proofErr w:type="gramEnd"/>
      <w:r w:rsidRPr="0095502A">
        <w:t>研究，</w:t>
      </w:r>
      <w:proofErr w:type="gramStart"/>
      <w:r w:rsidRPr="0095502A">
        <w:t>考量</w:t>
      </w:r>
      <w:proofErr w:type="gramEnd"/>
      <w:r w:rsidRPr="0095502A">
        <w:t>包括正股基本面、转股溢价率、信用风险及流动性等综合因素判断其投资价值，结合量价、技术因子模型构建整体收益风险比最优的投资组合，持仓个数在100-200只</w:t>
      </w:r>
    </w:p>
    <w:p w14:paraId="4BA2F6E4" w14:textId="77777777" w:rsidR="0095502A" w:rsidRPr="0095502A" w:rsidRDefault="0095502A" w:rsidP="0095502A">
      <w:r w:rsidRPr="0095502A">
        <w:t>•</w:t>
      </w:r>
      <w:proofErr w:type="gramStart"/>
      <w:r w:rsidRPr="0095502A">
        <w:t>仓位</w:t>
      </w:r>
      <w:proofErr w:type="gramEnd"/>
      <w:r w:rsidRPr="0095502A">
        <w:t>：满仓</w:t>
      </w:r>
    </w:p>
    <w:p w14:paraId="45E66069" w14:textId="77777777" w:rsidR="0095502A" w:rsidRPr="0095502A" w:rsidRDefault="0095502A" w:rsidP="0095502A">
      <w:r w:rsidRPr="0095502A">
        <w:t>•策略特点：</w:t>
      </w:r>
      <w:proofErr w:type="gramStart"/>
      <w:r w:rsidRPr="0095502A">
        <w:t>年化换手</w:t>
      </w:r>
      <w:proofErr w:type="gramEnd"/>
      <w:r w:rsidRPr="0095502A">
        <w:t>100-120倍，可转债标的</w:t>
      </w:r>
      <w:proofErr w:type="gramStart"/>
      <w:r w:rsidRPr="0095502A">
        <w:t>兼具债性和</w:t>
      </w:r>
      <w:proofErr w:type="gramEnd"/>
      <w:r w:rsidRPr="0095502A">
        <w:t>股性，在下行市场中体现债券的防御性，在上行市场中</w:t>
      </w:r>
      <w:proofErr w:type="gramStart"/>
      <w:r w:rsidRPr="0095502A">
        <w:t>表达股</w:t>
      </w:r>
      <w:proofErr w:type="gramEnd"/>
      <w:r w:rsidRPr="0095502A">
        <w:t>性</w:t>
      </w:r>
    </w:p>
    <w:p w14:paraId="320D73A9" w14:textId="77777777" w:rsidR="0095502A" w:rsidRDefault="0095502A" w:rsidP="0095502A">
      <w:r w:rsidRPr="0095502A">
        <w:t>•市场环境特点：熊市时期，有较强的防御能力，但市场下跌也会对可转</w:t>
      </w:r>
      <w:proofErr w:type="gramStart"/>
      <w:r w:rsidRPr="0095502A">
        <w:t>债价格</w:t>
      </w:r>
      <w:proofErr w:type="gramEnd"/>
      <w:r w:rsidRPr="0095502A">
        <w:t>产生一定影响；市场震荡或市场上行时期，</w:t>
      </w:r>
      <w:proofErr w:type="gramStart"/>
      <w:r w:rsidRPr="0095502A">
        <w:t>可转债股性</w:t>
      </w:r>
      <w:proofErr w:type="gramEnd"/>
      <w:r w:rsidRPr="0095502A">
        <w:t>体现明显，会跟随上涨，但可能收益较量化选股收益少一些</w:t>
      </w:r>
    </w:p>
    <w:p w14:paraId="6BD1D8CD" w14:textId="0C25CBC0" w:rsidR="0095502A" w:rsidRPr="0095502A" w:rsidRDefault="0095502A" w:rsidP="0095502A">
      <w:pPr>
        <w:rPr>
          <w:rFonts w:hint="eastAsia"/>
        </w:rPr>
      </w:pPr>
      <w:r>
        <w:rPr>
          <w:rFonts w:hint="eastAsia"/>
        </w:rPr>
        <w:t>代表产品：</w:t>
      </w:r>
      <w:r>
        <w:rPr>
          <w:rFonts w:hint="eastAsia"/>
        </w:rPr>
        <w:t>飞天1号</w:t>
      </w:r>
      <w:r>
        <w:rPr>
          <w:rFonts w:hint="eastAsia"/>
        </w:rPr>
        <w:t>，每周五开放，无锁定期</w:t>
      </w:r>
    </w:p>
    <w:p w14:paraId="07A54EEF" w14:textId="77777777" w:rsidR="0095502A" w:rsidRPr="0095502A" w:rsidRDefault="0095502A" w:rsidP="0095502A">
      <w:pPr>
        <w:rPr>
          <w:rFonts w:hint="eastAsia"/>
        </w:rPr>
      </w:pPr>
    </w:p>
    <w:p w14:paraId="491AFA3A" w14:textId="77777777" w:rsidR="0095502A" w:rsidRPr="0095502A" w:rsidRDefault="0095502A" w:rsidP="0095502A">
      <w:r w:rsidRPr="0095502A">
        <w:t>3.股票择时策略</w:t>
      </w:r>
    </w:p>
    <w:p w14:paraId="2AFE6920" w14:textId="77777777" w:rsidR="0095502A" w:rsidRPr="0095502A" w:rsidRDefault="0095502A" w:rsidP="0095502A">
      <w:r w:rsidRPr="0095502A">
        <w:t>•策略描述：包含短周期择时和中周期择时两部分。择时策略通过舆情、基本面、量价、技术等模型，根据高频数据，交易时间全天</w:t>
      </w:r>
      <w:proofErr w:type="gramStart"/>
      <w:r w:rsidRPr="0095502A">
        <w:t>扫描全</w:t>
      </w:r>
      <w:proofErr w:type="gramEnd"/>
      <w:r w:rsidRPr="0095502A">
        <w:t>市场情况，在买入信号触发时买入股票，选</w:t>
      </w:r>
      <w:proofErr w:type="gramStart"/>
      <w:r w:rsidRPr="0095502A">
        <w:t>股范围</w:t>
      </w:r>
      <w:proofErr w:type="gramEnd"/>
      <w:r w:rsidRPr="0095502A">
        <w:t>为全市场选股，全模型化完成上述过程，无主观判断。避开A股垃圾时间，赚取确定性的收益</w:t>
      </w:r>
    </w:p>
    <w:p w14:paraId="7D13B33C" w14:textId="77777777" w:rsidR="0095502A" w:rsidRPr="0095502A" w:rsidRDefault="0095502A" w:rsidP="0095502A">
      <w:r w:rsidRPr="0095502A">
        <w:t>•</w:t>
      </w:r>
      <w:proofErr w:type="gramStart"/>
      <w:r w:rsidRPr="0095502A">
        <w:t>仓位</w:t>
      </w:r>
      <w:proofErr w:type="gramEnd"/>
      <w:r w:rsidRPr="0095502A">
        <w:t>：不固定，0-100%</w:t>
      </w:r>
    </w:p>
    <w:p w14:paraId="77CFF0FE" w14:textId="77777777" w:rsidR="0095502A" w:rsidRPr="0095502A" w:rsidRDefault="0095502A" w:rsidP="0095502A">
      <w:r w:rsidRPr="0095502A">
        <w:t>•策略特点：具备不同于市场上的信号特征，同质性低。根据择时信号判断市场趋势、把握市场情绪，并灵活调整</w:t>
      </w:r>
      <w:proofErr w:type="gramStart"/>
      <w:r w:rsidRPr="0095502A">
        <w:t>仓位</w:t>
      </w:r>
      <w:proofErr w:type="gramEnd"/>
      <w:r w:rsidRPr="0095502A">
        <w:t>，在全市场选取预测周期内大概率上涨的股票</w:t>
      </w:r>
    </w:p>
    <w:p w14:paraId="7F5D2533" w14:textId="77777777" w:rsidR="0095502A" w:rsidRPr="0095502A" w:rsidRDefault="0095502A" w:rsidP="0095502A">
      <w:r w:rsidRPr="0095502A">
        <w:t>•适应/</w:t>
      </w:r>
      <w:proofErr w:type="gramStart"/>
      <w:r w:rsidRPr="0095502A">
        <w:t>不</w:t>
      </w:r>
      <w:proofErr w:type="gramEnd"/>
      <w:r w:rsidRPr="0095502A">
        <w:t>适应的市场环境：适应市场持续上涨或者下跌的市场环境，不适应市场日内波动较大，比如高开低走，或者行情</w:t>
      </w:r>
      <w:proofErr w:type="gramStart"/>
      <w:r w:rsidRPr="0095502A">
        <w:t>不</w:t>
      </w:r>
      <w:proofErr w:type="gramEnd"/>
      <w:r w:rsidRPr="0095502A">
        <w:t>持续的情况</w:t>
      </w:r>
    </w:p>
    <w:p w14:paraId="06BED9B6" w14:textId="13915BFB" w:rsidR="0095502A" w:rsidRPr="0095502A" w:rsidRDefault="0095502A" w:rsidP="0095502A">
      <w:pPr>
        <w:rPr>
          <w:rFonts w:hint="eastAsia"/>
        </w:rPr>
      </w:pPr>
      <w:r>
        <w:rPr>
          <w:rFonts w:hint="eastAsia"/>
        </w:rPr>
        <w:t>代表产品：</w:t>
      </w:r>
      <w:r>
        <w:rPr>
          <w:rFonts w:hint="eastAsia"/>
        </w:rPr>
        <w:t>万象7号、红</w:t>
      </w:r>
      <w:proofErr w:type="gramStart"/>
      <w:r>
        <w:rPr>
          <w:rFonts w:hint="eastAsia"/>
        </w:rPr>
        <w:t>橡</w:t>
      </w:r>
      <w:proofErr w:type="gramEnd"/>
      <w:r>
        <w:rPr>
          <w:rFonts w:hint="eastAsia"/>
        </w:rPr>
        <w:t>1号</w:t>
      </w:r>
      <w:r>
        <w:rPr>
          <w:rFonts w:hint="eastAsia"/>
        </w:rPr>
        <w:t>，</w:t>
      </w:r>
      <w:r>
        <w:rPr>
          <w:rFonts w:hint="eastAsia"/>
        </w:rPr>
        <w:t>万象7号包括80%的择时策略，20%AI选股策略；红</w:t>
      </w:r>
      <w:proofErr w:type="gramStart"/>
      <w:r>
        <w:rPr>
          <w:rFonts w:hint="eastAsia"/>
        </w:rPr>
        <w:t>橡</w:t>
      </w:r>
      <w:proofErr w:type="gramEnd"/>
      <w:r>
        <w:rPr>
          <w:rFonts w:hint="eastAsia"/>
        </w:rPr>
        <w:t>1号包含50%择时策略，50%AI选股策略，</w:t>
      </w:r>
      <w:r>
        <w:rPr>
          <w:rFonts w:hint="eastAsia"/>
        </w:rPr>
        <w:t>每周五开放，无锁定期</w:t>
      </w:r>
    </w:p>
    <w:p w14:paraId="0B6561E2" w14:textId="77777777" w:rsidR="003719D5" w:rsidRDefault="003719D5"/>
    <w:p w14:paraId="22218A70" w14:textId="0D12E88A" w:rsidR="0095502A" w:rsidRDefault="0095502A">
      <w:pPr>
        <w:rPr>
          <w:rFonts w:hint="eastAsia"/>
        </w:rPr>
      </w:pPr>
      <w:r>
        <w:rPr>
          <w:rFonts w:hint="eastAsia"/>
        </w:rPr>
        <w:t>三、产品定制</w:t>
      </w:r>
    </w:p>
    <w:p w14:paraId="0A5CBCE0" w14:textId="1BB9AB8B" w:rsidR="0095502A" w:rsidRDefault="0095502A">
      <w:r>
        <w:rPr>
          <w:rFonts w:hint="eastAsia"/>
        </w:rPr>
        <w:t>定制：</w:t>
      </w:r>
      <w:r w:rsidRPr="0095502A">
        <w:rPr>
          <w:rFonts w:hint="eastAsia"/>
        </w:rPr>
        <w:t>客户定制化需求</w:t>
      </w:r>
      <w:r w:rsidRPr="0095502A">
        <w:rPr>
          <w:rFonts w:hint="eastAsia"/>
        </w:rPr>
        <w:cr/>
      </w:r>
      <w:proofErr w:type="gramStart"/>
      <w:r w:rsidRPr="0095502A">
        <w:rPr>
          <w:rFonts w:hint="eastAsia"/>
        </w:rPr>
        <w:lastRenderedPageBreak/>
        <w:t>预期年化收益</w:t>
      </w:r>
      <w:proofErr w:type="gramEnd"/>
      <w:r w:rsidRPr="0095502A">
        <w:rPr>
          <w:rFonts w:hint="eastAsia"/>
        </w:rPr>
        <w:t>、</w:t>
      </w:r>
      <w:proofErr w:type="gramStart"/>
      <w:r w:rsidRPr="0095502A">
        <w:rPr>
          <w:rFonts w:hint="eastAsia"/>
        </w:rPr>
        <w:t>年化波动</w:t>
      </w:r>
      <w:proofErr w:type="gramEnd"/>
      <w:r w:rsidRPr="0095502A">
        <w:rPr>
          <w:rFonts w:hint="eastAsia"/>
        </w:rPr>
        <w:t>、最大回撤容忍度、流动性要求等 → 理博基金提供符合要求的策略配置</w:t>
      </w:r>
    </w:p>
    <w:p w14:paraId="76754E61" w14:textId="77777777" w:rsidR="0095502A" w:rsidRPr="0095502A" w:rsidRDefault="0095502A" w:rsidP="0095502A">
      <w:r w:rsidRPr="0095502A">
        <w:t>过往案例</w:t>
      </w:r>
    </w:p>
    <w:p w14:paraId="0D4CDA0D" w14:textId="77777777" w:rsidR="0095502A" w:rsidRPr="0095502A" w:rsidRDefault="0095502A" w:rsidP="0095502A">
      <w:r w:rsidRPr="0095502A">
        <w:t>1.不同市场环境策略定制产品</w:t>
      </w:r>
    </w:p>
    <w:p w14:paraId="5855CD1C" w14:textId="77777777" w:rsidR="0095502A" w:rsidRPr="0095502A" w:rsidRDefault="0095502A" w:rsidP="0095502A">
      <w:r w:rsidRPr="0095502A">
        <w:t>•牛市、平衡市、熊市对应的具体策略配置</w:t>
      </w:r>
    </w:p>
    <w:p w14:paraId="6EAA8156" w14:textId="43DD7E2B" w:rsidR="0095502A" w:rsidRPr="0095502A" w:rsidRDefault="0095502A" w:rsidP="0095502A">
      <w:r w:rsidRPr="0095502A">
        <w:rPr>
          <w:rFonts w:hint="eastAsia"/>
        </w:rPr>
        <w:drawing>
          <wp:inline distT="0" distB="0" distL="0" distR="0" wp14:anchorId="770C1E8A" wp14:editId="627BD66A">
            <wp:extent cx="5274310" cy="2735580"/>
            <wp:effectExtent l="0" t="0" r="2540" b="7620"/>
            <wp:docPr id="11218790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735580"/>
                    </a:xfrm>
                    <a:prstGeom prst="rect">
                      <a:avLst/>
                    </a:prstGeom>
                    <a:noFill/>
                    <a:ln>
                      <a:noFill/>
                    </a:ln>
                  </pic:spPr>
                </pic:pic>
              </a:graphicData>
            </a:graphic>
          </wp:inline>
        </w:drawing>
      </w:r>
    </w:p>
    <w:p w14:paraId="1E30BC1A" w14:textId="77777777" w:rsidR="0095502A" w:rsidRPr="0095502A" w:rsidRDefault="0095502A" w:rsidP="0095502A">
      <w:r w:rsidRPr="0095502A">
        <w:t>•不同市场环境配置对应的各项指标</w:t>
      </w:r>
    </w:p>
    <w:p w14:paraId="4EACEEA9" w14:textId="69CCBA1A" w:rsidR="0095502A" w:rsidRPr="0095502A" w:rsidRDefault="0095502A" w:rsidP="0095502A">
      <w:r w:rsidRPr="0095502A">
        <w:rPr>
          <w:rFonts w:hint="eastAsia"/>
        </w:rPr>
        <w:drawing>
          <wp:inline distT="0" distB="0" distL="0" distR="0" wp14:anchorId="26FC8799" wp14:editId="17BDDCCF">
            <wp:extent cx="5274310" cy="1991360"/>
            <wp:effectExtent l="0" t="0" r="2540" b="8890"/>
            <wp:docPr id="21076430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991360"/>
                    </a:xfrm>
                    <a:prstGeom prst="rect">
                      <a:avLst/>
                    </a:prstGeom>
                    <a:noFill/>
                    <a:ln>
                      <a:noFill/>
                    </a:ln>
                  </pic:spPr>
                </pic:pic>
              </a:graphicData>
            </a:graphic>
          </wp:inline>
        </w:drawing>
      </w:r>
    </w:p>
    <w:p w14:paraId="5B4CB298" w14:textId="77777777" w:rsidR="0095502A" w:rsidRPr="0095502A" w:rsidRDefault="0095502A" w:rsidP="0095502A">
      <w:r w:rsidRPr="0095502A">
        <w:t>•不同市场环境配置参考的净值曲线</w:t>
      </w:r>
    </w:p>
    <w:p w14:paraId="286C4BF5" w14:textId="7415E7D4" w:rsidR="0095502A" w:rsidRPr="0095502A" w:rsidRDefault="0095502A" w:rsidP="0095502A">
      <w:r w:rsidRPr="0095502A">
        <w:rPr>
          <w:rFonts w:hint="eastAsia"/>
        </w:rPr>
        <w:lastRenderedPageBreak/>
        <w:drawing>
          <wp:inline distT="0" distB="0" distL="0" distR="0" wp14:anchorId="40EACEFA" wp14:editId="631A9E63">
            <wp:extent cx="5274310" cy="2580640"/>
            <wp:effectExtent l="0" t="0" r="2540" b="0"/>
            <wp:docPr id="15797005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580640"/>
                    </a:xfrm>
                    <a:prstGeom prst="rect">
                      <a:avLst/>
                    </a:prstGeom>
                    <a:noFill/>
                    <a:ln>
                      <a:noFill/>
                    </a:ln>
                  </pic:spPr>
                </pic:pic>
              </a:graphicData>
            </a:graphic>
          </wp:inline>
        </w:drawing>
      </w:r>
    </w:p>
    <w:p w14:paraId="5DAACE91" w14:textId="77777777" w:rsidR="0095502A" w:rsidRPr="0095502A" w:rsidRDefault="0095502A" w:rsidP="0095502A">
      <w:r w:rsidRPr="0095502A">
        <w:t>2.</w:t>
      </w:r>
      <w:proofErr w:type="gramStart"/>
      <w:r w:rsidRPr="0095502A">
        <w:t>低波定制</w:t>
      </w:r>
      <w:proofErr w:type="gramEnd"/>
      <w:r w:rsidRPr="0095502A">
        <w:t>产品</w:t>
      </w:r>
    </w:p>
    <w:p w14:paraId="7CC38556" w14:textId="77777777" w:rsidR="0095502A" w:rsidRPr="0095502A" w:rsidRDefault="0095502A" w:rsidP="0095502A">
      <w:r w:rsidRPr="0095502A">
        <w:t>•最大回撤3%，</w:t>
      </w:r>
      <w:proofErr w:type="gramStart"/>
      <w:r w:rsidRPr="0095502A">
        <w:t>年化波动</w:t>
      </w:r>
      <w:proofErr w:type="gramEnd"/>
      <w:r w:rsidRPr="0095502A">
        <w:t>7</w:t>
      </w:r>
    </w:p>
    <w:p w14:paraId="73DF2D53" w14:textId="5CA37E7D" w:rsidR="0095502A" w:rsidRPr="0095502A" w:rsidRDefault="0095502A" w:rsidP="0095502A">
      <w:r w:rsidRPr="0095502A">
        <w:rPr>
          <w:rFonts w:hint="eastAsia"/>
        </w:rPr>
        <w:drawing>
          <wp:inline distT="0" distB="0" distL="0" distR="0" wp14:anchorId="0B1310DC" wp14:editId="7FF48837">
            <wp:extent cx="5274310" cy="1951355"/>
            <wp:effectExtent l="0" t="0" r="2540" b="0"/>
            <wp:docPr id="3109835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951355"/>
                    </a:xfrm>
                    <a:prstGeom prst="rect">
                      <a:avLst/>
                    </a:prstGeom>
                    <a:noFill/>
                    <a:ln>
                      <a:noFill/>
                    </a:ln>
                  </pic:spPr>
                </pic:pic>
              </a:graphicData>
            </a:graphic>
          </wp:inline>
        </w:drawing>
      </w:r>
    </w:p>
    <w:p w14:paraId="53DAB75F" w14:textId="77777777" w:rsidR="0095502A" w:rsidRPr="0095502A" w:rsidRDefault="0095502A" w:rsidP="0095502A">
      <w:r w:rsidRPr="0095502A">
        <w:t>•最大回撤5%，</w:t>
      </w:r>
      <w:proofErr w:type="gramStart"/>
      <w:r w:rsidRPr="0095502A">
        <w:t>年化波动</w:t>
      </w:r>
      <w:proofErr w:type="gramEnd"/>
      <w:r w:rsidRPr="0095502A">
        <w:t>12%</w:t>
      </w:r>
    </w:p>
    <w:p w14:paraId="3F319029" w14:textId="3E236C19" w:rsidR="0095502A" w:rsidRPr="0095502A" w:rsidRDefault="0095502A" w:rsidP="0095502A">
      <w:pPr>
        <w:rPr>
          <w:rFonts w:hint="eastAsia"/>
        </w:rPr>
      </w:pPr>
      <w:r w:rsidRPr="0095502A">
        <w:rPr>
          <w:rFonts w:hint="eastAsia"/>
        </w:rPr>
        <w:drawing>
          <wp:inline distT="0" distB="0" distL="0" distR="0" wp14:anchorId="757A78B2" wp14:editId="7956547F">
            <wp:extent cx="5274310" cy="2003425"/>
            <wp:effectExtent l="0" t="0" r="2540" b="0"/>
            <wp:docPr id="9335343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003425"/>
                    </a:xfrm>
                    <a:prstGeom prst="rect">
                      <a:avLst/>
                    </a:prstGeom>
                    <a:noFill/>
                    <a:ln>
                      <a:noFill/>
                    </a:ln>
                  </pic:spPr>
                </pic:pic>
              </a:graphicData>
            </a:graphic>
          </wp:inline>
        </w:drawing>
      </w:r>
    </w:p>
    <w:sectPr w:rsidR="0095502A" w:rsidRPr="009550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2A"/>
    <w:rsid w:val="003719D5"/>
    <w:rsid w:val="003F40A2"/>
    <w:rsid w:val="008B4B32"/>
    <w:rsid w:val="00955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254D"/>
  <w15:chartTrackingRefBased/>
  <w15:docId w15:val="{2AB2A69E-B712-498F-BB18-532B6DD8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50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50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50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50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50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50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50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0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50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50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50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50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502A"/>
    <w:rPr>
      <w:rFonts w:cstheme="majorBidi"/>
      <w:color w:val="0F4761" w:themeColor="accent1" w:themeShade="BF"/>
      <w:sz w:val="28"/>
      <w:szCs w:val="28"/>
    </w:rPr>
  </w:style>
  <w:style w:type="character" w:customStyle="1" w:styleId="50">
    <w:name w:val="标题 5 字符"/>
    <w:basedOn w:val="a0"/>
    <w:link w:val="5"/>
    <w:uiPriority w:val="9"/>
    <w:semiHidden/>
    <w:rsid w:val="0095502A"/>
    <w:rPr>
      <w:rFonts w:cstheme="majorBidi"/>
      <w:color w:val="0F4761" w:themeColor="accent1" w:themeShade="BF"/>
      <w:sz w:val="24"/>
    </w:rPr>
  </w:style>
  <w:style w:type="character" w:customStyle="1" w:styleId="60">
    <w:name w:val="标题 6 字符"/>
    <w:basedOn w:val="a0"/>
    <w:link w:val="6"/>
    <w:uiPriority w:val="9"/>
    <w:semiHidden/>
    <w:rsid w:val="0095502A"/>
    <w:rPr>
      <w:rFonts w:cstheme="majorBidi"/>
      <w:b/>
      <w:bCs/>
      <w:color w:val="0F4761" w:themeColor="accent1" w:themeShade="BF"/>
    </w:rPr>
  </w:style>
  <w:style w:type="character" w:customStyle="1" w:styleId="70">
    <w:name w:val="标题 7 字符"/>
    <w:basedOn w:val="a0"/>
    <w:link w:val="7"/>
    <w:uiPriority w:val="9"/>
    <w:semiHidden/>
    <w:rsid w:val="0095502A"/>
    <w:rPr>
      <w:rFonts w:cstheme="majorBidi"/>
      <w:b/>
      <w:bCs/>
      <w:color w:val="595959" w:themeColor="text1" w:themeTint="A6"/>
    </w:rPr>
  </w:style>
  <w:style w:type="character" w:customStyle="1" w:styleId="80">
    <w:name w:val="标题 8 字符"/>
    <w:basedOn w:val="a0"/>
    <w:link w:val="8"/>
    <w:uiPriority w:val="9"/>
    <w:semiHidden/>
    <w:rsid w:val="0095502A"/>
    <w:rPr>
      <w:rFonts w:cstheme="majorBidi"/>
      <w:color w:val="595959" w:themeColor="text1" w:themeTint="A6"/>
    </w:rPr>
  </w:style>
  <w:style w:type="character" w:customStyle="1" w:styleId="90">
    <w:name w:val="标题 9 字符"/>
    <w:basedOn w:val="a0"/>
    <w:link w:val="9"/>
    <w:uiPriority w:val="9"/>
    <w:semiHidden/>
    <w:rsid w:val="0095502A"/>
    <w:rPr>
      <w:rFonts w:eastAsiaTheme="majorEastAsia" w:cstheme="majorBidi"/>
      <w:color w:val="595959" w:themeColor="text1" w:themeTint="A6"/>
    </w:rPr>
  </w:style>
  <w:style w:type="paragraph" w:styleId="a3">
    <w:name w:val="Title"/>
    <w:basedOn w:val="a"/>
    <w:next w:val="a"/>
    <w:link w:val="a4"/>
    <w:uiPriority w:val="10"/>
    <w:qFormat/>
    <w:rsid w:val="009550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50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0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50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502A"/>
    <w:pPr>
      <w:spacing w:before="160"/>
      <w:jc w:val="center"/>
    </w:pPr>
    <w:rPr>
      <w:i/>
      <w:iCs/>
      <w:color w:val="404040" w:themeColor="text1" w:themeTint="BF"/>
    </w:rPr>
  </w:style>
  <w:style w:type="character" w:customStyle="1" w:styleId="a8">
    <w:name w:val="引用 字符"/>
    <w:basedOn w:val="a0"/>
    <w:link w:val="a7"/>
    <w:uiPriority w:val="29"/>
    <w:rsid w:val="0095502A"/>
    <w:rPr>
      <w:i/>
      <w:iCs/>
      <w:color w:val="404040" w:themeColor="text1" w:themeTint="BF"/>
    </w:rPr>
  </w:style>
  <w:style w:type="paragraph" w:styleId="a9">
    <w:name w:val="List Paragraph"/>
    <w:basedOn w:val="a"/>
    <w:uiPriority w:val="34"/>
    <w:qFormat/>
    <w:rsid w:val="0095502A"/>
    <w:pPr>
      <w:ind w:left="720"/>
      <w:contextualSpacing/>
    </w:pPr>
  </w:style>
  <w:style w:type="character" w:styleId="aa">
    <w:name w:val="Intense Emphasis"/>
    <w:basedOn w:val="a0"/>
    <w:uiPriority w:val="21"/>
    <w:qFormat/>
    <w:rsid w:val="0095502A"/>
    <w:rPr>
      <w:i/>
      <w:iCs/>
      <w:color w:val="0F4761" w:themeColor="accent1" w:themeShade="BF"/>
    </w:rPr>
  </w:style>
  <w:style w:type="paragraph" w:styleId="ab">
    <w:name w:val="Intense Quote"/>
    <w:basedOn w:val="a"/>
    <w:next w:val="a"/>
    <w:link w:val="ac"/>
    <w:uiPriority w:val="30"/>
    <w:qFormat/>
    <w:rsid w:val="00955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502A"/>
    <w:rPr>
      <w:i/>
      <w:iCs/>
      <w:color w:val="0F4761" w:themeColor="accent1" w:themeShade="BF"/>
    </w:rPr>
  </w:style>
  <w:style w:type="character" w:styleId="ad">
    <w:name w:val="Intense Reference"/>
    <w:basedOn w:val="a0"/>
    <w:uiPriority w:val="32"/>
    <w:qFormat/>
    <w:rsid w:val="00955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滨昕 沈</dc:creator>
  <cp:keywords/>
  <dc:description/>
  <cp:lastModifiedBy>滨昕 沈</cp:lastModifiedBy>
  <cp:revision>1</cp:revision>
  <dcterms:created xsi:type="dcterms:W3CDTF">2026-02-22T09:08:00Z</dcterms:created>
  <dcterms:modified xsi:type="dcterms:W3CDTF">2026-02-22T09:13:00Z</dcterms:modified>
</cp:coreProperties>
</file>