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/>
          <w:b/>
          <w:color w:val="D99A2B"/>
          <w:sz w:val="21"/>
        </w:rPr>
        <w:t>PREDICTIONS &amp; BUSINESS INSIGHTS REPORT</w:t>
      </w:r>
    </w:p>
    <w:p>
      <w:pPr>
        <w:spacing w:after="180"/>
        <w:jc w:val="center"/>
      </w:pPr>
      <w:r>
        <w:rPr>
          <w:rFonts w:ascii="Calibri" w:hAnsi="Calibri"/>
          <w:b/>
          <w:color w:val="12355B"/>
          <w:sz w:val="58"/>
        </w:rPr>
        <w:t>LA Fitness Expansion Strategy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28"/>
        </w:rPr>
        <w:t>Regression Results, Scenario Pricing, and Florida Market Priorities</w:t>
      </w:r>
    </w:p>
    <w:p>
      <w:pPr>
        <w:spacing w:after="120"/>
        <w:jc w:val="center"/>
      </w:pPr>
      <w:r>
        <w:t>All 67 Florida counties | Census + Google Places + official gym pricing | OLS regression</w:t>
      </w:r>
    </w:p>
    <w:p>
      <w:pPr>
        <w:jc w:val="center"/>
      </w:pPr>
      <w:r>
        <w:t>Prepared for the MSIS Data Science Assignment | September 1, 2026</w:t>
      </w: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before="240" w:after="0"/>
        <w:jc w:val="center"/>
      </w:pPr>
      <w:r>
        <w:t>Observed demographics, locations, and official advertised price observations; transparent estimates only where no local offer was available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analysis combines observed Census demographics, 428 Google Places records across 67 Florida counties, and official advertised recurring price observations. Thirty-two counties have local public price observations; the remaining 35 use an explicitly labeled statewide-median estimate. The full six-variable OLS model explains 35.8% of variation in the price target; the refined three-variable model has adjusted R-squared of 0.261.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3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Recommendation: Prioritize validation in St. Johns County, Santa Rosa County, Hillsborough County, Collier County, Lee County. These are screening priorities, not final real-estate decisions.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Decision boundary: The price target uses official local advertised offers in 32 counties and transparent statewide-median estimates in 35 counties. Advertised prices are not transaction prices, and plan/franchise differences limit comparability. Do not commit capital until actual club pricing, leases, trade-area demographics, traffic, and competitor capacity are validated.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Data and Modeling Approach</w:t>
      </w:r>
    </w:p>
    <w:p>
      <w:pPr>
        <w:pStyle w:val="ListBullet"/>
      </w:pPr>
      <w:r>
        <w:t>Unit of analysis: one row per Florida county (n = 67).</w:t>
      </w:r>
    </w:p>
    <w:p>
      <w:pPr>
        <w:pStyle w:val="ListBullet"/>
      </w:pPr>
      <w:r>
        <w:t>Dependent variable: advertised/estimated monthly MembershipPrice target in U.S. dollars.</w:t>
      </w:r>
    </w:p>
    <w:p>
      <w:pPr>
        <w:pStyle w:val="ListBullet"/>
      </w:pPr>
      <w:r>
        <w:t>Independent variables: population, LA Fitness count, competitor count, household income, density, and average rating.</w:t>
      </w:r>
    </w:p>
    <w:p>
      <w:pPr>
        <w:pStyle w:val="ListBullet"/>
      </w:pPr>
      <w:r>
        <w:t>Observed location data: 428 Google Places records with gym names, formatted street addresses, coordinates, ratings, and review counts; exact-county filtered and deduplicated by Place ID.</w:t>
      </w:r>
    </w:p>
    <w:p>
      <w:pPr>
        <w:pStyle w:val="ListBullet"/>
      </w:pPr>
      <w:r>
        <w:t>Estimation method: Ordinary Least Squares using Python statsmodels.</w:t>
      </w:r>
    </w:p>
    <w:p>
      <w:r>
        <w:t>Price methodology: the long-form pricing file preserves official plan-level dues, billing frequency, initiation fees, annual fees, promotions, source URLs, and retrieval timestamps for LA Fitness, Planet Fitness, YouFit, Gold's Gym, and Orangetheory Fitness.</w:t>
      </w:r>
    </w:p>
    <w:p>
      <w:pPr>
        <w:spacing w:before="100" w:after="180"/>
        <w:jc w:val="center"/>
      </w:pPr>
      <w:r>
        <w:t>For the county target, one lowest recurring advertised offer was selected per observed local club and averaged within county. Thirty-two counties have local observations; 35 counties use the statewide median of 232 retained local club offers ($43.99). Planet Fitness published starting rates are real but chainwide, so they are not assigned to counties. No predictor-based or random synthetic formula is used.</w:t>
      </w:r>
    </w:p>
    <w:p>
      <w:pPr>
        <w:pStyle w:val="Heading1"/>
        <w:pageBreakBefore/>
      </w:pPr>
      <w:r>
        <w:t>Full OLS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2730"/>
        <w:gridCol w:w="2730"/>
      </w:tblGrid>
      <w:tr>
        <w:trPr>
          <w:tblHeader w:val="true"/>
        </w:trPr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Metric</w:t>
            </w:r>
          </w:p>
        </w:tc>
        <w:tc>
          <w:tcPr>
            <w:tcW w:type="dxa" w:w="273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Full model</w:t>
            </w:r>
          </w:p>
        </w:tc>
        <w:tc>
          <w:tcPr>
            <w:tcW w:type="dxa" w:w="273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Refined model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R-squared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0.358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0.295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Adjusted R-squared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0.294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0.261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AIC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494.37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494.70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BIC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509.80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503.52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RMSE (USD)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$8.72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$9.14</w:t>
            </w:r>
          </w:p>
        </w:tc>
      </w:tr>
    </w:tbl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800"/>
        <w:gridCol w:w="1300"/>
        <w:gridCol w:w="34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Variable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Coefficient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p-value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95% confidence interval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Intercept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-22.157140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0.507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[-88.551090, 44.236811]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CountyPopulation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0.000029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[0.000009, 0.000050]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LAFitnessLocations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-4.378677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0.00047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[-6.745161, -2.012193]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CompetitorLocations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-0.349934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0.517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[-1.423008, 0.723140]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MedianHouseholdIncome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0.000259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0.016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[0.000049, 0.000468]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PopulationDensity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0.004876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0.110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[-0.001139, 0.010890]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AvgGymRating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12.124557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0.110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[-2.810206, 27.059319]</w:t>
            </w:r>
          </w:p>
        </w:tc>
      </w:tr>
    </w:tbl>
    <w:p>
      <w:pPr>
        <w:spacing w:before="80" w:after="0"/>
      </w:pPr>
    </w:p>
    <w:p>
      <w:pPr>
        <w:pStyle w:val="Heading2"/>
        <w:pageBreakBefore/>
      </w:pPr>
      <w:r>
        <w:t>Multicollinearity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750"/>
        <w:gridCol w:w="1500"/>
        <w:gridCol w:w="3110"/>
      </w:tblGrid>
      <w:tr>
        <w:trPr>
          <w:tblHeader w:val="true"/>
        </w:trPr>
        <w:tc>
          <w:tcPr>
            <w:tcW w:type="dxa" w:w="4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Variable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VIF</w:t>
            </w:r>
          </w:p>
        </w:tc>
        <w:tc>
          <w:tcPr>
            <w:tcW w:type="dxa" w:w="3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VIF &gt; 5 assessment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CountyPopulation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20.42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LAFitnessLocations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11.18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CompetitorLocations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17.64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Concern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MedianHouseholdIncome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1.19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Acceptable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PopulationDensity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2.31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Acceptable</w:t>
            </w:r>
          </w:p>
        </w:tc>
      </w:tr>
      <w:tr>
        <w:trPr/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AvgGymRating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1.06</w:t>
            </w:r>
          </w:p>
        </w:tc>
        <w:tc>
          <w:tcPr>
            <w:tcW w:type="dxa" w:w="3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Acceptable</w:t>
            </w:r>
          </w:p>
        </w:tc>
      </w:tr>
    </w:tbl>
    <w:p>
      <w:pPr>
        <w:spacing w:before="80" w:after="0"/>
      </w:pPr>
    </w:p>
    <w:p>
      <w:r>
        <w:t>The highest VIF is 20.42 for CountyPopulation. Values above 5 are flagged because correlated market-size measures can make individual coefficients unstable even when overall fit is useful.</w:t>
      </w:r>
    </w:p>
    <w:p>
      <w:pPr>
        <w:pStyle w:val="Heading1"/>
        <w:pageBreakBefore/>
      </w:pPr>
      <w:r>
        <w:t>Refined Model</w:t>
      </w:r>
    </w:p>
    <w:p>
      <w:r>
        <w:t>Backward elimination removed CompetitorLocations (p = 0.517), AvgGymRating (p = 0.108), and PopulationDensity (p = 0.097). The refined model retains CountyPopulation, LAFitnessLocations, and MedianHouseholdIncome. This mechanical rule is used for the assignment demonstration; real strategy work should also preserve variables supported by business theory.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800"/>
        <w:gridCol w:w="1300"/>
        <w:gridCol w:w="34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Variable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Coefficient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p-value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95% confidence interval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Intercept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29.984351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0.00000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[18.471561, 41.497142]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CountyPopulation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0.000025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0.001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[0.000011, 0.000040]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LAFitnessLocations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-4.232158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0.00040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[-6.494040, -1.970276]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MedianHouseholdIncome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0.000305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0.005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[0.000096, 0.000514]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3"/>
            <wp:docPr id="1" name="Picture 1" descr="Horizontal bar chart of standardized dollar effects for retained regression variab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ndardized_eff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Refined-model price effect associated with a one-standard-deviation increase in each retained predictor.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Strongest retained factor: LAFitnessLocations has the largest absolute one-standard-deviation association (-$13.57; p = 0.0004). This is an association with the price target, not evidence that opening or closing a club causes prices to change.</w:t>
      </w:r>
    </w:p>
    <w:p>
      <w:pPr>
        <w:pStyle w:val="ListBullet"/>
      </w:pPr>
      <w:r>
        <w:t>Competition: the full-model coefficient is -$0.350 per additional tracked competitor (p = 0.517). It was removed during refinement, so the analysis does not establish an independent competition effect after controlling for the other predictors.</w:t>
      </w:r>
    </w:p>
    <w:p>
      <w:pPr>
        <w:pStyle w:val="ListBullet"/>
      </w:pPr>
      <w:r>
        <w:t>All interpretations are associations within a target that combines local official advertised offers and transparent statewide-median estimates, not causal effects on prices or expansion success.</w:t>
      </w:r>
    </w:p>
    <w:p>
      <w:pPr>
        <w:pStyle w:val="Heading1"/>
        <w:pageBreakBefore/>
      </w:pPr>
      <w:r>
        <w:t>Model Diagnostics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1200"/>
        <w:gridCol w:w="1200"/>
        <w:gridCol w:w="3560"/>
      </w:tblGrid>
      <w:tr>
        <w:trPr>
          <w:tblHeader w:val="true"/>
        </w:trPr>
        <w:tc>
          <w:tcPr>
            <w:tcW w:type="dxa" w:w="3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Diagnostic test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Statistic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p-value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Interpretation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Shapiro-Wilk residual normality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0.899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0.00005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Residual normality concern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Breusch-Pagan homoscedasticity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5.951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0.114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evidence of heteroscedasticity</w:t>
            </w:r>
          </w:p>
        </w:tc>
      </w:tr>
      <w:tr>
        <w:trPr/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Breusch-Pagan F version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2.047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0.116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evidence of heteroscedasticity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858024"/>
            <wp:docPr id="2" name="Picture 2" descr="Scatter plot comparing estimated price targets to refined model predictions with a 45-degree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ual_vs_predi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8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Observed/estimated county price targets versus refined-model predictions.</w:t>
      </w: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467922"/>
            <wp:docPr id="3" name="Picture 3" descr="Quantile-quantile plot used to evaluate residual norma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q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6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Q-Q plot of refined-model residuals.</w:t>
      </w: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472412"/>
            <wp:docPr id="4" name="Picture 4" descr="Scatter plot of residuals against fitted membership prices with a zero reference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iduals_vs_fit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7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Refined-model residuals versus fitted values.</w:t>
      </w:r>
    </w:p>
    <w:p>
      <w:pPr>
        <w:pStyle w:val="Heading2"/>
        <w:pageBreakBefore/>
      </w:pPr>
      <w:r>
        <w:t>Influential Observations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1920"/>
        <w:gridCol w:w="1920"/>
        <w:gridCol w:w="192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County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Studentized residual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Cook's distance</w:t>
            </w:r>
          </w:p>
        </w:tc>
        <w:tc>
          <w:tcPr>
            <w:tcW w:type="dxa" w:w="1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Leverage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Polk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-1.98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0.154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0.142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Pasco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1.99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0.142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0.130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Charlotte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-4.75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0.086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0.020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Miami-Dade County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-0.71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0.082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0.389</w:t>
            </w:r>
          </w:p>
        </w:tc>
      </w:tr>
    </w:tbl>
    <w:p>
      <w:pPr>
        <w:spacing w:before="80" w:after="0"/>
      </w:pPr>
    </w:p>
    <w:p>
      <w:pPr>
        <w:pStyle w:val="Heading1"/>
      </w:pPr>
      <w:r>
        <w:t>Scenario Predictions</w:t>
      </w:r>
    </w:p>
    <w:p>
      <w:r>
        <w:t>Each scenario supplies every variable in the original full model. Predictions use the refined model and are extrapolations from a 67-county dataset whose price target is partly estimated. The mean confidence interval describes uncertainty in the expected county price; the wider prediction interval describes uncertainty for a single comparable county outcome.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1600"/>
        <w:gridCol w:w="2000"/>
        <w:gridCol w:w="2260"/>
      </w:tblGrid>
      <w:tr>
        <w:trPr>
          <w:tblHeader w:val="true"/>
        </w:trP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Scenario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Predicted price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95% mean CI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95% prediction interval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 - Rural, low competition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$41.68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$35.43 - $47.93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$21.82 - $61.53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 - Miami-Dade, high competition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$49.82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$38.53 - $61.11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$27.85 - $71.79</w:t>
            </w:r>
          </w:p>
        </w:tc>
      </w:tr>
      <w:tr>
        <w:trPr/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 - Target market: St. Johns County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$63.95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$56.63 - $71.28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$43.74 - $84.17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t>A - Rural, low competition</w:t>
      </w:r>
    </w:p>
    <w:p>
      <w:r>
        <w:t>Population 50,000; LA Fitness locations 2; competitors 1; median household income $62,000; density 120.0 per square mile; average rating 4.20.</w:t>
      </w:r>
    </w:p>
    <w:p>
      <w:pPr>
        <w:pStyle w:val="Heading2"/>
      </w:pPr>
      <w:r>
        <w:t>B - Miami-Dade, high competition</w:t>
      </w:r>
    </w:p>
    <w:p>
      <w:r>
        <w:t>Population 2,600,000; LA Fitness locations 15; competitors 30; median household income $57,815; density 1,422.1 per square mile; average rating 4.28.</w:t>
      </w:r>
    </w:p>
    <w:p>
      <w:pPr>
        <w:pStyle w:val="Heading2"/>
      </w:pPr>
      <w:r>
        <w:t>C - Target market: St. Johns County</w:t>
      </w:r>
    </w:p>
    <w:p>
      <w:r>
        <w:t>Population 273,425; LA Fitness locations 0; competitors 4; median household income $88,794; density 455.2 per square mile; average rating 4.65.</w:t>
      </w:r>
    </w:p>
    <w:p>
      <w:pPr>
        <w:pStyle w:val="Heading1"/>
        <w:pageBreakBefore/>
      </w:pPr>
      <w:r>
        <w:t>Expansion Recommendations</w:t>
      </w:r>
    </w:p>
    <w:p>
      <w:r>
        <w:t>The market-potential score is a transparent screening index calculated within this 67-county dataset. Weights are 30% demand (log population), 25% purchasing power, 20% low competitor intensity, 15% predicted price, and 10% low LA Fitness intensity. Components are min-max normalized, so the score is relative and not transferable to another state or vintage without recalculation.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350"/>
        <w:gridCol w:w="1100"/>
        <w:gridCol w:w="1700"/>
        <w:gridCol w:w="1750"/>
        <w:gridCol w:w="17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Rank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County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Score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Population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Median income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Predicted price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St. Johns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82.9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273,425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$88,794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$63.95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Santa Rosa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75.2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188,000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$77,260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$58.28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Hillsborough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74.2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1,459,762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$64,164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$56.80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Collier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74.1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375,752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$75,543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$58.27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Lee County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72.8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760,822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$63,235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$60.02</w:t>
            </w:r>
          </w:p>
        </w:tc>
      </w:tr>
    </w:tbl>
    <w:p>
      <w:pPr>
        <w:spacing w:before="80" w:after="0"/>
      </w:pPr>
    </w:p>
    <w:p>
      <w:pPr>
        <w:keepNext/>
        <w:pageBreakBefore w:val="0"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3475620"/>
            <wp:docPr id="5" name="Picture 5" descr="Horizontal bar chart ranking the top ten counties by market potential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op_mark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7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Top ten Florida counties by the current market-potential score.</w:t>
      </w:r>
    </w:p>
    <w:p>
      <w:pPr>
        <w:pStyle w:val="Heading2"/>
      </w:pPr>
      <w:r>
        <w:t>1. St. Johns County | Score 82.9/100. Key screening strengths: favorable purchasing power, LA Fitness whitespace, light tracked-competitor intensity. Observed LA Fitness locations: 0; tracked competitors: 4.</w:t>
      </w:r>
    </w:p>
    <w:p>
      <w:r>
        <w:t>Score 82.9/100. Key screening strengths: favorable purchasing power, LA Fitness whitespace, light tracked-competitor intensity. Observed LA Fitness locations: 0; tracked competitors: 4.</w:t>
      </w:r>
    </w:p>
    <w:p>
      <w:pPr>
        <w:pStyle w:val="Heading2"/>
      </w:pPr>
      <w:r>
        <w:t>2. Santa Rosa County | Score 75.2/100. Key screening strengths: favorable purchasing power, LA Fitness whitespace, light tracked-competitor intensity. Observed LA Fitness locations: 0; tracked competitors: 1.</w:t>
      </w:r>
    </w:p>
    <w:p>
      <w:r>
        <w:t>Score 75.2/100. Key screening strengths: favorable purchasing power, LA Fitness whitespace, light tracked-competitor intensity. Observed LA Fitness locations: 0; tracked competitors: 1.</w:t>
      </w:r>
    </w:p>
    <w:p>
      <w:pPr>
        <w:pStyle w:val="Heading2"/>
      </w:pPr>
      <w:r>
        <w:t>3. Hillsborough County | Score 74.2/100. Key screening strengths: large demand base, existing market evidence. Observed LA Fitness locations: 7; tracked competitors: 18.</w:t>
      </w:r>
    </w:p>
    <w:p>
      <w:r>
        <w:t>Score 74.2/100. Key screening strengths: large demand base, existing market evidence. Observed LA Fitness locations: 7; tracked competitors: 18.</w:t>
      </w:r>
    </w:p>
    <w:p>
      <w:pPr>
        <w:pStyle w:val="Heading2"/>
      </w:pPr>
      <w:r>
        <w:t>4. Collier County | Score 74.1/100. Key screening strengths: favorable purchasing power, existing market evidence, light tracked-competitor intensity. Observed LA Fitness locations: 1; tracked competitors: 5.</w:t>
      </w:r>
    </w:p>
    <w:p>
      <w:r>
        <w:t>Score 74.1/100. Key screening strengths: favorable purchasing power, existing market evidence, light tracked-competitor intensity. Observed LA Fitness locations: 1; tracked competitors: 5.</w:t>
      </w:r>
    </w:p>
    <w:p>
      <w:pPr>
        <w:pStyle w:val="Heading2"/>
      </w:pPr>
      <w:r>
        <w:t>5. Lee County | Score 72.8/100. Key screening strengths: large demand base, existing market evidence. Observed LA Fitness locations: 2; tracked competitors: 10.</w:t>
      </w:r>
    </w:p>
    <w:p>
      <w:r>
        <w:t>Score 72.8/100. Key screening strengths: large demand base, existing market evidence. Observed LA Fitness locations: 2; tracked competitors: 10.</w:t>
      </w:r>
    </w:p>
    <w:p>
      <w:pPr>
        <w:pStyle w:val="Heading1"/>
      </w:pPr>
      <w:r>
        <w:t>Recommended Next Actions</w:t>
      </w:r>
    </w:p>
    <w:p>
      <w:pPr>
        <w:pStyle w:val="ListNumber"/>
      </w:pPr>
      <w:r>
        <w:t>Validate current club rosters, closures, planned openings, and public price offers in the top five counties.</w:t>
      </w:r>
    </w:p>
    <w:p>
      <w:pPr>
        <w:pStyle w:val="ListNumber"/>
      </w:pPr>
      <w:r>
        <w:t>Collect observed monthly dues, initiation fees, annual fees, promotions, and contract terms for a representative sample of clubs.</w:t>
      </w:r>
    </w:p>
    <w:p>
      <w:pPr>
        <w:pStyle w:val="ListNumber"/>
      </w:pPr>
      <w:r>
        <w:t>Replace county boundaries with 10- to 15-minute drive-time trade areas around candidate sites.</w:t>
      </w:r>
    </w:p>
    <w:p>
      <w:pPr>
        <w:pStyle w:val="ListNumber"/>
      </w:pPr>
      <w:r>
        <w:t>Add lease rates, daytime population, age mix, traffic counts, and competitor square footage before site underwriting.</w:t>
      </w:r>
    </w:p>
    <w:p>
      <w:pPr>
        <w:pStyle w:val="ListNumber"/>
      </w:pPr>
      <w:r>
        <w:t>Re-estimate the model with broader observed comparable prices and validate out of sample before using it for capital allocation.</w:t>
      </w:r>
    </w:p>
    <w:p>
      <w:pPr>
        <w:pStyle w:val="Heading1"/>
      </w:pPr>
      <w:r>
        <w:t>Limitations</w:t>
      </w:r>
    </w:p>
    <w:p>
      <w:pPr>
        <w:pStyle w:val="ListBullet"/>
      </w:pPr>
      <w:r>
        <w:t>Price target coverage: 32 counties use local official advertised offers; 35 use the transparent statewide median because no local public rate was available. The target is not a transaction-price survey.</w:t>
      </w:r>
    </w:p>
    <w:p>
      <w:pPr>
        <w:pStyle w:val="ListBullet"/>
      </w:pPr>
      <w:r>
        <w:t>Search coverage: Google Places Text Search ranks candidates and does not guarantee a complete chain inventory.</w:t>
      </w:r>
    </w:p>
    <w:p>
      <w:pPr>
        <w:pStyle w:val="ListBullet"/>
      </w:pPr>
      <w:r>
        <w:t>Temporal mismatch: demographics use 2020 population and 2021 income, while locations and prices are retrieval-time snapshots.</w:t>
      </w:r>
    </w:p>
    <w:p>
      <w:pPr>
        <w:pStyle w:val="ListBullet"/>
      </w:pPr>
      <w:r>
        <w:t>Aggregation: county averages mask neighborhood trade areas and cross-county customer travel.</w:t>
      </w:r>
    </w:p>
    <w:p>
      <w:pPr>
        <w:pStyle w:val="ListBullet"/>
      </w:pPr>
      <w:r>
        <w:t>Small sample: 67 counties limit model complexity and make influential observations consequential.</w:t>
      </w:r>
    </w:p>
    <w:p>
      <w:pPr>
        <w:pStyle w:val="ListBullet"/>
      </w:pPr>
      <w:r>
        <w:t>Association only: OLS coefficients do not identify causal effects on pricing or expansion success.</w:t>
      </w:r>
    </w:p>
    <w:p>
      <w:pPr>
        <w:pStyle w:val="ListBullet"/>
      </w:pPr>
      <w:r>
        <w:t>Ranking sensitivity: market-potential results depend on subjective weights, min-max scaling, and the observed-versus-estimated price mix.</w:t>
      </w:r>
    </w:p>
    <w:p>
      <w:pPr>
        <w:pStyle w:val="Heading1"/>
      </w:pPr>
      <w:r>
        <w:t>Reproducibility and Deliverables</w:t>
      </w:r>
    </w:p>
    <w:p>
      <w:pPr>
        <w:pStyle w:val="ListBullet"/>
      </w:pPr>
      <w:r>
        <w:t>scripts/fitness_market_analysis.py: API collection, official-price integration, EDA, regression, diagnostics, predictions, and rankings.</w:t>
      </w:r>
    </w:p>
    <w:p>
      <w:pPr>
        <w:pStyle w:val="ListBullet"/>
      </w:pPr>
      <w:r>
        <w:t>data/MainDataset.csv: 67 rows and 8 required columns, rebuilt from the current observed/estimated price target.</w:t>
      </w:r>
    </w:p>
    <w:p>
      <w:pPr>
        <w:pStyle w:val="ListBullet"/>
      </w:pPr>
      <w:r>
        <w:t>outputs/: model tables, diagnostic tables, pricing-coverage audit, scenario predictions, rankings, and current figures.</w:t>
      </w:r>
    </w:p>
    <w:p>
      <w:pPr>
        <w:pStyle w:val="ListBullet"/>
      </w:pPr>
      <w:r>
        <w:t>API key files are read locally and intentionally excluded from every analytical output.</w:t>
      </w:r>
    </w:p>
    <w:p>
      <w:pPr>
        <w:pStyle w:val="Heading1"/>
        <w:pageBreakBefore w:val="0"/>
      </w:pPr>
      <w:r>
        <w:t>References</w:t>
      </w:r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2020 Census Redistricting Data, Table P1, variable P1_001N. </w:t>
      </w:r>
      <w:hyperlink r:id="rId18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2021 ACS 5-Year Estimates, Table B19013, median household income. </w:t>
      </w:r>
      <w:hyperlink r:id="rId19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U.S. Census Bureau. 2020 Gazetteer Files and record layout. </w:t>
      </w:r>
      <w:hyperlink r:id="rId20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Google Maps Platform. Text Search (New) documentation and pagination requirements. </w:t>
      </w:r>
      <w:hyperlink r:id="rId21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LA Fitness. Public online membership rate example with monthly plan options. </w:t>
      </w:r>
      <w:hyperlink r:id="rId22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Planet Fitness. Official membership page with starting monthly rates. </w:t>
      </w:r>
      <w:hyperlink r:id="rId23">
        <w:r>
          <w:rPr>
            <w:color w:val="2E74B5"/>
            <w:u w:val="single"/>
          </w:rPr>
          <w:t>Source</w:t>
        </w:r>
      </w:hyperlink>
    </w:p>
    <w:p>
      <w:pPr>
        <w:spacing w:after="100"/>
        <w:ind w:left="317" w:hanging="317"/>
      </w:pPr>
      <w:r>
        <w:rPr>
          <w:rFonts w:ascii="Calibri" w:hAnsi="Calibri"/>
          <w:color w:val="263746"/>
          <w:sz w:val="19"/>
        </w:rPr>
        <w:t xml:space="preserve">Health &amp; Fitness Association. U.S. facility membership and average-dues overview. </w:t>
      </w:r>
      <w:hyperlink r:id="rId24">
        <w:r>
          <w:rPr>
            <w:color w:val="2E74B5"/>
            <w:u w:val="single"/>
          </w:rPr>
          <w:t>Source</w:t>
        </w:r>
      </w:hyperlink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 w:after="0"/>
    </w:pPr>
    <w:r>
      <w:rPr>
        <w:rFonts w:ascii="Calibri" w:hAnsi="Calibri"/>
        <w:color w:val="5C6874"/>
        <w:sz w:val="16"/>
      </w:rPr>
      <w:t>Academic analysis - estimated county price target</w:t>
    </w:r>
    <w:r>
      <w:tab/>
    </w:r>
    <w:r>
      <w:rPr>
        <w:rFonts w:ascii="Calibri" w:hAnsi="Calibri"/>
        <w:color w:val="5C68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 w:after="0"/>
    </w:pPr>
    <w:r>
      <w:rPr>
        <w:rFonts w:ascii="Calibri" w:hAnsi="Calibri"/>
        <w:color w:val="5C6874"/>
        <w:sz w:val="16"/>
      </w:rPr>
      <w:t>Academic analysis - estimated county price target</w:t>
    </w:r>
    <w:r>
      <w:tab/>
    </w:r>
    <w:r>
      <w:rPr>
        <w:rFonts w:ascii="Calibri" w:hAnsi="Calibri"/>
        <w:color w:val="5C68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874"/>
        <w:sz w:val="16"/>
      </w:rPr>
      <w:t>MSIS DATA SCIENCE  |  FLORIDA FITNESS MARKET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874"/>
        <w:sz w:val="16"/>
      </w:rPr>
      <w:t>MSIS DATA SCIENCE  |  FLORIDA FITNESS MARKET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80"/>
    </w:pPr>
    <w:rPr>
      <w:rFonts w:ascii="Calibri" w:hAnsi="Calibri"/>
      <w:b/>
      <w:bCs/>
      <w:i/>
      <w:color w:val="5C68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api.census.gov/data/2020/dec/pl/groups/P1.html" TargetMode="External"/><Relationship Id="rId19" Type="http://schemas.openxmlformats.org/officeDocument/2006/relationships/hyperlink" Target="https://data.census.gov/table/ACSDT5Y2021.B19013" TargetMode="External"/><Relationship Id="rId20" Type="http://schemas.openxmlformats.org/officeDocument/2006/relationships/hyperlink" Target="https://www.census.gov/geographies/reference-files/2020/geo/gazetter-file.html" TargetMode="External"/><Relationship Id="rId21" Type="http://schemas.openxmlformats.org/officeDocument/2006/relationships/hyperlink" Target="https://developers.google.com/maps/documentation/places/web-service/text-search" TargetMode="External"/><Relationship Id="rId22" Type="http://schemas.openxmlformats.org/officeDocument/2006/relationships/hyperlink" Target="https://www.lafitness.com/Pages/MembershipSignUpRate.aspx?id=b0J8ga4R865EceAG6%2FCX9A%3D%3D" TargetMode="External"/><Relationship Id="rId23" Type="http://schemas.openxmlformats.org/officeDocument/2006/relationships/hyperlink" Target="https://www.planetfitness.com/gym-memberships" TargetMode="External"/><Relationship Id="rId24" Type="http://schemas.openxmlformats.org/officeDocument/2006/relationships/hyperlink" Target="https://www.healthandfitness.org/u-s-fitness-facility-memberships-reach-the-highest-level-ever-as-dues-ri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