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60"/>
        <w:jc w:val="center"/>
      </w:pPr>
      <w:r>
        <w:rPr>
          <w:rFonts w:ascii="Calibri" w:hAnsi="Calibri"/>
          <w:b/>
          <w:color w:val="D99A2B"/>
          <w:sz w:val="21"/>
        </w:rPr>
        <w:t>EXPLORATORY DATA ANALYSIS REPORT</w:t>
      </w:r>
    </w:p>
    <w:p>
      <w:pPr>
        <w:spacing w:after="180"/>
        <w:jc w:val="center"/>
      </w:pPr>
      <w:r>
        <w:rPr>
          <w:rFonts w:ascii="Calibri" w:hAnsi="Calibri"/>
          <w:b/>
          <w:color w:val="12355B"/>
          <w:sz w:val="58"/>
        </w:rPr>
        <w:t>Fitness Market Analysis</w:t>
      </w:r>
    </w:p>
    <w:p>
      <w:pPr>
        <w:spacing w:after="480"/>
        <w:jc w:val="center"/>
      </w:pPr>
      <w:r>
        <w:rPr>
          <w:rFonts w:ascii="Calibri" w:hAnsi="Calibri"/>
          <w:color w:val="1F4D78"/>
          <w:sz w:val="28"/>
        </w:rPr>
        <w:t>LA Fitness Expansion Strategy Across Florida Counties</w:t>
      </w:r>
    </w:p>
    <w:p>
      <w:pPr>
        <w:spacing w:after="120"/>
        <w:jc w:val="center"/>
      </w:pPr>
      <w:r>
        <w:t>All 67 Florida counties | Census + Google Places + official gym pricing | OLS regression</w:t>
      </w:r>
    </w:p>
    <w:p>
      <w:pPr>
        <w:jc w:val="center"/>
      </w:pPr>
      <w:r>
        <w:t>Prepared for the MSIS Data Science Assignment | September 1, 2026</w:t>
      </w:r>
    </w:p>
    <w:p>
      <w:pPr>
        <w:spacing w:after="320"/>
      </w:pPr>
    </w:p>
    <w:p>
      <w:pPr>
        <w:spacing w:after="320"/>
      </w:pPr>
    </w:p>
    <w:p>
      <w:pPr>
        <w:spacing w:after="320"/>
      </w:pPr>
    </w:p>
    <w:p>
      <w:pPr>
        <w:spacing w:before="240" w:after="0"/>
        <w:jc w:val="center"/>
      </w:pPr>
      <w:r>
        <w:t>Observed demographics, locations, and official advertised price observations; transparent estimates only where no local offer was available</w:t>
      </w:r>
    </w:p>
    <w:p>
      <w:r>
        <w:br w:type="page"/>
      </w:r>
    </w:p>
    <w:p>
      <w:pPr>
        <w:pStyle w:val="Heading1"/>
      </w:pPr>
      <w:r>
        <w:t>Purpose and Scope</w:t>
      </w:r>
    </w:p>
    <w:p>
      <w:r>
        <w:t>This report examines the market structure of all 67 Florida counties before regression modeling. It combines official demographic measures, live Google Places results for LA Fitness and four competitor brands, and official plan-level advertised prices where public enrollment pages expose them. The objective is to identify distributions, relationships, and unusual counties that may affect model interpretation or expansion decisions.</w:t>
      </w:r>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shd w:fill="FFF7E6"/>
            <w:vAlign w:val="center"/>
            <w:tcMar>
              <w:top w:w="80" w:type="dxa"/>
              <w:bottom w:w="80" w:type="dxa"/>
              <w:start w:w="120" w:type="dxa"/>
              <w:end w:w="120" w:type="dxa"/>
            </w:tcMar>
          </w:tcPr>
          <w:p>
            <w:r>
              <w:t>Critical limitation: MembershipPrice uses official advertised recurring offers where locally available (32 counties) and nearby-county estimates for 35 counties without a local public rate. It is not a transaction-price survey; entry-plan terms, promotions, initiation/annual fees, and franchise differences limit comparability.</w:t>
            </w:r>
          </w:p>
        </w:tc>
      </w:tr>
    </w:tbl>
    <w:p>
      <w:pPr>
        <w:spacing w:after="60"/>
      </w:pPr>
    </w:p>
    <w:p>
      <w:pPr>
        <w:pStyle w:val="Heading1"/>
      </w:pPr>
      <w:r>
        <w:t>Data Collection and Preparation</w:t>
      </w:r>
    </w:p>
    <w:p>
      <w:pPr>
        <w:pStyle w:val="Heading2"/>
      </w:pPr>
      <w:r>
        <w:t>Observed demographic inputs</w:t>
      </w:r>
    </w:p>
    <w:p>
      <w:pPr>
        <w:pStyle w:val="ListBullet"/>
      </w:pPr>
      <w:r>
        <w:t>CountyPopulation: 2020 Census PL 94-171 total population (P1_001N).</w:t>
      </w:r>
    </w:p>
    <w:p>
      <w:pPr>
        <w:pStyle w:val="ListBullet"/>
      </w:pPr>
      <w:r>
        <w:t>MedianHouseholdIncome: 2021 ACS five-year estimate (B19013_001E).</w:t>
      </w:r>
    </w:p>
    <w:p>
      <w:pPr>
        <w:pStyle w:val="ListBullet"/>
      </w:pPr>
      <w:r>
        <w:t>LandAreaSqMiles: 2020 Census Gazetteer; PopulationDensity is population divided by land area.</w:t>
      </w:r>
    </w:p>
    <w:p>
      <w:pPr>
        <w:pStyle w:val="Heading2"/>
      </w:pPr>
      <w:r>
        <w:t>Observed gym-market inputs</w:t>
      </w:r>
    </w:p>
    <w:p>
      <w:r>
        <w:t>The Google Places Text Search pipeline issued branded, county-specific queries, filtered results to exact county and brand matches, and deduplicated by Place ID. The refreshed location file retains each gym's Google display name and formatted street address, along with coordinates, rating, and review count. It contains 428 locations across LA Fitness, Planet Fitness, YouFit, Gold's Gym, and Orangetheory Fitness.</w:t>
      </w:r>
    </w:p>
    <w:tbl>
      <w:tblPr>
        <w:tblStyle w:val="TableGrid"/>
        <w:tblW w:type="dxa" w:w="9360"/>
        <w:jc w:val="left"/>
        <w:tblLayout w:type="fixed"/>
        <w:tblLook w:firstColumn="1" w:firstRow="1" w:lastColumn="0" w:lastRow="0" w:noHBand="0" w:noVBand="1" w:val="04A0"/>
        <w:tblInd w:type="dxa" w:w="120"/>
      </w:tblPr>
      <w:tblGrid>
        <w:gridCol w:w="6500"/>
        <w:gridCol w:w="2860"/>
      </w:tblGrid>
      <w:tr>
        <w:trPr>
          <w:tblHeader w:val="true"/>
        </w:trPr>
        <w:tc>
          <w:tcPr>
            <w:tcW w:type="dxa" w:w="6500"/>
            <w:shd w:fill="F2F4F7"/>
            <w:vAlign w:val="center"/>
            <w:tcMar>
              <w:top w:w="80" w:type="dxa"/>
              <w:bottom w:w="80" w:type="dxa"/>
              <w:start w:w="120" w:type="dxa"/>
              <w:end w:w="120" w:type="dxa"/>
            </w:tcMar>
          </w:tcPr>
          <w:p>
            <w:r>
              <w:t>Tracked brand</w:t>
            </w:r>
          </w:p>
        </w:tc>
        <w:tc>
          <w:tcPr>
            <w:tcW w:type="dxa" w:w="2860"/>
            <w:shd w:fill="F2F4F7"/>
            <w:vAlign w:val="center"/>
            <w:tcMar>
              <w:top w:w="80" w:type="dxa"/>
              <w:bottom w:w="80" w:type="dxa"/>
              <w:start w:w="120" w:type="dxa"/>
              <w:end w:w="120" w:type="dxa"/>
            </w:tcMar>
          </w:tcPr>
          <w:p>
            <w:r>
              <w:t>Accepted locations</w:t>
            </w:r>
          </w:p>
        </w:tc>
      </w:tr>
      <w:tr>
        <w:trPr/>
        <w:tc>
          <w:tcPr>
            <w:tcW w:type="dxa" w:w="6500"/>
            <w:vAlign w:val="center"/>
            <w:tcMar>
              <w:top w:w="80" w:type="dxa"/>
              <w:bottom w:w="80" w:type="dxa"/>
              <w:start w:w="120" w:type="dxa"/>
              <w:end w:w="120" w:type="dxa"/>
            </w:tcMar>
          </w:tcPr>
          <w:p>
            <w:r>
              <w:t>Planet Fitness</w:t>
            </w:r>
          </w:p>
        </w:tc>
        <w:tc>
          <w:tcPr>
            <w:tcW w:type="dxa" w:w="2860"/>
            <w:vAlign w:val="center"/>
            <w:tcMar>
              <w:top w:w="80" w:type="dxa"/>
              <w:bottom w:w="80" w:type="dxa"/>
              <w:start w:w="120" w:type="dxa"/>
              <w:end w:w="120" w:type="dxa"/>
            </w:tcMar>
          </w:tcPr>
          <w:p>
            <w:r>
              <w:t>178</w:t>
            </w:r>
          </w:p>
        </w:tc>
      </w:tr>
      <w:tr>
        <w:trPr/>
        <w:tc>
          <w:tcPr>
            <w:tcW w:type="dxa" w:w="6500"/>
            <w:vAlign w:val="center"/>
            <w:tcMar>
              <w:top w:w="80" w:type="dxa"/>
              <w:bottom w:w="80" w:type="dxa"/>
              <w:start w:w="120" w:type="dxa"/>
              <w:end w:w="120" w:type="dxa"/>
            </w:tcMar>
          </w:tcPr>
          <w:p>
            <w:r>
              <w:t>Orangetheory Fitness</w:t>
            </w:r>
          </w:p>
        </w:tc>
        <w:tc>
          <w:tcPr>
            <w:tcW w:type="dxa" w:w="2860"/>
            <w:vAlign w:val="center"/>
            <w:tcMar>
              <w:top w:w="80" w:type="dxa"/>
              <w:bottom w:w="80" w:type="dxa"/>
              <w:start w:w="120" w:type="dxa"/>
              <w:end w:w="120" w:type="dxa"/>
            </w:tcMar>
          </w:tcPr>
          <w:p>
            <w:r>
              <w:t>104</w:t>
            </w:r>
          </w:p>
        </w:tc>
      </w:tr>
      <w:tr>
        <w:trPr/>
        <w:tc>
          <w:tcPr>
            <w:tcW w:type="dxa" w:w="6500"/>
            <w:vAlign w:val="center"/>
            <w:tcMar>
              <w:top w:w="80" w:type="dxa"/>
              <w:bottom w:w="80" w:type="dxa"/>
              <w:start w:w="120" w:type="dxa"/>
              <w:end w:w="120" w:type="dxa"/>
            </w:tcMar>
          </w:tcPr>
          <w:p>
            <w:r>
              <w:t>LA Fitness</w:t>
            </w:r>
          </w:p>
        </w:tc>
        <w:tc>
          <w:tcPr>
            <w:tcW w:type="dxa" w:w="2860"/>
            <w:vAlign w:val="center"/>
            <w:tcMar>
              <w:top w:w="80" w:type="dxa"/>
              <w:bottom w:w="80" w:type="dxa"/>
              <w:start w:w="120" w:type="dxa"/>
              <w:end w:w="120" w:type="dxa"/>
            </w:tcMar>
          </w:tcPr>
          <w:p>
            <w:r>
              <w:t>89</w:t>
            </w:r>
          </w:p>
        </w:tc>
      </w:tr>
      <w:tr>
        <w:trPr/>
        <w:tc>
          <w:tcPr>
            <w:tcW w:type="dxa" w:w="6500"/>
            <w:vAlign w:val="center"/>
            <w:tcMar>
              <w:top w:w="80" w:type="dxa"/>
              <w:bottom w:w="80" w:type="dxa"/>
              <w:start w:w="120" w:type="dxa"/>
              <w:end w:w="120" w:type="dxa"/>
            </w:tcMar>
          </w:tcPr>
          <w:p>
            <w:r>
              <w:t>Gold's Gym</w:t>
            </w:r>
          </w:p>
        </w:tc>
        <w:tc>
          <w:tcPr>
            <w:tcW w:type="dxa" w:w="2860"/>
            <w:vAlign w:val="center"/>
            <w:tcMar>
              <w:top w:w="80" w:type="dxa"/>
              <w:bottom w:w="80" w:type="dxa"/>
              <w:start w:w="120" w:type="dxa"/>
              <w:end w:w="120" w:type="dxa"/>
            </w:tcMar>
          </w:tcPr>
          <w:p>
            <w:r>
              <w:t>11</w:t>
            </w:r>
          </w:p>
        </w:tc>
      </w:tr>
      <w:tr>
        <w:trPr/>
        <w:tc>
          <w:tcPr>
            <w:tcW w:type="dxa" w:w="6500"/>
            <w:vAlign w:val="center"/>
            <w:tcMar>
              <w:top w:w="80" w:type="dxa"/>
              <w:bottom w:w="80" w:type="dxa"/>
              <w:start w:w="120" w:type="dxa"/>
              <w:end w:w="120" w:type="dxa"/>
            </w:tcMar>
          </w:tcPr>
          <w:p>
            <w:r>
              <w:t>YouFit</w:t>
            </w:r>
          </w:p>
        </w:tc>
        <w:tc>
          <w:tcPr>
            <w:tcW w:type="dxa" w:w="2860"/>
            <w:vAlign w:val="center"/>
            <w:tcMar>
              <w:top w:w="80" w:type="dxa"/>
              <w:bottom w:w="80" w:type="dxa"/>
              <w:start w:w="120" w:type="dxa"/>
              <w:end w:w="120" w:type="dxa"/>
            </w:tcMar>
          </w:tcPr>
          <w:p>
            <w:r>
              <w:t>46</w:t>
            </w:r>
          </w:p>
        </w:tc>
      </w:tr>
    </w:tbl>
    <w:p>
      <w:pPr>
        <w:spacing w:before="80" w:after="0"/>
      </w:pPr>
    </w:p>
    <w:p>
      <w:r>
        <w:t>Google Places results are a retrieval-time snapshot. Search relevance, closures, brand naming, and data coverage can change, so counts should be validated before a real estate commitment. Official pricing is also a retrieval-time snapshot of advertised offers, not a transaction-price survey.</w:t>
      </w:r>
    </w:p>
    <w:p>
      <w:pPr>
        <w:pStyle w:val="Heading2"/>
        <w:pageBreakBefore/>
      </w:pPr>
      <w:r>
        <w:t>Missing-Data Treatment</w:t>
      </w:r>
    </w:p>
    <w:p>
      <w:pPr>
        <w:pStyle w:val="ListBullet"/>
      </w:pPr>
      <w:r>
        <w:t>Missing LA Fitness and competitor counts were set to zero after the county merge.</w:t>
      </w:r>
    </w:p>
    <w:p>
      <w:pPr>
        <w:pStyle w:val="ListBullet"/>
      </w:pPr>
      <w:r>
        <w:t>23 counties with no retained tracked-brand ratings received the statewide median Google Places rating. The completed MainDataset contains no missing values.</w:t>
      </w:r>
    </w:p>
    <w:p>
      <w:pPr>
        <w:pStyle w:val="ListBullet"/>
      </w:pPr>
      <w:r>
        <w:t>Post-integration missing values in the analytical dataset: 0.</w:t>
      </w:r>
    </w:p>
    <w:p>
      <w:pPr>
        <w:pStyle w:val="Heading1"/>
      </w:pPr>
      <w:r>
        <w:t>Descriptive Statistics</w:t>
      </w:r>
    </w:p>
    <w:tbl>
      <w:tblPr>
        <w:tblStyle w:val="TableGrid"/>
        <w:tblW w:type="dxa" w:w="9360"/>
        <w:jc w:val="left"/>
        <w:tblLayout w:type="fixed"/>
        <w:tblLook w:firstColumn="1" w:firstRow="1" w:lastColumn="0" w:lastRow="0" w:noHBand="0" w:noVBand="1" w:val="04A0"/>
        <w:tblInd w:type="dxa" w:w="120"/>
      </w:tblPr>
      <w:tblGrid>
        <w:gridCol w:w="2550"/>
        <w:gridCol w:w="1362"/>
        <w:gridCol w:w="1362"/>
        <w:gridCol w:w="1362"/>
        <w:gridCol w:w="1362"/>
        <w:gridCol w:w="1362"/>
      </w:tblGrid>
      <w:tr>
        <w:trPr>
          <w:tblHeader w:val="true"/>
        </w:trPr>
        <w:tc>
          <w:tcPr>
            <w:tcW w:type="dxa" w:w="2550"/>
            <w:shd w:fill="F2F4F7"/>
            <w:vAlign w:val="center"/>
            <w:tcMar>
              <w:top w:w="80" w:type="dxa"/>
              <w:bottom w:w="80" w:type="dxa"/>
              <w:start w:w="120" w:type="dxa"/>
              <w:end w:w="120" w:type="dxa"/>
            </w:tcMar>
          </w:tcPr>
          <w:p>
            <w:r>
              <w:t>Variable</w:t>
            </w:r>
          </w:p>
        </w:tc>
        <w:tc>
          <w:tcPr>
            <w:tcW w:type="dxa" w:w="1362"/>
            <w:shd w:fill="F2F4F7"/>
            <w:vAlign w:val="center"/>
            <w:tcMar>
              <w:top w:w="80" w:type="dxa"/>
              <w:bottom w:w="80" w:type="dxa"/>
              <w:start w:w="120" w:type="dxa"/>
              <w:end w:w="120" w:type="dxa"/>
            </w:tcMar>
          </w:tcPr>
          <w:p>
            <w:r>
              <w:t>Mean</w:t>
            </w:r>
          </w:p>
        </w:tc>
        <w:tc>
          <w:tcPr>
            <w:tcW w:type="dxa" w:w="1362"/>
            <w:shd w:fill="F2F4F7"/>
            <w:vAlign w:val="center"/>
            <w:tcMar>
              <w:top w:w="80" w:type="dxa"/>
              <w:bottom w:w="80" w:type="dxa"/>
              <w:start w:w="120" w:type="dxa"/>
              <w:end w:w="120" w:type="dxa"/>
            </w:tcMar>
          </w:tcPr>
          <w:p>
            <w:r>
              <w:t>Median</w:t>
            </w:r>
          </w:p>
        </w:tc>
        <w:tc>
          <w:tcPr>
            <w:tcW w:type="dxa" w:w="1362"/>
            <w:shd w:fill="F2F4F7"/>
            <w:vAlign w:val="center"/>
            <w:tcMar>
              <w:top w:w="80" w:type="dxa"/>
              <w:bottom w:w="80" w:type="dxa"/>
              <w:start w:w="120" w:type="dxa"/>
              <w:end w:w="120" w:type="dxa"/>
            </w:tcMar>
          </w:tcPr>
          <w:p>
            <w:r>
              <w:t>Std. dev.</w:t>
            </w:r>
          </w:p>
        </w:tc>
        <w:tc>
          <w:tcPr>
            <w:tcW w:type="dxa" w:w="1362"/>
            <w:shd w:fill="F2F4F7"/>
            <w:vAlign w:val="center"/>
            <w:tcMar>
              <w:top w:w="80" w:type="dxa"/>
              <w:bottom w:w="80" w:type="dxa"/>
              <w:start w:w="120" w:type="dxa"/>
              <w:end w:w="120" w:type="dxa"/>
            </w:tcMar>
          </w:tcPr>
          <w:p>
            <w:r>
              <w:t>Minimum</w:t>
            </w:r>
          </w:p>
        </w:tc>
        <w:tc>
          <w:tcPr>
            <w:tcW w:type="dxa" w:w="1362"/>
            <w:shd w:fill="F2F4F7"/>
            <w:vAlign w:val="center"/>
            <w:tcMar>
              <w:top w:w="80" w:type="dxa"/>
              <w:bottom w:w="80" w:type="dxa"/>
              <w:start w:w="120" w:type="dxa"/>
              <w:end w:w="120" w:type="dxa"/>
            </w:tcMar>
          </w:tcPr>
          <w:p>
            <w:r>
              <w:t>Maximum</w:t>
            </w:r>
          </w:p>
        </w:tc>
      </w:tr>
      <w:tr>
        <w:trPr/>
        <w:tc>
          <w:tcPr>
            <w:tcW w:type="dxa" w:w="2550"/>
            <w:vAlign w:val="center"/>
            <w:tcMar>
              <w:top w:w="80" w:type="dxa"/>
              <w:bottom w:w="80" w:type="dxa"/>
              <w:start w:w="120" w:type="dxa"/>
              <w:end w:w="120" w:type="dxa"/>
            </w:tcMar>
          </w:tcPr>
          <w:p>
            <w:r>
              <w:t>MembershipPrice</w:t>
            </w:r>
          </w:p>
        </w:tc>
        <w:tc>
          <w:tcPr>
            <w:tcW w:type="dxa" w:w="1362"/>
            <w:vAlign w:val="center"/>
            <w:tcMar>
              <w:top w:w="80" w:type="dxa"/>
              <w:bottom w:w="80" w:type="dxa"/>
              <w:start w:w="120" w:type="dxa"/>
              <w:end w:w="120" w:type="dxa"/>
            </w:tcMar>
          </w:tcPr>
          <w:p>
            <w:r>
              <w:t>$57.12</w:t>
            </w:r>
          </w:p>
        </w:tc>
        <w:tc>
          <w:tcPr>
            <w:tcW w:type="dxa" w:w="1362"/>
            <w:vAlign w:val="center"/>
            <w:tcMar>
              <w:top w:w="80" w:type="dxa"/>
              <w:bottom w:w="80" w:type="dxa"/>
              <w:start w:w="120" w:type="dxa"/>
              <w:end w:w="120" w:type="dxa"/>
            </w:tcMar>
          </w:tcPr>
          <w:p>
            <w:r>
              <w:t>$59.55</w:t>
            </w:r>
          </w:p>
        </w:tc>
        <w:tc>
          <w:tcPr>
            <w:tcW w:type="dxa" w:w="1362"/>
            <w:vAlign w:val="center"/>
            <w:tcMar>
              <w:top w:w="80" w:type="dxa"/>
              <w:bottom w:w="80" w:type="dxa"/>
              <w:start w:w="120" w:type="dxa"/>
              <w:end w:w="120" w:type="dxa"/>
            </w:tcMar>
          </w:tcPr>
          <w:p>
            <w:r>
              <w:t>$11.57</w:t>
            </w:r>
          </w:p>
        </w:tc>
        <w:tc>
          <w:tcPr>
            <w:tcW w:type="dxa" w:w="1362"/>
            <w:vAlign w:val="center"/>
            <w:tcMar>
              <w:top w:w="80" w:type="dxa"/>
              <w:bottom w:w="80" w:type="dxa"/>
              <w:start w:w="120" w:type="dxa"/>
              <w:end w:w="120" w:type="dxa"/>
            </w:tcMar>
          </w:tcPr>
          <w:p>
            <w:r>
              <w:t>$14.08</w:t>
            </w:r>
          </w:p>
        </w:tc>
        <w:tc>
          <w:tcPr>
            <w:tcW w:type="dxa" w:w="1362"/>
            <w:vAlign w:val="center"/>
            <w:tcMar>
              <w:top w:w="80" w:type="dxa"/>
              <w:bottom w:w="80" w:type="dxa"/>
              <w:start w:w="120" w:type="dxa"/>
              <w:end w:w="120" w:type="dxa"/>
            </w:tcMar>
          </w:tcPr>
          <w:p>
            <w:r>
              <w:t>$79.00</w:t>
            </w:r>
          </w:p>
        </w:tc>
      </w:tr>
      <w:tr>
        <w:trPr/>
        <w:tc>
          <w:tcPr>
            <w:tcW w:type="dxa" w:w="2550"/>
            <w:vAlign w:val="center"/>
            <w:tcMar>
              <w:top w:w="80" w:type="dxa"/>
              <w:bottom w:w="80" w:type="dxa"/>
              <w:start w:w="120" w:type="dxa"/>
              <w:end w:w="120" w:type="dxa"/>
            </w:tcMar>
          </w:tcPr>
          <w:p>
            <w:r>
              <w:t>CountyPopulation</w:t>
            </w:r>
          </w:p>
        </w:tc>
        <w:tc>
          <w:tcPr>
            <w:tcW w:type="dxa" w:w="1362"/>
            <w:vAlign w:val="center"/>
            <w:tcMar>
              <w:top w:w="80" w:type="dxa"/>
              <w:bottom w:w="80" w:type="dxa"/>
              <w:start w:w="120" w:type="dxa"/>
              <w:end w:w="120" w:type="dxa"/>
            </w:tcMar>
          </w:tcPr>
          <w:p>
            <w:r>
              <w:t>321,465.48</w:t>
            </w:r>
          </w:p>
        </w:tc>
        <w:tc>
          <w:tcPr>
            <w:tcW w:type="dxa" w:w="1362"/>
            <w:vAlign w:val="center"/>
            <w:tcMar>
              <w:top w:w="80" w:type="dxa"/>
              <w:bottom w:w="80" w:type="dxa"/>
              <w:start w:w="120" w:type="dxa"/>
              <w:end w:w="120" w:type="dxa"/>
            </w:tcMar>
          </w:tcPr>
          <w:p>
            <w:r>
              <w:t>129,752.00</w:t>
            </w:r>
          </w:p>
        </w:tc>
        <w:tc>
          <w:tcPr>
            <w:tcW w:type="dxa" w:w="1362"/>
            <w:vAlign w:val="center"/>
            <w:tcMar>
              <w:top w:w="80" w:type="dxa"/>
              <w:bottom w:w="80" w:type="dxa"/>
              <w:start w:w="120" w:type="dxa"/>
              <w:end w:w="120" w:type="dxa"/>
            </w:tcMar>
          </w:tcPr>
          <w:p>
            <w:r>
              <w:t>500,924.43</w:t>
            </w:r>
          </w:p>
        </w:tc>
        <w:tc>
          <w:tcPr>
            <w:tcW w:type="dxa" w:w="1362"/>
            <w:vAlign w:val="center"/>
            <w:tcMar>
              <w:top w:w="80" w:type="dxa"/>
              <w:bottom w:w="80" w:type="dxa"/>
              <w:start w:w="120" w:type="dxa"/>
              <w:end w:w="120" w:type="dxa"/>
            </w:tcMar>
          </w:tcPr>
          <w:p>
            <w:r>
              <w:t>7,974.00</w:t>
            </w:r>
          </w:p>
        </w:tc>
        <w:tc>
          <w:tcPr>
            <w:tcW w:type="dxa" w:w="1362"/>
            <w:vAlign w:val="center"/>
            <w:tcMar>
              <w:top w:w="80" w:type="dxa"/>
              <w:bottom w:w="80" w:type="dxa"/>
              <w:start w:w="120" w:type="dxa"/>
              <w:end w:w="120" w:type="dxa"/>
            </w:tcMar>
          </w:tcPr>
          <w:p>
            <w:r>
              <w:t>2,701,767.00</w:t>
            </w:r>
          </w:p>
        </w:tc>
      </w:tr>
      <w:tr>
        <w:trPr/>
        <w:tc>
          <w:tcPr>
            <w:tcW w:type="dxa" w:w="2550"/>
            <w:vAlign w:val="center"/>
            <w:tcMar>
              <w:top w:w="80" w:type="dxa"/>
              <w:bottom w:w="80" w:type="dxa"/>
              <w:start w:w="120" w:type="dxa"/>
              <w:end w:w="120" w:type="dxa"/>
            </w:tcMar>
          </w:tcPr>
          <w:p>
            <w:r>
              <w:t>LAFitnessLocations</w:t>
            </w:r>
          </w:p>
        </w:tc>
        <w:tc>
          <w:tcPr>
            <w:tcW w:type="dxa" w:w="1362"/>
            <w:vAlign w:val="center"/>
            <w:tcMar>
              <w:top w:w="80" w:type="dxa"/>
              <w:bottom w:w="80" w:type="dxa"/>
              <w:start w:w="120" w:type="dxa"/>
              <w:end w:w="120" w:type="dxa"/>
            </w:tcMar>
          </w:tcPr>
          <w:p>
            <w:r>
              <w:t>1.33</w:t>
            </w:r>
          </w:p>
        </w:tc>
        <w:tc>
          <w:tcPr>
            <w:tcW w:type="dxa" w:w="1362"/>
            <w:vAlign w:val="center"/>
            <w:tcMar>
              <w:top w:w="80" w:type="dxa"/>
              <w:bottom w:w="80" w:type="dxa"/>
              <w:start w:w="120" w:type="dxa"/>
              <w:end w:w="120" w:type="dxa"/>
            </w:tcMar>
          </w:tcPr>
          <w:p>
            <w:r>
              <w:t>0.00</w:t>
            </w:r>
          </w:p>
        </w:tc>
        <w:tc>
          <w:tcPr>
            <w:tcW w:type="dxa" w:w="1362"/>
            <w:vAlign w:val="center"/>
            <w:tcMar>
              <w:top w:w="80" w:type="dxa"/>
              <w:bottom w:w="80" w:type="dxa"/>
              <w:start w:w="120" w:type="dxa"/>
              <w:end w:w="120" w:type="dxa"/>
            </w:tcMar>
          </w:tcPr>
          <w:p>
            <w:r>
              <w:t>3.21</w:t>
            </w:r>
          </w:p>
        </w:tc>
        <w:tc>
          <w:tcPr>
            <w:tcW w:type="dxa" w:w="1362"/>
            <w:vAlign w:val="center"/>
            <w:tcMar>
              <w:top w:w="80" w:type="dxa"/>
              <w:bottom w:w="80" w:type="dxa"/>
              <w:start w:w="120" w:type="dxa"/>
              <w:end w:w="120" w:type="dxa"/>
            </w:tcMar>
          </w:tcPr>
          <w:p>
            <w:r>
              <w:t>0.00</w:t>
            </w:r>
          </w:p>
        </w:tc>
        <w:tc>
          <w:tcPr>
            <w:tcW w:type="dxa" w:w="1362"/>
            <w:vAlign w:val="center"/>
            <w:tcMar>
              <w:top w:w="80" w:type="dxa"/>
              <w:bottom w:w="80" w:type="dxa"/>
              <w:start w:w="120" w:type="dxa"/>
              <w:end w:w="120" w:type="dxa"/>
            </w:tcMar>
          </w:tcPr>
          <w:p>
            <w:r>
              <w:t>16.00</w:t>
            </w:r>
          </w:p>
        </w:tc>
      </w:tr>
      <w:tr>
        <w:trPr/>
        <w:tc>
          <w:tcPr>
            <w:tcW w:type="dxa" w:w="2550"/>
            <w:vAlign w:val="center"/>
            <w:tcMar>
              <w:top w:w="80" w:type="dxa"/>
              <w:bottom w:w="80" w:type="dxa"/>
              <w:start w:w="120" w:type="dxa"/>
              <w:end w:w="120" w:type="dxa"/>
            </w:tcMar>
          </w:tcPr>
          <w:p>
            <w:r>
              <w:t>CompetitorLocations</w:t>
            </w:r>
          </w:p>
        </w:tc>
        <w:tc>
          <w:tcPr>
            <w:tcW w:type="dxa" w:w="1362"/>
            <w:vAlign w:val="center"/>
            <w:tcMar>
              <w:top w:w="80" w:type="dxa"/>
              <w:bottom w:w="80" w:type="dxa"/>
              <w:start w:w="120" w:type="dxa"/>
              <w:end w:w="120" w:type="dxa"/>
            </w:tcMar>
          </w:tcPr>
          <w:p>
            <w:r>
              <w:t>5.06</w:t>
            </w:r>
          </w:p>
        </w:tc>
        <w:tc>
          <w:tcPr>
            <w:tcW w:type="dxa" w:w="1362"/>
            <w:vAlign w:val="center"/>
            <w:tcMar>
              <w:top w:w="80" w:type="dxa"/>
              <w:bottom w:w="80" w:type="dxa"/>
              <w:start w:w="120" w:type="dxa"/>
              <w:end w:w="120" w:type="dxa"/>
            </w:tcMar>
          </w:tcPr>
          <w:p>
            <w:r>
              <w:t>2.00</w:t>
            </w:r>
          </w:p>
        </w:tc>
        <w:tc>
          <w:tcPr>
            <w:tcW w:type="dxa" w:w="1362"/>
            <w:vAlign w:val="center"/>
            <w:tcMar>
              <w:top w:w="80" w:type="dxa"/>
              <w:bottom w:w="80" w:type="dxa"/>
              <w:start w:w="120" w:type="dxa"/>
              <w:end w:w="120" w:type="dxa"/>
            </w:tcMar>
          </w:tcPr>
          <w:p>
            <w:r>
              <w:t>8.88</w:t>
            </w:r>
          </w:p>
        </w:tc>
        <w:tc>
          <w:tcPr>
            <w:tcW w:type="dxa" w:w="1362"/>
            <w:vAlign w:val="center"/>
            <w:tcMar>
              <w:top w:w="80" w:type="dxa"/>
              <w:bottom w:w="80" w:type="dxa"/>
              <w:start w:w="120" w:type="dxa"/>
              <w:end w:w="120" w:type="dxa"/>
            </w:tcMar>
          </w:tcPr>
          <w:p>
            <w:r>
              <w:t>0.00</w:t>
            </w:r>
          </w:p>
        </w:tc>
        <w:tc>
          <w:tcPr>
            <w:tcW w:type="dxa" w:w="1362"/>
            <w:vAlign w:val="center"/>
            <w:tcMar>
              <w:top w:w="80" w:type="dxa"/>
              <w:bottom w:w="80" w:type="dxa"/>
              <w:start w:w="120" w:type="dxa"/>
              <w:end w:w="120" w:type="dxa"/>
            </w:tcMar>
          </w:tcPr>
          <w:p>
            <w:r>
              <w:t>45.00</w:t>
            </w:r>
          </w:p>
        </w:tc>
      </w:tr>
      <w:tr>
        <w:trPr/>
        <w:tc>
          <w:tcPr>
            <w:tcW w:type="dxa" w:w="2550"/>
            <w:vAlign w:val="center"/>
            <w:tcMar>
              <w:top w:w="80" w:type="dxa"/>
              <w:bottom w:w="80" w:type="dxa"/>
              <w:start w:w="120" w:type="dxa"/>
              <w:end w:w="120" w:type="dxa"/>
            </w:tcMar>
          </w:tcPr>
          <w:p>
            <w:r>
              <w:t>MedianHouseholdIncome</w:t>
            </w:r>
          </w:p>
        </w:tc>
        <w:tc>
          <w:tcPr>
            <w:tcW w:type="dxa" w:w="1362"/>
            <w:vAlign w:val="center"/>
            <w:tcMar>
              <w:top w:w="80" w:type="dxa"/>
              <w:bottom w:w="80" w:type="dxa"/>
              <w:start w:w="120" w:type="dxa"/>
              <w:end w:w="120" w:type="dxa"/>
            </w:tcMar>
          </w:tcPr>
          <w:p>
            <w:r>
              <w:t>$56,361</w:t>
            </w:r>
          </w:p>
        </w:tc>
        <w:tc>
          <w:tcPr>
            <w:tcW w:type="dxa" w:w="1362"/>
            <w:vAlign w:val="center"/>
            <w:tcMar>
              <w:top w:w="80" w:type="dxa"/>
              <w:bottom w:w="80" w:type="dxa"/>
              <w:start w:w="120" w:type="dxa"/>
              <w:end w:w="120" w:type="dxa"/>
            </w:tcMar>
          </w:tcPr>
          <w:p>
            <w:r>
              <w:t>$56,786</w:t>
            </w:r>
          </w:p>
        </w:tc>
        <w:tc>
          <w:tcPr>
            <w:tcW w:type="dxa" w:w="1362"/>
            <w:vAlign w:val="center"/>
            <w:tcMar>
              <w:top w:w="80" w:type="dxa"/>
              <w:bottom w:w="80" w:type="dxa"/>
              <w:start w:w="120" w:type="dxa"/>
              <w:end w:w="120" w:type="dxa"/>
            </w:tcMar>
          </w:tcPr>
          <w:p>
            <w:r>
              <w:t>$11,801</w:t>
            </w:r>
          </w:p>
        </w:tc>
        <w:tc>
          <w:tcPr>
            <w:tcW w:type="dxa" w:w="1362"/>
            <w:vAlign w:val="center"/>
            <w:tcMar>
              <w:top w:w="80" w:type="dxa"/>
              <w:bottom w:w="80" w:type="dxa"/>
              <w:start w:w="120" w:type="dxa"/>
              <w:end w:w="120" w:type="dxa"/>
            </w:tcMar>
          </w:tcPr>
          <w:p>
            <w:r>
              <w:t>$38,088</w:t>
            </w:r>
          </w:p>
        </w:tc>
        <w:tc>
          <w:tcPr>
            <w:tcW w:type="dxa" w:w="1362"/>
            <w:vAlign w:val="center"/>
            <w:tcMar>
              <w:top w:w="80" w:type="dxa"/>
              <w:bottom w:w="80" w:type="dxa"/>
              <w:start w:w="120" w:type="dxa"/>
              <w:end w:w="120" w:type="dxa"/>
            </w:tcMar>
          </w:tcPr>
          <w:p>
            <w:r>
              <w:t>$88,794</w:t>
            </w:r>
          </w:p>
        </w:tc>
      </w:tr>
      <w:tr>
        <w:trPr/>
        <w:tc>
          <w:tcPr>
            <w:tcW w:type="dxa" w:w="2550"/>
            <w:vAlign w:val="center"/>
            <w:tcMar>
              <w:top w:w="80" w:type="dxa"/>
              <w:bottom w:w="80" w:type="dxa"/>
              <w:start w:w="120" w:type="dxa"/>
              <w:end w:w="120" w:type="dxa"/>
            </w:tcMar>
          </w:tcPr>
          <w:p>
            <w:r>
              <w:t>PopulationDensity</w:t>
            </w:r>
          </w:p>
        </w:tc>
        <w:tc>
          <w:tcPr>
            <w:tcW w:type="dxa" w:w="1362"/>
            <w:vAlign w:val="center"/>
            <w:tcMar>
              <w:top w:w="80" w:type="dxa"/>
              <w:bottom w:w="80" w:type="dxa"/>
              <w:start w:w="120" w:type="dxa"/>
              <w:end w:w="120" w:type="dxa"/>
            </w:tcMar>
          </w:tcPr>
          <w:p>
            <w:r>
              <w:t>384.49</w:t>
            </w:r>
          </w:p>
        </w:tc>
        <w:tc>
          <w:tcPr>
            <w:tcW w:type="dxa" w:w="1362"/>
            <w:vAlign w:val="center"/>
            <w:tcMar>
              <w:top w:w="80" w:type="dxa"/>
              <w:bottom w:w="80" w:type="dxa"/>
              <w:start w:w="120" w:type="dxa"/>
              <w:end w:w="120" w:type="dxa"/>
            </w:tcMar>
          </w:tcPr>
          <w:p>
            <w:r>
              <w:t>188.16</w:t>
            </w:r>
          </w:p>
        </w:tc>
        <w:tc>
          <w:tcPr>
            <w:tcW w:type="dxa" w:w="1362"/>
            <w:vAlign w:val="center"/>
            <w:tcMar>
              <w:top w:w="80" w:type="dxa"/>
              <w:bottom w:w="80" w:type="dxa"/>
              <w:start w:w="120" w:type="dxa"/>
              <w:end w:w="120" w:type="dxa"/>
            </w:tcMar>
          </w:tcPr>
          <w:p>
            <w:r>
              <w:t>574.10</w:t>
            </w:r>
          </w:p>
        </w:tc>
        <w:tc>
          <w:tcPr>
            <w:tcW w:type="dxa" w:w="1362"/>
            <w:vAlign w:val="center"/>
            <w:tcMar>
              <w:top w:w="80" w:type="dxa"/>
              <w:bottom w:w="80" w:type="dxa"/>
              <w:start w:w="120" w:type="dxa"/>
              <w:end w:w="120" w:type="dxa"/>
            </w:tcMar>
          </w:tcPr>
          <w:p>
            <w:r>
              <w:t>9.54</w:t>
            </w:r>
          </w:p>
        </w:tc>
        <w:tc>
          <w:tcPr>
            <w:tcW w:type="dxa" w:w="1362"/>
            <w:vAlign w:val="center"/>
            <w:tcMar>
              <w:top w:w="80" w:type="dxa"/>
              <w:bottom w:w="80" w:type="dxa"/>
              <w:start w:w="120" w:type="dxa"/>
              <w:end w:w="120" w:type="dxa"/>
            </w:tcMar>
          </w:tcPr>
          <w:p>
            <w:r>
              <w:t>3,504.16</w:t>
            </w:r>
          </w:p>
        </w:tc>
      </w:tr>
      <w:tr>
        <w:trPr/>
        <w:tc>
          <w:tcPr>
            <w:tcW w:type="dxa" w:w="2550"/>
            <w:vAlign w:val="center"/>
            <w:tcMar>
              <w:top w:w="80" w:type="dxa"/>
              <w:bottom w:w="80" w:type="dxa"/>
              <w:start w:w="120" w:type="dxa"/>
              <w:end w:w="120" w:type="dxa"/>
            </w:tcMar>
          </w:tcPr>
          <w:p>
            <w:r>
              <w:t>AvgGymRating</w:t>
            </w:r>
          </w:p>
        </w:tc>
        <w:tc>
          <w:tcPr>
            <w:tcW w:type="dxa" w:w="1362"/>
            <w:vAlign w:val="center"/>
            <w:tcMar>
              <w:top w:w="80" w:type="dxa"/>
              <w:bottom w:w="80" w:type="dxa"/>
              <w:start w:w="120" w:type="dxa"/>
              <w:end w:w="120" w:type="dxa"/>
            </w:tcMar>
          </w:tcPr>
          <w:p>
            <w:r>
              <w:t>4.42</w:t>
            </w:r>
          </w:p>
        </w:tc>
        <w:tc>
          <w:tcPr>
            <w:tcW w:type="dxa" w:w="1362"/>
            <w:vAlign w:val="center"/>
            <w:tcMar>
              <w:top w:w="80" w:type="dxa"/>
              <w:bottom w:w="80" w:type="dxa"/>
              <w:start w:w="120" w:type="dxa"/>
              <w:end w:w="120" w:type="dxa"/>
            </w:tcMar>
          </w:tcPr>
          <w:p>
            <w:r>
              <w:t>4.40</w:t>
            </w:r>
          </w:p>
        </w:tc>
        <w:tc>
          <w:tcPr>
            <w:tcW w:type="dxa" w:w="1362"/>
            <w:vAlign w:val="center"/>
            <w:tcMar>
              <w:top w:w="80" w:type="dxa"/>
              <w:bottom w:w="80" w:type="dxa"/>
              <w:start w:w="120" w:type="dxa"/>
              <w:end w:w="120" w:type="dxa"/>
            </w:tcMar>
          </w:tcPr>
          <w:p>
            <w:r>
              <w:t>0.16</w:t>
            </w:r>
          </w:p>
        </w:tc>
        <w:tc>
          <w:tcPr>
            <w:tcW w:type="dxa" w:w="1362"/>
            <w:vAlign w:val="center"/>
            <w:tcMar>
              <w:top w:w="80" w:type="dxa"/>
              <w:bottom w:w="80" w:type="dxa"/>
              <w:start w:w="120" w:type="dxa"/>
              <w:end w:w="120" w:type="dxa"/>
            </w:tcMar>
          </w:tcPr>
          <w:p>
            <w:r>
              <w:t>3.95</w:t>
            </w:r>
          </w:p>
        </w:tc>
        <w:tc>
          <w:tcPr>
            <w:tcW w:type="dxa" w:w="1362"/>
            <w:vAlign w:val="center"/>
            <w:tcMar>
              <w:top w:w="80" w:type="dxa"/>
              <w:bottom w:w="80" w:type="dxa"/>
              <w:start w:w="120" w:type="dxa"/>
              <w:end w:w="120" w:type="dxa"/>
            </w:tcMar>
          </w:tcPr>
          <w:p>
            <w:r>
              <w:t>5.00</w:t>
            </w:r>
          </w:p>
        </w:tc>
      </w:tr>
    </w:tbl>
    <w:p>
      <w:pPr>
        <w:spacing w:before="80" w:after="0"/>
      </w:pPr>
    </w:p>
    <w:p>
      <w:pPr>
        <w:pStyle w:val="Heading1"/>
      </w:pPr>
      <w:r>
        <w:t>Required Visual Analysis</w:t>
      </w:r>
    </w:p>
    <w:p>
      <w:pPr>
        <w:keepNext/>
        <w:pageBreakBefore w:val="0"/>
        <w:spacing w:before="80" w:after="0"/>
        <w:jc w:val="center"/>
      </w:pPr>
      <w:r>
        <w:drawing>
          <wp:inline xmlns:a="http://schemas.openxmlformats.org/drawingml/2006/main" xmlns:pic="http://schemas.openxmlformats.org/drawingml/2006/picture">
            <wp:extent cx="5623560" cy="3467427"/>
            <wp:docPr id="1" name="Picture 1" descr="Scatter plot of Florida county population against estimated membership price with a fitted trend line."/>
            <wp:cNvGraphicFramePr>
              <a:graphicFrameLocks noChangeAspect="1"/>
            </wp:cNvGraphicFramePr>
            <a:graphic>
              <a:graphicData uri="http://schemas.openxmlformats.org/drawingml/2006/picture">
                <pic:pic>
                  <pic:nvPicPr>
                    <pic:cNvPr id="0" name="01_population_vs_price.png"/>
                    <pic:cNvPicPr/>
                  </pic:nvPicPr>
                  <pic:blipFill>
                    <a:blip r:embed="rId13"/>
                    <a:stretch>
                      <a:fillRect/>
                    </a:stretch>
                  </pic:blipFill>
                  <pic:spPr>
                    <a:xfrm>
                      <a:off x="0" y="0"/>
                      <a:ext cx="5623560" cy="3467427"/>
                    </a:xfrm>
                    <a:prstGeom prst="rect"/>
                  </pic:spPr>
                </pic:pic>
              </a:graphicData>
            </a:graphic>
          </wp:inline>
        </w:drawing>
      </w:r>
    </w:p>
    <w:p>
      <w:pPr>
        <w:pStyle w:val="Caption"/>
        <w:jc w:val="center"/>
      </w:pPr>
      <w:r>
        <w:t>Figure 1. County population versus advertised/estimated monthly membership-price target.</w:t>
      </w:r>
    </w:p>
    <w:p>
      <w:pPr>
        <w:keepNext/>
        <w:pageBreakBefore/>
        <w:spacing w:before="80" w:after="0"/>
        <w:jc w:val="center"/>
      </w:pPr>
      <w:r>
        <w:drawing>
          <wp:inline xmlns:a="http://schemas.openxmlformats.org/drawingml/2006/main" xmlns:pic="http://schemas.openxmlformats.org/drawingml/2006/picture">
            <wp:extent cx="4754880" cy="2938626"/>
            <wp:docPr id="2" name="Picture 2" descr="Scatter plot of county median household income against estimated membership price."/>
            <wp:cNvGraphicFramePr>
              <a:graphicFrameLocks noChangeAspect="1"/>
            </wp:cNvGraphicFramePr>
            <a:graphic>
              <a:graphicData uri="http://schemas.openxmlformats.org/drawingml/2006/picture">
                <pic:pic>
                  <pic:nvPicPr>
                    <pic:cNvPr id="0" name="02_income_vs_price.png"/>
                    <pic:cNvPicPr/>
                  </pic:nvPicPr>
                  <pic:blipFill>
                    <a:blip r:embed="rId14"/>
                    <a:stretch>
                      <a:fillRect/>
                    </a:stretch>
                  </pic:blipFill>
                  <pic:spPr>
                    <a:xfrm>
                      <a:off x="0" y="0"/>
                      <a:ext cx="4754880" cy="2938626"/>
                    </a:xfrm>
                    <a:prstGeom prst="rect"/>
                  </pic:spPr>
                </pic:pic>
              </a:graphicData>
            </a:graphic>
          </wp:inline>
        </w:drawing>
      </w:r>
    </w:p>
    <w:p>
      <w:pPr>
        <w:pStyle w:val="Caption"/>
        <w:jc w:val="center"/>
      </w:pPr>
      <w:r>
        <w:t>Figure 2. Median household income versus advertised/estimated monthly membership-price target.</w:t>
      </w:r>
    </w:p>
    <w:p>
      <w:pPr>
        <w:keepNext/>
        <w:pageBreakBefore w:val="0"/>
        <w:spacing w:before="80" w:after="0"/>
        <w:jc w:val="center"/>
      </w:pPr>
      <w:r>
        <w:drawing>
          <wp:inline xmlns:a="http://schemas.openxmlformats.org/drawingml/2006/main" xmlns:pic="http://schemas.openxmlformats.org/drawingml/2006/picture">
            <wp:extent cx="4754880" cy="2931808"/>
            <wp:docPr id="3" name="Picture 3" descr="Scatter plot of observed LA Fitness locations by county against estimated membership price."/>
            <wp:cNvGraphicFramePr>
              <a:graphicFrameLocks noChangeAspect="1"/>
            </wp:cNvGraphicFramePr>
            <a:graphic>
              <a:graphicData uri="http://schemas.openxmlformats.org/drawingml/2006/picture">
                <pic:pic>
                  <pic:nvPicPr>
                    <pic:cNvPr id="0" name="03_la_locations_vs_price.png"/>
                    <pic:cNvPicPr/>
                  </pic:nvPicPr>
                  <pic:blipFill>
                    <a:blip r:embed="rId15"/>
                    <a:stretch>
                      <a:fillRect/>
                    </a:stretch>
                  </pic:blipFill>
                  <pic:spPr>
                    <a:xfrm>
                      <a:off x="0" y="0"/>
                      <a:ext cx="4754880" cy="2931808"/>
                    </a:xfrm>
                    <a:prstGeom prst="rect"/>
                  </pic:spPr>
                </pic:pic>
              </a:graphicData>
            </a:graphic>
          </wp:inline>
        </w:drawing>
      </w:r>
    </w:p>
    <w:p>
      <w:pPr>
        <w:pStyle w:val="Caption"/>
        <w:jc w:val="center"/>
      </w:pPr>
      <w:r>
        <w:t>Figure 3. Observed LA Fitness location count versus the county price target.</w:t>
      </w:r>
    </w:p>
    <w:p>
      <w:pPr>
        <w:keepNext/>
        <w:pageBreakBefore w:val="0"/>
        <w:spacing w:before="80" w:after="0"/>
        <w:jc w:val="center"/>
      </w:pPr>
      <w:r>
        <w:drawing>
          <wp:inline xmlns:a="http://schemas.openxmlformats.org/drawingml/2006/main" xmlns:pic="http://schemas.openxmlformats.org/drawingml/2006/picture">
            <wp:extent cx="5623560" cy="3467427"/>
            <wp:docPr id="4" name="Picture 4" descr="Histogram of estimated county membership price with the mean marked."/>
            <wp:cNvGraphicFramePr>
              <a:graphicFrameLocks noChangeAspect="1"/>
            </wp:cNvGraphicFramePr>
            <a:graphic>
              <a:graphicData uri="http://schemas.openxmlformats.org/drawingml/2006/picture">
                <pic:pic>
                  <pic:nvPicPr>
                    <pic:cNvPr id="0" name="04_price_histogram.png"/>
                    <pic:cNvPicPr/>
                  </pic:nvPicPr>
                  <pic:blipFill>
                    <a:blip r:embed="rId16"/>
                    <a:stretch>
                      <a:fillRect/>
                    </a:stretch>
                  </pic:blipFill>
                  <pic:spPr>
                    <a:xfrm>
                      <a:off x="0" y="0"/>
                      <a:ext cx="5623560" cy="3467427"/>
                    </a:xfrm>
                    <a:prstGeom prst="rect"/>
                  </pic:spPr>
                </pic:pic>
              </a:graphicData>
            </a:graphic>
          </wp:inline>
        </w:drawing>
      </w:r>
    </w:p>
    <w:p>
      <w:pPr>
        <w:pStyle w:val="Caption"/>
        <w:jc w:val="center"/>
      </w:pPr>
      <w:r>
        <w:t>Figure 4. Distribution of county membership-price targets.</w:t>
      </w:r>
    </w:p>
    <w:p>
      <w:pPr>
        <w:keepNext/>
        <w:pageBreakBefore/>
        <w:spacing w:before="80" w:after="0"/>
        <w:jc w:val="center"/>
      </w:pPr>
      <w:r>
        <w:drawing>
          <wp:inline xmlns:a="http://schemas.openxmlformats.org/drawingml/2006/main" xmlns:pic="http://schemas.openxmlformats.org/drawingml/2006/picture">
            <wp:extent cx="5029200" cy="4030286"/>
            <wp:docPr id="5" name="Picture 5" descr="Lower-triangle heatmap of correlations among price and six independent variables."/>
            <wp:cNvGraphicFramePr>
              <a:graphicFrameLocks noChangeAspect="1"/>
            </wp:cNvGraphicFramePr>
            <a:graphic>
              <a:graphicData uri="http://schemas.openxmlformats.org/drawingml/2006/picture">
                <pic:pic>
                  <pic:nvPicPr>
                    <pic:cNvPr id="0" name="05_correlation_heatmap.png"/>
                    <pic:cNvPicPr/>
                  </pic:nvPicPr>
                  <pic:blipFill>
                    <a:blip r:embed="rId17"/>
                    <a:stretch>
                      <a:fillRect/>
                    </a:stretch>
                  </pic:blipFill>
                  <pic:spPr>
                    <a:xfrm>
                      <a:off x="0" y="0"/>
                      <a:ext cx="5029200" cy="4030286"/>
                    </a:xfrm>
                    <a:prstGeom prst="rect"/>
                  </pic:spPr>
                </pic:pic>
              </a:graphicData>
            </a:graphic>
          </wp:inline>
        </w:drawing>
      </w:r>
    </w:p>
    <w:p>
      <w:pPr>
        <w:pStyle w:val="Caption"/>
        <w:jc w:val="center"/>
      </w:pPr>
      <w:r>
        <w:t>Figure 5. Pearson correlation matrix for all analytical variables.</w:t>
      </w:r>
    </w:p>
    <w:p>
      <w:pPr>
        <w:pStyle w:val="Heading1"/>
      </w:pPr>
      <w:r>
        <w:t>Correlation Findings</w:t>
      </w:r>
    </w:p>
    <w:p>
      <w:pPr>
        <w:pStyle w:val="ListBullet"/>
      </w:pPr>
      <w:r>
        <w:t>PopulationDensity: r = -0.160 (negative).</w:t>
      </w:r>
    </w:p>
    <w:p>
      <w:pPr>
        <w:pStyle w:val="ListBullet"/>
      </w:pPr>
      <w:r>
        <w:t>LAFitnessLocations: r = -0.324 (negative; strongest absolute association).</w:t>
      </w:r>
    </w:p>
    <w:p>
      <w:pPr>
        <w:pStyle w:val="ListBullet"/>
      </w:pPr>
      <w:r>
        <w:t>CompetitorLocations: r = -0.303 (negative).</w:t>
      </w:r>
    </w:p>
    <w:p>
      <w:pPr>
        <w:pStyle w:val="ListBullet"/>
      </w:pPr>
      <w:r>
        <w:t>CountyPopulation: r = -0.262 (negative).</w:t>
      </w:r>
    </w:p>
    <w:p>
      <w:pPr>
        <w:pStyle w:val="ListBullet"/>
      </w:pPr>
      <w:r>
        <w:t>MedianHouseholdIncome: r = 0.051 (positive).</w:t>
      </w:r>
    </w:p>
    <w:p>
      <w:pPr>
        <w:pStyle w:val="ListBullet"/>
      </w:pPr>
      <w:r>
        <w:t>AvgGymRating: r = 0.059 (positive).</w:t>
      </w:r>
    </w:p>
    <w:p>
      <w:r>
        <w:t>The market-size variables are also related to one another. This is expected because large, dense, affluent counties tend to support more fitness locations. Those relationships motivate the formal VIF check in the regression report.</w:t>
      </w:r>
    </w:p>
    <w:p>
      <w:pPr>
        <w:pStyle w:val="Heading1"/>
        <w:pageBreakBefore/>
      </w:pPr>
      <w:r>
        <w:t>Outliers and Business Meaning</w:t>
      </w:r>
    </w:p>
    <w:p>
      <w:pPr>
        <w:pStyle w:val="ListBullet"/>
      </w:pPr>
      <w:r>
        <w:t>Population: Miami-Dade County is the largest county market at 2,701,767 residents, giving it disproportionate leverage in raw population relationships.</w:t>
      </w:r>
    </w:p>
    <w:p>
      <w:pPr>
        <w:pStyle w:val="ListBullet"/>
      </w:pPr>
      <w:r>
        <w:t>Density: Pinellas County has the highest density at 3,504.2 residents per square mile, reflecting a different site-selection environment from geographically large rural counties.</w:t>
      </w:r>
    </w:p>
    <w:p>
      <w:pPr>
        <w:pStyle w:val="ListBullet"/>
      </w:pPr>
      <w:r>
        <w:t>Purchasing power: St. Johns County has the highest 2021 median household income at $88,794.</w:t>
      </w:r>
    </w:p>
    <w:p>
      <w:pPr>
        <w:pStyle w:val="ListBullet"/>
      </w:pPr>
      <w:r>
        <w:t>Influence diagnostics flagged Charlotte County, DeSoto County, Highlands County. These counties deserve sensitivity review; a flag does not mean the data are wrong.</w:t>
      </w:r>
    </w:p>
    <w:p>
      <w:pPr>
        <w:pStyle w:val="Heading1"/>
      </w:pPr>
      <w:r>
        <w:t>EDA Conclusions</w:t>
      </w:r>
    </w:p>
    <w:p>
      <w:pPr>
        <w:pStyle w:val="ListNumber"/>
      </w:pPr>
      <w:r>
        <w:t>County markets differ sharply in size, density, purchasing power, and chain presence.</w:t>
      </w:r>
    </w:p>
    <w:p>
      <w:pPr>
        <w:pStyle w:val="ListNumber"/>
      </w:pPr>
      <w:r>
        <w:t>The county price target is based on official recurring advertised offers in 32 counties; the remaining 35 counties use inverse-distance weighted estimates from the three nearest counties with observed local offers. The mean source distance is 53.0 miles and the maximum is 124.3 miles. No predictor-based or random synthetic price formula is used.</w:t>
      </w:r>
    </w:p>
    <w:p>
      <w:pPr>
        <w:pStyle w:val="ListNumber"/>
      </w:pPr>
      <w:r>
        <w:t>The 67-row dataset is complete and suitable for the required OLS demonstration, subject to multicollinearity and influence checks.</w:t>
      </w:r>
    </w:p>
    <w:p>
      <w:pPr>
        <w:pStyle w:val="ListNumber"/>
      </w:pPr>
      <w:r>
        <w:t>Business use requires normalized comparable plan terms, broader local price coverage, a refreshed Places pull, and direct validation of candidate trade areas.</w:t>
      </w:r>
    </w:p>
    <w:p>
      <w:pPr>
        <w:pStyle w:val="Heading1"/>
        <w:pageBreakBefore/>
      </w:pPr>
      <w:r>
        <w:t>References</w:t>
      </w:r>
    </w:p>
    <w:p>
      <w:pPr>
        <w:spacing w:after="100"/>
        <w:ind w:left="317" w:hanging="317"/>
      </w:pPr>
      <w:r>
        <w:rPr>
          <w:rFonts w:ascii="Calibri" w:hAnsi="Calibri"/>
          <w:color w:val="263746"/>
          <w:sz w:val="19"/>
        </w:rPr>
        <w:t xml:space="preserve">U.S. Census Bureau. 2020 Census Redistricting Data, Table P1, variable P1_001N. </w:t>
      </w:r>
      <w:hyperlink r:id="rId18">
        <w:r>
          <w:rPr>
            <w:color w:val="2E74B5"/>
            <w:u w:val="single"/>
          </w:rPr>
          <w:t>Source</w:t>
        </w:r>
      </w:hyperlink>
    </w:p>
    <w:p>
      <w:pPr>
        <w:spacing w:after="100"/>
        <w:ind w:left="317" w:hanging="317"/>
      </w:pPr>
      <w:r>
        <w:rPr>
          <w:rFonts w:ascii="Calibri" w:hAnsi="Calibri"/>
          <w:color w:val="263746"/>
          <w:sz w:val="19"/>
        </w:rPr>
        <w:t xml:space="preserve">U.S. Census Bureau. 2021 ACS 5-Year Estimates, Table B19013, median household income. </w:t>
      </w:r>
      <w:hyperlink r:id="rId19">
        <w:r>
          <w:rPr>
            <w:color w:val="2E74B5"/>
            <w:u w:val="single"/>
          </w:rPr>
          <w:t>Source</w:t>
        </w:r>
      </w:hyperlink>
    </w:p>
    <w:p>
      <w:pPr>
        <w:spacing w:after="100"/>
        <w:ind w:left="317" w:hanging="317"/>
      </w:pPr>
      <w:r>
        <w:rPr>
          <w:rFonts w:ascii="Calibri" w:hAnsi="Calibri"/>
          <w:color w:val="263746"/>
          <w:sz w:val="19"/>
        </w:rPr>
        <w:t xml:space="preserve">U.S. Census Bureau. 2020 Gazetteer Files and record layout. </w:t>
      </w:r>
      <w:hyperlink r:id="rId20">
        <w:r>
          <w:rPr>
            <w:color w:val="2E74B5"/>
            <w:u w:val="single"/>
          </w:rPr>
          <w:t>Source</w:t>
        </w:r>
      </w:hyperlink>
    </w:p>
    <w:p>
      <w:pPr>
        <w:spacing w:after="100"/>
        <w:ind w:left="317" w:hanging="317"/>
      </w:pPr>
      <w:r>
        <w:rPr>
          <w:rFonts w:ascii="Calibri" w:hAnsi="Calibri"/>
          <w:color w:val="263746"/>
          <w:sz w:val="19"/>
        </w:rPr>
        <w:t xml:space="preserve">Google Maps Platform. Text Search (New) documentation and pagination requirements. </w:t>
      </w:r>
      <w:hyperlink r:id="rId21">
        <w:r>
          <w:rPr>
            <w:color w:val="2E74B5"/>
            <w:u w:val="single"/>
          </w:rPr>
          <w:t>Source</w:t>
        </w:r>
      </w:hyperlink>
    </w:p>
    <w:p>
      <w:pPr>
        <w:spacing w:after="100"/>
        <w:ind w:left="317" w:hanging="317"/>
      </w:pPr>
      <w:r>
        <w:t>LA Fitness. Public online membership signup flow with club-level plan options. Source</w:t>
      </w:r>
    </w:p>
    <w:p>
      <w:pPr>
        <w:spacing w:after="100"/>
        <w:ind w:left="317" w:hanging="317"/>
      </w:pPr>
      <w:r>
        <w:t>Planet Fitness. Official membership page with published starting monthly rates. Source</w:t>
      </w:r>
    </w:p>
    <w:p>
      <w:pPr>
        <w:spacing w:after="100"/>
        <w:ind w:left="317" w:hanging="317"/>
      </w:pPr>
      <w:r>
        <w:t>YouFit, Gold's Gym, and Orangetheory Fitness. Official Florida directories and public enrollment/studio pages. Source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left"/>
      </w:tabs>
      <w:spacing w:before="0" w:after="0"/>
    </w:pPr>
    <w:r>
      <w:rPr>
        <w:rFonts w:ascii="Calibri" w:hAnsi="Calibri"/>
        <w:color w:val="5C6874"/>
        <w:sz w:val="16"/>
      </w:rPr>
      <w:t>Academic analysis - estimated county price target</w:t>
    </w:r>
    <w:r>
      <w:tab/>
    </w:r>
    <w:r>
      <w:rPr>
        <w:rFonts w:ascii="Calibri" w:hAnsi="Calibri"/>
        <w:color w:val="5C6874"/>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left"/>
      </w:tabs>
      <w:spacing w:before="0" w:after="0"/>
    </w:pPr>
    <w:r>
      <w:rPr>
        <w:rFonts w:ascii="Calibri" w:hAnsi="Calibri"/>
        <w:color w:val="5C6874"/>
        <w:sz w:val="16"/>
      </w:rPr>
      <w:t>Academic analysis - estimated county price target</w:t>
    </w:r>
    <w:r>
      <w:tab/>
    </w:r>
    <w:r>
      <w:rPr>
        <w:rFonts w:ascii="Calibri" w:hAnsi="Calibri"/>
        <w:color w:val="5C6874"/>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874"/>
        <w:sz w:val="16"/>
      </w:rPr>
      <w:t>MSIS DATA SCIENCE  |  FLORIDA FITNESS MARKET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874"/>
        <w:sz w:val="16"/>
      </w:rPr>
      <w:t>MSIS DATA SCIENCE  |  FLORIDA FITNESS 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6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80"/>
    </w:pPr>
    <w:rPr>
      <w:rFonts w:ascii="Calibri" w:hAnsi="Calibri"/>
      <w:b/>
      <w:bCs/>
      <w:i/>
      <w:color w:val="5C68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api.census.gov/data/2020/dec/pl/groups/P1.html" TargetMode="External"/><Relationship Id="rId19" Type="http://schemas.openxmlformats.org/officeDocument/2006/relationships/hyperlink" Target="https://data.census.gov/table/ACSDT5Y2021.B19013" TargetMode="External"/><Relationship Id="rId20" Type="http://schemas.openxmlformats.org/officeDocument/2006/relationships/hyperlink" Target="https://www.census.gov/geographies/reference-files/2020/geo/gazetter-file.html" TargetMode="External"/><Relationship Id="rId21" Type="http://schemas.openxmlformats.org/officeDocument/2006/relationships/hyperlink" Target="https://developers.google.com/maps/documentation/places/web-service/text-search" TargetMode="External"/><Relationship Id="rId22" Type="http://schemas.openxmlformats.org/officeDocument/2006/relationships/hyperlink" Target="https://www.lafitness.com/Pages/MembershipSignUpRate.aspx?id=b0J8ga4R865EceAG6%2FCX9A%3D%3D" TargetMode="External"/><Relationship Id="rId23" Type="http://schemas.openxmlformats.org/officeDocument/2006/relationships/hyperlink" Target="https://www.planetfitness.com/gym-memberships" TargetMode="External"/><Relationship Id="rId24" Type="http://schemas.openxmlformats.org/officeDocument/2006/relationships/hyperlink" Target="https://www.healthandfitness.org/u-s-fitness-facility-memberships-reach-the-highest-level-ever-as-dues-r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