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</w:p>
    <w:p>
      <w:pPr>
        <w:spacing w:after="320"/>
      </w:pPr>
    </w:p>
    <w:p>
      <w:pPr>
        <w:spacing w:after="320"/>
      </w:pPr>
    </w:p>
    <w:p>
      <w:pPr>
        <w:spacing w:after="360"/>
        <w:jc w:val="center"/>
      </w:pPr>
      <w:r>
        <w:rPr>
          <w:rFonts w:ascii="Calibri" w:hAnsi="Calibri"/>
          <w:b/>
          <w:color w:val="D99A2B"/>
          <w:sz w:val="21"/>
        </w:rPr>
        <w:t>PREDICTIONS &amp; BUSINESS INSIGHTS REPORT</w:t>
      </w:r>
    </w:p>
    <w:p>
      <w:pPr>
        <w:spacing w:after="180"/>
        <w:jc w:val="center"/>
      </w:pPr>
      <w:r>
        <w:rPr>
          <w:rFonts w:ascii="Calibri" w:hAnsi="Calibri"/>
          <w:b/>
          <w:color w:val="12355B"/>
          <w:sz w:val="58"/>
        </w:rPr>
        <w:t>LA Fitness Expansion Strategy</w:t>
      </w:r>
    </w:p>
    <w:p>
      <w:pPr>
        <w:spacing w:after="480"/>
        <w:jc w:val="center"/>
      </w:pPr>
      <w:r>
        <w:rPr>
          <w:rFonts w:ascii="Calibri" w:hAnsi="Calibri"/>
          <w:color w:val="1F4D78"/>
          <w:sz w:val="28"/>
        </w:rPr>
        <w:t>Regression Results, Scenario Pricing, and Florida Market Priorities</w:t>
      </w:r>
    </w:p>
    <w:p>
      <w:pPr>
        <w:spacing w:after="120"/>
        <w:jc w:val="center"/>
      </w:pPr>
      <w:r>
        <w:rPr>
          <w:rFonts w:ascii="Calibri" w:hAnsi="Calibri"/>
          <w:b/>
          <w:color w:val="5C6874"/>
          <w:sz w:val="21"/>
        </w:rPr>
        <w:t>All 67 Florida counties | Census + Google Places | OLS regression</w:t>
      </w:r>
    </w:p>
    <w:p>
      <w:pPr>
        <w:jc w:val="center"/>
      </w:pPr>
      <w:r>
        <w:rPr>
          <w:rFonts w:ascii="Calibri" w:hAnsi="Calibri"/>
          <w:i/>
          <w:color w:val="5C6874"/>
          <w:sz w:val="20"/>
        </w:rPr>
        <w:t>Prepared for the MSIS Data Science Assignment | August 29, 2026</w:t>
      </w:r>
    </w:p>
    <w:p>
      <w:pPr>
        <w:spacing w:after="320"/>
      </w:pPr>
    </w:p>
    <w:p>
      <w:pPr>
        <w:spacing w:after="320"/>
      </w:pPr>
    </w:p>
    <w:p>
      <w:pPr>
        <w:spacing w:after="320"/>
      </w:pPr>
    </w:p>
    <w:p>
      <w:pPr>
        <w:spacing w:before="240" w:after="0"/>
        <w:jc w:val="center"/>
      </w:pPr>
      <w:r>
        <w:rPr>
          <w:rFonts w:ascii="Calibri" w:hAnsi="Calibri"/>
          <w:i/>
          <w:color w:val="5C6874"/>
          <w:sz w:val="19"/>
        </w:rPr>
        <w:t>Observed demographic and location data; transparently estimated membership-price target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The analysis combines observed Census demographics with 387 Google Places records across 67 Florida counties. The full six-variable OLS model explains 57.3% of variation in the estimated price target; the refined model retains LAFitnessLocations, MedianHouseholdIncome, PopulationDensity, AvgGymRating and achieves adjusted R-squared of 0.539.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EF3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2355B"/>
                <w:sz w:val="21"/>
              </w:rPr>
              <w:t xml:space="preserve">Recommendation: </w:t>
            </w:r>
            <w:r>
              <w:rPr>
                <w:rFonts w:ascii="Calibri" w:hAnsi="Calibri"/>
                <w:color w:val="263746"/>
                <w:sz w:val="21"/>
              </w:rPr>
              <w:t>Prioritize validation in Broward County, then St. Johns County, Miami-Dade County, Orange County, and Palm Beach County. These are screening priorities, not final real-estate decisions.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7E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2355B"/>
                <w:sz w:val="21"/>
              </w:rPr>
              <w:t xml:space="preserve">Decision boundary: </w:t>
            </w:r>
            <w:r>
              <w:rPr>
                <w:rFonts w:ascii="Calibri" w:hAnsi="Calibri"/>
                <w:color w:val="263746"/>
                <w:sz w:val="21"/>
              </w:rPr>
              <w:t>The membership-price target is estimated, so coefficient significance and county rankings demonstrate an analytical workflow rather than independently verified economics. Do not commit capital until actual club pricing, leases, trade-area demographics, traffic, and competitor capacity are validated.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>Data and Modeling Approach</w:t>
      </w:r>
    </w:p>
    <w:p>
      <w:pPr>
        <w:pStyle w:val="ListBullet"/>
      </w:pPr>
      <w:r>
        <w:t>Unit of analysis: one row per Florida county (n = 67).</w:t>
      </w:r>
    </w:p>
    <w:p>
      <w:pPr>
        <w:pStyle w:val="ListBullet"/>
      </w:pPr>
      <w:r>
        <w:t>Dependent variable: estimated average monthly MembershipPrice in U.S. dollars.</w:t>
      </w:r>
    </w:p>
    <w:p>
      <w:pPr>
        <w:pStyle w:val="ListBullet"/>
      </w:pPr>
      <w:r>
        <w:t>Independent variables: population, LA Fitness count, competitor count, household income, density, and average rating.</w:t>
      </w:r>
    </w:p>
    <w:p>
      <w:pPr>
        <w:pStyle w:val="ListBullet"/>
      </w:pPr>
      <w:r>
        <w:t>Observed location data: live Google Places Text Search results, exact-county filtered and deduplicated by Place ID.</w:t>
      </w:r>
    </w:p>
    <w:p>
      <w:pPr>
        <w:pStyle w:val="ListBullet"/>
      </w:pPr>
      <w:r>
        <w:t>Estimation method: Ordinary Least Squares using Python statsmodels.</w:t>
      </w:r>
    </w:p>
    <w:p>
      <w:r>
        <w:t>Where direct county pricing was unavailable, the assignment permits simulated data. The price target uses a documented teaching formula anchored to public chain and industry price points, plus normally distributed noise. The formula was clipped to $24-$55 per month and should not be interpreted as a survey:</w:t>
      </w:r>
    </w:p>
    <w:p>
      <w:pPr>
        <w:spacing w:before="100" w:after="180"/>
        <w:jc w:val="center"/>
      </w:pPr>
      <w:r>
        <w:rPr>
          <w:rFonts w:ascii="Courier New" w:hAnsi="Courier New"/>
          <w:b/>
          <w:color w:val="12355B"/>
          <w:sz w:val="17"/>
        </w:rPr>
        <w:t>Price = 8 + 0.0000015(Population) + 0.45(LA) - 0.12(Competitors) + 0.00012(Income) + 0.001(Density) + 5(Rating) + error</w:t>
      </w:r>
    </w:p>
    <w:p>
      <w:pPr>
        <w:pStyle w:val="Heading1"/>
        <w:pageBreakBefore/>
      </w:pPr>
      <w:r>
        <w:t>Full OLS Model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900"/>
        <w:gridCol w:w="2730"/>
        <w:gridCol w:w="2730"/>
      </w:tblGrid>
      <w:tr>
        <w:trPr>
          <w:tblHeader w:val="true"/>
        </w:trPr>
        <w:tc>
          <w:tcPr>
            <w:tcW w:type="dxa" w:w="3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12355B"/>
                <w:sz w:val="18"/>
              </w:rPr>
              <w:t>Metric</w:t>
            </w:r>
          </w:p>
        </w:tc>
        <w:tc>
          <w:tcPr>
            <w:tcW w:type="dxa" w:w="273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12355B"/>
                <w:sz w:val="18"/>
              </w:rPr>
              <w:t>Full model</w:t>
            </w:r>
          </w:p>
        </w:tc>
        <w:tc>
          <w:tcPr>
            <w:tcW w:type="dxa" w:w="273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12355B"/>
                <w:sz w:val="18"/>
              </w:rPr>
              <w:t>Refined model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263746"/>
                <w:sz w:val="18"/>
              </w:rPr>
              <w:t>R-squared</w:t>
            </w:r>
          </w:p>
        </w:tc>
        <w:tc>
          <w:tcPr>
            <w:tcW w:type="dxa" w:w="2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8"/>
              </w:rPr>
              <w:t>0.573</w:t>
            </w:r>
          </w:p>
        </w:tc>
        <w:tc>
          <w:tcPr>
            <w:tcW w:type="dxa" w:w="2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8"/>
              </w:rPr>
              <w:t>0.567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263746"/>
                <w:sz w:val="18"/>
              </w:rPr>
              <w:t>Adjusted R-squared</w:t>
            </w:r>
          </w:p>
        </w:tc>
        <w:tc>
          <w:tcPr>
            <w:tcW w:type="dxa" w:w="2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8"/>
              </w:rPr>
              <w:t>0.530</w:t>
            </w:r>
          </w:p>
        </w:tc>
        <w:tc>
          <w:tcPr>
            <w:tcW w:type="dxa" w:w="2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8"/>
              </w:rPr>
              <w:t>0.539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263746"/>
                <w:sz w:val="18"/>
              </w:rPr>
              <w:t>AIC</w:t>
            </w:r>
          </w:p>
        </w:tc>
        <w:tc>
          <w:tcPr>
            <w:tcW w:type="dxa" w:w="2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8"/>
              </w:rPr>
              <w:t>314.92</w:t>
            </w:r>
          </w:p>
        </w:tc>
        <w:tc>
          <w:tcPr>
            <w:tcW w:type="dxa" w:w="2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8"/>
              </w:rPr>
              <w:t>311.85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263746"/>
                <w:sz w:val="18"/>
              </w:rPr>
              <w:t>BIC</w:t>
            </w:r>
          </w:p>
        </w:tc>
        <w:tc>
          <w:tcPr>
            <w:tcW w:type="dxa" w:w="2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8"/>
              </w:rPr>
              <w:t>330.35</w:t>
            </w:r>
          </w:p>
        </w:tc>
        <w:tc>
          <w:tcPr>
            <w:tcW w:type="dxa" w:w="2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8"/>
              </w:rPr>
              <w:t>322.87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263746"/>
                <w:sz w:val="18"/>
              </w:rPr>
              <w:t>RMSE (USD)</w:t>
            </w:r>
          </w:p>
        </w:tc>
        <w:tc>
          <w:tcPr>
            <w:tcW w:type="dxa" w:w="2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8"/>
              </w:rPr>
              <w:t>$2.29</w:t>
            </w:r>
          </w:p>
        </w:tc>
        <w:tc>
          <w:tcPr>
            <w:tcW w:type="dxa" w:w="2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8"/>
              </w:rPr>
              <w:t>$2.30</w:t>
            </w:r>
          </w:p>
        </w:tc>
      </w:tr>
    </w:tbl>
    <w:p>
      <w:pPr>
        <w:spacing w:before="80"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00"/>
        <w:gridCol w:w="1800"/>
        <w:gridCol w:w="1300"/>
        <w:gridCol w:w="3460"/>
      </w:tblGrid>
      <w:tr>
        <w:trPr>
          <w:tblHeader w:val="true"/>
        </w:trPr>
        <w:tc>
          <w:tcPr>
            <w:tcW w:type="dxa" w:w="2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12355B"/>
                <w:sz w:val="17"/>
              </w:rPr>
              <w:t>Variable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12355B"/>
                <w:sz w:val="17"/>
              </w:rPr>
              <w:t>Coefficient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12355B"/>
                <w:sz w:val="17"/>
              </w:rPr>
              <w:t>p-value</w:t>
            </w:r>
          </w:p>
        </w:tc>
        <w:tc>
          <w:tcPr>
            <w:tcW w:type="dxa" w:w="3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2355B"/>
                <w:sz w:val="17"/>
              </w:rPr>
              <w:t>95% confidence interval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263746"/>
                <w:sz w:val="17"/>
              </w:rPr>
              <w:t>Intercept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7"/>
              </w:rPr>
              <w:t>-0.810350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7"/>
              </w:rPr>
              <w:t>0.936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3746"/>
                <w:sz w:val="17"/>
              </w:rPr>
              <w:t>[-20.7904, 19.1697]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263746"/>
                <w:sz w:val="17"/>
              </w:rPr>
              <w:t>CountyPopulation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7"/>
              </w:rPr>
              <w:t>0.000001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7"/>
              </w:rPr>
              <w:t>0.774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3746"/>
                <w:sz w:val="17"/>
              </w:rPr>
              <w:t>[-0.0000, 0.0000]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263746"/>
                <w:sz w:val="17"/>
              </w:rPr>
              <w:t>LAFitnessLocations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7"/>
              </w:rPr>
              <w:t>0.527039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7"/>
              </w:rPr>
              <w:t>0.075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3746"/>
                <w:sz w:val="17"/>
              </w:rPr>
              <w:t>[-0.0553, 1.1094]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263746"/>
                <w:sz w:val="17"/>
              </w:rPr>
              <w:t>CompetitorLocations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7"/>
              </w:rPr>
              <w:t>-0.143875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7"/>
              </w:rPr>
              <w:t>0.411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3746"/>
                <w:sz w:val="17"/>
              </w:rPr>
              <w:t>[-0.4916, 0.2038]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263746"/>
                <w:sz w:val="17"/>
              </w:rPr>
              <w:t>MedianHouseholdIncome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7"/>
              </w:rPr>
              <w:t>0.000095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7"/>
              </w:rPr>
              <w:t>0.001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3746"/>
                <w:sz w:val="17"/>
              </w:rPr>
              <w:t>[0.0000, 0.0002]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263746"/>
                <w:sz w:val="17"/>
              </w:rPr>
              <w:t>PopulationDensity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7"/>
              </w:rPr>
              <w:t>0.001835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7"/>
              </w:rPr>
              <w:t>0.024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3746"/>
                <w:sz w:val="17"/>
              </w:rPr>
              <w:t>[0.0002, 0.0034]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263746"/>
                <w:sz w:val="17"/>
              </w:rPr>
              <w:t>AvgGymRating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7"/>
              </w:rPr>
              <w:t>7.330552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7"/>
              </w:rPr>
              <w:t>0.002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3746"/>
                <w:sz w:val="17"/>
              </w:rPr>
              <w:t>[2.8241, 11.8370]</w:t>
            </w:r>
          </w:p>
        </w:tc>
      </w:tr>
    </w:tbl>
    <w:p>
      <w:pPr>
        <w:spacing w:before="80" w:after="0"/>
      </w:pPr>
    </w:p>
    <w:p>
      <w:pPr>
        <w:pStyle w:val="Heading2"/>
        <w:pageBreakBefore/>
      </w:pPr>
      <w:r>
        <w:t>Multicollinearity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750"/>
        <w:gridCol w:w="1500"/>
        <w:gridCol w:w="3110"/>
      </w:tblGrid>
      <w:tr>
        <w:trPr>
          <w:tblHeader w:val="true"/>
        </w:trPr>
        <w:tc>
          <w:tcPr>
            <w:tcW w:type="dxa" w:w="47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12355B"/>
                <w:sz w:val="18"/>
              </w:rPr>
              <w:t>Variable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12355B"/>
                <w:sz w:val="18"/>
              </w:rPr>
              <w:t>VIF</w:t>
            </w:r>
          </w:p>
        </w:tc>
        <w:tc>
          <w:tcPr>
            <w:tcW w:type="dxa" w:w="31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2355B"/>
                <w:sz w:val="18"/>
              </w:rPr>
              <w:t>VIF &gt; 5 assessment</w:t>
            </w:r>
          </w:p>
        </w:tc>
      </w:tr>
      <w:tr>
        <w:trPr/>
        <w:tc>
          <w:tcPr>
            <w:tcW w:type="dxa" w:w="4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263746"/>
                <w:sz w:val="18"/>
              </w:rPr>
              <w:t>CountyPopulation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8"/>
              </w:rPr>
              <w:t>19.27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3746"/>
                <w:sz w:val="18"/>
              </w:rPr>
              <w:t>Concern</w:t>
            </w:r>
          </w:p>
        </w:tc>
      </w:tr>
      <w:tr>
        <w:trPr/>
        <w:tc>
          <w:tcPr>
            <w:tcW w:type="dxa" w:w="4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263746"/>
                <w:sz w:val="18"/>
              </w:rPr>
              <w:t>LAFitnessLocations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8"/>
              </w:rPr>
              <w:t>9.71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3746"/>
                <w:sz w:val="18"/>
              </w:rPr>
              <w:t>Concern</w:t>
            </w:r>
          </w:p>
        </w:tc>
      </w:tr>
      <w:tr>
        <w:trPr/>
        <w:tc>
          <w:tcPr>
            <w:tcW w:type="dxa" w:w="4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263746"/>
                <w:sz w:val="18"/>
              </w:rPr>
              <w:t>CompetitorLocations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8"/>
              </w:rPr>
              <w:t>15.70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3746"/>
                <w:sz w:val="18"/>
              </w:rPr>
              <w:t>Concern</w:t>
            </w:r>
          </w:p>
        </w:tc>
      </w:tr>
      <w:tr>
        <w:trPr/>
        <w:tc>
          <w:tcPr>
            <w:tcW w:type="dxa" w:w="4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263746"/>
                <w:sz w:val="18"/>
              </w:rPr>
              <w:t>MedianHouseholdIncome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8"/>
              </w:rPr>
              <w:t>1.25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3746"/>
                <w:sz w:val="18"/>
              </w:rPr>
              <w:t>Acceptable</w:t>
            </w:r>
          </w:p>
        </w:tc>
      </w:tr>
      <w:tr>
        <w:trPr/>
        <w:tc>
          <w:tcPr>
            <w:tcW w:type="dxa" w:w="4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263746"/>
                <w:sz w:val="18"/>
              </w:rPr>
              <w:t>PopulationDensity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8"/>
              </w:rPr>
              <w:t>2.36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3746"/>
                <w:sz w:val="18"/>
              </w:rPr>
              <w:t>Acceptable</w:t>
            </w:r>
          </w:p>
        </w:tc>
      </w:tr>
      <w:tr>
        <w:trPr/>
        <w:tc>
          <w:tcPr>
            <w:tcW w:type="dxa" w:w="4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263746"/>
                <w:sz w:val="18"/>
              </w:rPr>
              <w:t>AvgGymRating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8"/>
              </w:rPr>
              <w:t>1.05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3746"/>
                <w:sz w:val="18"/>
              </w:rPr>
              <w:t>Acceptable</w:t>
            </w:r>
          </w:p>
        </w:tc>
      </w:tr>
    </w:tbl>
    <w:p>
      <w:pPr>
        <w:spacing w:before="80" w:after="0"/>
      </w:pPr>
    </w:p>
    <w:p>
      <w:r>
        <w:t>The highest VIF is 19.27 for CountyPopulation. Values above 5 are flagged because correlated market-size measures can make individual coefficients unstable even when overall fit is useful.</w:t>
      </w:r>
    </w:p>
    <w:p>
      <w:pPr>
        <w:pStyle w:val="Heading1"/>
        <w:pageBreakBefore/>
      </w:pPr>
      <w:r>
        <w:t>Refined Model</w:t>
      </w:r>
    </w:p>
    <w:p>
      <w:r>
        <w:t>Backward elimination removed variables with p-values above 0.05, one at a time. Removed variables: CountyPopulation, CompetitorLocations. This mechanical rule was used for the assignment demonstration; real strategy work should also preserve variables supported by business theory.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00"/>
        <w:gridCol w:w="1800"/>
        <w:gridCol w:w="1300"/>
        <w:gridCol w:w="3460"/>
      </w:tblGrid>
      <w:tr>
        <w:trPr>
          <w:tblHeader w:val="true"/>
        </w:trPr>
        <w:tc>
          <w:tcPr>
            <w:tcW w:type="dxa" w:w="2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12355B"/>
                <w:sz w:val="17"/>
              </w:rPr>
              <w:t>Variable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12355B"/>
                <w:sz w:val="17"/>
              </w:rPr>
              <w:t>Coefficient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12355B"/>
                <w:sz w:val="17"/>
              </w:rPr>
              <w:t>p-value</w:t>
            </w:r>
          </w:p>
        </w:tc>
        <w:tc>
          <w:tcPr>
            <w:tcW w:type="dxa" w:w="3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2355B"/>
                <w:sz w:val="17"/>
              </w:rPr>
              <w:t>95% confidence interval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263746"/>
                <w:sz w:val="17"/>
              </w:rPr>
              <w:t>Intercept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7"/>
              </w:rPr>
              <w:t>-0.172449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7"/>
              </w:rPr>
              <w:t>0.986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3746"/>
                <w:sz w:val="17"/>
              </w:rPr>
              <w:t>[-19.7505, 19.4056]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263746"/>
                <w:sz w:val="17"/>
              </w:rPr>
              <w:t>LAFitnessLocations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7"/>
              </w:rPr>
              <w:t>0.384059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7"/>
              </w:rPr>
              <w:t>0.006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3746"/>
                <w:sz w:val="17"/>
              </w:rPr>
              <w:t>[0.1147, 0.6534]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263746"/>
                <w:sz w:val="17"/>
              </w:rPr>
              <w:t>MedianHouseholdIncome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7"/>
              </w:rPr>
              <w:t>0.000088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7"/>
              </w:rPr>
              <w:t>0.002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3746"/>
                <w:sz w:val="17"/>
              </w:rPr>
              <w:t>[0.0000, 0.0001]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263746"/>
                <w:sz w:val="17"/>
              </w:rPr>
              <w:t>PopulationDensity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7"/>
              </w:rPr>
              <w:t>0.001670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7"/>
              </w:rPr>
              <w:t>0.032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3746"/>
                <w:sz w:val="17"/>
              </w:rPr>
              <w:t>[0.0001, 0.0032]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263746"/>
                <w:sz w:val="17"/>
              </w:rPr>
              <w:t>AvgGymRating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7"/>
              </w:rPr>
              <w:t>7.246642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7"/>
              </w:rPr>
              <w:t>0.002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3746"/>
                <w:sz w:val="17"/>
              </w:rPr>
              <w:t>[2.8207, 11.6726]</w:t>
            </w:r>
          </w:p>
        </w:tc>
      </w:tr>
    </w:tbl>
    <w:p>
      <w:pPr>
        <w:spacing w:before="80" w:after="0"/>
      </w:pPr>
    </w:p>
    <w:p>
      <w:pPr>
        <w:keepNext/>
        <w:pageBreakBefore w:val="0"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41963"/>
            <wp:docPr id="1" name="Picture 1" descr="Horizontal bar chart of standardized dollar effects for retained regression variab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tandardized_effec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1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1. Refined-model price effect associated with a one-standard-deviation increase in each retained predictor.</w:t>
      </w:r>
    </w:p>
    <w:p>
      <w:pPr>
        <w:pStyle w:val="Heading2"/>
      </w:pPr>
      <w:r>
        <w:t>Interpretation</w:t>
      </w:r>
    </w:p>
    <w:p>
      <w:pPr>
        <w:pStyle w:val="ListBullet"/>
      </w:pPr>
      <w:r>
        <w:t>Strongest retained factor: LAFitnessLocations has the largest absolute one-standard-deviation effect ($1.22).</w:t>
      </w:r>
    </w:p>
    <w:p>
      <w:pPr>
        <w:pStyle w:val="ListBullet"/>
      </w:pPr>
      <w:r>
        <w:t>Competition: the full-model coefficient is -0.144 dollars per additional tracked competitor (p = 0.411). It was removed during refinement, so the analysis does not establish an independent competition effect after controlling for the other predictors.</w:t>
      </w:r>
    </w:p>
    <w:p>
      <w:pPr>
        <w:pStyle w:val="ListBullet"/>
      </w:pPr>
      <w:r>
        <w:t>All interpretations are associations within an estimated teaching target, not causal effects.</w:t>
      </w:r>
    </w:p>
    <w:p>
      <w:pPr>
        <w:pStyle w:val="Heading1"/>
        <w:pageBreakBefore/>
      </w:pPr>
      <w:r>
        <w:t>Model Diagnostics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400"/>
        <w:gridCol w:w="1200"/>
        <w:gridCol w:w="1200"/>
        <w:gridCol w:w="3560"/>
      </w:tblGrid>
      <w:tr>
        <w:trPr>
          <w:tblHeader w:val="true"/>
        </w:trPr>
        <w:tc>
          <w:tcPr>
            <w:tcW w:type="dxa" w:w="3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12355B"/>
                <w:sz w:val="17"/>
              </w:rPr>
              <w:t>Diagnostic test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12355B"/>
                <w:sz w:val="17"/>
              </w:rPr>
              <w:t>Statistic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12355B"/>
                <w:sz w:val="17"/>
              </w:rPr>
              <w:t>p-value</w:t>
            </w:r>
          </w:p>
        </w:tc>
        <w:tc>
          <w:tcPr>
            <w:tcW w:type="dxa" w:w="3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12355B"/>
                <w:sz w:val="17"/>
              </w:rPr>
              <w:t>Interpretation</w:t>
            </w:r>
          </w:p>
        </w:tc>
      </w:tr>
      <w:tr>
        <w:trPr/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263746"/>
                <w:sz w:val="17"/>
              </w:rPr>
              <w:t>Shapiro-Wilk residual normality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7"/>
              </w:rPr>
              <w:t>0.965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7"/>
              </w:rPr>
              <w:t>0.055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263746"/>
                <w:sz w:val="17"/>
              </w:rPr>
              <w:t>No evidence against normality</w:t>
            </w:r>
          </w:p>
        </w:tc>
      </w:tr>
      <w:tr>
        <w:trPr/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263746"/>
                <w:sz w:val="17"/>
              </w:rPr>
              <w:t>Breusch-Pagan homoscedasticity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7"/>
              </w:rPr>
              <w:t>1.458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7"/>
              </w:rPr>
              <w:t>0.834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263746"/>
                <w:sz w:val="17"/>
              </w:rPr>
              <w:t>No evidence of heteroscedasticity</w:t>
            </w:r>
          </w:p>
        </w:tc>
      </w:tr>
      <w:tr>
        <w:trPr/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263746"/>
                <w:sz w:val="17"/>
              </w:rPr>
              <w:t>Breusch-Pagan F version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7"/>
              </w:rPr>
              <w:t>0.345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7"/>
              </w:rPr>
              <w:t>0.847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263746"/>
                <w:sz w:val="17"/>
              </w:rPr>
              <w:t>No evidence of heteroscedasticity</w:t>
            </w:r>
          </w:p>
        </w:tc>
      </w:tr>
    </w:tbl>
    <w:p>
      <w:pPr>
        <w:spacing w:before="80" w:after="0"/>
      </w:pPr>
    </w:p>
    <w:p>
      <w:pPr>
        <w:keepNext/>
        <w:pageBreakBefore w:val="0"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3858024"/>
            <wp:docPr id="2" name="Picture 2" descr="Scatter plot comparing estimated price targets to refined model predictions with a 45-degree lin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ctual_vs_predic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58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2. Actual estimated prices versus refined-model predictions.</w:t>
      </w:r>
    </w:p>
    <w:p>
      <w:pPr>
        <w:keepNext/>
        <w:pageBreakBefore w:val="0"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846320" cy="3467922"/>
            <wp:docPr id="3" name="Picture 3" descr="Quantile-quantile plot used to evaluate residual normalit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qq_pl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67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3. Q-Q plot of refined-model residuals.</w:t>
      </w:r>
    </w:p>
    <w:p>
      <w:pPr>
        <w:keepNext/>
        <w:pageBreakBefore w:val="0"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846320" cy="3472412"/>
            <wp:docPr id="4" name="Picture 4" descr="Scatter plot of residuals against fitted membership prices with a zero reference lin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esiduals_vs_fit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72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4. Refined-model residuals versus fitted values.</w:t>
      </w:r>
    </w:p>
    <w:p>
      <w:pPr>
        <w:pStyle w:val="Heading2"/>
        <w:pageBreakBefore/>
      </w:pPr>
      <w:r>
        <w:t>Influential Observations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600"/>
        <w:gridCol w:w="1920"/>
        <w:gridCol w:w="1920"/>
        <w:gridCol w:w="1920"/>
      </w:tblGrid>
      <w:tr>
        <w:trPr>
          <w:tblHeader w:val="true"/>
        </w:trPr>
        <w:tc>
          <w:tcPr>
            <w:tcW w:type="dxa" w:w="3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12355B"/>
                <w:sz w:val="18"/>
              </w:rPr>
              <w:t>County</w:t>
            </w:r>
          </w:p>
        </w:tc>
        <w:tc>
          <w:tcPr>
            <w:tcW w:type="dxa" w:w="192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12355B"/>
                <w:sz w:val="18"/>
              </w:rPr>
              <w:t>Studentized residual</w:t>
            </w:r>
          </w:p>
        </w:tc>
        <w:tc>
          <w:tcPr>
            <w:tcW w:type="dxa" w:w="192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12355B"/>
                <w:sz w:val="18"/>
              </w:rPr>
              <w:t>Cook's distance</w:t>
            </w:r>
          </w:p>
        </w:tc>
        <w:tc>
          <w:tcPr>
            <w:tcW w:type="dxa" w:w="192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12355B"/>
                <w:sz w:val="18"/>
              </w:rPr>
              <w:t>Leverage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263746"/>
                <w:sz w:val="18"/>
              </w:rPr>
              <w:t>Pinellas County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8"/>
              </w:rPr>
              <w:t>0.59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8"/>
              </w:rPr>
              <w:t>0.129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8"/>
              </w:rPr>
              <w:t>0.645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263746"/>
                <w:sz w:val="18"/>
              </w:rPr>
              <w:t>Miami-Dade County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8"/>
              </w:rPr>
              <w:t>-0.93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8"/>
              </w:rPr>
              <w:t>0.123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8"/>
              </w:rPr>
              <w:t>0.417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263746"/>
                <w:sz w:val="18"/>
              </w:rPr>
              <w:t>St. Johns County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8"/>
              </w:rPr>
              <w:t>1.59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8"/>
              </w:rPr>
              <w:t>0.107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8"/>
              </w:rPr>
              <w:t>0.179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263746"/>
                <w:sz w:val="18"/>
              </w:rPr>
              <w:t>Columbia County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8"/>
              </w:rPr>
              <w:t>3.62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8"/>
              </w:rPr>
              <w:t>0.055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8"/>
              </w:rPr>
              <w:t>0.025</w:t>
            </w:r>
          </w:p>
        </w:tc>
      </w:tr>
    </w:tbl>
    <w:p>
      <w:pPr>
        <w:spacing w:before="80" w:after="0"/>
      </w:pPr>
    </w:p>
    <w:p>
      <w:pPr>
        <w:pStyle w:val="Heading1"/>
      </w:pPr>
      <w:r>
        <w:t>Scenario Predictions</w:t>
      </w:r>
    </w:p>
    <w:p>
      <w:r>
        <w:t>Each scenario supplies every variable in the original full model. Predictions use the refined model. The mean confidence interval describes uncertainty in the expected county price; the wider prediction interval describes uncertainty for a single comparable county outcome.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500"/>
        <w:gridCol w:w="1600"/>
        <w:gridCol w:w="2000"/>
        <w:gridCol w:w="2260"/>
      </w:tblGrid>
      <w:tr>
        <w:trPr>
          <w:tblHeader w:val="true"/>
        </w:trPr>
        <w:tc>
          <w:tcPr>
            <w:tcW w:type="dxa" w:w="3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12355B"/>
                <w:sz w:val="17"/>
              </w:rPr>
              <w:t>Scenario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12355B"/>
                <w:sz w:val="17"/>
              </w:rPr>
              <w:t>Predicted price</w:t>
            </w:r>
          </w:p>
        </w:tc>
        <w:tc>
          <w:tcPr>
            <w:tcW w:type="dxa" w:w="2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2355B"/>
                <w:sz w:val="17"/>
              </w:rPr>
              <w:t>95% mean CI</w:t>
            </w:r>
          </w:p>
        </w:tc>
        <w:tc>
          <w:tcPr>
            <w:tcW w:type="dxa" w:w="22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2355B"/>
                <w:sz w:val="17"/>
              </w:rPr>
              <w:t>95% prediction interval</w:t>
            </w:r>
          </w:p>
        </w:tc>
      </w:tr>
      <w:tr>
        <w:trPr/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263746"/>
                <w:sz w:val="17"/>
              </w:rPr>
              <w:t>A - Rural, low competition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7"/>
              </w:rPr>
              <w:t>$36.69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3746"/>
                <w:sz w:val="17"/>
              </w:rPr>
              <w:t>$35.36 - $38.02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3746"/>
                <w:sz w:val="17"/>
              </w:rPr>
              <w:t>$31.72 - $41.65</w:t>
            </w:r>
          </w:p>
        </w:tc>
      </w:tr>
      <w:tr>
        <w:trPr/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263746"/>
                <w:sz w:val="17"/>
              </w:rPr>
              <w:t>B - Miami-Dade, high competition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7"/>
              </w:rPr>
              <w:t>$44.45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3746"/>
                <w:sz w:val="17"/>
              </w:rPr>
              <w:t>$41.61 - $47.30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3746"/>
                <w:sz w:val="17"/>
              </w:rPr>
              <w:t>$38.89 - $50.02</w:t>
            </w:r>
          </w:p>
        </w:tc>
      </w:tr>
      <w:tr>
        <w:trPr/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263746"/>
                <w:sz w:val="17"/>
              </w:rPr>
              <w:t>C - Target market: Broward County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7"/>
              </w:rPr>
              <w:t>$45.14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3746"/>
                <w:sz w:val="17"/>
              </w:rPr>
              <w:t>$42.84 - $47.44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3746"/>
                <w:sz w:val="17"/>
              </w:rPr>
              <w:t>$39.84 - $50.45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t>A - Rural, low competition</w:t>
      </w:r>
    </w:p>
    <w:p>
      <w:r>
        <w:t>Population 50,000; LA Fitness locations 2; competitors 1; median household income $62,000; density 120.0 per square mile; average rating 4.20.</w:t>
      </w:r>
    </w:p>
    <w:p>
      <w:pPr>
        <w:pStyle w:val="Heading2"/>
      </w:pPr>
      <w:r>
        <w:t>B - Miami-Dade, high competition</w:t>
      </w:r>
    </w:p>
    <w:p>
      <w:r>
        <w:t>Population 2,600,000; LA Fitness locations 15; competitors 30; median household income $57,815; density 1,422.1 per square mile; average rating 4.33.</w:t>
      </w:r>
    </w:p>
    <w:p>
      <w:pPr>
        <w:pStyle w:val="Heading2"/>
      </w:pPr>
      <w:r>
        <w:t>C - Target market: Broward County</w:t>
      </w:r>
    </w:p>
    <w:p>
      <w:r>
        <w:t>Population 1,944,375; LA Fitness locations 13; competitors 27; median household income $64,522; density 1,616.6 per square mile; average rating 4.41.</w:t>
      </w:r>
    </w:p>
    <w:p>
      <w:pPr>
        <w:pStyle w:val="Heading1"/>
        <w:pageBreakBefore/>
      </w:pPr>
      <w:r>
        <w:t>Expansion Recommendations</w:t>
      </w:r>
    </w:p>
    <w:p>
      <w:r>
        <w:t>The market-potential score is a transparent screening index calculated within this 67-county dataset. Weights are 30% demand (log population), 25% purchasing power, 20% low competitor intensity, 15% predicted price, and 10% low LA Fitness intensity. Components are min-max normalized, so the score is relative and not transferable to another state or vintage without recalculation.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00"/>
        <w:gridCol w:w="2350"/>
        <w:gridCol w:w="1100"/>
        <w:gridCol w:w="1700"/>
        <w:gridCol w:w="1750"/>
        <w:gridCol w:w="1760"/>
      </w:tblGrid>
      <w:tr>
        <w:trPr>
          <w:tblHeader w:val="true"/>
        </w:trPr>
        <w:tc>
          <w:tcPr>
            <w:tcW w:type="dxa" w:w="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2355B"/>
                <w:sz w:val="17"/>
              </w:rPr>
              <w:t>Rank</w:t>
            </w:r>
          </w:p>
        </w:tc>
        <w:tc>
          <w:tcPr>
            <w:tcW w:type="dxa" w:w="23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color w:val="12355B"/>
                <w:sz w:val="17"/>
              </w:rPr>
              <w:t>County</w:t>
            </w:r>
          </w:p>
        </w:tc>
        <w:tc>
          <w:tcPr>
            <w:tcW w:type="dxa" w:w="1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12355B"/>
                <w:sz w:val="17"/>
              </w:rPr>
              <w:t>Score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12355B"/>
                <w:sz w:val="17"/>
              </w:rPr>
              <w:t>Population</w:t>
            </w:r>
          </w:p>
        </w:tc>
        <w:tc>
          <w:tcPr>
            <w:tcW w:type="dxa" w:w="17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12355B"/>
                <w:sz w:val="17"/>
              </w:rPr>
              <w:t>Median income</w:t>
            </w:r>
          </w:p>
        </w:tc>
        <w:tc>
          <w:tcPr>
            <w:tcW w:type="dxa" w:w="1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12355B"/>
                <w:sz w:val="17"/>
              </w:rPr>
              <w:t>Predicted price</w:t>
            </w:r>
          </w:p>
        </w:tc>
      </w:tr>
      <w:tr>
        <w:trPr/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3746"/>
                <w:sz w:val="17"/>
              </w:rPr>
              <w:t>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263746"/>
                <w:sz w:val="17"/>
              </w:rPr>
              <w:t>Broward County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7"/>
              </w:rPr>
              <w:t>78.4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7"/>
              </w:rPr>
              <w:t>1,944,375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7"/>
              </w:rPr>
              <w:t>$64,522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7"/>
              </w:rPr>
              <w:t>$45.14</w:t>
            </w:r>
          </w:p>
        </w:tc>
      </w:tr>
      <w:tr>
        <w:trPr/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3746"/>
                <w:sz w:val="17"/>
              </w:rPr>
              <w:t>2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263746"/>
                <w:sz w:val="17"/>
              </w:rPr>
              <w:t>St. Johns County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7"/>
              </w:rPr>
              <w:t>77.9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7"/>
              </w:rPr>
              <w:t>273,425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7"/>
              </w:rPr>
              <w:t>$88,794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7"/>
              </w:rPr>
              <w:t>$42.10</w:t>
            </w:r>
          </w:p>
        </w:tc>
      </w:tr>
      <w:tr>
        <w:trPr/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3746"/>
                <w:sz w:val="17"/>
              </w:rPr>
              <w:t>3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263746"/>
                <w:sz w:val="17"/>
              </w:rPr>
              <w:t>Miami-Dade County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7"/>
              </w:rPr>
              <w:t>77.8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7"/>
              </w:rPr>
              <w:t>2,701,767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7"/>
              </w:rPr>
              <w:t>$57,815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7"/>
              </w:rPr>
              <w:t>$44.84</w:t>
            </w:r>
          </w:p>
        </w:tc>
      </w:tr>
      <w:tr>
        <w:trPr/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3746"/>
                <w:sz w:val="17"/>
              </w:rPr>
              <w:t>4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263746"/>
                <w:sz w:val="17"/>
              </w:rPr>
              <w:t>Orange County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7"/>
              </w:rPr>
              <w:t>75.1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7"/>
              </w:rPr>
              <w:t>1,429,908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7"/>
              </w:rPr>
              <w:t>$65,784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7"/>
              </w:rPr>
              <w:t>$44.31</w:t>
            </w:r>
          </w:p>
        </w:tc>
      </w:tr>
      <w:tr>
        <w:trPr/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3746"/>
                <w:sz w:val="17"/>
              </w:rPr>
              <w:t>5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263746"/>
                <w:sz w:val="17"/>
              </w:rPr>
              <w:t>Palm Beach County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7"/>
              </w:rPr>
              <w:t>74.3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7"/>
              </w:rPr>
              <w:t>1,492,191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7"/>
              </w:rPr>
              <w:t>$68,874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63746"/>
                <w:sz w:val="17"/>
              </w:rPr>
              <w:t>$42.43</w:t>
            </w:r>
          </w:p>
        </w:tc>
      </w:tr>
    </w:tbl>
    <w:p>
      <w:pPr>
        <w:spacing w:before="80" w:after="0"/>
      </w:pPr>
    </w:p>
    <w:p>
      <w:pPr>
        <w:keepNext/>
        <w:pageBreakBefore w:val="0"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074920" cy="3475620"/>
            <wp:docPr id="5" name="Picture 5" descr="Horizontal bar chart ranking the top ten counties by market potential sco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top_marke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475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5. Top ten Florida counties by the simulated market-potential score.</w:t>
      </w:r>
    </w:p>
    <w:p>
      <w:pPr>
        <w:pStyle w:val="Heading2"/>
      </w:pPr>
      <w:r>
        <w:t>1. Broward County</w:t>
      </w:r>
    </w:p>
    <w:p>
      <w:r>
        <w:t>Score 78.4/100. Key screening strengths: large demand base, favorable tracked-competitor intensity, LA Fitness whitespace. Observed LA Fitness locations: 13; tracked competitors: 27.</w:t>
      </w:r>
    </w:p>
    <w:p>
      <w:pPr>
        <w:pStyle w:val="Heading2"/>
      </w:pPr>
      <w:r>
        <w:t>2. St. Johns County</w:t>
      </w:r>
    </w:p>
    <w:p>
      <w:r>
        <w:t>Score 77.9/100. Key screening strengths: strong purchasing power, favorable tracked-competitor intensity, LA Fitness whitespace. Observed LA Fitness locations: 0; tracked competitors: 4.</w:t>
      </w:r>
    </w:p>
    <w:p>
      <w:pPr>
        <w:pStyle w:val="Heading2"/>
      </w:pPr>
      <w:r>
        <w:t>3. Miami-Dade County</w:t>
      </w:r>
    </w:p>
    <w:p>
      <w:r>
        <w:t>Score 77.8/100. Key screening strengths: large demand base, favorable tracked-competitor intensity, LA Fitness whitespace. Observed LA Fitness locations: 16; tracked competitors: 29.</w:t>
      </w:r>
    </w:p>
    <w:p>
      <w:pPr>
        <w:pStyle w:val="Heading2"/>
      </w:pPr>
      <w:r>
        <w:t>4. Orange County</w:t>
      </w:r>
    </w:p>
    <w:p>
      <w:r>
        <w:t>Score 75.1/100. Key screening strengths: large demand base, favorable tracked-competitor intensity, LA Fitness whitespace. Observed LA Fitness locations: 11; tracked competitors: 23.</w:t>
      </w:r>
    </w:p>
    <w:p>
      <w:pPr>
        <w:pStyle w:val="Heading2"/>
      </w:pPr>
      <w:r>
        <w:t>5. Palm Beach County</w:t>
      </w:r>
    </w:p>
    <w:p>
      <w:r>
        <w:t>Score 74.3/100. Key screening strengths: large demand base, favorable tracked-competitor intensity, LA Fitness whitespace. Observed LA Fitness locations: 10; tracked competitors: 25.</w:t>
      </w:r>
    </w:p>
    <w:p>
      <w:pPr>
        <w:pStyle w:val="Heading1"/>
      </w:pPr>
      <w:r>
        <w:t>Recommended Next Actions</w:t>
      </w:r>
    </w:p>
    <w:p>
      <w:pPr>
        <w:pStyle w:val="ListNumber"/>
      </w:pPr>
      <w:r>
        <w:t>Validate current club rosters, closures, and planned openings in the top five counties.</w:t>
      </w:r>
    </w:p>
    <w:p>
      <w:pPr>
        <w:pStyle w:val="ListNumber"/>
      </w:pPr>
      <w:r>
        <w:t>Collect observed monthly dues, initiation fees, annual fees, and contract terms for a representative sample of clubs.</w:t>
      </w:r>
    </w:p>
    <w:p>
      <w:pPr>
        <w:pStyle w:val="ListNumber"/>
      </w:pPr>
      <w:r>
        <w:t>Replace county boundaries with 10- to 15-minute drive-time trade areas around candidate sites.</w:t>
      </w:r>
    </w:p>
    <w:p>
      <w:pPr>
        <w:pStyle w:val="ListNumber"/>
      </w:pPr>
      <w:r>
        <w:t>Add lease rates, daytime population, age mix, traffic counts, and competitor square footage before site underwriting.</w:t>
      </w:r>
    </w:p>
    <w:p>
      <w:pPr>
        <w:pStyle w:val="ListNumber"/>
      </w:pPr>
      <w:r>
        <w:t>Re-estimate the model with observed prices and validate out of sample before using it for capital allocation.</w:t>
      </w:r>
    </w:p>
    <w:p>
      <w:pPr>
        <w:pStyle w:val="Heading1"/>
      </w:pPr>
      <w:r>
        <w:t>Limitations</w:t>
      </w:r>
    </w:p>
    <w:p>
      <w:pPr>
        <w:pStyle w:val="ListBullet"/>
      </w:pPr>
      <w:r>
        <w:t>Estimated target: county MembershipPrice is simulated from a disclosed formula and is not independent evidence.</w:t>
      </w:r>
    </w:p>
    <w:p>
      <w:pPr>
        <w:pStyle w:val="ListBullet"/>
      </w:pPr>
      <w:r>
        <w:t>Search coverage: Google Places Text Search ranks candidates and does not guarantee a complete chain inventory.</w:t>
      </w:r>
    </w:p>
    <w:p>
      <w:pPr>
        <w:pStyle w:val="ListBullet"/>
      </w:pPr>
      <w:r>
        <w:t>Temporal mismatch: demographics use 2020 population and 2021 income, while locations are a 2026 retrieval snapshot.</w:t>
      </w:r>
    </w:p>
    <w:p>
      <w:pPr>
        <w:pStyle w:val="ListBullet"/>
      </w:pPr>
      <w:r>
        <w:t>Aggregation: county averages mask neighborhood trade areas and cross-county customer travel.</w:t>
      </w:r>
    </w:p>
    <w:p>
      <w:pPr>
        <w:pStyle w:val="ListBullet"/>
      </w:pPr>
      <w:r>
        <w:t>Small sample: 67 counties limit model complexity and make influential observations consequential.</w:t>
      </w:r>
    </w:p>
    <w:p>
      <w:pPr>
        <w:pStyle w:val="ListBullet"/>
      </w:pPr>
      <w:r>
        <w:t>Association only: OLS coefficients do not identify causal effects on pricing or expansion success.</w:t>
      </w:r>
    </w:p>
    <w:p>
      <w:pPr>
        <w:pStyle w:val="ListBullet"/>
      </w:pPr>
      <w:r>
        <w:t>Ranking sensitivity: market-potential results depend on subjective weights and min-max scaling.</w:t>
      </w:r>
    </w:p>
    <w:p>
      <w:pPr>
        <w:pStyle w:val="Heading1"/>
      </w:pPr>
      <w:r>
        <w:t>Reproducibility and Deliverables</w:t>
      </w:r>
    </w:p>
    <w:p>
      <w:pPr>
        <w:pStyle w:val="ListBullet"/>
      </w:pPr>
      <w:r>
        <w:t>fitness_market_analysis.py: API collection, integration, EDA, regression, diagnostics, predictions, and rankings.</w:t>
      </w:r>
    </w:p>
    <w:p>
      <w:pPr>
        <w:pStyle w:val="ListBullet"/>
      </w:pPr>
      <w:r>
        <w:t>build_reports.py: deterministic Word report generation from the analytical outputs.</w:t>
      </w:r>
    </w:p>
    <w:p>
      <w:pPr>
        <w:pStyle w:val="ListBullet"/>
      </w:pPr>
      <w:r>
        <w:t>data/MainDataset.csv: 67 rows and 8 required columns.</w:t>
      </w:r>
    </w:p>
    <w:p>
      <w:pPr>
        <w:pStyle w:val="ListBullet"/>
      </w:pPr>
      <w:r>
        <w:t>outputs/: model tables, diagnostic tables, scenario predictions, rankings, and figures.</w:t>
      </w:r>
    </w:p>
    <w:p>
      <w:pPr>
        <w:pStyle w:val="ListBullet"/>
      </w:pPr>
      <w:r>
        <w:t>API key files are read locally and intentionally excluded from every analytical output.</w:t>
      </w:r>
    </w:p>
    <w:p>
      <w:pPr>
        <w:pStyle w:val="Heading1"/>
        <w:pageBreakBefore w:val="0"/>
      </w:pPr>
      <w:r>
        <w:t>References</w:t>
      </w:r>
    </w:p>
    <w:p>
      <w:pPr>
        <w:spacing w:after="100"/>
        <w:ind w:left="317" w:hanging="317"/>
      </w:pPr>
      <w:r>
        <w:rPr>
          <w:rFonts w:ascii="Calibri" w:hAnsi="Calibri"/>
          <w:color w:val="263746"/>
          <w:sz w:val="19"/>
        </w:rPr>
        <w:t xml:space="preserve">U.S. Census Bureau. 2020 Census Redistricting Data, Table P1, variable P1_001N. </w:t>
      </w:r>
      <w:hyperlink r:id="rId18">
        <w:r>
          <w:rPr>
            <w:color w:val="2E74B5"/>
            <w:u w:val="single"/>
          </w:rPr>
          <w:t>Source</w:t>
        </w:r>
      </w:hyperlink>
    </w:p>
    <w:p>
      <w:pPr>
        <w:spacing w:after="100"/>
        <w:ind w:left="317" w:hanging="317"/>
      </w:pPr>
      <w:r>
        <w:rPr>
          <w:rFonts w:ascii="Calibri" w:hAnsi="Calibri"/>
          <w:color w:val="263746"/>
          <w:sz w:val="19"/>
        </w:rPr>
        <w:t xml:space="preserve">U.S. Census Bureau. 2021 ACS 5-Year Estimates, Table B19013, median household income. </w:t>
      </w:r>
      <w:hyperlink r:id="rId19">
        <w:r>
          <w:rPr>
            <w:color w:val="2E74B5"/>
            <w:u w:val="single"/>
          </w:rPr>
          <w:t>Source</w:t>
        </w:r>
      </w:hyperlink>
    </w:p>
    <w:p>
      <w:pPr>
        <w:spacing w:after="100"/>
        <w:ind w:left="317" w:hanging="317"/>
      </w:pPr>
      <w:r>
        <w:rPr>
          <w:rFonts w:ascii="Calibri" w:hAnsi="Calibri"/>
          <w:color w:val="263746"/>
          <w:sz w:val="19"/>
        </w:rPr>
        <w:t xml:space="preserve">U.S. Census Bureau. 2020 Gazetteer Files and record layout. </w:t>
      </w:r>
      <w:hyperlink r:id="rId20">
        <w:r>
          <w:rPr>
            <w:color w:val="2E74B5"/>
            <w:u w:val="single"/>
          </w:rPr>
          <w:t>Source</w:t>
        </w:r>
      </w:hyperlink>
    </w:p>
    <w:p>
      <w:pPr>
        <w:spacing w:after="100"/>
        <w:ind w:left="317" w:hanging="317"/>
      </w:pPr>
      <w:r>
        <w:rPr>
          <w:rFonts w:ascii="Calibri" w:hAnsi="Calibri"/>
          <w:color w:val="263746"/>
          <w:sz w:val="19"/>
        </w:rPr>
        <w:t xml:space="preserve">Google Maps Platform. Text Search (New) documentation and pagination requirements. </w:t>
      </w:r>
      <w:hyperlink r:id="rId21">
        <w:r>
          <w:rPr>
            <w:color w:val="2E74B5"/>
            <w:u w:val="single"/>
          </w:rPr>
          <w:t>Source</w:t>
        </w:r>
      </w:hyperlink>
    </w:p>
    <w:p>
      <w:pPr>
        <w:spacing w:after="100"/>
        <w:ind w:left="317" w:hanging="317"/>
      </w:pPr>
      <w:r>
        <w:rPr>
          <w:rFonts w:ascii="Calibri" w:hAnsi="Calibri"/>
          <w:color w:val="263746"/>
          <w:sz w:val="19"/>
        </w:rPr>
        <w:t xml:space="preserve">LA Fitness. Public online membership rate example with monthly plan options. </w:t>
      </w:r>
      <w:hyperlink r:id="rId22">
        <w:r>
          <w:rPr>
            <w:color w:val="2E74B5"/>
            <w:u w:val="single"/>
          </w:rPr>
          <w:t>Source</w:t>
        </w:r>
      </w:hyperlink>
    </w:p>
    <w:p>
      <w:pPr>
        <w:spacing w:after="100"/>
        <w:ind w:left="317" w:hanging="317"/>
      </w:pPr>
      <w:r>
        <w:rPr>
          <w:rFonts w:ascii="Calibri" w:hAnsi="Calibri"/>
          <w:color w:val="263746"/>
          <w:sz w:val="19"/>
        </w:rPr>
        <w:t xml:space="preserve">Planet Fitness. Official membership page with starting monthly rates. </w:t>
      </w:r>
      <w:hyperlink r:id="rId23">
        <w:r>
          <w:rPr>
            <w:color w:val="2E74B5"/>
            <w:u w:val="single"/>
          </w:rPr>
          <w:t>Source</w:t>
        </w:r>
      </w:hyperlink>
    </w:p>
    <w:p>
      <w:pPr>
        <w:spacing w:after="100"/>
        <w:ind w:left="317" w:hanging="317"/>
      </w:pPr>
      <w:r>
        <w:rPr>
          <w:rFonts w:ascii="Calibri" w:hAnsi="Calibri"/>
          <w:color w:val="263746"/>
          <w:sz w:val="19"/>
        </w:rPr>
        <w:t xml:space="preserve">Health &amp; Fitness Association. U.S. facility membership and average-dues overview. </w:t>
      </w:r>
      <w:hyperlink r:id="rId24">
        <w:r>
          <w:rPr>
            <w:color w:val="2E74B5"/>
            <w:u w:val="single"/>
          </w:rPr>
          <w:t>Source</w:t>
        </w:r>
      </w:hyperlink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00" w:val="left"/>
      </w:tabs>
      <w:spacing w:before="0" w:after="0"/>
    </w:pPr>
    <w:r>
      <w:rPr>
        <w:rFonts w:ascii="Calibri" w:hAnsi="Calibri"/>
        <w:color w:val="5C6874"/>
        <w:sz w:val="16"/>
      </w:rPr>
      <w:t>Academic analysis - estimated county price target</w:t>
    </w:r>
    <w:r>
      <w:tab/>
    </w:r>
    <w:r>
      <w:rPr>
        <w:rFonts w:ascii="Calibri" w:hAnsi="Calibri"/>
        <w:color w:val="5C6874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00" w:val="left"/>
      </w:tabs>
      <w:spacing w:before="0" w:after="0"/>
    </w:pPr>
    <w:r>
      <w:rPr>
        <w:rFonts w:ascii="Calibri" w:hAnsi="Calibri"/>
        <w:color w:val="5C6874"/>
        <w:sz w:val="16"/>
      </w:rPr>
      <w:t>Academic analysis - estimated county price target</w:t>
    </w:r>
    <w:r>
      <w:tab/>
    </w:r>
    <w:r>
      <w:rPr>
        <w:rFonts w:ascii="Calibri" w:hAnsi="Calibri"/>
        <w:color w:val="5C6874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C6874"/>
        <w:sz w:val="16"/>
      </w:rPr>
      <w:t>MSIS DATA SCIENCE  |  FLORIDA FITNESS MARKET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C6874"/>
        <w:sz w:val="16"/>
      </w:rPr>
      <w:t>MSIS DATA SCIENCE  |  FLORIDA FITNESS MARKET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6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60" w:after="180"/>
    </w:pPr>
    <w:rPr>
      <w:rFonts w:ascii="Calibri" w:hAnsi="Calibri"/>
      <w:b/>
      <w:bCs/>
      <w:i/>
      <w:color w:val="5C6874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hyperlink" Target="https://api.census.gov/data/2020/dec/pl/groups/P1.html" TargetMode="External"/><Relationship Id="rId19" Type="http://schemas.openxmlformats.org/officeDocument/2006/relationships/hyperlink" Target="https://data.census.gov/table/ACSDT5Y2021.B19013" TargetMode="External"/><Relationship Id="rId20" Type="http://schemas.openxmlformats.org/officeDocument/2006/relationships/hyperlink" Target="https://www.census.gov/geographies/reference-files/2020/geo/gazetter-file.html" TargetMode="External"/><Relationship Id="rId21" Type="http://schemas.openxmlformats.org/officeDocument/2006/relationships/hyperlink" Target="https://developers.google.com/maps/documentation/places/web-service/text-search" TargetMode="External"/><Relationship Id="rId22" Type="http://schemas.openxmlformats.org/officeDocument/2006/relationships/hyperlink" Target="https://www.lafitness.com/Pages/MembershipSignUpRate.aspx?id=b0J8ga4R865EceAG6%2FCX9A%3D%3D" TargetMode="External"/><Relationship Id="rId23" Type="http://schemas.openxmlformats.org/officeDocument/2006/relationships/hyperlink" Target="https://www.planetfitness.com/gym-memberships" TargetMode="External"/><Relationship Id="rId24" Type="http://schemas.openxmlformats.org/officeDocument/2006/relationships/hyperlink" Target="https://www.healthandfitness.org/u-s-fitness-facility-memberships-reach-the-highest-level-ever-as-dues-ris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