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60"/>
        <w:jc w:val="center"/>
      </w:pPr>
      <w:r>
        <w:rPr>
          <w:rFonts w:ascii="Calibri" w:hAnsi="Calibri"/>
          <w:b/>
          <w:color w:val="D99A2B"/>
          <w:sz w:val="21"/>
        </w:rPr>
        <w:t>EXPLORATORY DATA ANALYSIS REPORT</w:t>
      </w:r>
    </w:p>
    <w:p>
      <w:pPr>
        <w:spacing w:after="180"/>
        <w:jc w:val="center"/>
      </w:pPr>
      <w:r>
        <w:rPr>
          <w:rFonts w:ascii="Calibri" w:hAnsi="Calibri"/>
          <w:b/>
          <w:color w:val="12355B"/>
          <w:sz w:val="58"/>
        </w:rPr>
        <w:t>Fitness Market Analysis</w:t>
      </w:r>
    </w:p>
    <w:p>
      <w:pPr>
        <w:spacing w:after="480"/>
        <w:jc w:val="center"/>
      </w:pPr>
      <w:r>
        <w:rPr>
          <w:rFonts w:ascii="Calibri" w:hAnsi="Calibri"/>
          <w:color w:val="1F4D78"/>
          <w:sz w:val="28"/>
        </w:rPr>
        <w:t>LA Fitness Expansion Strategy Across Florida Counties</w:t>
      </w:r>
    </w:p>
    <w:p>
      <w:pPr>
        <w:spacing w:after="120"/>
        <w:jc w:val="center"/>
      </w:pPr>
      <w:r>
        <w:rPr>
          <w:rFonts w:ascii="Calibri" w:hAnsi="Calibri"/>
          <w:b/>
          <w:color w:val="5C6874"/>
          <w:sz w:val="21"/>
        </w:rPr>
        <w:t>All 67 Florida counties | Census + Google Places | OLS regression</w:t>
      </w:r>
    </w:p>
    <w:p>
      <w:pPr>
        <w:jc w:val="center"/>
      </w:pPr>
      <w:r>
        <w:rPr>
          <w:rFonts w:ascii="Calibri" w:hAnsi="Calibri"/>
          <w:i/>
          <w:color w:val="5C6874"/>
          <w:sz w:val="20"/>
        </w:rPr>
        <w:t>Prepared for the MSIS Data Science Assignment | August 29, 2026</w:t>
      </w:r>
    </w:p>
    <w:p>
      <w:pPr>
        <w:spacing w:after="320"/>
      </w:pPr>
    </w:p>
    <w:p>
      <w:pPr>
        <w:spacing w:after="320"/>
      </w:pPr>
    </w:p>
    <w:p>
      <w:pPr>
        <w:spacing w:after="320"/>
      </w:pPr>
    </w:p>
    <w:p>
      <w:pPr>
        <w:spacing w:before="240" w:after="0"/>
        <w:jc w:val="center"/>
      </w:pPr>
      <w:r>
        <w:rPr>
          <w:rFonts w:ascii="Calibri" w:hAnsi="Calibri"/>
          <w:i/>
          <w:color w:val="5C6874"/>
          <w:sz w:val="19"/>
        </w:rPr>
        <w:t>Observed demographic and location data; transparently estimated membership-price target</w:t>
      </w:r>
    </w:p>
    <w:p>
      <w:r>
        <w:br w:type="page"/>
      </w:r>
    </w:p>
    <w:p>
      <w:pPr>
        <w:pStyle w:val="Heading1"/>
      </w:pPr>
      <w:r>
        <w:t>Purpose and Scope</w:t>
      </w:r>
    </w:p>
    <w:p>
      <w:r>
        <w:t>This report examines the market structure of all 67 Florida counties before regression modeling. It combines official demographic measures with live Google Places results for LA Fitness and four competitor brands. The objective is to identify distributions, relationships, and unusual counties that may affect model interpretation or expansion decisions.</w:t>
      </w:r>
    </w:p>
    <w:tbl>
      <w:tblPr>
        <w:tblW w:type="dxa" w:w="9360"/>
        <w:jc w:val="left"/>
        <w:tblLayout w:type="fixed"/>
        <w:tblLook w:firstColumn="1" w:firstRow="1" w:lastColumn="0" w:lastRow="0" w:noHBand="0" w:noVBand="1" w:val="04A0"/>
        <w:tblInd w:type="dxa" w:w="120"/>
      </w:tblPr>
      <w:tblGrid>
        <w:gridCol w:w="9360"/>
      </w:tblGrid>
      <w:tr>
        <w:trPr>
          <w:tblHeader w:val="true"/>
        </w:trPr>
        <w:tc>
          <w:tcPr>
            <w:tcW w:type="dxa" w:w="9360"/>
            <w:shd w:fill="FFF7E6"/>
            <w:vAlign w:val="center"/>
            <w:tcMar>
              <w:top w:w="80" w:type="dxa"/>
              <w:bottom w:w="80" w:type="dxa"/>
              <w:start w:w="120" w:type="dxa"/>
              <w:end w:w="120" w:type="dxa"/>
            </w:tcMar>
          </w:tcPr>
          <w:p>
            <w:pPr>
              <w:spacing w:before="40" w:after="40"/>
            </w:pPr>
            <w:r>
              <w:rPr>
                <w:rFonts w:ascii="Calibri" w:hAnsi="Calibri"/>
                <w:b/>
                <w:color w:val="12355B"/>
                <w:sz w:val="21"/>
              </w:rPr>
              <w:t xml:space="preserve">Critical limitation: </w:t>
            </w:r>
            <w:r>
              <w:rPr>
                <w:rFonts w:ascii="Calibri" w:hAnsi="Calibri"/>
                <w:color w:val="263746"/>
                <w:sz w:val="21"/>
              </w:rPr>
              <w:t>MembershipPrice is an estimated teaching variable, not an observed county price survey. It is generated from documented market inputs and random noise (seed 6643). EDA findings involving price demonstrate the workflow and must not be treated as independent market evidence.</w:t>
            </w:r>
          </w:p>
        </w:tc>
      </w:tr>
    </w:tbl>
    <w:p>
      <w:pPr>
        <w:spacing w:after="60"/>
      </w:pPr>
    </w:p>
    <w:p>
      <w:pPr>
        <w:pStyle w:val="Heading1"/>
      </w:pPr>
      <w:r>
        <w:t>Data Collection and Preparation</w:t>
      </w:r>
    </w:p>
    <w:p>
      <w:pPr>
        <w:pStyle w:val="Heading2"/>
      </w:pPr>
      <w:r>
        <w:t>Observed demographic inputs</w:t>
      </w:r>
    </w:p>
    <w:p>
      <w:pPr>
        <w:pStyle w:val="ListBullet"/>
      </w:pPr>
      <w:r>
        <w:t>CountyPopulation: 2020 Census PL 94-171 total population (P1_001N).</w:t>
      </w:r>
    </w:p>
    <w:p>
      <w:pPr>
        <w:pStyle w:val="ListBullet"/>
      </w:pPr>
      <w:r>
        <w:t>MedianHouseholdIncome: 2021 ACS five-year estimate (B19013_001E).</w:t>
      </w:r>
    </w:p>
    <w:p>
      <w:pPr>
        <w:pStyle w:val="ListBullet"/>
      </w:pPr>
      <w:r>
        <w:t>LandAreaSqMiles: 2020 Census Gazetteer; PopulationDensity is population divided by land area.</w:t>
      </w:r>
    </w:p>
    <w:p>
      <w:pPr>
        <w:pStyle w:val="Heading2"/>
      </w:pPr>
      <w:r>
        <w:t>Observed gym-market inputs</w:t>
      </w:r>
    </w:p>
    <w:p>
      <w:r>
        <w:t>The Google Places Text Search pipeline issued branded, county-specific queries, filtered results to exact county and brand matches, and deduplicated by Place ID. The submitted location file retains each gym's Google display name and formatted street address, along with coordinates, rating, and review count. It contains 387 locations across the five tracked brands.</w:t>
      </w:r>
    </w:p>
    <w:tbl>
      <w:tblPr>
        <w:tblStyle w:val="TableGrid"/>
        <w:tblW w:type="dxa" w:w="9360"/>
        <w:jc w:val="left"/>
        <w:tblLayout w:type="fixed"/>
        <w:tblLook w:firstColumn="1" w:firstRow="1" w:lastColumn="0" w:lastRow="0" w:noHBand="0" w:noVBand="1" w:val="04A0"/>
        <w:tblInd w:type="dxa" w:w="120"/>
      </w:tblPr>
      <w:tblGrid>
        <w:gridCol w:w="6500"/>
        <w:gridCol w:w="2860"/>
      </w:tblGrid>
      <w:tr>
        <w:trPr>
          <w:tblHeader w:val="true"/>
        </w:trPr>
        <w:tc>
          <w:tcPr>
            <w:tcW w:type="dxa" w:w="6500"/>
            <w:shd w:fill="F2F4F7"/>
            <w:vAlign w:val="center"/>
            <w:tcMar>
              <w:top w:w="80" w:type="dxa"/>
              <w:bottom w:w="80" w:type="dxa"/>
              <w:start w:w="120" w:type="dxa"/>
              <w:end w:w="120" w:type="dxa"/>
            </w:tcMar>
          </w:tcPr>
          <w:p>
            <w:pPr>
              <w:spacing w:before="20" w:after="20"/>
              <w:jc w:val="left"/>
            </w:pPr>
            <w:r>
              <w:rPr>
                <w:rFonts w:ascii="Calibri" w:hAnsi="Calibri"/>
                <w:b/>
                <w:color w:val="12355B"/>
                <w:sz w:val="19"/>
              </w:rPr>
              <w:t>Tracked brand</w:t>
            </w:r>
          </w:p>
        </w:tc>
        <w:tc>
          <w:tcPr>
            <w:tcW w:type="dxa" w:w="2860"/>
            <w:shd w:fill="F2F4F7"/>
            <w:vAlign w:val="center"/>
            <w:tcMar>
              <w:top w:w="80" w:type="dxa"/>
              <w:bottom w:w="80" w:type="dxa"/>
              <w:start w:w="120" w:type="dxa"/>
              <w:end w:w="120" w:type="dxa"/>
            </w:tcMar>
          </w:tcPr>
          <w:p>
            <w:pPr>
              <w:spacing w:before="20" w:after="20"/>
              <w:jc w:val="right"/>
            </w:pPr>
            <w:r>
              <w:rPr>
                <w:rFonts w:ascii="Calibri" w:hAnsi="Calibri"/>
                <w:b/>
                <w:color w:val="12355B"/>
                <w:sz w:val="19"/>
              </w:rPr>
              <w:t>Accepted locations</w:t>
            </w:r>
          </w:p>
        </w:tc>
      </w:tr>
      <w:tr>
        <w:trPr/>
        <w:tc>
          <w:tcPr>
            <w:tcW w:type="dxa" w:w="6500"/>
            <w:vAlign w:val="center"/>
            <w:tcMar>
              <w:top w:w="80" w:type="dxa"/>
              <w:bottom w:w="80" w:type="dxa"/>
              <w:start w:w="120" w:type="dxa"/>
              <w:end w:w="120" w:type="dxa"/>
            </w:tcMar>
          </w:tcPr>
          <w:p>
            <w:pPr>
              <w:spacing w:before="20" w:after="20"/>
              <w:jc w:val="left"/>
            </w:pPr>
            <w:r>
              <w:rPr>
                <w:rFonts w:ascii="Calibri" w:hAnsi="Calibri"/>
                <w:color w:val="263746"/>
                <w:sz w:val="19"/>
              </w:rPr>
              <w:t>Planet Fitness</w:t>
            </w:r>
          </w:p>
        </w:tc>
        <w:tc>
          <w:tcPr>
            <w:tcW w:type="dxa" w:w="2860"/>
            <w:vAlign w:val="center"/>
            <w:tcMar>
              <w:top w:w="80" w:type="dxa"/>
              <w:bottom w:w="80" w:type="dxa"/>
              <w:start w:w="120" w:type="dxa"/>
              <w:end w:w="120" w:type="dxa"/>
            </w:tcMar>
          </w:tcPr>
          <w:p>
            <w:pPr>
              <w:spacing w:before="20" w:after="20"/>
              <w:jc w:val="right"/>
            </w:pPr>
            <w:r>
              <w:rPr>
                <w:rFonts w:ascii="Calibri" w:hAnsi="Calibri"/>
                <w:color w:val="263746"/>
                <w:sz w:val="19"/>
              </w:rPr>
              <w:t>176</w:t>
            </w:r>
          </w:p>
        </w:tc>
      </w:tr>
      <w:tr>
        <w:trPr/>
        <w:tc>
          <w:tcPr>
            <w:tcW w:type="dxa" w:w="6500"/>
            <w:vAlign w:val="center"/>
            <w:tcMar>
              <w:top w:w="80" w:type="dxa"/>
              <w:bottom w:w="80" w:type="dxa"/>
              <w:start w:w="120" w:type="dxa"/>
              <w:end w:w="120" w:type="dxa"/>
            </w:tcMar>
          </w:tcPr>
          <w:p>
            <w:pPr>
              <w:spacing w:before="20" w:after="20"/>
              <w:jc w:val="left"/>
            </w:pPr>
            <w:r>
              <w:rPr>
                <w:rFonts w:ascii="Calibri" w:hAnsi="Calibri"/>
                <w:color w:val="263746"/>
                <w:sz w:val="19"/>
              </w:rPr>
              <w:t>Orangetheory Fitness</w:t>
            </w:r>
          </w:p>
        </w:tc>
        <w:tc>
          <w:tcPr>
            <w:tcW w:type="dxa" w:w="2860"/>
            <w:vAlign w:val="center"/>
            <w:tcMar>
              <w:top w:w="80" w:type="dxa"/>
              <w:bottom w:w="80" w:type="dxa"/>
              <w:start w:w="120" w:type="dxa"/>
              <w:end w:w="120" w:type="dxa"/>
            </w:tcMar>
          </w:tcPr>
          <w:p>
            <w:pPr>
              <w:spacing w:before="20" w:after="20"/>
              <w:jc w:val="right"/>
            </w:pPr>
            <w:r>
              <w:rPr>
                <w:rFonts w:ascii="Calibri" w:hAnsi="Calibri"/>
                <w:color w:val="263746"/>
                <w:sz w:val="19"/>
              </w:rPr>
              <w:t>107</w:t>
            </w:r>
          </w:p>
        </w:tc>
      </w:tr>
      <w:tr>
        <w:trPr/>
        <w:tc>
          <w:tcPr>
            <w:tcW w:type="dxa" w:w="6500"/>
            <w:vAlign w:val="center"/>
            <w:tcMar>
              <w:top w:w="80" w:type="dxa"/>
              <w:bottom w:w="80" w:type="dxa"/>
              <w:start w:w="120" w:type="dxa"/>
              <w:end w:w="120" w:type="dxa"/>
            </w:tcMar>
          </w:tcPr>
          <w:p>
            <w:pPr>
              <w:spacing w:before="20" w:after="20"/>
              <w:jc w:val="left"/>
            </w:pPr>
            <w:r>
              <w:rPr>
                <w:rFonts w:ascii="Calibri" w:hAnsi="Calibri"/>
                <w:color w:val="263746"/>
                <w:sz w:val="19"/>
              </w:rPr>
              <w:t>LA Fitness</w:t>
            </w:r>
          </w:p>
        </w:tc>
        <w:tc>
          <w:tcPr>
            <w:tcW w:type="dxa" w:w="2860"/>
            <w:vAlign w:val="center"/>
            <w:tcMar>
              <w:top w:w="80" w:type="dxa"/>
              <w:bottom w:w="80" w:type="dxa"/>
              <w:start w:w="120" w:type="dxa"/>
              <w:end w:w="120" w:type="dxa"/>
            </w:tcMar>
          </w:tcPr>
          <w:p>
            <w:pPr>
              <w:spacing w:before="20" w:after="20"/>
              <w:jc w:val="right"/>
            </w:pPr>
            <w:r>
              <w:rPr>
                <w:rFonts w:ascii="Calibri" w:hAnsi="Calibri"/>
                <w:color w:val="263746"/>
                <w:sz w:val="19"/>
              </w:rPr>
              <w:t>88</w:t>
            </w:r>
          </w:p>
        </w:tc>
      </w:tr>
      <w:tr>
        <w:trPr/>
        <w:tc>
          <w:tcPr>
            <w:tcW w:type="dxa" w:w="6500"/>
            <w:vAlign w:val="center"/>
            <w:tcMar>
              <w:top w:w="80" w:type="dxa"/>
              <w:bottom w:w="80" w:type="dxa"/>
              <w:start w:w="120" w:type="dxa"/>
              <w:end w:w="120" w:type="dxa"/>
            </w:tcMar>
          </w:tcPr>
          <w:p>
            <w:pPr>
              <w:spacing w:before="20" w:after="20"/>
              <w:jc w:val="left"/>
            </w:pPr>
            <w:r>
              <w:rPr>
                <w:rFonts w:ascii="Calibri" w:hAnsi="Calibri"/>
                <w:color w:val="263746"/>
                <w:sz w:val="19"/>
              </w:rPr>
              <w:t>Gold's Gym</w:t>
            </w:r>
          </w:p>
        </w:tc>
        <w:tc>
          <w:tcPr>
            <w:tcW w:type="dxa" w:w="2860"/>
            <w:vAlign w:val="center"/>
            <w:tcMar>
              <w:top w:w="80" w:type="dxa"/>
              <w:bottom w:w="80" w:type="dxa"/>
              <w:start w:w="120" w:type="dxa"/>
              <w:end w:w="120" w:type="dxa"/>
            </w:tcMar>
          </w:tcPr>
          <w:p>
            <w:pPr>
              <w:spacing w:before="20" w:after="20"/>
              <w:jc w:val="right"/>
            </w:pPr>
            <w:r>
              <w:rPr>
                <w:rFonts w:ascii="Calibri" w:hAnsi="Calibri"/>
                <w:color w:val="263746"/>
                <w:sz w:val="19"/>
              </w:rPr>
              <w:t>11</w:t>
            </w:r>
          </w:p>
        </w:tc>
      </w:tr>
      <w:tr>
        <w:trPr/>
        <w:tc>
          <w:tcPr>
            <w:tcW w:type="dxa" w:w="6500"/>
            <w:vAlign w:val="center"/>
            <w:tcMar>
              <w:top w:w="80" w:type="dxa"/>
              <w:bottom w:w="80" w:type="dxa"/>
              <w:start w:w="120" w:type="dxa"/>
              <w:end w:w="120" w:type="dxa"/>
            </w:tcMar>
          </w:tcPr>
          <w:p>
            <w:pPr>
              <w:spacing w:before="20" w:after="20"/>
              <w:jc w:val="left"/>
            </w:pPr>
            <w:r>
              <w:rPr>
                <w:rFonts w:ascii="Calibri" w:hAnsi="Calibri"/>
                <w:color w:val="263746"/>
                <w:sz w:val="19"/>
              </w:rPr>
              <w:t>24 Hour Fitness</w:t>
            </w:r>
          </w:p>
        </w:tc>
        <w:tc>
          <w:tcPr>
            <w:tcW w:type="dxa" w:w="2860"/>
            <w:vAlign w:val="center"/>
            <w:tcMar>
              <w:top w:w="80" w:type="dxa"/>
              <w:bottom w:w="80" w:type="dxa"/>
              <w:start w:w="120" w:type="dxa"/>
              <w:end w:w="120" w:type="dxa"/>
            </w:tcMar>
          </w:tcPr>
          <w:p>
            <w:pPr>
              <w:spacing w:before="20" w:after="20"/>
              <w:jc w:val="right"/>
            </w:pPr>
            <w:r>
              <w:rPr>
                <w:rFonts w:ascii="Calibri" w:hAnsi="Calibri"/>
                <w:color w:val="263746"/>
                <w:sz w:val="19"/>
              </w:rPr>
              <w:t>5</w:t>
            </w:r>
          </w:p>
        </w:tc>
      </w:tr>
    </w:tbl>
    <w:p>
      <w:pPr>
        <w:spacing w:before="80" w:after="0"/>
      </w:pPr>
    </w:p>
    <w:p>
      <w:r>
        <w:t>Google Places results are a retrieval-time snapshot. Search relevance, closures, brand naming, and data coverage can change, so counts should be validated before a real estate commitment.</w:t>
      </w:r>
    </w:p>
    <w:p>
      <w:pPr>
        <w:pStyle w:val="Heading2"/>
        <w:pageBreakBefore/>
      </w:pPr>
      <w:r>
        <w:t>Missing-Data Treatment</w:t>
      </w:r>
    </w:p>
    <w:p>
      <w:pPr>
        <w:pStyle w:val="ListBullet"/>
      </w:pPr>
      <w:r>
        <w:t>Missing LA Fitness and competitor counts were set to zero after the county merge.</w:t>
      </w:r>
    </w:p>
    <w:p>
      <w:pPr>
        <w:pStyle w:val="ListBullet"/>
      </w:pPr>
      <w:r>
        <w:t>23 counties with no retained tracked-brand ratings received the statewide median Google Places rating. The completed MainDataset contains no missing values.</w:t>
      </w:r>
    </w:p>
    <w:p>
      <w:pPr>
        <w:pStyle w:val="ListBullet"/>
      </w:pPr>
      <w:r>
        <w:t>Post-integration missing values in the analytical dataset: 0.</w:t>
      </w:r>
    </w:p>
    <w:p>
      <w:pPr>
        <w:pStyle w:val="Heading1"/>
      </w:pPr>
      <w:r>
        <w:t>Descriptive Statistics</w:t>
      </w:r>
    </w:p>
    <w:tbl>
      <w:tblPr>
        <w:tblStyle w:val="TableGrid"/>
        <w:tblW w:type="dxa" w:w="9360"/>
        <w:jc w:val="left"/>
        <w:tblLayout w:type="fixed"/>
        <w:tblLook w:firstColumn="1" w:firstRow="1" w:lastColumn="0" w:lastRow="0" w:noHBand="0" w:noVBand="1" w:val="04A0"/>
        <w:tblInd w:type="dxa" w:w="120"/>
      </w:tblPr>
      <w:tblGrid>
        <w:gridCol w:w="2550"/>
        <w:gridCol w:w="1362"/>
        <w:gridCol w:w="1362"/>
        <w:gridCol w:w="1362"/>
        <w:gridCol w:w="1362"/>
        <w:gridCol w:w="1362"/>
      </w:tblGrid>
      <w:tr>
        <w:trPr>
          <w:tblHeader w:val="true"/>
        </w:trPr>
        <w:tc>
          <w:tcPr>
            <w:tcW w:type="dxa" w:w="2550"/>
            <w:shd w:fill="F2F4F7"/>
            <w:vAlign w:val="center"/>
            <w:tcMar>
              <w:top w:w="80" w:type="dxa"/>
              <w:bottom w:w="80" w:type="dxa"/>
              <w:start w:w="120" w:type="dxa"/>
              <w:end w:w="120" w:type="dxa"/>
            </w:tcMar>
          </w:tcPr>
          <w:p>
            <w:pPr>
              <w:spacing w:before="20" w:after="20"/>
              <w:jc w:val="center"/>
            </w:pPr>
            <w:r>
              <w:rPr>
                <w:rFonts w:ascii="Calibri" w:hAnsi="Calibri"/>
                <w:b/>
                <w:color w:val="12355B"/>
                <w:sz w:val="17"/>
              </w:rPr>
              <w:t>Variable</w:t>
            </w:r>
          </w:p>
        </w:tc>
        <w:tc>
          <w:tcPr>
            <w:tcW w:type="dxa" w:w="1362"/>
            <w:shd w:fill="F2F4F7"/>
            <w:vAlign w:val="center"/>
            <w:tcMar>
              <w:top w:w="80" w:type="dxa"/>
              <w:bottom w:w="80" w:type="dxa"/>
              <w:start w:w="120" w:type="dxa"/>
              <w:end w:w="120" w:type="dxa"/>
            </w:tcMar>
          </w:tcPr>
          <w:p>
            <w:pPr>
              <w:spacing w:before="20" w:after="20"/>
              <w:jc w:val="center"/>
            </w:pPr>
            <w:r>
              <w:rPr>
                <w:rFonts w:ascii="Calibri" w:hAnsi="Calibri"/>
                <w:b/>
                <w:color w:val="12355B"/>
                <w:sz w:val="17"/>
              </w:rPr>
              <w:t>Mean</w:t>
            </w:r>
          </w:p>
        </w:tc>
        <w:tc>
          <w:tcPr>
            <w:tcW w:type="dxa" w:w="1362"/>
            <w:shd w:fill="F2F4F7"/>
            <w:vAlign w:val="center"/>
            <w:tcMar>
              <w:top w:w="80" w:type="dxa"/>
              <w:bottom w:w="80" w:type="dxa"/>
              <w:start w:w="120" w:type="dxa"/>
              <w:end w:w="120" w:type="dxa"/>
            </w:tcMar>
          </w:tcPr>
          <w:p>
            <w:pPr>
              <w:spacing w:before="20" w:after="20"/>
              <w:jc w:val="center"/>
            </w:pPr>
            <w:r>
              <w:rPr>
                <w:rFonts w:ascii="Calibri" w:hAnsi="Calibri"/>
                <w:b/>
                <w:color w:val="12355B"/>
                <w:sz w:val="17"/>
              </w:rPr>
              <w:t>Median</w:t>
            </w:r>
          </w:p>
        </w:tc>
        <w:tc>
          <w:tcPr>
            <w:tcW w:type="dxa" w:w="1362"/>
            <w:shd w:fill="F2F4F7"/>
            <w:vAlign w:val="center"/>
            <w:tcMar>
              <w:top w:w="80" w:type="dxa"/>
              <w:bottom w:w="80" w:type="dxa"/>
              <w:start w:w="120" w:type="dxa"/>
              <w:end w:w="120" w:type="dxa"/>
            </w:tcMar>
          </w:tcPr>
          <w:p>
            <w:pPr>
              <w:spacing w:before="20" w:after="20"/>
              <w:jc w:val="center"/>
            </w:pPr>
            <w:r>
              <w:rPr>
                <w:rFonts w:ascii="Calibri" w:hAnsi="Calibri"/>
                <w:b/>
                <w:color w:val="12355B"/>
                <w:sz w:val="17"/>
              </w:rPr>
              <w:t>Std. dev.</w:t>
            </w:r>
          </w:p>
        </w:tc>
        <w:tc>
          <w:tcPr>
            <w:tcW w:type="dxa" w:w="1362"/>
            <w:shd w:fill="F2F4F7"/>
            <w:vAlign w:val="center"/>
            <w:tcMar>
              <w:top w:w="80" w:type="dxa"/>
              <w:bottom w:w="80" w:type="dxa"/>
              <w:start w:w="120" w:type="dxa"/>
              <w:end w:w="120" w:type="dxa"/>
            </w:tcMar>
          </w:tcPr>
          <w:p>
            <w:pPr>
              <w:spacing w:before="20" w:after="20"/>
              <w:jc w:val="center"/>
            </w:pPr>
            <w:r>
              <w:rPr>
                <w:rFonts w:ascii="Calibri" w:hAnsi="Calibri"/>
                <w:b/>
                <w:color w:val="12355B"/>
                <w:sz w:val="17"/>
              </w:rPr>
              <w:t>Minimum</w:t>
            </w:r>
          </w:p>
        </w:tc>
        <w:tc>
          <w:tcPr>
            <w:tcW w:type="dxa" w:w="1362"/>
            <w:shd w:fill="F2F4F7"/>
            <w:vAlign w:val="center"/>
            <w:tcMar>
              <w:top w:w="80" w:type="dxa"/>
              <w:bottom w:w="80" w:type="dxa"/>
              <w:start w:w="120" w:type="dxa"/>
              <w:end w:w="120" w:type="dxa"/>
            </w:tcMar>
          </w:tcPr>
          <w:p>
            <w:pPr>
              <w:spacing w:before="20" w:after="20"/>
              <w:jc w:val="center"/>
            </w:pPr>
            <w:r>
              <w:rPr>
                <w:rFonts w:ascii="Calibri" w:hAnsi="Calibri"/>
                <w:b/>
                <w:color w:val="12355B"/>
                <w:sz w:val="17"/>
              </w:rPr>
              <w:t>Maximum</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MembershipPrice</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$37.98</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$37.45</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$3.52</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$31.58</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$46.46</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CountyPopulation</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321,465.48</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129,752.00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500,924.43</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7,974.00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2,701,767.00</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LAFitnessLocations</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1.31</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0.00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3.18</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0.00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16.00</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CompetitorLocations</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4.46</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2.00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6.78</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0.00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29.00</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MedianHouseholdIncome</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$56,361</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$56,786</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$11,801</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$38,088</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$88,794</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PopulationDensity</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384.49</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188.16</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574.10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9.54</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3,504.16</w:t>
            </w:r>
          </w:p>
        </w:tc>
      </w:tr>
      <w:tr>
        <w:trPr/>
        <w:tc>
          <w:tcPr>
            <w:tcW w:type="dxa" w:w="2550"/>
            <w:vAlign w:val="center"/>
            <w:tcMar>
              <w:top w:w="80" w:type="dxa"/>
              <w:bottom w:w="80" w:type="dxa"/>
              <w:start w:w="120" w:type="dxa"/>
              <w:end w:w="120" w:type="dxa"/>
            </w:tcMar>
          </w:tcPr>
          <w:p>
            <w:pPr>
              <w:spacing w:before="20" w:after="20"/>
              <w:jc w:val="left"/>
            </w:pPr>
            <w:r>
              <w:rPr>
                <w:rFonts w:ascii="Calibri" w:hAnsi="Calibri"/>
                <w:color w:val="263746"/>
                <w:sz w:val="17"/>
              </w:rPr>
              <w:t>AvgGymRating</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4.42</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4.40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0.14</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4.10</w:t>
            </w:r>
          </w:p>
        </w:tc>
        <w:tc>
          <w:tcPr>
            <w:tcW w:type="dxa" w:w="1362"/>
            <w:vAlign w:val="center"/>
            <w:tcMar>
              <w:top w:w="80" w:type="dxa"/>
              <w:bottom w:w="80" w:type="dxa"/>
              <w:start w:w="120" w:type="dxa"/>
              <w:end w:w="120" w:type="dxa"/>
            </w:tcMar>
          </w:tcPr>
          <w:p>
            <w:pPr>
              <w:spacing w:before="20" w:after="20"/>
              <w:jc w:val="right"/>
            </w:pPr>
            <w:r>
              <w:rPr>
                <w:rFonts w:ascii="Calibri" w:hAnsi="Calibri"/>
                <w:color w:val="263746"/>
                <w:sz w:val="17"/>
              </w:rPr>
              <w:t>4.80</w:t>
            </w:r>
          </w:p>
        </w:tc>
      </w:tr>
    </w:tbl>
    <w:p>
      <w:pPr>
        <w:spacing w:before="80" w:after="0"/>
      </w:pPr>
    </w:p>
    <w:p>
      <w:pPr>
        <w:pStyle w:val="Heading1"/>
      </w:pPr>
      <w:r>
        <w:t>Required Visual Analysis</w:t>
      </w:r>
    </w:p>
    <w:p>
      <w:pPr>
        <w:keepNext/>
        <w:pageBreakBefore w:val="0"/>
        <w:spacing w:before="80" w:after="0"/>
        <w:jc w:val="center"/>
      </w:pPr>
      <w:r>
        <w:drawing>
          <wp:inline xmlns:a="http://schemas.openxmlformats.org/drawingml/2006/main" xmlns:pic="http://schemas.openxmlformats.org/drawingml/2006/picture">
            <wp:extent cx="5623560" cy="3467427"/>
            <wp:docPr id="1" name="Picture 1" descr="Scatter plot of Florida county population against estimated membership price with a fitted trend line."/>
            <wp:cNvGraphicFramePr>
              <a:graphicFrameLocks noChangeAspect="1"/>
            </wp:cNvGraphicFramePr>
            <a:graphic>
              <a:graphicData uri="http://schemas.openxmlformats.org/drawingml/2006/picture">
                <pic:pic>
                  <pic:nvPicPr>
                    <pic:cNvPr id="0" name="01_population_vs_price.png"/>
                    <pic:cNvPicPr/>
                  </pic:nvPicPr>
                  <pic:blipFill>
                    <a:blip r:embed="rId13"/>
                    <a:stretch>
                      <a:fillRect/>
                    </a:stretch>
                  </pic:blipFill>
                  <pic:spPr>
                    <a:xfrm>
                      <a:off x="0" y="0"/>
                      <a:ext cx="5623560" cy="3467427"/>
                    </a:xfrm>
                    <a:prstGeom prst="rect"/>
                  </pic:spPr>
                </pic:pic>
              </a:graphicData>
            </a:graphic>
          </wp:inline>
        </w:drawing>
      </w:r>
    </w:p>
    <w:p>
      <w:pPr>
        <w:pStyle w:val="Caption"/>
        <w:jc w:val="center"/>
      </w:pPr>
      <w:r>
        <w:t>Figure 1. County population versus estimated monthly membership price.</w:t>
      </w:r>
    </w:p>
    <w:p>
      <w:pPr>
        <w:keepNext/>
        <w:pageBreakBefore/>
        <w:spacing w:before="80" w:after="0"/>
        <w:jc w:val="center"/>
      </w:pPr>
      <w:r>
        <w:drawing>
          <wp:inline xmlns:a="http://schemas.openxmlformats.org/drawingml/2006/main" xmlns:pic="http://schemas.openxmlformats.org/drawingml/2006/picture">
            <wp:extent cx="4754880" cy="2938626"/>
            <wp:docPr id="2" name="Picture 2" descr="Scatter plot of county median household income against estimated membership price."/>
            <wp:cNvGraphicFramePr>
              <a:graphicFrameLocks noChangeAspect="1"/>
            </wp:cNvGraphicFramePr>
            <a:graphic>
              <a:graphicData uri="http://schemas.openxmlformats.org/drawingml/2006/picture">
                <pic:pic>
                  <pic:nvPicPr>
                    <pic:cNvPr id="0" name="02_income_vs_price.png"/>
                    <pic:cNvPicPr/>
                  </pic:nvPicPr>
                  <pic:blipFill>
                    <a:blip r:embed="rId14"/>
                    <a:stretch>
                      <a:fillRect/>
                    </a:stretch>
                  </pic:blipFill>
                  <pic:spPr>
                    <a:xfrm>
                      <a:off x="0" y="0"/>
                      <a:ext cx="4754880" cy="2938626"/>
                    </a:xfrm>
                    <a:prstGeom prst="rect"/>
                  </pic:spPr>
                </pic:pic>
              </a:graphicData>
            </a:graphic>
          </wp:inline>
        </w:drawing>
      </w:r>
    </w:p>
    <w:p>
      <w:pPr>
        <w:pStyle w:val="Caption"/>
        <w:jc w:val="center"/>
      </w:pPr>
      <w:r>
        <w:t>Figure 2. Median household income versus estimated monthly membership price.</w:t>
      </w:r>
    </w:p>
    <w:p>
      <w:pPr>
        <w:keepNext/>
        <w:pageBreakBefore w:val="0"/>
        <w:spacing w:before="80" w:after="0"/>
        <w:jc w:val="center"/>
      </w:pPr>
      <w:r>
        <w:drawing>
          <wp:inline xmlns:a="http://schemas.openxmlformats.org/drawingml/2006/main" xmlns:pic="http://schemas.openxmlformats.org/drawingml/2006/picture">
            <wp:extent cx="4754880" cy="2931808"/>
            <wp:docPr id="3" name="Picture 3" descr="Scatter plot of observed LA Fitness locations by county against estimated membership price."/>
            <wp:cNvGraphicFramePr>
              <a:graphicFrameLocks noChangeAspect="1"/>
            </wp:cNvGraphicFramePr>
            <a:graphic>
              <a:graphicData uri="http://schemas.openxmlformats.org/drawingml/2006/picture">
                <pic:pic>
                  <pic:nvPicPr>
                    <pic:cNvPr id="0" name="03_la_locations_vs_price.png"/>
                    <pic:cNvPicPr/>
                  </pic:nvPicPr>
                  <pic:blipFill>
                    <a:blip r:embed="rId15"/>
                    <a:stretch>
                      <a:fillRect/>
                    </a:stretch>
                  </pic:blipFill>
                  <pic:spPr>
                    <a:xfrm>
                      <a:off x="0" y="0"/>
                      <a:ext cx="4754880" cy="2931808"/>
                    </a:xfrm>
                    <a:prstGeom prst="rect"/>
                  </pic:spPr>
                </pic:pic>
              </a:graphicData>
            </a:graphic>
          </wp:inline>
        </w:drawing>
      </w:r>
    </w:p>
    <w:p>
      <w:pPr>
        <w:pStyle w:val="Caption"/>
        <w:jc w:val="center"/>
      </w:pPr>
      <w:r>
        <w:t>Figure 3. Observed LA Fitness location count versus estimated price.</w:t>
      </w:r>
    </w:p>
    <w:p>
      <w:pPr>
        <w:keepNext/>
        <w:pageBreakBefore w:val="0"/>
        <w:spacing w:before="80" w:after="0"/>
        <w:jc w:val="center"/>
      </w:pPr>
      <w:r>
        <w:drawing>
          <wp:inline xmlns:a="http://schemas.openxmlformats.org/drawingml/2006/main" xmlns:pic="http://schemas.openxmlformats.org/drawingml/2006/picture">
            <wp:extent cx="5623560" cy="3467427"/>
            <wp:docPr id="4" name="Picture 4" descr="Histogram of estimated county membership price with the mean marked."/>
            <wp:cNvGraphicFramePr>
              <a:graphicFrameLocks noChangeAspect="1"/>
            </wp:cNvGraphicFramePr>
            <a:graphic>
              <a:graphicData uri="http://schemas.openxmlformats.org/drawingml/2006/picture">
                <pic:pic>
                  <pic:nvPicPr>
                    <pic:cNvPr id="0" name="04_price_histogram.png"/>
                    <pic:cNvPicPr/>
                  </pic:nvPicPr>
                  <pic:blipFill>
                    <a:blip r:embed="rId16"/>
                    <a:stretch>
                      <a:fillRect/>
                    </a:stretch>
                  </pic:blipFill>
                  <pic:spPr>
                    <a:xfrm>
                      <a:off x="0" y="0"/>
                      <a:ext cx="5623560" cy="3467427"/>
                    </a:xfrm>
                    <a:prstGeom prst="rect"/>
                  </pic:spPr>
                </pic:pic>
              </a:graphicData>
            </a:graphic>
          </wp:inline>
        </w:drawing>
      </w:r>
    </w:p>
    <w:p>
      <w:pPr>
        <w:pStyle w:val="Caption"/>
        <w:jc w:val="center"/>
      </w:pPr>
      <w:r>
        <w:t>Figure 4. Distribution of estimated county membership prices.</w:t>
      </w:r>
    </w:p>
    <w:p>
      <w:pPr>
        <w:keepNext/>
        <w:pageBreakBefore/>
        <w:spacing w:before="80" w:after="0"/>
        <w:jc w:val="center"/>
      </w:pPr>
      <w:r>
        <w:drawing>
          <wp:inline xmlns:a="http://schemas.openxmlformats.org/drawingml/2006/main" xmlns:pic="http://schemas.openxmlformats.org/drawingml/2006/picture">
            <wp:extent cx="5029200" cy="4030286"/>
            <wp:docPr id="5" name="Picture 5" descr="Lower-triangle heatmap of correlations among price and six independent variables."/>
            <wp:cNvGraphicFramePr>
              <a:graphicFrameLocks noChangeAspect="1"/>
            </wp:cNvGraphicFramePr>
            <a:graphic>
              <a:graphicData uri="http://schemas.openxmlformats.org/drawingml/2006/picture">
                <pic:pic>
                  <pic:nvPicPr>
                    <pic:cNvPr id="0" name="05_correlation_heatmap.png"/>
                    <pic:cNvPicPr/>
                  </pic:nvPicPr>
                  <pic:blipFill>
                    <a:blip r:embed="rId17"/>
                    <a:stretch>
                      <a:fillRect/>
                    </a:stretch>
                  </pic:blipFill>
                  <pic:spPr>
                    <a:xfrm>
                      <a:off x="0" y="0"/>
                      <a:ext cx="5029200" cy="4030286"/>
                    </a:xfrm>
                    <a:prstGeom prst="rect"/>
                  </pic:spPr>
                </pic:pic>
              </a:graphicData>
            </a:graphic>
          </wp:inline>
        </w:drawing>
      </w:r>
    </w:p>
    <w:p>
      <w:pPr>
        <w:pStyle w:val="Caption"/>
        <w:jc w:val="center"/>
      </w:pPr>
      <w:r>
        <w:t>Figure 5. Pearson correlation matrix for all analytical variables.</w:t>
      </w:r>
    </w:p>
    <w:p>
      <w:pPr>
        <w:pStyle w:val="Heading1"/>
      </w:pPr>
      <w:r>
        <w:t>Correlation Findings</w:t>
      </w:r>
    </w:p>
    <w:p>
      <w:pPr>
        <w:pStyle w:val="ListBullet"/>
      </w:pPr>
      <w:r>
        <w:t>PopulationDensity: r = 0.598 (positive).</w:t>
      </w:r>
    </w:p>
    <w:p>
      <w:pPr>
        <w:pStyle w:val="ListBullet"/>
      </w:pPr>
      <w:r>
        <w:t>LAFitnessLocations: r = 0.577 (positive).</w:t>
      </w:r>
    </w:p>
    <w:p>
      <w:pPr>
        <w:pStyle w:val="ListBullet"/>
      </w:pPr>
      <w:r>
        <w:t>CompetitorLocations: r = 0.570 (positive).</w:t>
      </w:r>
    </w:p>
    <w:p>
      <w:pPr>
        <w:pStyle w:val="ListBullet"/>
      </w:pPr>
      <w:r>
        <w:t>CountyPopulation: r = 0.563 (positive).</w:t>
      </w:r>
    </w:p>
    <w:p>
      <w:pPr>
        <w:pStyle w:val="ListBullet"/>
      </w:pPr>
      <w:r>
        <w:t>MedianHouseholdIncome: r = 0.491 (positive).</w:t>
      </w:r>
    </w:p>
    <w:p>
      <w:pPr>
        <w:pStyle w:val="ListBullet"/>
      </w:pPr>
      <w:r>
        <w:t>AvgGymRating: r = 0.211 (positive).</w:t>
      </w:r>
    </w:p>
    <w:p>
      <w:r>
        <w:t>The market-size variables are also related to one another. This is expected because large, dense, affluent counties tend to support more fitness locations. Those relationships motivate the formal VIF check in the regression report.</w:t>
      </w:r>
    </w:p>
    <w:p>
      <w:pPr>
        <w:pStyle w:val="Heading1"/>
        <w:pageBreakBefore/>
      </w:pPr>
      <w:r>
        <w:t>Outliers and Business Meaning</w:t>
      </w:r>
    </w:p>
    <w:p>
      <w:pPr>
        <w:pStyle w:val="ListBullet"/>
      </w:pPr>
      <w:r>
        <w:t>Population: Miami-Dade County is the largest county market at 2,701,767 residents, giving it disproportionate leverage in raw population relationships.</w:t>
      </w:r>
    </w:p>
    <w:p>
      <w:pPr>
        <w:pStyle w:val="ListBullet"/>
      </w:pPr>
      <w:r>
        <w:t>Density: Pinellas County has the highest density at 3,504.2 residents per square mile, reflecting a different site-selection environment from geographically large rural counties.</w:t>
      </w:r>
    </w:p>
    <w:p>
      <w:pPr>
        <w:pStyle w:val="ListBullet"/>
      </w:pPr>
      <w:r>
        <w:t>Purchasing power: St. Johns County has the highest 2021 median household income at $88,794.</w:t>
      </w:r>
    </w:p>
    <w:p>
      <w:pPr>
        <w:pStyle w:val="ListBullet"/>
      </w:pPr>
      <w:r>
        <w:t>Influence diagnostics flagged Pinellas County, Miami-Dade County, St. Johns County, Columbia County. These counties deserve sensitivity review; a flag does not mean the data are wrong.</w:t>
      </w:r>
    </w:p>
    <w:p>
      <w:pPr>
        <w:pStyle w:val="Heading1"/>
      </w:pPr>
      <w:r>
        <w:t>EDA Conclusions</w:t>
      </w:r>
    </w:p>
    <w:p>
      <w:pPr>
        <w:pStyle w:val="ListNumber"/>
      </w:pPr>
      <w:r>
        <w:t>County markets differ sharply in size, density, purchasing power, and chain presence.</w:t>
      </w:r>
    </w:p>
    <w:p>
      <w:pPr>
        <w:pStyle w:val="ListNumber"/>
      </w:pPr>
      <w:r>
        <w:t>Estimated price is most strongly associated with a subset of the market variables, but the target is synthetic by design.</w:t>
      </w:r>
    </w:p>
    <w:p>
      <w:pPr>
        <w:pStyle w:val="ListNumber"/>
      </w:pPr>
      <w:r>
        <w:t>The 67-row dataset is complete and suitable for the required OLS demonstration, subject to multicollinearity and influence checks.</w:t>
      </w:r>
    </w:p>
    <w:p>
      <w:pPr>
        <w:pStyle w:val="ListNumber"/>
      </w:pPr>
      <w:r>
        <w:t>Business use requires observed county pricing, a refreshed Places pull, and direct validation of candidate trade areas.</w:t>
      </w:r>
    </w:p>
    <w:p>
      <w:pPr>
        <w:pStyle w:val="Heading1"/>
        <w:pageBreakBefore/>
      </w:pPr>
      <w:r>
        <w:t>References</w:t>
      </w:r>
    </w:p>
    <w:p>
      <w:pPr>
        <w:spacing w:after="100"/>
        <w:ind w:left="317" w:hanging="317"/>
      </w:pPr>
      <w:r>
        <w:rPr>
          <w:rFonts w:ascii="Calibri" w:hAnsi="Calibri"/>
          <w:color w:val="263746"/>
          <w:sz w:val="19"/>
        </w:rPr>
        <w:t xml:space="preserve">U.S. Census Bureau. 2020 Census Redistricting Data, Table P1, variable P1_001N. </w:t>
      </w:r>
      <w:hyperlink r:id="rId18">
        <w:r>
          <w:rPr>
            <w:color w:val="2E74B5"/>
            <w:u w:val="single"/>
          </w:rPr>
          <w:t>Source</w:t>
        </w:r>
      </w:hyperlink>
    </w:p>
    <w:p>
      <w:pPr>
        <w:spacing w:after="100"/>
        <w:ind w:left="317" w:hanging="317"/>
      </w:pPr>
      <w:r>
        <w:rPr>
          <w:rFonts w:ascii="Calibri" w:hAnsi="Calibri"/>
          <w:color w:val="263746"/>
          <w:sz w:val="19"/>
        </w:rPr>
        <w:t xml:space="preserve">U.S. Census Bureau. 2021 ACS 5-Year Estimates, Table B19013, median household income. </w:t>
      </w:r>
      <w:hyperlink r:id="rId19">
        <w:r>
          <w:rPr>
            <w:color w:val="2E74B5"/>
            <w:u w:val="single"/>
          </w:rPr>
          <w:t>Source</w:t>
        </w:r>
      </w:hyperlink>
    </w:p>
    <w:p>
      <w:pPr>
        <w:spacing w:after="100"/>
        <w:ind w:left="317" w:hanging="317"/>
      </w:pPr>
      <w:r>
        <w:rPr>
          <w:rFonts w:ascii="Calibri" w:hAnsi="Calibri"/>
          <w:color w:val="263746"/>
          <w:sz w:val="19"/>
        </w:rPr>
        <w:t xml:space="preserve">U.S. Census Bureau. 2020 Gazetteer Files and record layout. </w:t>
      </w:r>
      <w:hyperlink r:id="rId20">
        <w:r>
          <w:rPr>
            <w:color w:val="2E74B5"/>
            <w:u w:val="single"/>
          </w:rPr>
          <w:t>Source</w:t>
        </w:r>
      </w:hyperlink>
    </w:p>
    <w:p>
      <w:pPr>
        <w:spacing w:after="100"/>
        <w:ind w:left="317" w:hanging="317"/>
      </w:pPr>
      <w:r>
        <w:rPr>
          <w:rFonts w:ascii="Calibri" w:hAnsi="Calibri"/>
          <w:color w:val="263746"/>
          <w:sz w:val="19"/>
        </w:rPr>
        <w:t xml:space="preserve">Google Maps Platform. Text Search (New) documentation and pagination requirements. </w:t>
      </w:r>
      <w:hyperlink r:id="rId21">
        <w:r>
          <w:rPr>
            <w:color w:val="2E74B5"/>
            <w:u w:val="single"/>
          </w:rPr>
          <w:t>Source</w:t>
        </w:r>
      </w:hyperlink>
    </w:p>
    <w:p>
      <w:pPr>
        <w:spacing w:after="100"/>
        <w:ind w:left="317" w:hanging="317"/>
      </w:pPr>
      <w:r>
        <w:rPr>
          <w:rFonts w:ascii="Calibri" w:hAnsi="Calibri"/>
          <w:color w:val="263746"/>
          <w:sz w:val="19"/>
        </w:rPr>
        <w:t xml:space="preserve">LA Fitness. Public online membership rate example with monthly plan options. </w:t>
      </w:r>
      <w:hyperlink r:id="rId22">
        <w:r>
          <w:rPr>
            <w:color w:val="2E74B5"/>
            <w:u w:val="single"/>
          </w:rPr>
          <w:t>Source</w:t>
        </w:r>
      </w:hyperlink>
    </w:p>
    <w:p>
      <w:pPr>
        <w:spacing w:after="100"/>
        <w:ind w:left="317" w:hanging="317"/>
      </w:pPr>
      <w:r>
        <w:rPr>
          <w:rFonts w:ascii="Calibri" w:hAnsi="Calibri"/>
          <w:color w:val="263746"/>
          <w:sz w:val="19"/>
        </w:rPr>
        <w:t xml:space="preserve">Planet Fitness. Official membership page with starting monthly rates. </w:t>
      </w:r>
      <w:hyperlink r:id="rId23">
        <w:r>
          <w:rPr>
            <w:color w:val="2E74B5"/>
            <w:u w:val="single"/>
          </w:rPr>
          <w:t>Source</w:t>
        </w:r>
      </w:hyperlink>
    </w:p>
    <w:p>
      <w:pPr>
        <w:spacing w:after="100"/>
        <w:ind w:left="317" w:hanging="317"/>
      </w:pPr>
      <w:r>
        <w:rPr>
          <w:rFonts w:ascii="Calibri" w:hAnsi="Calibri"/>
          <w:color w:val="263746"/>
          <w:sz w:val="19"/>
        </w:rPr>
        <w:t xml:space="preserve">Health &amp; Fitness Association. U.S. facility membership and average-dues overview. </w:t>
      </w:r>
      <w:hyperlink r:id="rId24">
        <w:r>
          <w:rPr>
            <w:color w:val="2E74B5"/>
            <w:u w:val="single"/>
          </w:rPr>
          <w:t>Source</w:t>
        </w:r>
      </w:hyperlink>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spacing w:before="0" w:after="0"/>
    </w:pPr>
    <w:r>
      <w:rPr>
        <w:rFonts w:ascii="Calibri" w:hAnsi="Calibri"/>
        <w:color w:val="5C6874"/>
        <w:sz w:val="16"/>
      </w:rPr>
      <w:t>Academic analysis - estimated county price target</w:t>
    </w:r>
    <w:r>
      <w:tab/>
    </w:r>
    <w:r>
      <w:rPr>
        <w:rFonts w:ascii="Calibri" w:hAnsi="Calibri"/>
        <w:color w:val="5C6874"/>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00" w:val="left"/>
      </w:tabs>
      <w:spacing w:before="0" w:after="0"/>
    </w:pPr>
    <w:r>
      <w:rPr>
        <w:rFonts w:ascii="Calibri" w:hAnsi="Calibri"/>
        <w:color w:val="5C6874"/>
        <w:sz w:val="16"/>
      </w:rPr>
      <w:t>Academic analysis - estimated county price target</w:t>
    </w:r>
    <w:r>
      <w:tab/>
    </w:r>
    <w:r>
      <w:rPr>
        <w:rFonts w:ascii="Calibri" w:hAnsi="Calibri"/>
        <w:color w:val="5C6874"/>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874"/>
        <w:sz w:val="16"/>
      </w:rPr>
      <w:t>MSIS DATA SCIENCE  |  FLORIDA FITNESS MARKET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C6874"/>
        <w:sz w:val="16"/>
      </w:rPr>
      <w:t>MSIS DATA SCIENCE  |  FLORIDA FITNESS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6374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60" w:after="180"/>
    </w:pPr>
    <w:rPr>
      <w:rFonts w:ascii="Calibri" w:hAnsi="Calibri"/>
      <w:b/>
      <w:bCs/>
      <w:i/>
      <w:color w:val="5C687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hyperlink" Target="https://api.census.gov/data/2020/dec/pl/groups/P1.html" TargetMode="External"/><Relationship Id="rId19" Type="http://schemas.openxmlformats.org/officeDocument/2006/relationships/hyperlink" Target="https://data.census.gov/table/ACSDT5Y2021.B19013" TargetMode="External"/><Relationship Id="rId20" Type="http://schemas.openxmlformats.org/officeDocument/2006/relationships/hyperlink" Target="https://www.census.gov/geographies/reference-files/2020/geo/gazetter-file.html" TargetMode="External"/><Relationship Id="rId21" Type="http://schemas.openxmlformats.org/officeDocument/2006/relationships/hyperlink" Target="https://developers.google.com/maps/documentation/places/web-service/text-search" TargetMode="External"/><Relationship Id="rId22" Type="http://schemas.openxmlformats.org/officeDocument/2006/relationships/hyperlink" Target="https://www.lafitness.com/Pages/MembershipSignUpRate.aspx?id=b0J8ga4R865EceAG6%2FCX9A%3D%3D" TargetMode="External"/><Relationship Id="rId23" Type="http://schemas.openxmlformats.org/officeDocument/2006/relationships/hyperlink" Target="https://www.planetfitness.com/gym-memberships" TargetMode="External"/><Relationship Id="rId24" Type="http://schemas.openxmlformats.org/officeDocument/2006/relationships/hyperlink" Target="https://www.healthandfitness.org/u-s-fitness-facility-memberships-reach-the-highest-level-ever-as-dues-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