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Approach for a handwritten mileage claim reader</w:t>
      </w:r>
    </w:p>
    <w:p>
      <w:r>
        <w:rPr>
          <w:b w:val="0"/>
        </w:rPr>
        <w:t>Our prototype reads the supplied ML-7 mileage form, checks the extracted information and identifies rows that need a clerk. Our recommendation is to keep human approval for reimbursements. The team's recorded handwriting test read no complete trip row correctly, so the project demonstrates a working pipeline and its limits rather than a system ready to issue payments.</w:t>
      </w:r>
    </w:p>
    <w:p>
      <w:pPr>
        <w:pStyle w:val="Heading2"/>
      </w:pPr>
      <w:r>
        <w:t>1 Problem framing</w:t>
      </w:r>
    </w:p>
    <w:p>
      <w:r>
        <w:rPr>
          <w:b w:val="0"/>
        </w:rPr>
        <w:t>Sabal Coast processes approximately 10,000 logs and 70,000 trip rows each month. At $3.40 per log, manual entry costs about $34,000 monthly. Automation would be useful only if it reduced work without introducing costly payment errors.</w:t>
      </w:r>
    </w:p>
    <w:p>
      <w:r>
        <w:rPr>
          <w:b w:val="0"/>
        </w:rPr>
        <w:t>At $0.62 per mile, a one-unit change in the thousands digit of one odometer reading changes the calculated reimbursement by $620, assuming the other reading is unchanged. The same change in the ones digit changes it by $0.62. Underpayments can create $28 correction tickets, while wrong employee or client codes can misdirect a payment or charge the wrong account. A confident character prediction is therefore not sufficient evidence for approval.</w:t>
      </w:r>
    </w:p>
    <w:p>
      <w:r>
        <w:rPr>
          <w:b w:val="0"/>
        </w:rPr>
        <w:t>We preserve what the form says and check it rather than silently fixing it. In the assignment's clean example, row 5 says 42 miles although the odometers differ by 47. Reading 42 correctly is successful transcription of a clinician's mistake; the mileage check should still reject that row.</w:t>
      </w:r>
    </w:p>
    <w:p>
      <w:pPr>
        <w:pStyle w:val="Heading2"/>
      </w:pPr>
      <w:r>
        <w:t>2 Pipeline</w:t>
      </w:r>
    </w:p>
    <w:p>
      <w:r>
        <w:drawing>
          <wp:inline xmlns:a="http://schemas.openxmlformats.org/drawingml/2006/main" xmlns:pic="http://schemas.openxmlformats.org/drawingml/2006/picture">
            <wp:extent cx="6400800" cy="1066800"/>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6400800" cy="1066800"/>
                    </a:xfrm>
                    <a:prstGeom prst="rect"/>
                  </pic:spPr>
                </pic:pic>
              </a:graphicData>
            </a:graphic>
          </wp:inline>
        </w:drawing>
      </w:r>
    </w:p>
    <w:p>
      <w:r>
        <w:rPr>
          <w:b w:val="0"/>
        </w:rPr>
      </w:r>
      <w:r>
        <w:rPr>
          <w:b/>
        </w:rPr>
        <w:t>Page alignment.</w:t>
      </w:r>
      <w:r>
        <w:rPr>
          <w:b w:val="0"/>
        </w:rPr>
        <w:t xml:space="preserve"> OpenCV searches for a four-sided page boundary and adjusts perspective to produce the 2200 × 1400 ML-7 template view. A scan with matching page proportions can use a resize fallback. Unsupported images are rejected. This is simple because we support one fixed form; finding a page does not prove that every handwritten box is aligned correctly.</w:t>
      </w:r>
    </w:p>
    <w:p>
      <w:r>
        <w:rPr>
          <w:b w:val="0"/>
        </w:rPr>
      </w:r>
      <w:r>
        <w:rPr>
          <w:b/>
        </w:rPr>
        <w:t>Cell extraction.</w:t>
      </w:r>
      <w:r>
        <w:rPr>
          <w:b w:val="0"/>
        </w:rPr>
        <w:t xml:space="preserve"> A fixed coordinate map identifies the character boxes. We crop inside each printed border to reduce line fragments. The method is easy to inspect but assumes one character stays inside each box. An empty or mostly dark crop is recorded as an extraction problem.</w:t>
      </w:r>
    </w:p>
    <w:p>
      <w:r>
        <w:rPr>
          <w:b w:val="0"/>
        </w:rPr>
      </w:r>
      <w:r>
        <w:rPr>
          <w:b/>
        </w:rPr>
        <w:t>Normalization.</w:t>
      </w:r>
      <w:r>
        <w:rPr>
          <w:b w:val="0"/>
        </w:rPr>
        <w:t xml:space="preserve"> Dark handwriting becomes white ink on a black background. Each character is scaled to fit a 20 × 20 area, then centered by its ink distribution in a 28 × 28 image. Training and photographed cells share this sizing and centering step. Fixed intensity thresholds identify ink; uneven lighting can still produce poor input.</w:t>
      </w:r>
    </w:p>
    <w:p>
      <w:r>
        <w:br w:type="page"/>
      </w:r>
    </w:p>
    <w:p>
      <w:pPr>
        <w:pStyle w:val="Heading2"/>
      </w:pPr>
      <w:r>
        <w:t>2 Pipeline continued</w:t>
      </w:r>
    </w:p>
    <w:p>
      <w:r>
        <w:rPr>
          <w:b w:val="0"/>
        </w:rPr>
      </w:r>
      <w:r>
        <w:rPr>
          <w:b/>
        </w:rPr>
        <w:t>Character classification.</w:t>
      </w:r>
      <w:r>
        <w:rPr>
          <w:b w:val="0"/>
        </w:rPr>
        <w:t xml:space="preserve"> Our trained NumPy neural network predicts digits and capital letters. At inference, numeric boxes allow only digits and letter boxes allow only capitals. This uses known form rules to reduce confusion between characters such as O and 0. It cannot distinguish two similar digits or two similar letters reliably in every case.</w:t>
      </w:r>
    </w:p>
    <w:p>
      <w:r>
        <w:rPr>
          <w:b w:val="0"/>
        </w:rPr>
      </w:r>
      <w:r>
        <w:rPr>
          <w:b/>
        </w:rPr>
        <w:t>Field assembly.</w:t>
      </w:r>
      <w:r>
        <w:rPr>
          <w:b w:val="0"/>
        </w:rPr>
        <w:t xml:space="preserve"> Character predictions are joined in box order to form employee IDs, dates, client codes, odometers and mileage values. We keep leading zeros, raw readings, confidence values and crop evidence. Dates can also be stored in a standard date format without replacing the original reading.</w:t>
      </w:r>
    </w:p>
    <w:p>
      <w:r>
        <w:rPr>
          <w:b w:val="0"/>
        </w:rPr>
      </w:r>
      <w:r>
        <w:rPr>
          <w:b/>
        </w:rPr>
        <w:t>Validation.</w:t>
      </w:r>
      <w:r>
        <w:rPr>
          <w:b w:val="0"/>
        </w:rPr>
        <w:t xml:space="preserve"> Employee IDs must exist in the made-up HR list; clients must match the employee's schedule for the trip date. Week ending must be a recent Sunday, and trips must fall within that week. Ending odometers must exceed starting values, and the next start cannot be below the previous end. Written miles must equal the odometer difference, and the total must match the mileage column.</w:t>
      </w:r>
    </w:p>
    <w:p>
      <w:r>
        <w:rPr>
          <w:b w:val="0"/>
        </w:rPr>
      </w:r>
      <w:r>
        <w:rPr>
          <w:b/>
        </w:rPr>
        <w:t>Routing and correction.</w:t>
      </w:r>
      <w:r>
        <w:rPr>
          <w:b w:val="0"/>
        </w:rPr>
        <w:t xml:space="preserve"> A row must pass the checks and confidence rules to become an automatic-processing candidate. The prototype uses 0.82 generally and 0.92 for the first three odometer digits. These are demonstration settings, not proven safety cutoffs. Invalid headers or mismatched totals also send affected rows to review. Corrections retain the original prediction, reason and revised checks in an audit record. The application does not send payments.</w:t>
      </w:r>
    </w:p>
    <w:p>
      <w:pPr>
        <w:pStyle w:val="Heading2"/>
      </w:pPr>
      <w:r>
        <w:t>3 Data</w:t>
      </w:r>
    </w:p>
    <w:p>
      <w:r>
        <w:rPr>
          <w:b w:val="0"/>
        </w:rPr>
        <w:t>We use EMNIST ByClass and retain 36 classes: digits 0–9 and capitals A–Z. The loader fixes the source images' transposed orientation. Lowercase classes are excluded because ML-7 requires capitals. ByClass has uneven class counts, so training gives greater weight to less common classes instead of allowing frequent digits to dominate the loss.</w:t>
      </w:r>
    </w:p>
    <w:p>
      <w:r>
        <w:rPr>
          <w:b w:val="0"/>
        </w:rPr>
        <w:t>Training, validation and test data serve different purposes. We use validation characters for synthetic development logs and reserve test characters for synthetic evaluation. Exact duplicates shared with training or validation are excluded from test-log generation. Known trip values and labels are saved alongside generated images so predictions can be checked against the answers.</w:t>
      </w:r>
    </w:p>
    <w:p>
      <w:r>
        <w:rPr>
          <w:b w:val="0"/>
        </w:rPr>
        <w:t>The recorded generated test contains 15 six-row logs with clean, rotated and perspective/shadow conditions. A separate QA pack contains five valid forms shown in three conditions each, plus three invalid controls. Those repeated views are paired samples, not 15 independent forms. Twelve team-filled forms provide a separate handwriting check using made-up entries. These sets must be reported separately, and any forms inspected during improvement must not later be called untouched test data.</w:t>
      </w:r>
    </w:p>
    <w:p>
      <w:r>
        <w:br w:type="page"/>
      </w:r>
    </w:p>
    <w:p>
      <w:pPr>
        <w:pStyle w:val="Heading2"/>
      </w:pPr>
      <w:r>
        <w:t>4 Modeling</w:t>
      </w:r>
    </w:p>
    <w:p>
      <w:r>
        <w:rPr>
          <w:b w:val="0"/>
        </w:rPr>
        <w:t>We chose a small multilayer perceptron because isolated, boxed characters provide a manageable starting point and the model is practical to train and explain. It receives 784 pixel values, uses one hidden layer of 192 ReLU units and produces 36 class scores. ReLU lets hidden units represent more than a linear relationship between pixels and character classes.</w:t>
      </w:r>
    </w:p>
    <w:p>
      <w:r>
        <w:rPr>
          <w:b w:val="0"/>
        </w:rPr>
        <w:t>Training uses cross-entropy loss, class weights and Adam-style parameter updates. The recorded run used 90,000 training images, a batch size of 256, a learning rate of 0.001 and ten epochs. The learning rate controls the update size; each epoch is a pass through the training examples. We built the loader, training loop and inference code ourselves using standard libraries.</w:t>
      </w:r>
    </w:p>
    <w:p>
      <w:r>
        <w:rPr>
          <w:b w:val="0"/>
        </w:rPr>
        <w:t>The recorded restricted isolated-character test accuracy is 95.73%, but this is not accuracy on photographed forms. Clean, centered EMNIST characters differ from real handwriting and box crops. Our fallback is clerk review, followed by checking alignment and crops before changing or retraining the classifier. No pretrained OCR, document service or language model acts as the reader.</w:t>
      </w:r>
    </w:p>
    <w:p>
      <w:pPr>
        <w:pStyle w:val="Heading2"/>
      </w:pPr>
      <w:r>
        <w:t>5 Evaluation</w:t>
      </w:r>
    </w:p>
    <w:p>
      <w:r>
        <w:rPr>
          <w:b w:val="0"/>
        </w:rPr>
        <w:t>We report character accuracy for digits and letters separately, exact-field accuracy and exact-trip-row accuracy. A field is correct only when every required character is correct. We also count unusable crops, missing or extra rows, the share of rows passing policy, and incorrect candidates among the rows that pass. If no rows pass, the error rate among accepted rows is unavailable rather than zero.</w:t>
      </w:r>
    </w:p>
    <w:p>
      <w:r>
        <w:rPr>
          <w:b w:val="0"/>
        </w:rPr>
        <w:t>The team's recorded handwriting run accepted page transforms for 12/12 forms, but extracted only 1,478/1,665 expected character cells. Character accuracy was 295/1,665 (17.7%), exact fields were 11/371 and exact trip rows were 0/67. It also detected 36 extra blank rows. These findings show why page acceptance and a nonempty crop are not sufficient proof of correct extraction or recognition.</w:t>
      </w:r>
    </w:p>
    <w:p>
      <w:r>
        <w:rPr>
          <w:b w:val="0"/>
        </w:rPr>
        <w:t>The generated test recorded 97.48% character accuracy and 54/90 exact rows. Seven rows passed policy, with no observed errors among those seven. That small sample does not establish safety. None of the 15 whole logs passed; each deliberately contained a mileage fault, so this result cannot estimate normal AP automation potential.</w:t>
      </w:r>
    </w:p>
    <w:p>
      <w:r>
        <w:rPr>
          <w:b w:val="0"/>
        </w:rPr>
        <w:t>Report synthetic results by capture condition and keep handwritten results separate. Preserve the model, policy, reference records, evaluation date, commands and counts needed to reproduce each run. Manually inspect failed crops to separate alignment problems from character mistakes. Future evaluation needs new writers, independently checked labels and separate data for choosing thresholds and measuring their performance.</w:t>
      </w:r>
    </w:p>
    <w:p>
      <w:r>
        <w:br w:type="page"/>
      </w:r>
    </w:p>
    <w:p>
      <w:pPr>
        <w:pStyle w:val="Heading2"/>
      </w:pPr>
      <w:r>
        <w:t>6 Spike</w:t>
      </w:r>
    </w:p>
    <w:p>
      <w:r>
        <w:rPr>
          <w:b w:val="0"/>
        </w:rPr>
        <w:t>The risky assumption was that page alignment could place the printed boxes accurately enough for fixed-coordinate extraction. SCRUM-12 tested 15 synthetic blank-form captures: five clean, five rotated and five with perspective and shadow. All 15 registered and passed the box-grid check; mean corner errors were 1.0, 1.1 and 0.4 pixels respectively. The check also required six mapped cells in each odometer field.</w:t>
      </w:r>
    </w:p>
    <w:p>
      <w:r>
        <w:rPr>
          <w:b w:val="0"/>
        </w:rPr>
        <w:t>The recorded recommendation was to proceed for those measured synthetic conditions and send unsupported boundaries to review. This supported keeping the fixed-grid approach within a narrow scope. It did not test handwriting recognition. The later 17.7% handwriting result shows that success on the blank template did not settle the harder question of extracting useful handwritten cells. The next improvement should inspect alignment and blank-row detection before assuming that classifier training alone will solve the problem.</w:t>
      </w:r>
    </w:p>
    <w:p>
      <w:pPr>
        <w:pStyle w:val="Heading2"/>
      </w:pPr>
      <w:r>
        <w:t>7 Scope</w:t>
      </w:r>
    </w:p>
    <w:p>
      <w:r>
        <w:rPr>
          <w:b w:val="0"/>
        </w:rPr>
        <w:t>The execution-sprint prototype covers one ML-7 layout, up to nine trip rows, capital letters and digits written in boxes, and made-up employee and visit records. It includes loading and training, registration and extraction, normalization, field assembly, validation, evaluation, synthetic generation and a demonstration interface. The browser accepts image uploads; the command-line path provides a fallback for a new image supplied during the demo.</w:t>
      </w:r>
    </w:p>
    <w:p>
      <w:r>
        <w:rPr>
          <w:b w:val="0"/>
        </w:rPr>
        <w:t>We do not promise support for cropped pages, severe glare, crossed-out entries, touching characters across boxes or different form layouts. Real HR integration, ERP posting, actual payments and production security are outside this prototype. Only generated logs and team-filled forms with fictional details are used. The demo must show a failure as well as the normal processing path, and a backup recording remains a separate delivery task.</w:t>
      </w:r>
    </w:p>
    <w:p>
      <w:pPr>
        <w:pStyle w:val="Heading2"/>
      </w:pPr>
      <w:r>
        <w:t>8 Risks</w:t>
      </w:r>
    </w:p>
    <w:p>
      <w:r>
        <w:rPr>
          <w:b w:val="0"/>
        </w:rPr>
      </w:r>
      <w:r>
        <w:rPr>
          <w:b/>
        </w:rPr>
        <w:t>Incorrect alignment or crops.</w:t>
      </w:r>
      <w:r>
        <w:rPr>
          <w:b w:val="0"/>
        </w:rPr>
        <w:t xml:space="preserve"> Shadows, page margins and missing borders can put the wrong pixels into a character box. Inspect overlays and cell crops, count extraction failures and extra rows, and route unsupported images to review. Registration acceptance alone is not a quality guarantee.</w:t>
      </w:r>
    </w:p>
    <w:p>
      <w:r>
        <w:rPr>
          <w:b w:val="0"/>
        </w:rPr>
      </w:r>
      <w:r>
        <w:rPr>
          <w:b/>
        </w:rPr>
        <w:t>Poor transfer from EMNIST to handwriting.</w:t>
      </w:r>
      <w:r>
        <w:rPr>
          <w:b w:val="0"/>
        </w:rPr>
        <w:t xml:space="preserve"> High isolated-character scores can hide failures on phone images. Keep normalization consistent, report handwritten results separately and collect more writers and capture conditions. Check preprocessing before making the model more complex.</w:t>
      </w:r>
    </w:p>
    <w:p>
      <w:r>
        <w:rPr>
          <w:b w:val="0"/>
        </w:rPr>
      </w:r>
      <w:r>
        <w:rPr>
          <w:b/>
        </w:rPr>
        <w:t>Confident payment errors.</w:t>
      </w:r>
      <w:r>
        <w:rPr>
          <w:b w:val="0"/>
        </w:rPr>
        <w:t xml:space="preserve"> A wrong high-value odometer digit may pass a confidence test. Combine confidence with reference and arithmetic checks, retain evidence, and measure mistakes among accepted rows. Continue human approval while the policy remains uncalibrated.</w:t>
      </w:r>
    </w:p>
    <w:p>
      <w:pPr>
        <w:pStyle w:val="Heading2"/>
      </w:pPr>
      <w:r>
        <w:t>AI assistance appendix</w:t>
      </w:r>
    </w:p>
    <w:p>
      <w:r>
        <w:rPr>
          <w:b w:val="0"/>
        </w:rPr>
        <w:t>OpenAI Codex assisted with code scaffolding, edits, analysis and document drafting. It is not the system's image reader. Team members remain responsible for checking the work and explaining the implementation and results.</w:t>
      </w:r>
    </w:p>
    <w:p>
      <w:r>
        <w:rPr>
          <w:b w:val="0"/>
          <w:sz w:val="18"/>
        </w:rPr>
        <w:t>Source record: team approach, registration code, reader policy, spike report and results summary at commit 40abb16. Reported measurements are the recorded team runs.</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Approach for a handwritten mileage claim reader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