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75C2" w:rsidRDefault="00C675C2">
      <w:pPr>
        <w:spacing w:line="480" w:lineRule="auto"/>
        <w:jc w:val="center"/>
        <w:rPr>
          <w:rFonts w:ascii="Times New Roman" w:eastAsia="Times New Roman" w:hAnsi="Times New Roman" w:cs="Times New Roman"/>
          <w:sz w:val="24"/>
          <w:szCs w:val="24"/>
        </w:rPr>
      </w:pPr>
    </w:p>
    <w:p w14:paraId="00000002" w14:textId="77777777" w:rsidR="00C675C2" w:rsidRPr="00F10D6E" w:rsidRDefault="00B55681" w:rsidP="338430E2">
      <w:pPr>
        <w:spacing w:line="480" w:lineRule="auto"/>
        <w:jc w:val="center"/>
        <w:rPr>
          <w:rFonts w:ascii="Times New Roman" w:eastAsia="Times New Roman" w:hAnsi="Times New Roman" w:cs="Times New Roman"/>
          <w:b/>
          <w:bCs/>
          <w:sz w:val="24"/>
          <w:szCs w:val="24"/>
          <w:lang w:val="es-ES"/>
        </w:rPr>
      </w:pPr>
      <w:r w:rsidRPr="338430E2">
        <w:rPr>
          <w:rFonts w:ascii="Times New Roman" w:eastAsia="Times New Roman" w:hAnsi="Times New Roman" w:cs="Times New Roman"/>
          <w:b/>
          <w:bCs/>
          <w:sz w:val="24"/>
          <w:szCs w:val="24"/>
          <w:lang w:val="es-ES"/>
        </w:rPr>
        <w:t>Estimación Bayesiana de la probabilidad de incumplimiento en préstamos entre pares usando el Loan Tape de Lending Club</w:t>
      </w:r>
    </w:p>
    <w:p w14:paraId="00000003" w14:textId="77777777" w:rsidR="00C675C2" w:rsidRDefault="00C675C2">
      <w:pPr>
        <w:spacing w:line="480" w:lineRule="auto"/>
        <w:jc w:val="center"/>
        <w:rPr>
          <w:rFonts w:ascii="Times New Roman" w:eastAsia="Times New Roman" w:hAnsi="Times New Roman" w:cs="Times New Roman"/>
          <w:sz w:val="24"/>
          <w:szCs w:val="24"/>
        </w:rPr>
      </w:pPr>
    </w:p>
    <w:p w14:paraId="00000004" w14:textId="77777777" w:rsidR="00C675C2" w:rsidRDefault="00C675C2">
      <w:pPr>
        <w:spacing w:line="480" w:lineRule="auto"/>
        <w:jc w:val="center"/>
        <w:rPr>
          <w:rFonts w:ascii="Times New Roman" w:eastAsia="Times New Roman" w:hAnsi="Times New Roman" w:cs="Times New Roman"/>
          <w:sz w:val="24"/>
          <w:szCs w:val="24"/>
        </w:rPr>
      </w:pPr>
    </w:p>
    <w:p w14:paraId="00000005" w14:textId="77777777" w:rsidR="00C675C2" w:rsidRDefault="00C675C2">
      <w:pPr>
        <w:spacing w:line="480" w:lineRule="auto"/>
        <w:jc w:val="center"/>
        <w:rPr>
          <w:rFonts w:ascii="Times New Roman" w:eastAsia="Times New Roman" w:hAnsi="Times New Roman" w:cs="Times New Roman"/>
          <w:sz w:val="24"/>
          <w:szCs w:val="24"/>
        </w:rPr>
      </w:pPr>
    </w:p>
    <w:p w14:paraId="00000006" w14:textId="77777777" w:rsidR="00C675C2" w:rsidRDefault="00C675C2">
      <w:pPr>
        <w:spacing w:line="480" w:lineRule="auto"/>
        <w:jc w:val="center"/>
        <w:rPr>
          <w:rFonts w:ascii="Times New Roman" w:eastAsia="Times New Roman" w:hAnsi="Times New Roman" w:cs="Times New Roman"/>
          <w:sz w:val="24"/>
          <w:szCs w:val="24"/>
        </w:rPr>
      </w:pPr>
    </w:p>
    <w:p w14:paraId="00000007" w14:textId="77777777" w:rsidR="00C675C2" w:rsidRDefault="00B55681">
      <w:pPr>
        <w:spacing w:before="240" w:after="240" w:line="480" w:lineRule="auto"/>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sz w:val="24"/>
          <w:szCs w:val="24"/>
        </w:rPr>
        <w:t>Francy Carolina Umbarila Rodriguez</w:t>
      </w:r>
      <w:commentRangeEnd w:id="0"/>
      <w:r w:rsidR="00456FBD">
        <w:rPr>
          <w:rStyle w:val="Refdecomentario"/>
          <w:rFonts w:ascii="Times New Roman" w:eastAsia="Times New Roman" w:hAnsi="Times New Roman" w:cs="Times New Roman"/>
          <w:sz w:val="24"/>
          <w:szCs w:val="24"/>
        </w:rPr>
        <w:commentReference w:id="0"/>
      </w:r>
    </w:p>
    <w:p w14:paraId="00000008" w14:textId="77777777"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Ciencia de Datos, Universidad Externado de Colombia</w:t>
      </w:r>
    </w:p>
    <w:p w14:paraId="00000009" w14:textId="77777777"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Pensamiento Crítico</w:t>
      </w:r>
    </w:p>
    <w:p w14:paraId="0000000A" w14:textId="77777777" w:rsidR="00C675C2" w:rsidRDefault="00B55681" w:rsidP="338430E2">
      <w:pPr>
        <w:spacing w:before="240" w:after="240" w:line="480" w:lineRule="auto"/>
        <w:jc w:val="center"/>
        <w:rPr>
          <w:rFonts w:ascii="Times New Roman" w:eastAsia="Times New Roman" w:hAnsi="Times New Roman" w:cs="Times New Roman"/>
          <w:sz w:val="24"/>
          <w:szCs w:val="24"/>
          <w:lang w:val="es-ES"/>
        </w:rPr>
      </w:pPr>
      <w:r w:rsidRPr="338430E2">
        <w:rPr>
          <w:rFonts w:ascii="Times New Roman" w:eastAsia="Times New Roman" w:hAnsi="Times New Roman" w:cs="Times New Roman"/>
          <w:sz w:val="24"/>
          <w:szCs w:val="24"/>
          <w:lang w:val="es-ES"/>
        </w:rPr>
        <w:t>Docente: Ghislaine Tibaire Murzi Sifontes</w:t>
      </w:r>
    </w:p>
    <w:p w14:paraId="0000000B" w14:textId="57364736"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75DA4">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de septiembre de 2025</w:t>
      </w:r>
    </w:p>
    <w:p w14:paraId="0000000C" w14:textId="77777777" w:rsidR="00C675C2" w:rsidRDefault="00C675C2">
      <w:pPr>
        <w:rPr>
          <w:rFonts w:ascii="Times New Roman" w:eastAsia="Times New Roman" w:hAnsi="Times New Roman" w:cs="Times New Roman"/>
          <w:sz w:val="24"/>
          <w:szCs w:val="24"/>
        </w:rPr>
      </w:pPr>
    </w:p>
    <w:p w14:paraId="0000000D" w14:textId="77777777" w:rsidR="00C675C2" w:rsidRDefault="00C675C2">
      <w:pPr>
        <w:rPr>
          <w:rFonts w:ascii="Times New Roman" w:eastAsia="Times New Roman" w:hAnsi="Times New Roman" w:cs="Times New Roman"/>
          <w:sz w:val="24"/>
          <w:szCs w:val="24"/>
        </w:rPr>
      </w:pPr>
    </w:p>
    <w:p w14:paraId="0000000E" w14:textId="77777777" w:rsidR="00C675C2" w:rsidRDefault="00C675C2">
      <w:pPr>
        <w:rPr>
          <w:rFonts w:ascii="Times New Roman" w:eastAsia="Times New Roman" w:hAnsi="Times New Roman" w:cs="Times New Roman"/>
          <w:sz w:val="24"/>
          <w:szCs w:val="24"/>
        </w:rPr>
      </w:pPr>
    </w:p>
    <w:p w14:paraId="0000000F" w14:textId="77777777" w:rsidR="00C675C2" w:rsidRDefault="00C675C2">
      <w:pPr>
        <w:rPr>
          <w:rFonts w:ascii="Times New Roman" w:eastAsia="Times New Roman" w:hAnsi="Times New Roman" w:cs="Times New Roman"/>
          <w:sz w:val="24"/>
          <w:szCs w:val="24"/>
        </w:rPr>
      </w:pPr>
    </w:p>
    <w:p w14:paraId="00000010" w14:textId="77777777" w:rsidR="00C675C2" w:rsidRDefault="00C675C2">
      <w:pPr>
        <w:rPr>
          <w:rFonts w:ascii="Times New Roman" w:eastAsia="Times New Roman" w:hAnsi="Times New Roman" w:cs="Times New Roman"/>
          <w:sz w:val="24"/>
          <w:szCs w:val="24"/>
        </w:rPr>
      </w:pPr>
    </w:p>
    <w:p w14:paraId="00000011" w14:textId="77777777" w:rsidR="00C675C2" w:rsidRDefault="00C675C2">
      <w:pPr>
        <w:rPr>
          <w:rFonts w:ascii="Times New Roman" w:eastAsia="Times New Roman" w:hAnsi="Times New Roman" w:cs="Times New Roman"/>
          <w:sz w:val="24"/>
          <w:szCs w:val="24"/>
        </w:rPr>
      </w:pPr>
    </w:p>
    <w:p w14:paraId="00000012" w14:textId="77777777" w:rsidR="00C675C2" w:rsidRDefault="00C675C2">
      <w:pPr>
        <w:rPr>
          <w:rFonts w:ascii="Times New Roman" w:eastAsia="Times New Roman" w:hAnsi="Times New Roman" w:cs="Times New Roman"/>
          <w:sz w:val="24"/>
          <w:szCs w:val="24"/>
        </w:rPr>
      </w:pPr>
    </w:p>
    <w:p w14:paraId="00000013" w14:textId="77777777" w:rsidR="00C675C2" w:rsidRDefault="00C675C2">
      <w:pPr>
        <w:rPr>
          <w:rFonts w:ascii="Times New Roman" w:eastAsia="Times New Roman" w:hAnsi="Times New Roman" w:cs="Times New Roman"/>
          <w:sz w:val="24"/>
          <w:szCs w:val="24"/>
        </w:rPr>
      </w:pPr>
    </w:p>
    <w:p w14:paraId="00000014" w14:textId="77777777" w:rsidR="00C675C2" w:rsidRDefault="00C675C2">
      <w:pPr>
        <w:rPr>
          <w:rFonts w:ascii="Times New Roman" w:eastAsia="Times New Roman" w:hAnsi="Times New Roman" w:cs="Times New Roman"/>
          <w:sz w:val="24"/>
          <w:szCs w:val="24"/>
        </w:rPr>
      </w:pPr>
    </w:p>
    <w:p w14:paraId="00000015" w14:textId="77777777" w:rsidR="00C675C2" w:rsidRDefault="00C675C2">
      <w:pPr>
        <w:rPr>
          <w:rFonts w:ascii="Times New Roman" w:eastAsia="Times New Roman" w:hAnsi="Times New Roman" w:cs="Times New Roman"/>
          <w:sz w:val="24"/>
          <w:szCs w:val="24"/>
        </w:rPr>
      </w:pPr>
    </w:p>
    <w:p w14:paraId="00000016" w14:textId="77777777" w:rsidR="00C675C2" w:rsidRDefault="00C675C2">
      <w:pPr>
        <w:rPr>
          <w:rFonts w:ascii="Times New Roman" w:eastAsia="Times New Roman" w:hAnsi="Times New Roman" w:cs="Times New Roman"/>
          <w:sz w:val="24"/>
          <w:szCs w:val="24"/>
        </w:rPr>
      </w:pPr>
    </w:p>
    <w:p w14:paraId="00000017" w14:textId="77777777" w:rsidR="00C675C2" w:rsidRDefault="00C675C2">
      <w:pPr>
        <w:rPr>
          <w:rFonts w:ascii="Times New Roman" w:eastAsia="Times New Roman" w:hAnsi="Times New Roman" w:cs="Times New Roman"/>
          <w:sz w:val="24"/>
          <w:szCs w:val="24"/>
        </w:rPr>
      </w:pPr>
    </w:p>
    <w:p w14:paraId="00000018" w14:textId="77777777" w:rsidR="00C675C2" w:rsidRDefault="00C675C2">
      <w:pPr>
        <w:rPr>
          <w:rFonts w:ascii="Times New Roman" w:eastAsia="Times New Roman" w:hAnsi="Times New Roman" w:cs="Times New Roman"/>
          <w:sz w:val="24"/>
          <w:szCs w:val="24"/>
        </w:rPr>
      </w:pPr>
    </w:p>
    <w:p w14:paraId="00000019" w14:textId="77777777" w:rsidR="00C675C2" w:rsidRDefault="00C675C2">
      <w:pPr>
        <w:rPr>
          <w:rFonts w:ascii="Times New Roman" w:eastAsia="Times New Roman" w:hAnsi="Times New Roman" w:cs="Times New Roman"/>
          <w:sz w:val="24"/>
          <w:szCs w:val="24"/>
        </w:rPr>
      </w:pPr>
    </w:p>
    <w:p w14:paraId="0000001A" w14:textId="77777777" w:rsidR="00C675C2" w:rsidRDefault="00C675C2">
      <w:pPr>
        <w:rPr>
          <w:rFonts w:ascii="Times New Roman" w:eastAsia="Times New Roman" w:hAnsi="Times New Roman" w:cs="Times New Roman"/>
          <w:sz w:val="24"/>
          <w:szCs w:val="24"/>
        </w:rPr>
      </w:pPr>
    </w:p>
    <w:p w14:paraId="0000001B" w14:textId="77777777" w:rsidR="00C675C2" w:rsidRDefault="00C675C2">
      <w:pPr>
        <w:rPr>
          <w:rFonts w:ascii="Times New Roman" w:eastAsia="Times New Roman" w:hAnsi="Times New Roman" w:cs="Times New Roman"/>
          <w:sz w:val="24"/>
          <w:szCs w:val="24"/>
        </w:rPr>
      </w:pPr>
    </w:p>
    <w:p w14:paraId="0000001C" w14:textId="77777777" w:rsidR="00C675C2" w:rsidRDefault="00C675C2">
      <w:pPr>
        <w:rPr>
          <w:rFonts w:ascii="Times New Roman" w:eastAsia="Times New Roman" w:hAnsi="Times New Roman" w:cs="Times New Roman"/>
          <w:sz w:val="24"/>
          <w:szCs w:val="24"/>
        </w:rPr>
      </w:pPr>
    </w:p>
    <w:p w14:paraId="0000001D" w14:textId="77777777" w:rsidR="00C675C2" w:rsidRDefault="00C675C2">
      <w:pPr>
        <w:rPr>
          <w:rFonts w:ascii="Times New Roman" w:eastAsia="Times New Roman" w:hAnsi="Times New Roman" w:cs="Times New Roman"/>
          <w:sz w:val="24"/>
          <w:szCs w:val="24"/>
        </w:rPr>
      </w:pPr>
    </w:p>
    <w:p w14:paraId="0FC5F525" w14:textId="7764CE20" w:rsidR="00A835E7" w:rsidRPr="001A7C2E" w:rsidRDefault="00B55681" w:rsidP="001A7C2E">
      <w:pPr>
        <w:pStyle w:val="Ttulo"/>
        <w:spacing w:line="480" w:lineRule="auto"/>
        <w:jc w:val="center"/>
        <w:rPr>
          <w:rFonts w:ascii="Times New Roman" w:eastAsia="Times New Roman" w:hAnsi="Times New Roman" w:cs="Times New Roman"/>
          <w:b/>
          <w:sz w:val="24"/>
          <w:szCs w:val="24"/>
        </w:rPr>
      </w:pPr>
      <w:bookmarkStart w:id="1" w:name="_rpt4k9umn7gq" w:colFirst="0" w:colLast="0"/>
      <w:bookmarkEnd w:id="1"/>
      <w:r>
        <w:rPr>
          <w:rFonts w:ascii="Times New Roman" w:eastAsia="Times New Roman" w:hAnsi="Times New Roman" w:cs="Times New Roman"/>
          <w:b/>
          <w:sz w:val="24"/>
          <w:szCs w:val="24"/>
        </w:rPr>
        <w:lastRenderedPageBreak/>
        <w:t>Resumen</w:t>
      </w:r>
    </w:p>
    <w:p w14:paraId="25DFB468" w14:textId="1218CC95" w:rsidR="002E6C8A" w:rsidRDefault="00A835E7" w:rsidP="002E6C8A">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El presente trabajo de investigación pretende analizar y entender el mercado de préstamos entre pares(P2P)</w:t>
      </w:r>
      <w:r w:rsidR="00CB78D4" w:rsidRPr="338430E2">
        <w:rPr>
          <w:rFonts w:ascii="Times New Roman" w:hAnsi="Times New Roman" w:cs="Times New Roman"/>
          <w:sz w:val="24"/>
          <w:szCs w:val="24"/>
          <w:lang w:val="es-ES"/>
        </w:rPr>
        <w:t xml:space="preserve"> (Sotiropoulos, Koronakos, &amp; Solanakis, 2024)</w:t>
      </w:r>
      <w:r w:rsidRPr="338430E2">
        <w:rPr>
          <w:rFonts w:ascii="Times New Roman" w:hAnsi="Times New Roman" w:cs="Times New Roman"/>
          <w:sz w:val="24"/>
          <w:szCs w:val="24"/>
          <w:lang w:val="es-ES"/>
        </w:rPr>
        <w:t xml:space="preserve">, centrándose principalmente en la evaluación de riesgos y los factores influyentes en la determinación de un préstamo en este sector, Se emplearon datos provenientes de el Loan Tape de Lending Club.El mercado de </w:t>
      </w:r>
      <w:r w:rsidR="00CA62FD" w:rsidRPr="338430E2">
        <w:rPr>
          <w:rFonts w:ascii="Times New Roman" w:hAnsi="Times New Roman" w:cs="Times New Roman"/>
          <w:sz w:val="24"/>
          <w:szCs w:val="24"/>
          <w:lang w:val="es-ES"/>
        </w:rPr>
        <w:t>préstamos</w:t>
      </w:r>
      <w:r w:rsidRPr="338430E2">
        <w:rPr>
          <w:rFonts w:ascii="Times New Roman" w:hAnsi="Times New Roman" w:cs="Times New Roman"/>
          <w:sz w:val="24"/>
          <w:szCs w:val="24"/>
          <w:lang w:val="es-ES"/>
        </w:rPr>
        <w:t xml:space="preserve"> entre pares es una innovación que ofrece acceso a financiación con costes operativos y procesos de aprobación más bajos en comparación con la banca tradicional, el cual consta de la presencia y contacto prestamista prestatario enfrentando así desafíos significativos a la hora de plantear riesgos de impago y falta de información para determinar la morosidad del préstamo, todo esto se analiza de acuerdo a la investigación académica sobre este tema</w:t>
      </w:r>
      <w:r w:rsidR="00CB78D4" w:rsidRPr="338430E2">
        <w:rPr>
          <w:rFonts w:ascii="Times New Roman" w:hAnsi="Times New Roman" w:cs="Times New Roman"/>
          <w:sz w:val="24"/>
          <w:szCs w:val="24"/>
          <w:lang w:val="es-ES"/>
        </w:rPr>
        <w:t>(Kusumawati, Hanafi, Surwanti, &amp; Rahmawati, 2024)</w:t>
      </w:r>
      <w:r w:rsidRPr="338430E2">
        <w:rPr>
          <w:rFonts w:ascii="Times New Roman" w:hAnsi="Times New Roman" w:cs="Times New Roman"/>
          <w:sz w:val="24"/>
          <w:szCs w:val="24"/>
          <w:lang w:val="es-ES"/>
        </w:rPr>
        <w:t>.</w:t>
      </w:r>
      <w:r w:rsidR="00CB78D4" w:rsidRPr="338430E2">
        <w:rPr>
          <w:rFonts w:ascii="Times New Roman" w:hAnsi="Times New Roman" w:cs="Times New Roman"/>
          <w:sz w:val="24"/>
          <w:szCs w:val="24"/>
          <w:lang w:val="es-ES"/>
        </w:rPr>
        <w:t xml:space="preserve"> </w:t>
      </w:r>
      <w:r w:rsidRPr="338430E2">
        <w:rPr>
          <w:rFonts w:ascii="Times New Roman" w:hAnsi="Times New Roman" w:cs="Times New Roman"/>
          <w:sz w:val="24"/>
          <w:szCs w:val="24"/>
          <w:lang w:val="es-ES"/>
        </w:rPr>
        <w:t>Este estudio se fundamenta en variables socioeconómicas, laborales y crediticias, tales como ingresos anuales, historial crediticio, nivel de endeudamiento, características del empleo y condiciones de los préstamos (monto, tasa de interés, plazo y grado de riesgo)</w:t>
      </w:r>
      <w:r w:rsidR="00CB78D4" w:rsidRPr="338430E2">
        <w:rPr>
          <w:color w:val="1F1F1F"/>
          <w:sz w:val="21"/>
          <w:szCs w:val="21"/>
          <w:shd w:val="clear" w:color="auto" w:fill="FFFFFF"/>
          <w:lang w:val="es-ES"/>
        </w:rPr>
        <w:t xml:space="preserve"> </w:t>
      </w:r>
      <w:r w:rsidR="00CB78D4" w:rsidRPr="338430E2">
        <w:rPr>
          <w:rFonts w:ascii="Times New Roman" w:hAnsi="Times New Roman" w:cs="Times New Roman"/>
          <w:sz w:val="24"/>
          <w:szCs w:val="24"/>
          <w:lang w:val="es-ES"/>
        </w:rPr>
        <w:t>(Xia et al. 2017ª; Wang, Ni, Ni, &amp; Biswas</w:t>
      </w:r>
      <w:r w:rsidR="00F10D6E" w:rsidRPr="338430E2">
        <w:rPr>
          <w:rFonts w:ascii="Times New Roman" w:hAnsi="Times New Roman" w:cs="Times New Roman"/>
          <w:sz w:val="24"/>
          <w:szCs w:val="24"/>
          <w:lang w:val="es-ES"/>
        </w:rPr>
        <w:t xml:space="preserve"> et al.</w:t>
      </w:r>
      <w:r w:rsidR="00CB78D4" w:rsidRPr="338430E2">
        <w:rPr>
          <w:rFonts w:ascii="Times New Roman" w:hAnsi="Times New Roman" w:cs="Times New Roman"/>
          <w:sz w:val="24"/>
          <w:szCs w:val="24"/>
          <w:lang w:val="es-ES"/>
        </w:rPr>
        <w:t>, 2025)</w:t>
      </w:r>
      <w:r w:rsidRPr="338430E2">
        <w:rPr>
          <w:rFonts w:ascii="Times New Roman" w:hAnsi="Times New Roman" w:cs="Times New Roman"/>
          <w:sz w:val="24"/>
          <w:szCs w:val="24"/>
          <w:lang w:val="es-ES"/>
        </w:rPr>
        <w:t>. De esta manera, se busca comprender cómo estas características inciden en el estado final de los créditos (vigente, pagado o en mora).</w:t>
      </w:r>
    </w:p>
    <w:p w14:paraId="605535FD" w14:textId="456A5CEF" w:rsidR="002E6C8A" w:rsidRPr="002E6C8A" w:rsidRDefault="002E6C8A" w:rsidP="002E6C8A">
      <w:pPr>
        <w:spacing w:line="480" w:lineRule="auto"/>
        <w:ind w:firstLine="720"/>
        <w:rPr>
          <w:rFonts w:ascii="Times New Roman" w:hAnsi="Times New Roman" w:cs="Times New Roman"/>
          <w:b/>
          <w:bCs/>
          <w:sz w:val="24"/>
          <w:szCs w:val="24"/>
          <w:lang w:val="es-ES"/>
        </w:rPr>
      </w:pPr>
      <w:r w:rsidRPr="002E6C8A">
        <w:rPr>
          <w:rFonts w:ascii="Times New Roman" w:hAnsi="Times New Roman" w:cs="Times New Roman"/>
          <w:b/>
          <w:bCs/>
          <w:sz w:val="24"/>
          <w:szCs w:val="24"/>
          <w:lang w:val="es-ES"/>
        </w:rPr>
        <w:t>Palabras clave:</w:t>
      </w:r>
      <w:r>
        <w:rPr>
          <w:rFonts w:ascii="Times New Roman" w:hAnsi="Times New Roman" w:cs="Times New Roman"/>
          <w:b/>
          <w:bCs/>
          <w:sz w:val="24"/>
          <w:szCs w:val="24"/>
          <w:lang w:val="es-ES"/>
        </w:rPr>
        <w:t xml:space="preserve"> </w:t>
      </w:r>
      <w:r w:rsidRPr="002E6C8A">
        <w:rPr>
          <w:rFonts w:ascii="Times New Roman" w:hAnsi="Times New Roman" w:cs="Times New Roman"/>
          <w:sz w:val="24"/>
          <w:szCs w:val="24"/>
          <w:lang w:val="es-ES"/>
        </w:rPr>
        <w:t>Préstamos entre pares, evaluación de riesgos, morosidad, factores socioeconómicos, historial crediticio, Lending Club, innovación financiera</w:t>
      </w:r>
      <w:r>
        <w:rPr>
          <w:rFonts w:ascii="Times New Roman" w:hAnsi="Times New Roman" w:cs="Times New Roman"/>
          <w:sz w:val="24"/>
          <w:szCs w:val="24"/>
          <w:lang w:val="es-ES"/>
        </w:rPr>
        <w:t>.</w:t>
      </w:r>
    </w:p>
    <w:p w14:paraId="00000023" w14:textId="77777777" w:rsidR="00C675C2" w:rsidRDefault="00C675C2">
      <w:pPr>
        <w:rPr>
          <w:rFonts w:ascii="Times New Roman" w:eastAsia="Times New Roman" w:hAnsi="Times New Roman" w:cs="Times New Roman"/>
          <w:sz w:val="24"/>
          <w:szCs w:val="24"/>
        </w:rPr>
      </w:pPr>
    </w:p>
    <w:p w14:paraId="00000024" w14:textId="77777777" w:rsidR="00C675C2" w:rsidRDefault="00C675C2">
      <w:pPr>
        <w:rPr>
          <w:rFonts w:ascii="Times New Roman" w:eastAsia="Times New Roman" w:hAnsi="Times New Roman" w:cs="Times New Roman"/>
          <w:sz w:val="24"/>
          <w:szCs w:val="24"/>
        </w:rPr>
      </w:pPr>
    </w:p>
    <w:p w14:paraId="00000025" w14:textId="77777777" w:rsidR="00C675C2" w:rsidRDefault="00C675C2">
      <w:pPr>
        <w:rPr>
          <w:rFonts w:ascii="Times New Roman" w:eastAsia="Times New Roman" w:hAnsi="Times New Roman" w:cs="Times New Roman"/>
          <w:sz w:val="24"/>
          <w:szCs w:val="24"/>
        </w:rPr>
      </w:pPr>
    </w:p>
    <w:p w14:paraId="00000026" w14:textId="77777777" w:rsidR="00C675C2" w:rsidRDefault="00C675C2">
      <w:pPr>
        <w:rPr>
          <w:rFonts w:ascii="Times New Roman" w:eastAsia="Times New Roman" w:hAnsi="Times New Roman" w:cs="Times New Roman"/>
          <w:sz w:val="24"/>
          <w:szCs w:val="24"/>
        </w:rPr>
      </w:pPr>
    </w:p>
    <w:p w14:paraId="00000027" w14:textId="77777777" w:rsidR="00C675C2" w:rsidRDefault="00C675C2">
      <w:pPr>
        <w:rPr>
          <w:rFonts w:ascii="Times New Roman" w:eastAsia="Times New Roman" w:hAnsi="Times New Roman" w:cs="Times New Roman"/>
          <w:sz w:val="24"/>
          <w:szCs w:val="24"/>
        </w:rPr>
      </w:pPr>
    </w:p>
    <w:p w14:paraId="00000028" w14:textId="77777777" w:rsidR="00C675C2" w:rsidRDefault="00C675C2">
      <w:pPr>
        <w:rPr>
          <w:rFonts w:ascii="Times New Roman" w:eastAsia="Times New Roman" w:hAnsi="Times New Roman" w:cs="Times New Roman"/>
          <w:sz w:val="24"/>
          <w:szCs w:val="24"/>
        </w:rPr>
      </w:pPr>
    </w:p>
    <w:p w14:paraId="00000029" w14:textId="77777777" w:rsidR="00C675C2" w:rsidRDefault="00C675C2">
      <w:pPr>
        <w:rPr>
          <w:rFonts w:ascii="Times New Roman" w:eastAsia="Times New Roman" w:hAnsi="Times New Roman" w:cs="Times New Roman"/>
          <w:sz w:val="24"/>
          <w:szCs w:val="24"/>
        </w:rPr>
      </w:pPr>
    </w:p>
    <w:p w14:paraId="0000002A" w14:textId="77777777" w:rsidR="00C675C2" w:rsidRDefault="00C675C2"/>
    <w:p w14:paraId="0000002B" w14:textId="77777777" w:rsidR="00C675C2" w:rsidRDefault="00C675C2"/>
    <w:p w14:paraId="33894166" w14:textId="2DEEBE41" w:rsidR="00CB352D" w:rsidRDefault="00CB352D"/>
    <w:p w14:paraId="3B05A1F3" w14:textId="77777777" w:rsidR="008648D2" w:rsidRDefault="008648D2"/>
    <w:p w14:paraId="6A99785B" w14:textId="77777777" w:rsidR="00CB352D" w:rsidRDefault="00CB352D"/>
    <w:p w14:paraId="0000004B" w14:textId="77777777" w:rsidR="00C675C2" w:rsidRDefault="00C675C2"/>
    <w:p w14:paraId="00000054" w14:textId="26DFF367" w:rsidR="00C675C2" w:rsidRPr="00255ED3" w:rsidRDefault="00B55681" w:rsidP="00255ED3">
      <w:pPr>
        <w:pStyle w:val="Ttulo"/>
        <w:jc w:val="center"/>
        <w:rPr>
          <w:rFonts w:ascii="Times New Roman" w:eastAsia="Times New Roman" w:hAnsi="Times New Roman" w:cs="Times New Roman"/>
          <w:b/>
          <w:bCs/>
          <w:sz w:val="24"/>
          <w:szCs w:val="24"/>
        </w:rPr>
      </w:pPr>
      <w:bookmarkStart w:id="2" w:name="_1wsup5lm5j87" w:colFirst="0" w:colLast="0"/>
      <w:bookmarkEnd w:id="2"/>
      <w:r w:rsidRPr="00255ED3">
        <w:rPr>
          <w:rFonts w:ascii="Times New Roman" w:eastAsia="Times New Roman" w:hAnsi="Times New Roman" w:cs="Times New Roman"/>
          <w:b/>
          <w:bCs/>
          <w:sz w:val="24"/>
          <w:szCs w:val="24"/>
        </w:rPr>
        <w:lastRenderedPageBreak/>
        <w:t>Índice</w:t>
      </w:r>
    </w:p>
    <w:sdt>
      <w:sdtPr>
        <w:rPr>
          <w:rFonts w:ascii="Arial" w:eastAsia="Arial" w:hAnsi="Arial" w:cs="Arial"/>
          <w:color w:val="auto"/>
          <w:sz w:val="22"/>
          <w:szCs w:val="22"/>
          <w:lang w:val="es-ES"/>
        </w:rPr>
        <w:id w:val="367348356"/>
        <w:docPartObj>
          <w:docPartGallery w:val="Table of Contents"/>
          <w:docPartUnique/>
        </w:docPartObj>
      </w:sdtPr>
      <w:sdtContent>
        <w:p w14:paraId="206E4615" w14:textId="111FC5C6" w:rsidR="00255ED3" w:rsidRPr="00255ED3" w:rsidRDefault="00255ED3">
          <w:pPr>
            <w:pStyle w:val="TtuloTDC"/>
            <w:rPr>
              <w:rFonts w:ascii="Times New Roman" w:hAnsi="Times New Roman" w:cs="Times New Roman"/>
              <w:b/>
              <w:bCs/>
              <w:color w:val="000000" w:themeColor="text1"/>
              <w:sz w:val="24"/>
              <w:szCs w:val="24"/>
            </w:rPr>
          </w:pPr>
          <w:r w:rsidRPr="00255ED3">
            <w:rPr>
              <w:rFonts w:ascii="Times New Roman" w:hAnsi="Times New Roman" w:cs="Times New Roman"/>
              <w:b/>
              <w:bCs/>
              <w:color w:val="000000" w:themeColor="text1"/>
              <w:sz w:val="24"/>
              <w:szCs w:val="24"/>
              <w:lang w:val="es-ES"/>
            </w:rPr>
            <w:t>Tabla de contenido</w:t>
          </w:r>
        </w:p>
        <w:p w14:paraId="4183562A" w14:textId="157ADEC2" w:rsidR="00255ED3" w:rsidRPr="00255ED3" w:rsidRDefault="00255ED3">
          <w:pPr>
            <w:pStyle w:val="TDC1"/>
            <w:rPr>
              <w:rFonts w:ascii="Times New Roman" w:hAnsi="Times New Roman"/>
              <w:sz w:val="24"/>
              <w:szCs w:val="24"/>
            </w:rPr>
          </w:pPr>
          <w:r>
            <w:rPr>
              <w:rFonts w:ascii="Times New Roman" w:hAnsi="Times New Roman"/>
              <w:b/>
              <w:bCs/>
              <w:sz w:val="24"/>
              <w:szCs w:val="24"/>
            </w:rPr>
            <w:t xml:space="preserve">Resumen </w:t>
          </w:r>
          <w:r w:rsidRPr="00255ED3">
            <w:rPr>
              <w:rFonts w:ascii="Times New Roman" w:hAnsi="Times New Roman"/>
              <w:sz w:val="24"/>
              <w:szCs w:val="24"/>
            </w:rPr>
            <w:ptab w:relativeTo="margin" w:alignment="right" w:leader="dot"/>
          </w:r>
          <w:r>
            <w:rPr>
              <w:rFonts w:ascii="Times New Roman" w:hAnsi="Times New Roman"/>
              <w:b/>
              <w:bCs/>
              <w:sz w:val="24"/>
              <w:szCs w:val="24"/>
              <w:lang w:val="es-ES"/>
            </w:rPr>
            <w:t>2</w:t>
          </w:r>
        </w:p>
        <w:p w14:paraId="668D6E7C" w14:textId="1FFAAB4B" w:rsidR="00255ED3" w:rsidRPr="00255ED3" w:rsidRDefault="00255ED3" w:rsidP="00255ED3">
          <w:pPr>
            <w:pStyle w:val="TDC2"/>
            <w:ind w:left="0"/>
            <w:rPr>
              <w:rFonts w:ascii="Times New Roman" w:hAnsi="Times New Roman"/>
              <w:sz w:val="24"/>
              <w:szCs w:val="24"/>
            </w:rPr>
          </w:pPr>
          <w:r w:rsidRPr="00255ED3">
            <w:rPr>
              <w:rFonts w:ascii="Times New Roman" w:hAnsi="Times New Roman"/>
              <w:b/>
              <w:bCs/>
              <w:sz w:val="24"/>
              <w:szCs w:val="24"/>
            </w:rPr>
            <w:t>Introducci</w:t>
          </w:r>
          <w:r>
            <w:rPr>
              <w:rFonts w:ascii="Times New Roman" w:hAnsi="Times New Roman"/>
              <w:b/>
              <w:bCs/>
              <w:sz w:val="24"/>
              <w:szCs w:val="24"/>
            </w:rPr>
            <w:t>ó</w:t>
          </w:r>
          <w:r w:rsidRPr="00255ED3">
            <w:rPr>
              <w:rFonts w:ascii="Times New Roman" w:hAnsi="Times New Roman"/>
              <w:b/>
              <w:bCs/>
              <w:sz w:val="24"/>
              <w:szCs w:val="24"/>
            </w:rPr>
            <w:t>n</w:t>
          </w:r>
          <w:r w:rsidRPr="00255ED3">
            <w:rPr>
              <w:rFonts w:ascii="Times New Roman" w:hAnsi="Times New Roman"/>
              <w:sz w:val="24"/>
              <w:szCs w:val="24"/>
            </w:rPr>
            <w:ptab w:relativeTo="margin" w:alignment="right" w:leader="dot"/>
          </w:r>
          <w:r w:rsidRPr="00255ED3">
            <w:rPr>
              <w:rFonts w:ascii="Times New Roman" w:hAnsi="Times New Roman"/>
              <w:b/>
              <w:bCs/>
              <w:sz w:val="24"/>
              <w:szCs w:val="24"/>
              <w:lang w:val="es-ES"/>
            </w:rPr>
            <w:t>4</w:t>
          </w:r>
        </w:p>
        <w:p w14:paraId="5AD47418" w14:textId="6E8C508B" w:rsidR="00255ED3" w:rsidRPr="00255ED3" w:rsidRDefault="00255ED3" w:rsidP="00255ED3">
          <w:pPr>
            <w:pStyle w:val="TDC3"/>
            <w:ind w:left="0"/>
            <w:rPr>
              <w:rFonts w:ascii="Times New Roman" w:hAnsi="Times New Roman"/>
              <w:sz w:val="24"/>
              <w:szCs w:val="24"/>
            </w:rPr>
          </w:pPr>
          <w:r w:rsidRPr="00255ED3">
            <w:rPr>
              <w:rFonts w:ascii="Times New Roman" w:hAnsi="Times New Roman"/>
              <w:b/>
              <w:bCs/>
              <w:sz w:val="24"/>
              <w:szCs w:val="24"/>
            </w:rPr>
            <w:t>Planteamiento del problema</w:t>
          </w:r>
          <w:r>
            <w:rPr>
              <w:rFonts w:ascii="Times New Roman" w:hAnsi="Times New Roman"/>
              <w:sz w:val="24"/>
              <w:szCs w:val="24"/>
            </w:rPr>
            <w:t xml:space="preserve"> </w:t>
          </w:r>
          <w:r w:rsidRPr="00255ED3">
            <w:rPr>
              <w:rFonts w:ascii="Times New Roman" w:hAnsi="Times New Roman"/>
              <w:sz w:val="24"/>
              <w:szCs w:val="24"/>
            </w:rPr>
            <w:ptab w:relativeTo="margin" w:alignment="right" w:leader="dot"/>
          </w:r>
          <w:r w:rsidR="008648D2" w:rsidRPr="00CB69B6">
            <w:rPr>
              <w:rFonts w:ascii="Times New Roman" w:hAnsi="Times New Roman"/>
              <w:b/>
              <w:bCs/>
              <w:sz w:val="24"/>
              <w:szCs w:val="24"/>
              <w:lang w:val="es-ES"/>
            </w:rPr>
            <w:t>7</w:t>
          </w:r>
        </w:p>
        <w:p w14:paraId="2376AFE3" w14:textId="6FF3E022" w:rsidR="00255ED3" w:rsidRPr="00255ED3" w:rsidRDefault="00255ED3">
          <w:pPr>
            <w:pStyle w:val="TDC1"/>
            <w:rPr>
              <w:rFonts w:ascii="Times New Roman" w:hAnsi="Times New Roman"/>
              <w:sz w:val="24"/>
              <w:szCs w:val="24"/>
            </w:rPr>
          </w:pPr>
          <w:r>
            <w:rPr>
              <w:rFonts w:ascii="Times New Roman" w:hAnsi="Times New Roman"/>
              <w:b/>
              <w:bCs/>
              <w:sz w:val="24"/>
              <w:szCs w:val="24"/>
            </w:rPr>
            <w:t>Justificación</w:t>
          </w:r>
          <w:r w:rsidRPr="00255ED3">
            <w:rPr>
              <w:rFonts w:ascii="Times New Roman" w:hAnsi="Times New Roman"/>
              <w:sz w:val="24"/>
              <w:szCs w:val="24"/>
            </w:rPr>
            <w:ptab w:relativeTo="margin" w:alignment="right" w:leader="dot"/>
          </w:r>
          <w:r w:rsidR="008648D2">
            <w:rPr>
              <w:rFonts w:ascii="Times New Roman" w:hAnsi="Times New Roman"/>
              <w:b/>
              <w:bCs/>
              <w:sz w:val="24"/>
              <w:szCs w:val="24"/>
              <w:lang w:val="es-ES"/>
            </w:rPr>
            <w:t>10</w:t>
          </w:r>
        </w:p>
        <w:p w14:paraId="1B4651E9" w14:textId="6A392935" w:rsidR="00255ED3" w:rsidRDefault="00255ED3" w:rsidP="00255ED3">
          <w:pPr>
            <w:pStyle w:val="TDC2"/>
            <w:ind w:left="0"/>
            <w:rPr>
              <w:rFonts w:ascii="Times New Roman" w:hAnsi="Times New Roman"/>
              <w:b/>
              <w:bCs/>
              <w:sz w:val="24"/>
              <w:szCs w:val="24"/>
              <w:lang w:val="es-ES"/>
            </w:rPr>
          </w:pPr>
          <w:r w:rsidRPr="00255ED3">
            <w:rPr>
              <w:rFonts w:ascii="Times New Roman" w:hAnsi="Times New Roman"/>
              <w:b/>
              <w:bCs/>
              <w:sz w:val="24"/>
              <w:szCs w:val="24"/>
            </w:rPr>
            <w:t>Pregunta de Investigación</w:t>
          </w:r>
          <w:r>
            <w:rPr>
              <w:rFonts w:ascii="Times New Roman" w:hAnsi="Times New Roman"/>
              <w:sz w:val="24"/>
              <w:szCs w:val="24"/>
            </w:rPr>
            <w:t xml:space="preserve"> </w:t>
          </w:r>
          <w:r w:rsidRPr="00255ED3">
            <w:rPr>
              <w:rFonts w:ascii="Times New Roman" w:hAnsi="Times New Roman"/>
              <w:sz w:val="24"/>
              <w:szCs w:val="24"/>
            </w:rPr>
            <w:ptab w:relativeTo="margin" w:alignment="right" w:leader="dot"/>
          </w:r>
          <w:r w:rsidR="008648D2">
            <w:rPr>
              <w:rFonts w:ascii="Times New Roman" w:hAnsi="Times New Roman"/>
              <w:b/>
              <w:bCs/>
              <w:sz w:val="24"/>
              <w:szCs w:val="24"/>
              <w:lang w:val="es-ES"/>
            </w:rPr>
            <w:t>12</w:t>
          </w:r>
        </w:p>
        <w:p w14:paraId="162669D1" w14:textId="7755D788" w:rsidR="00255ED3" w:rsidRPr="00255ED3" w:rsidRDefault="00255ED3" w:rsidP="00255ED3">
          <w:pPr>
            <w:pStyle w:val="TDC2"/>
            <w:ind w:left="0"/>
            <w:rPr>
              <w:rFonts w:ascii="Times New Roman" w:hAnsi="Times New Roman"/>
              <w:sz w:val="24"/>
              <w:szCs w:val="24"/>
            </w:rPr>
          </w:pPr>
          <w:r>
            <w:rPr>
              <w:rFonts w:ascii="Times New Roman" w:hAnsi="Times New Roman"/>
              <w:b/>
              <w:bCs/>
              <w:sz w:val="24"/>
              <w:szCs w:val="24"/>
            </w:rPr>
            <w:t>Objetivos</w:t>
          </w:r>
          <w:r w:rsidRPr="00255ED3">
            <w:rPr>
              <w:rFonts w:ascii="Times New Roman" w:hAnsi="Times New Roman"/>
              <w:sz w:val="24"/>
              <w:szCs w:val="24"/>
            </w:rPr>
            <w:ptab w:relativeTo="margin" w:alignment="right" w:leader="dot"/>
          </w:r>
          <w:r w:rsidR="00A92A85">
            <w:rPr>
              <w:rFonts w:ascii="Times New Roman" w:hAnsi="Times New Roman"/>
              <w:b/>
              <w:bCs/>
              <w:sz w:val="24"/>
              <w:szCs w:val="24"/>
              <w:lang w:val="es-ES"/>
            </w:rPr>
            <w:t>12</w:t>
          </w:r>
        </w:p>
        <w:p w14:paraId="2D97EE9E" w14:textId="1BB021B6" w:rsidR="00255ED3" w:rsidRDefault="00255ED3">
          <w:pPr>
            <w:pStyle w:val="TDC3"/>
            <w:ind w:left="446"/>
            <w:rPr>
              <w:rFonts w:ascii="Times New Roman" w:hAnsi="Times New Roman"/>
              <w:sz w:val="24"/>
              <w:szCs w:val="24"/>
              <w:lang w:val="es-ES"/>
            </w:rPr>
          </w:pPr>
          <w:r>
            <w:rPr>
              <w:rFonts w:ascii="Times New Roman" w:hAnsi="Times New Roman"/>
              <w:sz w:val="24"/>
              <w:szCs w:val="24"/>
            </w:rPr>
            <w:t xml:space="preserve">General </w:t>
          </w:r>
          <w:r w:rsidRPr="00255ED3">
            <w:rPr>
              <w:rFonts w:ascii="Times New Roman" w:hAnsi="Times New Roman"/>
              <w:sz w:val="24"/>
              <w:szCs w:val="24"/>
            </w:rPr>
            <w:ptab w:relativeTo="margin" w:alignment="right" w:leader="dot"/>
          </w:r>
          <w:r w:rsidR="00A92A85">
            <w:rPr>
              <w:rFonts w:ascii="Times New Roman" w:hAnsi="Times New Roman"/>
              <w:sz w:val="24"/>
              <w:szCs w:val="24"/>
              <w:lang w:val="es-ES"/>
            </w:rPr>
            <w:t>12</w:t>
          </w:r>
        </w:p>
        <w:p w14:paraId="38A9E483" w14:textId="5DAFAA43" w:rsidR="00255ED3" w:rsidRDefault="00255ED3" w:rsidP="00255ED3">
          <w:pPr>
            <w:pStyle w:val="TDC3"/>
            <w:ind w:left="446"/>
            <w:rPr>
              <w:rFonts w:ascii="Times New Roman" w:hAnsi="Times New Roman"/>
              <w:sz w:val="24"/>
              <w:szCs w:val="24"/>
              <w:lang w:val="es-ES"/>
            </w:rPr>
          </w:pPr>
          <w:r>
            <w:rPr>
              <w:rFonts w:ascii="Times New Roman" w:hAnsi="Times New Roman"/>
              <w:sz w:val="24"/>
              <w:szCs w:val="24"/>
            </w:rPr>
            <w:t xml:space="preserve">Específicos </w:t>
          </w:r>
          <w:r w:rsidRPr="00255ED3">
            <w:rPr>
              <w:rFonts w:ascii="Times New Roman" w:hAnsi="Times New Roman"/>
              <w:sz w:val="24"/>
              <w:szCs w:val="24"/>
            </w:rPr>
            <w:ptab w:relativeTo="margin" w:alignment="right" w:leader="dot"/>
          </w:r>
          <w:r w:rsidR="00A92A85">
            <w:rPr>
              <w:rFonts w:ascii="Times New Roman" w:hAnsi="Times New Roman"/>
              <w:sz w:val="24"/>
              <w:szCs w:val="24"/>
              <w:lang w:val="es-ES"/>
            </w:rPr>
            <w:t>12</w:t>
          </w:r>
        </w:p>
        <w:p w14:paraId="74D385B5" w14:textId="1CED0287" w:rsidR="00BF04DE" w:rsidRDefault="00BF04DE" w:rsidP="00BF04DE">
          <w:pPr>
            <w:rPr>
              <w:rFonts w:ascii="Times New Roman" w:hAnsi="Times New Roman"/>
              <w:sz w:val="24"/>
              <w:szCs w:val="24"/>
              <w:lang w:val="es-ES"/>
            </w:rPr>
          </w:pPr>
          <w:r w:rsidRPr="00BF04DE">
            <w:rPr>
              <w:rFonts w:ascii="Times New Roman" w:hAnsi="Times New Roman" w:cs="Times New Roman"/>
              <w:b/>
              <w:bCs/>
              <w:sz w:val="24"/>
              <w:szCs w:val="24"/>
              <w:lang w:val="es-ES"/>
            </w:rPr>
            <w:t>Justificación Bayesiana</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14</w:t>
          </w:r>
        </w:p>
        <w:p w14:paraId="6EA7D048" w14:textId="511B96A3" w:rsidR="00CB69B6" w:rsidRPr="00CB69B6" w:rsidRDefault="00CB69B6" w:rsidP="00BF04DE">
          <w:pPr>
            <w:rPr>
              <w:rFonts w:ascii="Times New Roman" w:hAnsi="Times New Roman" w:cs="Times New Roman"/>
              <w:b/>
              <w:bCs/>
              <w:sz w:val="24"/>
              <w:szCs w:val="24"/>
              <w:lang w:val="es-ES"/>
            </w:rPr>
          </w:pPr>
          <w:r w:rsidRPr="00CB69B6">
            <w:rPr>
              <w:rFonts w:ascii="Times New Roman" w:hAnsi="Times New Roman"/>
              <w:b/>
              <w:bCs/>
              <w:sz w:val="24"/>
              <w:szCs w:val="24"/>
              <w:lang w:val="es-ES"/>
            </w:rPr>
            <w:t>Metodología</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15</w:t>
          </w:r>
        </w:p>
        <w:p w14:paraId="5DDFFF5C" w14:textId="78AF830E" w:rsidR="00BF04DE" w:rsidRPr="00BF04DE" w:rsidRDefault="00BF04DE" w:rsidP="00BF04DE">
          <w:pPr>
            <w:rPr>
              <w:rFonts w:ascii="Times New Roman" w:hAnsi="Times New Roman" w:cs="Times New Roman"/>
              <w:b/>
              <w:bCs/>
              <w:sz w:val="24"/>
              <w:szCs w:val="24"/>
              <w:lang w:val="es-ES"/>
            </w:rPr>
          </w:pPr>
          <w:r w:rsidRPr="00BF04DE">
            <w:rPr>
              <w:rFonts w:ascii="Times New Roman" w:hAnsi="Times New Roman" w:cs="Times New Roman"/>
              <w:b/>
              <w:bCs/>
              <w:sz w:val="24"/>
              <w:szCs w:val="24"/>
              <w:lang w:val="es-ES"/>
            </w:rPr>
            <w:t>Referencias</w:t>
          </w:r>
          <w:r>
            <w:rPr>
              <w:rFonts w:ascii="Times New Roman" w:hAnsi="Times New Roman" w:cs="Times New Roman"/>
              <w:b/>
              <w:bCs/>
              <w:sz w:val="24"/>
              <w:szCs w:val="24"/>
              <w:lang w:val="es-ES"/>
            </w:rPr>
            <w:t xml:space="preserve"> </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w:t>
          </w:r>
          <w:r w:rsidR="00CB69B6" w:rsidRPr="00CB69B6">
            <w:rPr>
              <w:rFonts w:ascii="Times New Roman" w:hAnsi="Times New Roman"/>
              <w:b/>
              <w:bCs/>
              <w:sz w:val="24"/>
              <w:szCs w:val="24"/>
              <w:lang w:val="es-ES"/>
            </w:rPr>
            <w:t>7</w:t>
          </w:r>
        </w:p>
        <w:p w14:paraId="7F2F9DCC" w14:textId="4B86AAFE" w:rsidR="00255ED3" w:rsidRPr="00BF04DE" w:rsidRDefault="00000000" w:rsidP="00255ED3">
          <w:pPr>
            <w:rPr>
              <w:lang w:val="es-ES"/>
            </w:rPr>
          </w:pPr>
        </w:p>
      </w:sdtContent>
    </w:sdt>
    <w:p w14:paraId="155D5AFC" w14:textId="77777777" w:rsidR="00255ED3" w:rsidRPr="00255ED3" w:rsidRDefault="00255ED3" w:rsidP="00255ED3"/>
    <w:p w14:paraId="54CA1A52" w14:textId="77777777" w:rsidR="00255ED3" w:rsidRPr="00255ED3" w:rsidRDefault="00255ED3" w:rsidP="00255ED3"/>
    <w:p w14:paraId="5E1C5EDB" w14:textId="77777777" w:rsidR="00255ED3" w:rsidRPr="00255ED3" w:rsidRDefault="00255ED3" w:rsidP="00255ED3"/>
    <w:p w14:paraId="3A761F94" w14:textId="77777777" w:rsidR="00255ED3" w:rsidRPr="00255ED3" w:rsidRDefault="00255ED3" w:rsidP="00255ED3"/>
    <w:p w14:paraId="67CDCAD4" w14:textId="77777777" w:rsidR="00255ED3" w:rsidRPr="00255ED3" w:rsidRDefault="00255ED3" w:rsidP="00255ED3"/>
    <w:p w14:paraId="423B78D0" w14:textId="77777777" w:rsidR="00255ED3" w:rsidRPr="00255ED3" w:rsidRDefault="00255ED3" w:rsidP="00255ED3"/>
    <w:p w14:paraId="71B71A62" w14:textId="77777777" w:rsidR="00255ED3" w:rsidRPr="00255ED3" w:rsidRDefault="00255ED3" w:rsidP="00255ED3"/>
    <w:p w14:paraId="6A6C4D23" w14:textId="77777777" w:rsidR="00255ED3" w:rsidRPr="00255ED3" w:rsidRDefault="00255ED3" w:rsidP="00255ED3"/>
    <w:p w14:paraId="1956CD0B" w14:textId="77777777" w:rsidR="00255ED3" w:rsidRPr="00255ED3" w:rsidRDefault="00255ED3" w:rsidP="00255ED3"/>
    <w:p w14:paraId="7E479AE9" w14:textId="77777777" w:rsidR="00255ED3" w:rsidRPr="00255ED3" w:rsidRDefault="00255ED3" w:rsidP="00255ED3"/>
    <w:p w14:paraId="7FB1745E" w14:textId="77777777" w:rsidR="00255ED3" w:rsidRPr="00255ED3" w:rsidRDefault="00255ED3" w:rsidP="00255ED3"/>
    <w:p w14:paraId="4A91FBFE" w14:textId="77777777" w:rsidR="00255ED3" w:rsidRPr="00255ED3" w:rsidRDefault="00255ED3" w:rsidP="00255ED3"/>
    <w:p w14:paraId="20E07A3D" w14:textId="77777777" w:rsidR="00255ED3" w:rsidRPr="00255ED3" w:rsidRDefault="00255ED3" w:rsidP="00255ED3"/>
    <w:p w14:paraId="42D6E6CA" w14:textId="77777777" w:rsidR="00255ED3" w:rsidRPr="00255ED3" w:rsidRDefault="00255ED3" w:rsidP="00255ED3"/>
    <w:p w14:paraId="1BD6E169" w14:textId="77777777" w:rsidR="00255ED3" w:rsidRPr="00255ED3" w:rsidRDefault="00255ED3" w:rsidP="00255ED3"/>
    <w:p w14:paraId="0BA702DC" w14:textId="77777777" w:rsidR="00255ED3" w:rsidRPr="00255ED3" w:rsidRDefault="00255ED3" w:rsidP="00255ED3"/>
    <w:p w14:paraId="33A9E07A" w14:textId="77777777" w:rsidR="00255ED3" w:rsidRPr="00255ED3" w:rsidRDefault="00255ED3" w:rsidP="00255ED3"/>
    <w:p w14:paraId="2D21283C" w14:textId="77777777" w:rsidR="00255ED3" w:rsidRPr="00255ED3" w:rsidRDefault="00255ED3" w:rsidP="00255ED3"/>
    <w:p w14:paraId="6F86794B" w14:textId="77777777" w:rsidR="00255ED3" w:rsidRPr="00255ED3" w:rsidRDefault="00255ED3" w:rsidP="00255ED3"/>
    <w:p w14:paraId="27A29D08" w14:textId="77777777" w:rsidR="00255ED3" w:rsidRDefault="00255ED3" w:rsidP="00255ED3"/>
    <w:p w14:paraId="50BC9EEF" w14:textId="77777777" w:rsidR="00255ED3" w:rsidRDefault="00255ED3" w:rsidP="00255ED3"/>
    <w:p w14:paraId="3D5229F9" w14:textId="1420FBAB" w:rsidR="00255ED3" w:rsidRDefault="00255ED3" w:rsidP="00255ED3">
      <w:pPr>
        <w:tabs>
          <w:tab w:val="left" w:pos="7008"/>
        </w:tabs>
      </w:pPr>
      <w:r>
        <w:tab/>
      </w:r>
    </w:p>
    <w:p w14:paraId="15B84C32" w14:textId="77777777" w:rsidR="00255ED3" w:rsidRDefault="00255ED3" w:rsidP="00255ED3">
      <w:pPr>
        <w:tabs>
          <w:tab w:val="left" w:pos="7008"/>
        </w:tabs>
      </w:pPr>
    </w:p>
    <w:p w14:paraId="1B450988" w14:textId="6222B50D" w:rsidR="00255ED3" w:rsidRDefault="00255ED3" w:rsidP="00255ED3">
      <w:pPr>
        <w:tabs>
          <w:tab w:val="left" w:pos="7008"/>
        </w:tabs>
      </w:pPr>
    </w:p>
    <w:p w14:paraId="6888A264" w14:textId="5CCABB08" w:rsidR="008648D2" w:rsidRDefault="008648D2" w:rsidP="00255ED3">
      <w:pPr>
        <w:tabs>
          <w:tab w:val="left" w:pos="7008"/>
        </w:tabs>
      </w:pPr>
    </w:p>
    <w:p w14:paraId="6876008A" w14:textId="11FF97C9" w:rsidR="008648D2" w:rsidRDefault="008648D2" w:rsidP="00255ED3">
      <w:pPr>
        <w:tabs>
          <w:tab w:val="left" w:pos="7008"/>
        </w:tabs>
      </w:pPr>
    </w:p>
    <w:p w14:paraId="156EB1D8" w14:textId="77777777" w:rsidR="008648D2" w:rsidRDefault="008648D2" w:rsidP="00255ED3">
      <w:pPr>
        <w:tabs>
          <w:tab w:val="left" w:pos="7008"/>
        </w:tabs>
      </w:pPr>
    </w:p>
    <w:p w14:paraId="7F5BB352" w14:textId="77777777" w:rsidR="001A7C2E" w:rsidRDefault="001A7C2E" w:rsidP="00255ED3">
      <w:pPr>
        <w:tabs>
          <w:tab w:val="left" w:pos="7008"/>
        </w:tabs>
      </w:pPr>
    </w:p>
    <w:p w14:paraId="7AC41993" w14:textId="62760D77" w:rsidR="00255ED3" w:rsidRDefault="006F0C3C" w:rsidP="006F0C3C">
      <w:pPr>
        <w:pStyle w:val="Ttulo1"/>
        <w:jc w:val="center"/>
        <w:rPr>
          <w:rFonts w:ascii="Times New Roman" w:hAnsi="Times New Roman" w:cs="Times New Roman"/>
          <w:b/>
          <w:bCs/>
          <w:sz w:val="24"/>
          <w:szCs w:val="24"/>
        </w:rPr>
      </w:pPr>
      <w:r w:rsidRPr="006F0C3C">
        <w:rPr>
          <w:rFonts w:ascii="Times New Roman" w:hAnsi="Times New Roman" w:cs="Times New Roman"/>
          <w:b/>
          <w:bCs/>
          <w:sz w:val="24"/>
          <w:szCs w:val="24"/>
        </w:rPr>
        <w:lastRenderedPageBreak/>
        <w:t>Introducci</w:t>
      </w:r>
      <w:r>
        <w:rPr>
          <w:rFonts w:ascii="Times New Roman" w:hAnsi="Times New Roman" w:cs="Times New Roman"/>
          <w:b/>
          <w:bCs/>
          <w:sz w:val="24"/>
          <w:szCs w:val="24"/>
        </w:rPr>
        <w:t>ón</w:t>
      </w:r>
    </w:p>
    <w:p w14:paraId="30981E89" w14:textId="77777777" w:rsidR="006F0C3C" w:rsidRDefault="006F0C3C" w:rsidP="006F0C3C"/>
    <w:p w14:paraId="44B78E0F" w14:textId="2B90965C" w:rsidR="008B26ED" w:rsidRPr="008B26ED" w:rsidRDefault="008B26ED" w:rsidP="006B0EE8">
      <w:pPr>
        <w:spacing w:line="480" w:lineRule="auto"/>
        <w:ind w:firstLine="720"/>
        <w:rPr>
          <w:rFonts w:ascii="Times New Roman" w:hAnsi="Times New Roman" w:cs="Times New Roman"/>
          <w:sz w:val="24"/>
          <w:szCs w:val="24"/>
          <w:lang w:val="es-CO"/>
        </w:rPr>
      </w:pPr>
      <w:r w:rsidRPr="008B26ED">
        <w:rPr>
          <w:rFonts w:ascii="Times New Roman" w:hAnsi="Times New Roman" w:cs="Times New Roman"/>
          <w:sz w:val="24"/>
          <w:szCs w:val="24"/>
          <w:lang w:val="es-CO"/>
        </w:rPr>
        <w:t>En los últimos años, el sistema financiero ha experimentado una profunda transformación impulsada por la digitalización y el surgimiento de plataformas que facilitan una gestión más eficiente de productos y servicios. En este contexto, en 2006 Renaud Laplanche fundó Lending Club, un modelo de préstamos entre pares (</w:t>
      </w:r>
      <w:r w:rsidRPr="00CE585B">
        <w:rPr>
          <w:rFonts w:ascii="Times New Roman" w:hAnsi="Times New Roman" w:cs="Times New Roman"/>
          <w:sz w:val="24"/>
          <w:szCs w:val="24"/>
          <w:lang w:val="es-CO"/>
        </w:rPr>
        <w:t>peer-to-peer lending</w:t>
      </w:r>
      <w:r w:rsidRPr="008B26ED">
        <w:rPr>
          <w:rFonts w:ascii="Times New Roman" w:hAnsi="Times New Roman" w:cs="Times New Roman"/>
          <w:sz w:val="24"/>
          <w:szCs w:val="24"/>
          <w:lang w:val="es-CO"/>
        </w:rPr>
        <w:t>) que conecta directamente a prestatarios con inversionistas, eliminando intermediarios tradicionales como los bancos</w:t>
      </w:r>
      <w:r w:rsidR="00CE585B">
        <w:rPr>
          <w:rFonts w:ascii="Times New Roman" w:hAnsi="Times New Roman" w:cs="Times New Roman"/>
          <w:sz w:val="24"/>
          <w:szCs w:val="24"/>
          <w:lang w:val="es-CO"/>
        </w:rPr>
        <w:t xml:space="preserve"> </w:t>
      </w:r>
      <w:r w:rsidR="00CE585B" w:rsidRPr="004C629D">
        <w:rPr>
          <w:rFonts w:ascii="Times New Roman" w:hAnsi="Times New Roman" w:cs="Times New Roman"/>
          <w:sz w:val="24"/>
          <w:szCs w:val="24"/>
        </w:rPr>
        <w:t>(Monje, Carrasco, &amp; Sánchez-Montañés, 2025)</w:t>
      </w:r>
      <w:r w:rsidRPr="008B26ED">
        <w:rPr>
          <w:rFonts w:ascii="Times New Roman" w:hAnsi="Times New Roman" w:cs="Times New Roman"/>
          <w:sz w:val="24"/>
          <w:szCs w:val="24"/>
          <w:lang w:val="es-CO"/>
        </w:rPr>
        <w:t>. Un año después, la plataforma se integró a Facebook</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como aplicación, permitiendo que los usuarios publicaran solicitudes de préstamo y que los inversionistas decidieran si financiarlas</w:t>
      </w:r>
      <w:r w:rsidR="00CE585B" w:rsidRPr="00CE585B">
        <w:rPr>
          <w:rFonts w:ascii="Times New Roman" w:hAnsi="Times New Roman" w:cs="Times New Roman"/>
          <w:sz w:val="24"/>
          <w:szCs w:val="24"/>
        </w:rPr>
        <w:t xml:space="preserve"> </w:t>
      </w:r>
      <w:r w:rsidR="00CE585B">
        <w:rPr>
          <w:rFonts w:ascii="Times New Roman" w:hAnsi="Times New Roman" w:cs="Times New Roman"/>
          <w:sz w:val="24"/>
          <w:szCs w:val="24"/>
        </w:rPr>
        <w:t>(</w:t>
      </w:r>
      <w:r w:rsidR="00CE585B" w:rsidRPr="00AE00A7">
        <w:rPr>
          <w:rFonts w:ascii="Times New Roman" w:hAnsi="Times New Roman" w:cs="Times New Roman"/>
          <w:sz w:val="24"/>
          <w:szCs w:val="24"/>
        </w:rPr>
        <w:t>Wang, Ni, Ni, &amp; Biswas, 2025</w:t>
      </w:r>
      <w:r w:rsidR="00CE585B" w:rsidRPr="00CB78D4">
        <w:rPr>
          <w:rFonts w:ascii="Times New Roman" w:hAnsi="Times New Roman" w:cs="Times New Roman"/>
          <w:sz w:val="24"/>
          <w:szCs w:val="24"/>
        </w:rPr>
        <w:t>)</w:t>
      </w:r>
      <w:r w:rsidRPr="008B26ED">
        <w:rPr>
          <w:rFonts w:ascii="Times New Roman" w:hAnsi="Times New Roman" w:cs="Times New Roman"/>
          <w:sz w:val="24"/>
          <w:szCs w:val="24"/>
          <w:lang w:val="es-CO"/>
        </w:rPr>
        <w:t>. Por cada préstamo aprobado, Lending Club cobraba al prestatario una comisión que oscilaba entre el 1% y el 6%</w:t>
      </w:r>
      <w:r w:rsidR="00CE585B">
        <w:rPr>
          <w:rFonts w:ascii="Times New Roman" w:hAnsi="Times New Roman" w:cs="Times New Roman"/>
          <w:sz w:val="24"/>
          <w:szCs w:val="24"/>
          <w:lang w:val="es-CO"/>
        </w:rPr>
        <w:t xml:space="preserve"> </w:t>
      </w:r>
      <w:r w:rsidR="00CE585B">
        <w:rPr>
          <w:rFonts w:ascii="Times New Roman" w:hAnsi="Times New Roman" w:cs="Times New Roman"/>
          <w:sz w:val="24"/>
          <w:szCs w:val="24"/>
        </w:rPr>
        <w:t>(</w:t>
      </w:r>
      <w:r w:rsidR="00CE585B" w:rsidRPr="004C629D">
        <w:rPr>
          <w:rFonts w:ascii="Times New Roman" w:hAnsi="Times New Roman" w:cs="Times New Roman"/>
          <w:sz w:val="24"/>
          <w:szCs w:val="24"/>
        </w:rPr>
        <w:t>Sotiropoulos, Koronakos, &amp; Solanakis, 2024</w:t>
      </w:r>
      <w:r w:rsidR="00CE585B">
        <w:rPr>
          <w:rFonts w:ascii="Times New Roman" w:hAnsi="Times New Roman" w:cs="Times New Roman"/>
          <w:sz w:val="24"/>
          <w:szCs w:val="24"/>
        </w:rPr>
        <w:t>)</w:t>
      </w:r>
      <w:r w:rsidRPr="008B26ED">
        <w:rPr>
          <w:rFonts w:ascii="Times New Roman" w:hAnsi="Times New Roman" w:cs="Times New Roman"/>
          <w:sz w:val="24"/>
          <w:szCs w:val="24"/>
          <w:lang w:val="es-CO"/>
        </w:rPr>
        <w:t>, según su nivel de riesgo. Sin embargo, en 2008 la Securities and Exchange Commission (SEC)</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intervino al considerar estos préstamos como valores, lo que llevó a la empresa a registrarse mediante el formulario S-1(Es la declaración de registro que deben presentar las empresas cuando quieren ofrecer valores al público por primera vez), convirtiéndose en la primera plataforma </w:t>
      </w:r>
      <w:r w:rsidRPr="00CE585B">
        <w:rPr>
          <w:rFonts w:ascii="Times New Roman" w:hAnsi="Times New Roman" w:cs="Times New Roman"/>
          <w:sz w:val="24"/>
          <w:szCs w:val="24"/>
          <w:lang w:val="es-CO"/>
        </w:rPr>
        <w:t>peer-to-peer</w:t>
      </w:r>
      <w:r w:rsidRPr="008B26ED">
        <w:rPr>
          <w:rFonts w:ascii="Times New Roman" w:hAnsi="Times New Roman" w:cs="Times New Roman"/>
          <w:sz w:val="24"/>
          <w:szCs w:val="24"/>
          <w:lang w:val="es-CO"/>
        </w:rPr>
        <w:t> en Estados Unidos en hacerlo</w:t>
      </w:r>
      <w:r w:rsidR="00CE585B">
        <w:rPr>
          <w:rFonts w:ascii="Times New Roman" w:hAnsi="Times New Roman" w:cs="Times New Roman"/>
          <w:sz w:val="24"/>
          <w:szCs w:val="24"/>
          <w:lang w:val="es-CO"/>
        </w:rPr>
        <w:t xml:space="preserve"> (</w:t>
      </w:r>
      <w:r w:rsidR="00CE585B" w:rsidRPr="004C629D">
        <w:rPr>
          <w:rFonts w:ascii="Times New Roman" w:hAnsi="Times New Roman" w:cs="Times New Roman"/>
          <w:sz w:val="24"/>
          <w:szCs w:val="24"/>
        </w:rPr>
        <w:t>Lyócsa, Vašaničová, Hadji Misheva, &amp; Vateha, 2022</w:t>
      </w:r>
      <w:r w:rsidR="00CE585B">
        <w:rPr>
          <w:rFonts w:ascii="Times New Roman" w:hAnsi="Times New Roman" w:cs="Times New Roman"/>
          <w:sz w:val="24"/>
          <w:szCs w:val="24"/>
          <w:lang w:val="es-CO"/>
        </w:rPr>
        <w:t>)</w:t>
      </w:r>
      <w:r w:rsidRPr="008B26ED">
        <w:rPr>
          <w:rFonts w:ascii="Times New Roman" w:hAnsi="Times New Roman" w:cs="Times New Roman"/>
          <w:sz w:val="24"/>
          <w:szCs w:val="24"/>
          <w:lang w:val="es-CO"/>
        </w:rPr>
        <w:t>. Desde entonces, los inversionistas adquirían notas emitidas por Lending Club, y como parte de las exigencias regulatorias se creó el Loan Tape</w:t>
      </w:r>
      <w:r w:rsidRPr="008B26ED">
        <w:rPr>
          <w:rFonts w:ascii="Times New Roman" w:hAnsi="Times New Roman" w:cs="Times New Roman"/>
          <w:b/>
          <w:bCs/>
          <w:sz w:val="24"/>
          <w:szCs w:val="24"/>
          <w:lang w:val="es-CO"/>
        </w:rPr>
        <w:t>,</w:t>
      </w:r>
      <w:r w:rsidRPr="008B26ED">
        <w:rPr>
          <w:rFonts w:ascii="Times New Roman" w:hAnsi="Times New Roman" w:cs="Times New Roman"/>
          <w:sz w:val="24"/>
          <w:szCs w:val="24"/>
          <w:lang w:val="es-CO"/>
        </w:rPr>
        <w:t> una base de datos pública que reúne información detallada sobre los préstamos otorgados incluyendo montos, tasas de interés, variables de riesgo, historial de pagos y atrasos, la cual ha servido de insumo fundamental para investigaciones académicas y análisis financieros</w:t>
      </w:r>
      <w:r w:rsidR="00CE585B" w:rsidRPr="00CE585B">
        <w:rPr>
          <w:rFonts w:ascii="Times New Roman" w:hAnsi="Times New Roman" w:cs="Times New Roman"/>
          <w:sz w:val="24"/>
          <w:szCs w:val="24"/>
        </w:rPr>
        <w:t xml:space="preserve"> </w:t>
      </w:r>
      <w:r w:rsidR="00CE585B">
        <w:rPr>
          <w:rFonts w:ascii="Times New Roman" w:hAnsi="Times New Roman" w:cs="Times New Roman"/>
          <w:sz w:val="24"/>
          <w:szCs w:val="24"/>
        </w:rPr>
        <w:t>(</w:t>
      </w:r>
      <w:r w:rsidR="00CE585B" w:rsidRPr="004C629D">
        <w:rPr>
          <w:rFonts w:ascii="Times New Roman" w:hAnsi="Times New Roman" w:cs="Times New Roman"/>
          <w:sz w:val="24"/>
          <w:szCs w:val="24"/>
        </w:rPr>
        <w:t>Sotiropoulos, Koronakos, &amp; Solanakis, 2024</w:t>
      </w:r>
      <w:r w:rsidR="00CE585B">
        <w:rPr>
          <w:rFonts w:ascii="Times New Roman" w:hAnsi="Times New Roman" w:cs="Times New Roman"/>
          <w:sz w:val="24"/>
          <w:szCs w:val="24"/>
        </w:rPr>
        <w:t xml:space="preserve">; </w:t>
      </w:r>
      <w:r w:rsidR="00CE585B" w:rsidRPr="00AE00A7">
        <w:rPr>
          <w:rFonts w:ascii="Times New Roman" w:hAnsi="Times New Roman" w:cs="Times New Roman"/>
          <w:sz w:val="24"/>
          <w:szCs w:val="24"/>
        </w:rPr>
        <w:t>Wang, Ni, Ni, &amp; Biswas, 2025</w:t>
      </w:r>
      <w:r w:rsidR="00CE585B" w:rsidRPr="00CB78D4">
        <w:rPr>
          <w:rFonts w:ascii="Times New Roman" w:hAnsi="Times New Roman" w:cs="Times New Roman"/>
          <w:sz w:val="24"/>
          <w:szCs w:val="24"/>
        </w:rPr>
        <w:t>)</w:t>
      </w:r>
      <w:r w:rsidRPr="008B26ED">
        <w:rPr>
          <w:rFonts w:ascii="Times New Roman" w:hAnsi="Times New Roman" w:cs="Times New Roman"/>
          <w:sz w:val="24"/>
          <w:szCs w:val="24"/>
          <w:lang w:val="es-CO"/>
        </w:rPr>
        <w:t>.</w:t>
      </w:r>
    </w:p>
    <w:p w14:paraId="61808B7C" w14:textId="0619377E" w:rsidR="00B260EA" w:rsidRDefault="008B26ED" w:rsidP="00B260EA">
      <w:pPr>
        <w:spacing w:line="480" w:lineRule="auto"/>
        <w:ind w:firstLine="720"/>
        <w:rPr>
          <w:rFonts w:ascii="Times New Roman" w:hAnsi="Times New Roman" w:cs="Times New Roman"/>
          <w:sz w:val="24"/>
          <w:szCs w:val="24"/>
          <w:lang w:val="es-CO"/>
        </w:rPr>
      </w:pPr>
      <w:r w:rsidRPr="008B26ED">
        <w:rPr>
          <w:rFonts w:ascii="Times New Roman" w:hAnsi="Times New Roman" w:cs="Times New Roman"/>
          <w:sz w:val="24"/>
          <w:szCs w:val="24"/>
          <w:lang w:val="es-CO"/>
        </w:rPr>
        <w:t>De la mano de esta evolución histórica surge la posibilidad de analizar uno de los aspectos más críticos dentro del sistema financiero el riesgo</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crediticio </w:t>
      </w:r>
      <w:r w:rsidR="00680093">
        <w:rPr>
          <w:rFonts w:ascii="Times New Roman" w:hAnsi="Times New Roman" w:cs="Times New Roman"/>
          <w:sz w:val="24"/>
          <w:szCs w:val="24"/>
          <w:lang w:val="es-CO"/>
        </w:rPr>
        <w:t>e</w:t>
      </w:r>
      <w:r w:rsidRPr="008B26ED">
        <w:rPr>
          <w:rFonts w:ascii="Times New Roman" w:hAnsi="Times New Roman" w:cs="Times New Roman"/>
          <w:sz w:val="24"/>
          <w:szCs w:val="24"/>
          <w:lang w:val="es-CO"/>
        </w:rPr>
        <w:t>ste riesgo</w:t>
      </w:r>
      <w:r w:rsidR="00680093" w:rsidRPr="00680093">
        <w:t xml:space="preserve"> </w:t>
      </w:r>
      <w:r w:rsidR="00680093" w:rsidRPr="00680093">
        <w:rPr>
          <w:rFonts w:ascii="Times New Roman" w:hAnsi="Times New Roman" w:cs="Times New Roman"/>
          <w:sz w:val="24"/>
          <w:szCs w:val="24"/>
        </w:rPr>
        <w:t>(Ahelegbey, Giudici, &amp; Hadji-Misheva, 2019)</w:t>
      </w:r>
      <w:r w:rsidRPr="008B26ED">
        <w:rPr>
          <w:rFonts w:ascii="Times New Roman" w:hAnsi="Times New Roman" w:cs="Times New Roman"/>
          <w:sz w:val="24"/>
          <w:szCs w:val="24"/>
          <w:lang w:val="es-CO"/>
        </w:rPr>
        <w:t xml:space="preserve">, entendido como la probabilidad de que un </w:t>
      </w:r>
      <w:r w:rsidRPr="008B26ED">
        <w:rPr>
          <w:rFonts w:ascii="Times New Roman" w:hAnsi="Times New Roman" w:cs="Times New Roman"/>
          <w:sz w:val="24"/>
          <w:szCs w:val="24"/>
          <w:lang w:val="es-CO"/>
        </w:rPr>
        <w:lastRenderedPageBreak/>
        <w:t xml:space="preserve">prestatario incumpla con sus obligaciones de pago, se convierte en un elemento central para la estabilidad del mercado y la toma de decisiones de los inversionistas, </w:t>
      </w:r>
      <w:r w:rsidR="00680093">
        <w:rPr>
          <w:rFonts w:ascii="Times New Roman" w:hAnsi="Times New Roman" w:cs="Times New Roman"/>
          <w:sz w:val="24"/>
          <w:szCs w:val="24"/>
          <w:lang w:val="es-CO"/>
        </w:rPr>
        <w:t>e</w:t>
      </w:r>
      <w:r w:rsidRPr="008B26ED">
        <w:rPr>
          <w:rFonts w:ascii="Times New Roman" w:hAnsi="Times New Roman" w:cs="Times New Roman"/>
          <w:sz w:val="24"/>
          <w:szCs w:val="24"/>
          <w:lang w:val="es-CO"/>
        </w:rPr>
        <w:t>l Loan Tape resulta particularmente valioso en este ámbito, lo que permite evaluar de manera más precisa la probabilidad de incumplimiento</w:t>
      </w:r>
      <w:r w:rsidR="00680093" w:rsidRPr="00680093">
        <w:rPr>
          <w:color w:val="1F1F1F"/>
          <w:sz w:val="21"/>
          <w:szCs w:val="21"/>
          <w:shd w:val="clear" w:color="auto" w:fill="FFFFFF"/>
        </w:rPr>
        <w:t xml:space="preserve"> </w:t>
      </w:r>
      <w:r w:rsidR="00680093" w:rsidRPr="00680093">
        <w:rPr>
          <w:rFonts w:ascii="Times New Roman" w:hAnsi="Times New Roman" w:cs="Times New Roman"/>
          <w:sz w:val="24"/>
          <w:szCs w:val="24"/>
        </w:rPr>
        <w:t xml:space="preserve">(Pierrakis </w:t>
      </w:r>
      <w:r w:rsidR="00680093">
        <w:rPr>
          <w:rFonts w:ascii="Times New Roman" w:hAnsi="Times New Roman" w:cs="Times New Roman"/>
          <w:sz w:val="24"/>
          <w:szCs w:val="24"/>
        </w:rPr>
        <w:t>,</w:t>
      </w:r>
      <w:r w:rsidR="00680093" w:rsidRPr="00680093">
        <w:rPr>
          <w:rFonts w:ascii="Times New Roman" w:hAnsi="Times New Roman" w:cs="Times New Roman"/>
          <w:sz w:val="24"/>
          <w:szCs w:val="24"/>
        </w:rPr>
        <w:t>2018</w:t>
      </w:r>
      <w:r w:rsidR="00680093">
        <w:rPr>
          <w:rFonts w:ascii="Times New Roman" w:hAnsi="Times New Roman" w:cs="Times New Roman"/>
          <w:sz w:val="24"/>
          <w:szCs w:val="24"/>
        </w:rPr>
        <w:t>;</w:t>
      </w:r>
      <w:r w:rsidR="00680093" w:rsidRPr="00680093">
        <w:rPr>
          <w:color w:val="1F1F1F"/>
          <w:sz w:val="21"/>
          <w:szCs w:val="21"/>
          <w:shd w:val="clear" w:color="auto" w:fill="FFFFFF"/>
        </w:rPr>
        <w:t xml:space="preserve"> </w:t>
      </w:r>
      <w:r w:rsidR="00680093" w:rsidRPr="00680093">
        <w:rPr>
          <w:rFonts w:ascii="Times New Roman" w:hAnsi="Times New Roman" w:cs="Times New Roman"/>
          <w:sz w:val="24"/>
          <w:szCs w:val="24"/>
        </w:rPr>
        <w:t>Emekter et al</w:t>
      </w:r>
      <w:r w:rsidR="00680093">
        <w:rPr>
          <w:rFonts w:ascii="Times New Roman" w:hAnsi="Times New Roman" w:cs="Times New Roman"/>
          <w:sz w:val="24"/>
          <w:szCs w:val="24"/>
        </w:rPr>
        <w:t>.,</w:t>
      </w:r>
      <w:r w:rsidR="00680093" w:rsidRPr="00680093">
        <w:rPr>
          <w:rFonts w:ascii="Times New Roman" w:hAnsi="Times New Roman" w:cs="Times New Roman"/>
          <w:sz w:val="24"/>
          <w:szCs w:val="24"/>
        </w:rPr>
        <w:t>2015</w:t>
      </w:r>
      <w:r w:rsidR="00680093">
        <w:rPr>
          <w:rFonts w:ascii="Times New Roman" w:hAnsi="Times New Roman" w:cs="Times New Roman"/>
          <w:sz w:val="24"/>
          <w:szCs w:val="24"/>
        </w:rPr>
        <w:t>;</w:t>
      </w:r>
      <w:r w:rsidR="00680093" w:rsidRPr="00680093">
        <w:rPr>
          <w:rFonts w:ascii="Times New Roman" w:hAnsi="Times New Roman" w:cs="Times New Roman"/>
          <w:sz w:val="24"/>
          <w:szCs w:val="24"/>
        </w:rPr>
        <w:t xml:space="preserve"> </w:t>
      </w:r>
      <w:r w:rsidR="00680093" w:rsidRPr="00AE00A7">
        <w:rPr>
          <w:rFonts w:ascii="Times New Roman" w:hAnsi="Times New Roman" w:cs="Times New Roman"/>
          <w:sz w:val="24"/>
          <w:szCs w:val="24"/>
        </w:rPr>
        <w:t>Wang, Ni, Ni, &amp; Biswas, 2025</w:t>
      </w:r>
      <w:r w:rsidR="00680093" w:rsidRPr="00680093">
        <w:rPr>
          <w:rFonts w:ascii="Times New Roman" w:hAnsi="Times New Roman" w:cs="Times New Roman"/>
          <w:sz w:val="24"/>
          <w:szCs w:val="24"/>
        </w:rPr>
        <w:t>)</w:t>
      </w:r>
      <w:r w:rsidRPr="008B26ED">
        <w:rPr>
          <w:rFonts w:ascii="Times New Roman" w:hAnsi="Times New Roman" w:cs="Times New Roman"/>
          <w:sz w:val="24"/>
          <w:szCs w:val="24"/>
          <w:lang w:val="es-CO"/>
        </w:rPr>
        <w:t>. La dependencia de estos datos ha permitido tanto a investigadores como a profesionales del sector construir modelos predictivos, comparar metodologías tradicionales con enfoques basados en técnicas estadísticas y de machine learning, y generar evidencia empírica que respalde estrategias de inversión y decisiones regulatorias</w:t>
      </w:r>
      <w:r w:rsidR="00680093" w:rsidRPr="00680093">
        <w:rPr>
          <w:color w:val="1F1F1F"/>
          <w:sz w:val="21"/>
          <w:szCs w:val="21"/>
          <w:shd w:val="clear" w:color="auto" w:fill="FFFFFF"/>
        </w:rPr>
        <w:t xml:space="preserve"> </w:t>
      </w:r>
      <w:r w:rsidR="00680093" w:rsidRPr="00680093">
        <w:rPr>
          <w:rFonts w:ascii="Times New Roman" w:hAnsi="Times New Roman" w:cs="Times New Roman"/>
          <w:sz w:val="24"/>
          <w:szCs w:val="24"/>
        </w:rPr>
        <w:t>(Heng &amp; Subramanian, 2022</w:t>
      </w:r>
      <w:r w:rsidR="00680093">
        <w:rPr>
          <w:rFonts w:ascii="Times New Roman" w:hAnsi="Times New Roman" w:cs="Times New Roman"/>
          <w:sz w:val="24"/>
          <w:szCs w:val="24"/>
        </w:rPr>
        <w:t>;</w:t>
      </w:r>
      <w:r w:rsidR="00680093" w:rsidRPr="00680093">
        <w:t xml:space="preserve"> </w:t>
      </w:r>
      <w:r w:rsidR="00680093" w:rsidRPr="00680093">
        <w:rPr>
          <w:rFonts w:ascii="Times New Roman" w:hAnsi="Times New Roman" w:cs="Times New Roman"/>
          <w:sz w:val="24"/>
          <w:szCs w:val="24"/>
        </w:rPr>
        <w:t>Monje, Carrasco, &amp; Sánchez-Montañés, 2025)</w:t>
      </w:r>
      <w:r w:rsidRPr="008B26ED">
        <w:rPr>
          <w:rFonts w:ascii="Times New Roman" w:hAnsi="Times New Roman" w:cs="Times New Roman"/>
          <w:sz w:val="24"/>
          <w:szCs w:val="24"/>
          <w:lang w:val="es-CO"/>
        </w:rPr>
        <w:t>. En este sentido, el Loan Tape no solo fortalece la transparencia y confianza en el mercado de préstamos entre pares, sino que también se consolida como un recurso indispensable para el estudio y la gestión del riesgo crediticio</w:t>
      </w:r>
      <w:r w:rsidR="00680093">
        <w:rPr>
          <w:rFonts w:ascii="Times New Roman" w:hAnsi="Times New Roman" w:cs="Times New Roman"/>
          <w:sz w:val="24"/>
          <w:szCs w:val="24"/>
          <w:lang w:val="es-CO"/>
        </w:rPr>
        <w:t xml:space="preserve"> (</w:t>
      </w:r>
      <w:r w:rsidR="00680093" w:rsidRPr="004C629D">
        <w:rPr>
          <w:rFonts w:ascii="Times New Roman" w:hAnsi="Times New Roman" w:cs="Times New Roman"/>
          <w:sz w:val="24"/>
          <w:szCs w:val="24"/>
        </w:rPr>
        <w:t>Sotiropoulos, Koronakos, &amp; Solanakis, 2024</w:t>
      </w:r>
      <w:r w:rsidR="00680093">
        <w:rPr>
          <w:rFonts w:ascii="Times New Roman" w:hAnsi="Times New Roman" w:cs="Times New Roman"/>
          <w:sz w:val="24"/>
          <w:szCs w:val="24"/>
          <w:lang w:val="es-CO"/>
        </w:rPr>
        <w:t>)</w:t>
      </w:r>
      <w:r w:rsidRPr="008B26ED">
        <w:rPr>
          <w:rFonts w:ascii="Times New Roman" w:hAnsi="Times New Roman" w:cs="Times New Roman"/>
          <w:sz w:val="24"/>
          <w:szCs w:val="24"/>
          <w:lang w:val="es-CO"/>
        </w:rPr>
        <w:t>.</w:t>
      </w:r>
    </w:p>
    <w:p w14:paraId="02A892FA" w14:textId="6DAB2422" w:rsidR="00B260EA" w:rsidRDefault="00D62EAD" w:rsidP="00CE585B">
      <w:pPr>
        <w:spacing w:line="480" w:lineRule="auto"/>
        <w:ind w:firstLine="720"/>
        <w:rPr>
          <w:rFonts w:ascii="Times New Roman" w:hAnsi="Times New Roman" w:cs="Times New Roman"/>
          <w:sz w:val="24"/>
          <w:szCs w:val="24"/>
        </w:rPr>
      </w:pPr>
      <w:r w:rsidRPr="00CA62FD">
        <w:rPr>
          <w:rFonts w:ascii="Times New Roman" w:hAnsi="Times New Roman" w:cs="Times New Roman"/>
          <w:sz w:val="24"/>
          <w:szCs w:val="24"/>
        </w:rPr>
        <w:t xml:space="preserve">Otro elemento clave en esta investigación es la </w:t>
      </w:r>
      <w:r w:rsidR="00704FE1" w:rsidRPr="00CA62FD">
        <w:rPr>
          <w:rFonts w:ascii="Times New Roman" w:hAnsi="Times New Roman" w:cs="Times New Roman"/>
          <w:sz w:val="24"/>
          <w:szCs w:val="24"/>
        </w:rPr>
        <w:t>dependencia e importancia de las variables predictoras las cuales nos dan un contexto para la interpretación de loan Tape así mismo como el tipo de cliente interesado en los prestamos entre pares</w:t>
      </w:r>
      <w:r w:rsidR="00943A1A" w:rsidRPr="00943A1A">
        <w:rPr>
          <w:color w:val="1F1F1F"/>
          <w:sz w:val="21"/>
          <w:szCs w:val="21"/>
          <w:shd w:val="clear" w:color="auto" w:fill="FFFFFF"/>
        </w:rPr>
        <w:t xml:space="preserve"> </w:t>
      </w:r>
      <w:r w:rsidR="00943A1A" w:rsidRPr="00943A1A">
        <w:rPr>
          <w:rFonts w:ascii="Times New Roman" w:hAnsi="Times New Roman" w:cs="Times New Roman"/>
          <w:sz w:val="24"/>
          <w:szCs w:val="24"/>
        </w:rPr>
        <w:t>(Xia et al. 2017a)</w:t>
      </w:r>
      <w:r w:rsidR="00704FE1" w:rsidRPr="00CA62FD">
        <w:rPr>
          <w:rFonts w:ascii="Times New Roman" w:hAnsi="Times New Roman" w:cs="Times New Roman"/>
          <w:sz w:val="24"/>
          <w:szCs w:val="24"/>
        </w:rPr>
        <w:t xml:space="preserve">, diversas investigaciones han demostrado que </w:t>
      </w:r>
      <w:r w:rsidR="00CA62FD" w:rsidRPr="00CA62FD">
        <w:rPr>
          <w:rFonts w:ascii="Times New Roman" w:hAnsi="Times New Roman" w:cs="Times New Roman"/>
          <w:sz w:val="24"/>
          <w:szCs w:val="24"/>
        </w:rPr>
        <w:t xml:space="preserve">la calidad de los modelos </w:t>
      </w:r>
      <w:r w:rsidR="00C468E5">
        <w:rPr>
          <w:rFonts w:ascii="Times New Roman" w:hAnsi="Times New Roman" w:cs="Times New Roman"/>
          <w:sz w:val="24"/>
          <w:szCs w:val="24"/>
        </w:rPr>
        <w:t xml:space="preserve">de </w:t>
      </w:r>
      <w:r w:rsidR="003738E8">
        <w:rPr>
          <w:rFonts w:ascii="Times New Roman" w:hAnsi="Times New Roman" w:cs="Times New Roman"/>
          <w:sz w:val="24"/>
          <w:szCs w:val="24"/>
        </w:rPr>
        <w:t>predicción</w:t>
      </w:r>
      <w:r w:rsidR="00C468E5">
        <w:rPr>
          <w:rFonts w:ascii="Times New Roman" w:hAnsi="Times New Roman" w:cs="Times New Roman"/>
          <w:sz w:val="24"/>
          <w:szCs w:val="24"/>
        </w:rPr>
        <w:t xml:space="preserve"> crediticia</w:t>
      </w:r>
      <w:r w:rsidR="003738E8">
        <w:rPr>
          <w:rFonts w:ascii="Times New Roman" w:hAnsi="Times New Roman" w:cs="Times New Roman"/>
          <w:sz w:val="24"/>
          <w:szCs w:val="24"/>
        </w:rPr>
        <w:t xml:space="preserve"> depende en gran medida de la elección de las variables y ponderación de las mismas, pero más allá de eso este ensayo pretende abordar conceptos estadísticos que se han implementado para el correcto abordaje del tema con ello poder especificar mejor y entender que parámetros y como se van a ver reflejados en la predicción del riesgo crediticio, así mismo la correcta identificación de patrones los cuales se evidencian en este mercado</w:t>
      </w:r>
      <w:r w:rsidR="00661545">
        <w:rPr>
          <w:rFonts w:ascii="Times New Roman" w:hAnsi="Times New Roman" w:cs="Times New Roman"/>
          <w:sz w:val="24"/>
          <w:szCs w:val="24"/>
        </w:rPr>
        <w:t>, la captura de estas relaciones y por ende los conceptos iniciales que se tienen antes de abordar directamente los datos</w:t>
      </w:r>
      <w:r w:rsidR="006B0EE8">
        <w:rPr>
          <w:rFonts w:ascii="Times New Roman" w:hAnsi="Times New Roman" w:cs="Times New Roman"/>
          <w:sz w:val="24"/>
          <w:szCs w:val="24"/>
        </w:rPr>
        <w:t xml:space="preserve"> nos van a permitir llegar a unas aproximaciones más </w:t>
      </w:r>
      <w:r w:rsidR="00B260EA">
        <w:rPr>
          <w:rFonts w:ascii="Times New Roman" w:hAnsi="Times New Roman" w:cs="Times New Roman"/>
          <w:sz w:val="24"/>
          <w:szCs w:val="24"/>
        </w:rPr>
        <w:t>certeras</w:t>
      </w:r>
      <w:r w:rsidR="00943A1A" w:rsidRPr="00943A1A">
        <w:rPr>
          <w:rFonts w:ascii="Times New Roman" w:hAnsi="Times New Roman" w:cs="Times New Roman"/>
          <w:sz w:val="24"/>
          <w:szCs w:val="24"/>
        </w:rPr>
        <w:t xml:space="preserve"> </w:t>
      </w:r>
      <w:r w:rsidR="00943A1A">
        <w:rPr>
          <w:rFonts w:ascii="Times New Roman" w:hAnsi="Times New Roman" w:cs="Times New Roman"/>
          <w:sz w:val="24"/>
          <w:szCs w:val="24"/>
        </w:rPr>
        <w:t>(</w:t>
      </w:r>
      <w:r w:rsidR="00943A1A" w:rsidRPr="00680093">
        <w:rPr>
          <w:rFonts w:ascii="Times New Roman" w:hAnsi="Times New Roman" w:cs="Times New Roman"/>
          <w:sz w:val="24"/>
          <w:szCs w:val="24"/>
        </w:rPr>
        <w:t>Monje, Carrasco, &amp; Sánchez-Montañés, 2025</w:t>
      </w:r>
      <w:r w:rsidR="00943A1A">
        <w:rPr>
          <w:rFonts w:ascii="Times New Roman" w:hAnsi="Times New Roman" w:cs="Times New Roman"/>
          <w:sz w:val="24"/>
          <w:szCs w:val="24"/>
        </w:rPr>
        <w:t>)</w:t>
      </w:r>
      <w:r w:rsidR="00B260EA">
        <w:rPr>
          <w:rFonts w:ascii="Times New Roman" w:hAnsi="Times New Roman" w:cs="Times New Roman"/>
          <w:sz w:val="24"/>
          <w:szCs w:val="24"/>
        </w:rPr>
        <w:t>,</w:t>
      </w:r>
      <w:r w:rsidR="00661545">
        <w:rPr>
          <w:rFonts w:ascii="Times New Roman" w:hAnsi="Times New Roman" w:cs="Times New Roman"/>
          <w:sz w:val="24"/>
          <w:szCs w:val="24"/>
        </w:rPr>
        <w:t xml:space="preserve"> por tanto la base de este </w:t>
      </w:r>
      <w:r w:rsidR="00B260EA">
        <w:rPr>
          <w:rFonts w:ascii="Times New Roman" w:hAnsi="Times New Roman" w:cs="Times New Roman"/>
          <w:sz w:val="24"/>
          <w:szCs w:val="24"/>
        </w:rPr>
        <w:t xml:space="preserve">trabajo </w:t>
      </w:r>
      <w:r w:rsidR="00661545">
        <w:rPr>
          <w:rFonts w:ascii="Times New Roman" w:hAnsi="Times New Roman" w:cs="Times New Roman"/>
          <w:sz w:val="24"/>
          <w:szCs w:val="24"/>
        </w:rPr>
        <w:t xml:space="preserve">es dar a conocer aquellos posibles patrones, comportamientos que hacen que sin contexto la predicción no </w:t>
      </w:r>
      <w:r w:rsidR="00661545">
        <w:rPr>
          <w:rFonts w:ascii="Times New Roman" w:hAnsi="Times New Roman" w:cs="Times New Roman"/>
          <w:sz w:val="24"/>
          <w:szCs w:val="24"/>
        </w:rPr>
        <w:lastRenderedPageBreak/>
        <w:t>tenga sentido y por tanto no sea coherente para este mercado, fortaleciendo así la gestión del riesgo como la toma de decisiones en el ambiente laboral</w:t>
      </w:r>
      <w:r w:rsidR="00943A1A">
        <w:rPr>
          <w:rFonts w:ascii="Times New Roman" w:hAnsi="Times New Roman" w:cs="Times New Roman"/>
          <w:sz w:val="24"/>
          <w:szCs w:val="24"/>
          <w:lang w:val="es-CO"/>
        </w:rPr>
        <w:t>(</w:t>
      </w:r>
      <w:r w:rsidR="00943A1A" w:rsidRPr="004C629D">
        <w:rPr>
          <w:rFonts w:ascii="Times New Roman" w:hAnsi="Times New Roman" w:cs="Times New Roman"/>
          <w:sz w:val="24"/>
          <w:szCs w:val="24"/>
        </w:rPr>
        <w:t>Sotiropoulos, Koronakos, &amp; Solanakis, 2024</w:t>
      </w:r>
      <w:r w:rsidR="00943A1A">
        <w:rPr>
          <w:rFonts w:ascii="Times New Roman" w:hAnsi="Times New Roman" w:cs="Times New Roman"/>
          <w:sz w:val="24"/>
          <w:szCs w:val="24"/>
          <w:lang w:val="es-CO"/>
        </w:rPr>
        <w:t>)</w:t>
      </w:r>
      <w:r w:rsidR="00943A1A" w:rsidRPr="008B26ED">
        <w:rPr>
          <w:rFonts w:ascii="Times New Roman" w:hAnsi="Times New Roman" w:cs="Times New Roman"/>
          <w:sz w:val="24"/>
          <w:szCs w:val="24"/>
          <w:lang w:val="es-CO"/>
        </w:rPr>
        <w:t>.</w:t>
      </w:r>
    </w:p>
    <w:p w14:paraId="185C3EAC" w14:textId="77777777" w:rsidR="00680093" w:rsidRDefault="00680093" w:rsidP="00CE585B">
      <w:pPr>
        <w:spacing w:line="480" w:lineRule="auto"/>
        <w:ind w:firstLine="720"/>
        <w:rPr>
          <w:rFonts w:ascii="Times New Roman" w:hAnsi="Times New Roman" w:cs="Times New Roman"/>
          <w:sz w:val="24"/>
          <w:szCs w:val="24"/>
        </w:rPr>
      </w:pPr>
    </w:p>
    <w:p w14:paraId="2B5FA603" w14:textId="77777777" w:rsidR="00680093" w:rsidRDefault="00680093" w:rsidP="00CE585B">
      <w:pPr>
        <w:spacing w:line="480" w:lineRule="auto"/>
        <w:ind w:firstLine="720"/>
        <w:rPr>
          <w:rFonts w:ascii="Times New Roman" w:hAnsi="Times New Roman" w:cs="Times New Roman"/>
          <w:sz w:val="24"/>
          <w:szCs w:val="24"/>
        </w:rPr>
      </w:pPr>
    </w:p>
    <w:p w14:paraId="6DF18E42" w14:textId="77777777" w:rsidR="00680093" w:rsidRDefault="00680093" w:rsidP="00CE585B">
      <w:pPr>
        <w:spacing w:line="480" w:lineRule="auto"/>
        <w:ind w:firstLine="720"/>
        <w:rPr>
          <w:rFonts w:ascii="Times New Roman" w:hAnsi="Times New Roman" w:cs="Times New Roman"/>
          <w:sz w:val="24"/>
          <w:szCs w:val="24"/>
        </w:rPr>
      </w:pPr>
    </w:p>
    <w:p w14:paraId="7347E20B" w14:textId="77777777" w:rsidR="00680093" w:rsidRDefault="00680093" w:rsidP="00CE585B">
      <w:pPr>
        <w:spacing w:line="480" w:lineRule="auto"/>
        <w:ind w:firstLine="720"/>
        <w:rPr>
          <w:rFonts w:ascii="Times New Roman" w:hAnsi="Times New Roman" w:cs="Times New Roman"/>
          <w:sz w:val="24"/>
          <w:szCs w:val="24"/>
        </w:rPr>
      </w:pPr>
    </w:p>
    <w:p w14:paraId="4DBFE895" w14:textId="77777777" w:rsidR="00680093" w:rsidRDefault="00680093" w:rsidP="00CE585B">
      <w:pPr>
        <w:spacing w:line="480" w:lineRule="auto"/>
        <w:ind w:firstLine="720"/>
        <w:rPr>
          <w:rFonts w:ascii="Times New Roman" w:hAnsi="Times New Roman" w:cs="Times New Roman"/>
          <w:sz w:val="24"/>
          <w:szCs w:val="24"/>
        </w:rPr>
      </w:pPr>
    </w:p>
    <w:p w14:paraId="04797BCB" w14:textId="77777777" w:rsidR="00680093" w:rsidRDefault="00680093" w:rsidP="00CE585B">
      <w:pPr>
        <w:spacing w:line="480" w:lineRule="auto"/>
        <w:ind w:firstLine="720"/>
        <w:rPr>
          <w:rFonts w:ascii="Times New Roman" w:hAnsi="Times New Roman" w:cs="Times New Roman"/>
          <w:sz w:val="24"/>
          <w:szCs w:val="24"/>
        </w:rPr>
      </w:pPr>
    </w:p>
    <w:p w14:paraId="56372D26" w14:textId="77777777" w:rsidR="00680093" w:rsidRDefault="00680093" w:rsidP="00CE585B">
      <w:pPr>
        <w:spacing w:line="480" w:lineRule="auto"/>
        <w:ind w:firstLine="720"/>
        <w:rPr>
          <w:rFonts w:ascii="Times New Roman" w:hAnsi="Times New Roman" w:cs="Times New Roman"/>
          <w:sz w:val="24"/>
          <w:szCs w:val="24"/>
        </w:rPr>
      </w:pPr>
    </w:p>
    <w:p w14:paraId="3359F0BE" w14:textId="77777777" w:rsidR="00680093" w:rsidRDefault="00680093" w:rsidP="00CE585B">
      <w:pPr>
        <w:spacing w:line="480" w:lineRule="auto"/>
        <w:ind w:firstLine="720"/>
        <w:rPr>
          <w:rFonts w:ascii="Times New Roman" w:hAnsi="Times New Roman" w:cs="Times New Roman"/>
          <w:sz w:val="24"/>
          <w:szCs w:val="24"/>
        </w:rPr>
      </w:pPr>
    </w:p>
    <w:p w14:paraId="6110A224" w14:textId="77777777" w:rsidR="00680093" w:rsidRDefault="00680093" w:rsidP="00CE585B">
      <w:pPr>
        <w:spacing w:line="480" w:lineRule="auto"/>
        <w:ind w:firstLine="720"/>
        <w:rPr>
          <w:rFonts w:ascii="Times New Roman" w:hAnsi="Times New Roman" w:cs="Times New Roman"/>
          <w:sz w:val="24"/>
          <w:szCs w:val="24"/>
        </w:rPr>
      </w:pPr>
    </w:p>
    <w:p w14:paraId="021DDC01" w14:textId="77777777" w:rsidR="00680093" w:rsidRDefault="00680093" w:rsidP="00CE585B">
      <w:pPr>
        <w:spacing w:line="480" w:lineRule="auto"/>
        <w:ind w:firstLine="720"/>
        <w:rPr>
          <w:rFonts w:ascii="Times New Roman" w:hAnsi="Times New Roman" w:cs="Times New Roman"/>
          <w:sz w:val="24"/>
          <w:szCs w:val="24"/>
        </w:rPr>
      </w:pPr>
    </w:p>
    <w:p w14:paraId="2EC3881A" w14:textId="77777777" w:rsidR="00680093" w:rsidRDefault="00680093" w:rsidP="00CE585B">
      <w:pPr>
        <w:spacing w:line="480" w:lineRule="auto"/>
        <w:ind w:firstLine="720"/>
        <w:rPr>
          <w:rFonts w:ascii="Times New Roman" w:hAnsi="Times New Roman" w:cs="Times New Roman"/>
          <w:sz w:val="24"/>
          <w:szCs w:val="24"/>
        </w:rPr>
      </w:pPr>
    </w:p>
    <w:p w14:paraId="75754435" w14:textId="77777777" w:rsidR="00680093" w:rsidRDefault="00680093" w:rsidP="00CE585B">
      <w:pPr>
        <w:spacing w:line="480" w:lineRule="auto"/>
        <w:ind w:firstLine="720"/>
        <w:rPr>
          <w:rFonts w:ascii="Times New Roman" w:hAnsi="Times New Roman" w:cs="Times New Roman"/>
          <w:sz w:val="24"/>
          <w:szCs w:val="24"/>
        </w:rPr>
      </w:pPr>
    </w:p>
    <w:p w14:paraId="16674403" w14:textId="77777777" w:rsidR="00680093" w:rsidRDefault="00680093" w:rsidP="00CE585B">
      <w:pPr>
        <w:spacing w:line="480" w:lineRule="auto"/>
        <w:ind w:firstLine="720"/>
        <w:rPr>
          <w:rFonts w:ascii="Times New Roman" w:hAnsi="Times New Roman" w:cs="Times New Roman"/>
          <w:sz w:val="24"/>
          <w:szCs w:val="24"/>
        </w:rPr>
      </w:pPr>
    </w:p>
    <w:p w14:paraId="73B8D421" w14:textId="77777777" w:rsidR="00680093" w:rsidRDefault="00680093" w:rsidP="00CE585B">
      <w:pPr>
        <w:spacing w:line="480" w:lineRule="auto"/>
        <w:ind w:firstLine="720"/>
        <w:rPr>
          <w:rFonts w:ascii="Times New Roman" w:hAnsi="Times New Roman" w:cs="Times New Roman"/>
          <w:sz w:val="24"/>
          <w:szCs w:val="24"/>
        </w:rPr>
      </w:pPr>
    </w:p>
    <w:p w14:paraId="144A8874" w14:textId="77777777" w:rsidR="00680093" w:rsidRDefault="00680093" w:rsidP="00CE585B">
      <w:pPr>
        <w:spacing w:line="480" w:lineRule="auto"/>
        <w:ind w:firstLine="720"/>
        <w:rPr>
          <w:rFonts w:ascii="Times New Roman" w:hAnsi="Times New Roman" w:cs="Times New Roman"/>
          <w:sz w:val="24"/>
          <w:szCs w:val="24"/>
        </w:rPr>
      </w:pPr>
    </w:p>
    <w:p w14:paraId="5B4D6EDA" w14:textId="77777777" w:rsidR="00680093" w:rsidRDefault="00680093" w:rsidP="00CE585B">
      <w:pPr>
        <w:spacing w:line="480" w:lineRule="auto"/>
        <w:ind w:firstLine="720"/>
        <w:rPr>
          <w:rFonts w:ascii="Times New Roman" w:hAnsi="Times New Roman" w:cs="Times New Roman"/>
          <w:sz w:val="24"/>
          <w:szCs w:val="24"/>
        </w:rPr>
      </w:pPr>
    </w:p>
    <w:p w14:paraId="2893373A" w14:textId="77777777" w:rsidR="00680093" w:rsidRDefault="00680093" w:rsidP="00CE585B">
      <w:pPr>
        <w:spacing w:line="480" w:lineRule="auto"/>
        <w:ind w:firstLine="720"/>
        <w:rPr>
          <w:rFonts w:ascii="Times New Roman" w:hAnsi="Times New Roman" w:cs="Times New Roman"/>
          <w:sz w:val="24"/>
          <w:szCs w:val="24"/>
        </w:rPr>
      </w:pPr>
    </w:p>
    <w:p w14:paraId="37263F09" w14:textId="77777777" w:rsidR="00680093" w:rsidRDefault="00680093" w:rsidP="00CE585B">
      <w:pPr>
        <w:spacing w:line="480" w:lineRule="auto"/>
        <w:ind w:firstLine="720"/>
        <w:rPr>
          <w:rFonts w:ascii="Times New Roman" w:hAnsi="Times New Roman" w:cs="Times New Roman"/>
          <w:sz w:val="24"/>
          <w:szCs w:val="24"/>
        </w:rPr>
      </w:pPr>
    </w:p>
    <w:p w14:paraId="31A7414A" w14:textId="77777777" w:rsidR="00680093" w:rsidRDefault="00680093" w:rsidP="00CE585B">
      <w:pPr>
        <w:spacing w:line="480" w:lineRule="auto"/>
        <w:ind w:firstLine="720"/>
        <w:rPr>
          <w:rFonts w:ascii="Times New Roman" w:hAnsi="Times New Roman" w:cs="Times New Roman"/>
          <w:sz w:val="24"/>
          <w:szCs w:val="24"/>
        </w:rPr>
      </w:pPr>
    </w:p>
    <w:p w14:paraId="74993D18" w14:textId="77777777" w:rsidR="00680093" w:rsidRPr="00CE585B" w:rsidRDefault="00680093" w:rsidP="00CE585B">
      <w:pPr>
        <w:spacing w:line="480" w:lineRule="auto"/>
        <w:ind w:firstLine="720"/>
        <w:rPr>
          <w:rFonts w:ascii="Times New Roman" w:hAnsi="Times New Roman" w:cs="Times New Roman"/>
          <w:sz w:val="24"/>
          <w:szCs w:val="24"/>
        </w:rPr>
      </w:pPr>
    </w:p>
    <w:p w14:paraId="3E6BE80C" w14:textId="45703B63" w:rsidR="006F0C3C" w:rsidRDefault="002A64BE" w:rsidP="002A64BE">
      <w:pPr>
        <w:pStyle w:val="Ttulo1"/>
        <w:tabs>
          <w:tab w:val="center" w:pos="4514"/>
          <w:tab w:val="left" w:pos="6848"/>
        </w:tabs>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b/>
      </w:r>
      <w:commentRangeStart w:id="3"/>
      <w:r w:rsidR="006F0C3C" w:rsidRPr="006F0C3C">
        <w:rPr>
          <w:rFonts w:ascii="Times New Roman" w:hAnsi="Times New Roman" w:cs="Times New Roman"/>
          <w:b/>
          <w:bCs/>
          <w:sz w:val="24"/>
          <w:szCs w:val="24"/>
        </w:rPr>
        <w:t>Planteamiento del problema</w:t>
      </w:r>
      <w:commentRangeEnd w:id="3"/>
      <w:r w:rsidR="00C8349A">
        <w:rPr>
          <w:rStyle w:val="Refdecomentario"/>
          <w:rFonts w:ascii="Times New Roman" w:hAnsi="Times New Roman" w:cs="Times New Roman"/>
          <w:b/>
          <w:bCs/>
          <w:sz w:val="24"/>
          <w:szCs w:val="24"/>
        </w:rPr>
        <w:commentReference w:id="3"/>
      </w:r>
      <w:r>
        <w:rPr>
          <w:rFonts w:ascii="Times New Roman" w:hAnsi="Times New Roman" w:cs="Times New Roman"/>
          <w:b/>
          <w:bCs/>
          <w:sz w:val="24"/>
          <w:szCs w:val="24"/>
        </w:rPr>
        <w:tab/>
      </w:r>
    </w:p>
    <w:p w14:paraId="4F80F95D" w14:textId="77777777" w:rsidR="00C8349A" w:rsidRDefault="00C8349A" w:rsidP="002A64BE">
      <w:pPr>
        <w:spacing w:line="480" w:lineRule="auto"/>
        <w:rPr>
          <w:rFonts w:ascii="Times New Roman" w:hAnsi="Times New Roman" w:cs="Times New Roman"/>
          <w:sz w:val="24"/>
          <w:szCs w:val="24"/>
        </w:rPr>
      </w:pPr>
      <w:r w:rsidRPr="00C8349A">
        <w:rPr>
          <w:rFonts w:ascii="Times New Roman" w:hAnsi="Times New Roman" w:cs="Times New Roman"/>
          <w:sz w:val="24"/>
          <w:szCs w:val="24"/>
        </w:rPr>
        <w:t xml:space="preserve">El rápido crecimiento de las plataformas de préstamos entre pares (P2P), como Lending Club, ha generado transformaciones significativas en el acceso y otorgamiento de crédito, facilitando la conexión directa entre prestatarios e inversionistas. Sin embargo, esta evolución ha puesto de manifiesto diversas limitaciones y riesgos, entre los que destacan la falta de historial crediticio de muchos prestatarios, la presencia de datos incompletos y la vulnerabilidad a errores operativos o conductas estratégicas que pueden comprometer la confiabilidad de las decisiones financieras. El </w:t>
      </w:r>
      <w:r w:rsidRPr="00C8349A">
        <w:rPr>
          <w:rFonts w:ascii="Times New Roman" w:hAnsi="Times New Roman" w:cs="Times New Roman"/>
          <w:b/>
          <w:bCs/>
          <w:sz w:val="24"/>
          <w:szCs w:val="24"/>
        </w:rPr>
        <w:t>Loan Tape</w:t>
      </w:r>
      <w:r w:rsidRPr="00C8349A">
        <w:rPr>
          <w:rFonts w:ascii="Times New Roman" w:hAnsi="Times New Roman" w:cs="Times New Roman"/>
          <w:sz w:val="24"/>
          <w:szCs w:val="24"/>
        </w:rPr>
        <w:t>, como principal repositorio de información sobre los préstamos otorgados, permite identificar estas problemáticas y evidencia que los modelos de evaluación tradicionales, basados en scoring crediticio estándar, presentan dificultades para capturar patrones de riesgo de manera precisa y consistente. Esta situación plantea un desafío crítico: desarrollar enfoques metodológicos que integren la información disponible, manejen la incertidumbre y mejoren la predicción de incumplimiento, garantizando así decisiones más robustas para inversionistas y operadores de las plataformas P2P.</w:t>
      </w:r>
    </w:p>
    <w:p w14:paraId="5BF979E8" w14:textId="7E745229" w:rsidR="002A64BE" w:rsidRDefault="002A64BE" w:rsidP="002A64BE">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Pr="002A64BE">
        <w:t xml:space="preserve"> </w:t>
      </w:r>
      <w:r w:rsidRPr="002A64BE">
        <w:rPr>
          <w:rFonts w:ascii="Times New Roman" w:hAnsi="Times New Roman" w:cs="Times New Roman"/>
          <w:sz w:val="24"/>
          <w:szCs w:val="24"/>
        </w:rPr>
        <w:t xml:space="preserve">En primera instancia, se identifica una situación problemática derivada del análisis del </w:t>
      </w:r>
      <w:r w:rsidRPr="002A64BE">
        <w:rPr>
          <w:rFonts w:ascii="Times New Roman" w:hAnsi="Times New Roman" w:cs="Times New Roman"/>
          <w:b/>
          <w:bCs/>
          <w:sz w:val="24"/>
          <w:szCs w:val="24"/>
        </w:rPr>
        <w:t>Loan Tape</w:t>
      </w:r>
      <w:r w:rsidRPr="002A64BE">
        <w:rPr>
          <w:rFonts w:ascii="Times New Roman" w:hAnsi="Times New Roman" w:cs="Times New Roman"/>
          <w:sz w:val="24"/>
          <w:szCs w:val="24"/>
        </w:rPr>
        <w:t xml:space="preserve"> de Lending Club, relacionada con la carencia de historial crediticio de algunos prestatarios, lo que disminuye la confiabilidad al momento de otorgar préstamos o realizar inversiones (Sotiropoulos, Koronakos, &amp; Solanakis, 2024; Lyócsa, Vašaničová, Hadji-Misheva, &amp; Vateha, 2022</w:t>
      </w:r>
      <w:r>
        <w:rPr>
          <w:rFonts w:ascii="Times New Roman" w:hAnsi="Times New Roman" w:cs="Times New Roman"/>
          <w:sz w:val="24"/>
          <w:szCs w:val="24"/>
        </w:rPr>
        <w:t>).</w:t>
      </w:r>
    </w:p>
    <w:p w14:paraId="69B65646" w14:textId="022B8E29" w:rsidR="006F0C3C" w:rsidRPr="00847C15" w:rsidRDefault="00847C15" w:rsidP="002A64BE">
      <w:pPr>
        <w:spacing w:line="480" w:lineRule="auto"/>
        <w:rPr>
          <w:rFonts w:ascii="Times New Roman" w:hAnsi="Times New Roman" w:cs="Times New Roman"/>
          <w:sz w:val="24"/>
          <w:szCs w:val="24"/>
          <w:lang w:val="es-ES"/>
        </w:rPr>
      </w:pPr>
      <w:r w:rsidRPr="338430E2">
        <w:rPr>
          <w:rFonts w:ascii="Times New Roman" w:hAnsi="Times New Roman" w:cs="Times New Roman"/>
          <w:sz w:val="24"/>
          <w:szCs w:val="24"/>
          <w:lang w:val="es-ES"/>
        </w:rPr>
        <w:t>Esta situación plantea un desafío considerable, dado que los modelos tradicionales de evaluación del riesgo se apoyan, en gran medida, en variables relacionadas con el comportamiento financiero previo, como el puntaje crediticio, la antigüedad en el sistema y el cumplimiento de obligaciones anteriores</w:t>
      </w:r>
      <w:r w:rsidR="004C629D" w:rsidRPr="338430E2">
        <w:rPr>
          <w:rFonts w:ascii="Times New Roman" w:hAnsi="Times New Roman" w:cs="Times New Roman"/>
          <w:sz w:val="24"/>
          <w:szCs w:val="24"/>
          <w:lang w:val="es-ES"/>
        </w:rPr>
        <w:t xml:space="preserve"> (Monje, Carrasco, &amp; Sánchez-Montañés, 2025)</w:t>
      </w:r>
      <w:r w:rsidRPr="338430E2">
        <w:rPr>
          <w:rFonts w:ascii="Times New Roman" w:hAnsi="Times New Roman" w:cs="Times New Roman"/>
          <w:sz w:val="24"/>
          <w:szCs w:val="24"/>
          <w:lang w:val="es-ES"/>
        </w:rPr>
        <w:t xml:space="preserve">. Cuando un solicitante carece de este tipo de información, la predicción de su capacidad y </w:t>
      </w:r>
      <w:r w:rsidRPr="338430E2">
        <w:rPr>
          <w:rFonts w:ascii="Times New Roman" w:hAnsi="Times New Roman" w:cs="Times New Roman"/>
          <w:sz w:val="24"/>
          <w:szCs w:val="24"/>
          <w:lang w:val="es-ES"/>
        </w:rPr>
        <w:lastRenderedPageBreak/>
        <w:t>disposición de pago se vuelve más incierta, incrementando la probabilidad de clasificaciones erróneas</w:t>
      </w:r>
      <w:r w:rsidR="004C629D" w:rsidRPr="338430E2">
        <w:rPr>
          <w:rFonts w:ascii="Times New Roman" w:hAnsi="Times New Roman" w:cs="Times New Roman"/>
          <w:sz w:val="24"/>
          <w:szCs w:val="24"/>
          <w:lang w:val="es-ES"/>
        </w:rPr>
        <w:t xml:space="preserve"> (Sotiropoulos, Koronakos, &amp; Solanakis, 2024)</w:t>
      </w:r>
      <w:r w:rsidRPr="338430E2">
        <w:rPr>
          <w:rFonts w:ascii="Times New Roman" w:hAnsi="Times New Roman" w:cs="Times New Roman"/>
          <w:sz w:val="24"/>
          <w:szCs w:val="24"/>
          <w:lang w:val="es-ES"/>
        </w:rPr>
        <w:t xml:space="preserve">. Además, esta limitación genera un sesgo en la construcción de modelos, ya que obliga a depender en mayor medida de variables </w:t>
      </w:r>
      <w:r w:rsidR="00EA3489" w:rsidRPr="338430E2">
        <w:rPr>
          <w:rFonts w:ascii="Times New Roman" w:hAnsi="Times New Roman" w:cs="Times New Roman"/>
          <w:sz w:val="24"/>
          <w:szCs w:val="24"/>
          <w:lang w:val="es-ES"/>
        </w:rPr>
        <w:t>alternativas,</w:t>
      </w:r>
      <w:r w:rsidRPr="338430E2">
        <w:rPr>
          <w:rFonts w:ascii="Times New Roman" w:hAnsi="Times New Roman" w:cs="Times New Roman"/>
          <w:sz w:val="24"/>
          <w:szCs w:val="24"/>
          <w:lang w:val="es-ES"/>
        </w:rPr>
        <w:t xml:space="preserve"> por ejemplo, nivel de ingresos, estabilidad laboral o propósito del préstamo, que</w:t>
      </w:r>
      <w:r w:rsidR="0075624E" w:rsidRPr="338430E2">
        <w:rPr>
          <w:rFonts w:ascii="Times New Roman" w:hAnsi="Times New Roman" w:cs="Times New Roman"/>
          <w:sz w:val="24"/>
          <w:szCs w:val="24"/>
          <w:lang w:val="es-ES"/>
        </w:rPr>
        <w:t xml:space="preserve"> pueden </w:t>
      </w:r>
      <w:r w:rsidRPr="338430E2">
        <w:rPr>
          <w:rFonts w:ascii="Times New Roman" w:hAnsi="Times New Roman" w:cs="Times New Roman"/>
          <w:sz w:val="24"/>
          <w:szCs w:val="24"/>
          <w:lang w:val="es-ES"/>
        </w:rPr>
        <w:t>aporta</w:t>
      </w:r>
      <w:r w:rsidR="0075624E" w:rsidRPr="338430E2">
        <w:rPr>
          <w:rFonts w:ascii="Times New Roman" w:hAnsi="Times New Roman" w:cs="Times New Roman"/>
          <w:sz w:val="24"/>
          <w:szCs w:val="24"/>
          <w:lang w:val="es-ES"/>
        </w:rPr>
        <w:t>r</w:t>
      </w:r>
      <w:r w:rsidRPr="338430E2">
        <w:rPr>
          <w:rFonts w:ascii="Times New Roman" w:hAnsi="Times New Roman" w:cs="Times New Roman"/>
          <w:sz w:val="24"/>
          <w:szCs w:val="24"/>
          <w:lang w:val="es-ES"/>
        </w:rPr>
        <w:t xml:space="preserve"> información valiosa, </w:t>
      </w:r>
      <w:r w:rsidR="0075624E" w:rsidRPr="338430E2">
        <w:rPr>
          <w:rFonts w:ascii="Times New Roman" w:hAnsi="Times New Roman" w:cs="Times New Roman"/>
          <w:sz w:val="24"/>
          <w:szCs w:val="24"/>
          <w:lang w:val="es-ES"/>
        </w:rPr>
        <w:t xml:space="preserve">sin embargo, </w:t>
      </w:r>
      <w:r w:rsidRPr="338430E2">
        <w:rPr>
          <w:rFonts w:ascii="Times New Roman" w:hAnsi="Times New Roman" w:cs="Times New Roman"/>
          <w:sz w:val="24"/>
          <w:szCs w:val="24"/>
          <w:lang w:val="es-ES"/>
        </w:rPr>
        <w:t>no siempre son suficientes para capturar el riesgo real</w:t>
      </w:r>
      <w:r w:rsidR="004C629D" w:rsidRPr="338430E2">
        <w:rPr>
          <w:rFonts w:ascii="Times New Roman" w:hAnsi="Times New Roman" w:cs="Times New Roman"/>
          <w:sz w:val="24"/>
          <w:szCs w:val="24"/>
          <w:lang w:val="es-ES"/>
        </w:rPr>
        <w:t xml:space="preserve"> (Gallo Financ Innov 2021)</w:t>
      </w:r>
      <w:r w:rsidRPr="338430E2">
        <w:rPr>
          <w:rFonts w:ascii="Times New Roman" w:hAnsi="Times New Roman" w:cs="Times New Roman"/>
          <w:sz w:val="24"/>
          <w:szCs w:val="24"/>
          <w:lang w:val="es-ES"/>
        </w:rPr>
        <w:t>.</w:t>
      </w:r>
    </w:p>
    <w:p w14:paraId="232799C2" w14:textId="77777777" w:rsidR="00847C15" w:rsidRPr="00847C15" w:rsidRDefault="00847C15" w:rsidP="006F0C3C">
      <w:pPr>
        <w:rPr>
          <w:rFonts w:ascii="Times New Roman" w:hAnsi="Times New Roman" w:cs="Times New Roman"/>
          <w:sz w:val="24"/>
          <w:szCs w:val="24"/>
        </w:rPr>
      </w:pPr>
    </w:p>
    <w:p w14:paraId="2D3A2B30" w14:textId="5304F489" w:rsidR="00847C15" w:rsidRPr="00847C15" w:rsidRDefault="0075624E"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 xml:space="preserve">En segunda instancia </w:t>
      </w:r>
      <w:r w:rsidR="00847C15" w:rsidRPr="338430E2">
        <w:rPr>
          <w:rFonts w:ascii="Times New Roman" w:hAnsi="Times New Roman" w:cs="Times New Roman"/>
          <w:sz w:val="24"/>
          <w:szCs w:val="24"/>
          <w:lang w:val="es-ES"/>
        </w:rPr>
        <w:t xml:space="preserve">el análisis del Loan Tape de Lending </w:t>
      </w:r>
      <w:r w:rsidR="000B6D70" w:rsidRPr="338430E2">
        <w:rPr>
          <w:rFonts w:ascii="Times New Roman" w:hAnsi="Times New Roman" w:cs="Times New Roman"/>
          <w:sz w:val="24"/>
          <w:szCs w:val="24"/>
          <w:lang w:val="es-ES"/>
        </w:rPr>
        <w:t>Club presenta</w:t>
      </w:r>
      <w:r w:rsidR="00482FC7" w:rsidRPr="338430E2">
        <w:rPr>
          <w:rFonts w:ascii="Times New Roman" w:hAnsi="Times New Roman" w:cs="Times New Roman"/>
          <w:sz w:val="24"/>
          <w:szCs w:val="24"/>
          <w:lang w:val="es-ES"/>
        </w:rPr>
        <w:t xml:space="preserve"> una </w:t>
      </w:r>
      <w:r w:rsidR="00805CFD" w:rsidRPr="338430E2">
        <w:rPr>
          <w:rFonts w:ascii="Times New Roman" w:hAnsi="Times New Roman" w:cs="Times New Roman"/>
          <w:sz w:val="24"/>
          <w:szCs w:val="24"/>
          <w:lang w:val="es-ES"/>
        </w:rPr>
        <w:t xml:space="preserve">problemática </w:t>
      </w:r>
      <w:r w:rsidR="00805CFD" w:rsidRPr="00456FBD">
        <w:rPr>
          <w:rFonts w:ascii="Times New Roman" w:hAnsi="Times New Roman" w:cs="Times New Roman"/>
          <w:sz w:val="24"/>
          <w:szCs w:val="24"/>
          <w:highlight w:val="yellow"/>
          <w:lang w:val="es-ES"/>
        </w:rPr>
        <w:t xml:space="preserve">que </w:t>
      </w:r>
      <w:r w:rsidR="00847C15" w:rsidRPr="00456FBD">
        <w:rPr>
          <w:rFonts w:ascii="Times New Roman" w:hAnsi="Times New Roman" w:cs="Times New Roman"/>
          <w:sz w:val="24"/>
          <w:szCs w:val="24"/>
          <w:highlight w:val="yellow"/>
          <w:lang w:val="es-ES"/>
        </w:rPr>
        <w:t xml:space="preserve">radica en la elevada tasa de morosidad que </w:t>
      </w:r>
      <w:r w:rsidR="00805CFD" w:rsidRPr="00456FBD">
        <w:rPr>
          <w:rFonts w:ascii="Times New Roman" w:hAnsi="Times New Roman" w:cs="Times New Roman"/>
          <w:sz w:val="24"/>
          <w:szCs w:val="24"/>
          <w:highlight w:val="yellow"/>
          <w:lang w:val="es-ES"/>
        </w:rPr>
        <w:t>revelan</w:t>
      </w:r>
      <w:r w:rsidR="00847C15" w:rsidRPr="338430E2">
        <w:rPr>
          <w:rFonts w:ascii="Times New Roman" w:hAnsi="Times New Roman" w:cs="Times New Roman"/>
          <w:sz w:val="24"/>
          <w:szCs w:val="24"/>
          <w:lang w:val="es-ES"/>
        </w:rPr>
        <w:t xml:space="preserve"> algunos de sus préstamos en comparación con las instituciones financieras tradicionales</w:t>
      </w:r>
      <w:r w:rsidR="000961B4" w:rsidRPr="338430E2">
        <w:rPr>
          <w:rFonts w:ascii="Times New Roman" w:hAnsi="Times New Roman" w:cs="Times New Roman"/>
          <w:sz w:val="24"/>
          <w:szCs w:val="24"/>
          <w:lang w:val="es-ES"/>
        </w:rPr>
        <w:t xml:space="preserve"> (Lyócsa, Vašaničová, Hadji Misheva, &amp; Vateha, 2022; Wang, Ni, Ni, &amp; Biswas, 2025)</w:t>
      </w:r>
      <w:r w:rsidR="00847C15" w:rsidRPr="338430E2">
        <w:rPr>
          <w:rFonts w:ascii="Times New Roman" w:hAnsi="Times New Roman" w:cs="Times New Roman"/>
          <w:sz w:val="24"/>
          <w:szCs w:val="24"/>
          <w:lang w:val="es-ES"/>
        </w:rPr>
        <w:t>. A diferencia de los bancos, que generalmente otorgan crédito a clientes con un historial sólido y criterios estrictos de evaluación, las plataformas de financiamiento colaborativo como Lending Club permiten la participación de prestatarios con antecedentes crediticios limitados o incluso inexistentes</w:t>
      </w:r>
      <w:r w:rsidR="000961B4" w:rsidRPr="338430E2">
        <w:rPr>
          <w:rFonts w:ascii="Times New Roman" w:hAnsi="Times New Roman" w:cs="Times New Roman"/>
          <w:sz w:val="24"/>
          <w:szCs w:val="24"/>
          <w:lang w:val="es-ES"/>
        </w:rPr>
        <w:t xml:space="preserve"> (Berhane, T., Melese, T., &amp; Seid, A. M. 2024</w:t>
      </w:r>
      <w:r w:rsidR="00D83F98" w:rsidRPr="338430E2">
        <w:rPr>
          <w:rFonts w:ascii="Times New Roman" w:hAnsi="Times New Roman" w:cs="Times New Roman"/>
          <w:i/>
          <w:iCs/>
          <w:sz w:val="24"/>
          <w:szCs w:val="24"/>
          <w:lang w:val="es-ES"/>
        </w:rPr>
        <w:t>;</w:t>
      </w:r>
      <w:r w:rsidR="00D83F98" w:rsidRPr="338430E2">
        <w:rPr>
          <w:lang w:val="es-ES"/>
        </w:rPr>
        <w:t xml:space="preserve"> </w:t>
      </w:r>
      <w:r w:rsidR="00D83F98" w:rsidRPr="338430E2">
        <w:rPr>
          <w:rFonts w:ascii="Times New Roman" w:hAnsi="Times New Roman" w:cs="Times New Roman"/>
          <w:sz w:val="24"/>
          <w:szCs w:val="24"/>
          <w:lang w:val="es-ES"/>
        </w:rPr>
        <w:t>Lyócsa, Vašaničová, Hadji Misheva y Vateha 2022</w:t>
      </w:r>
      <w:r w:rsidR="000961B4" w:rsidRPr="338430E2">
        <w:rPr>
          <w:rFonts w:ascii="Times New Roman" w:hAnsi="Times New Roman" w:cs="Times New Roman"/>
          <w:i/>
          <w:iCs/>
          <w:sz w:val="24"/>
          <w:szCs w:val="24"/>
          <w:lang w:val="es-ES"/>
        </w:rPr>
        <w:t>)</w:t>
      </w:r>
      <w:r w:rsidR="00847C15" w:rsidRPr="338430E2">
        <w:rPr>
          <w:rFonts w:ascii="Times New Roman" w:hAnsi="Times New Roman" w:cs="Times New Roman"/>
          <w:sz w:val="24"/>
          <w:szCs w:val="24"/>
          <w:lang w:val="es-ES"/>
        </w:rPr>
        <w:t>. Esta apertura, si bien amplía el acceso al crédito, incrementa simultáneamente la probabilidad de incumplimiento, dado que los modelos predictivos deben operar con menor cantidad de información verificable</w:t>
      </w:r>
      <w:r w:rsidR="00D83F98" w:rsidRPr="338430E2">
        <w:rPr>
          <w:rFonts w:ascii="Times New Roman" w:hAnsi="Times New Roman" w:cs="Times New Roman"/>
          <w:sz w:val="24"/>
          <w:szCs w:val="24"/>
          <w:lang w:val="es-ES"/>
        </w:rPr>
        <w:t xml:space="preserve"> (Kusumawati, Hanafi, Surwanti, &amp; Rahmawati, 2024;</w:t>
      </w:r>
      <w:r w:rsidR="00D83F98" w:rsidRPr="338430E2">
        <w:rPr>
          <w:color w:val="1F1F1F"/>
          <w:sz w:val="21"/>
          <w:szCs w:val="21"/>
          <w:shd w:val="clear" w:color="auto" w:fill="FFFFFF"/>
          <w:lang w:val="es-ES"/>
        </w:rPr>
        <w:t xml:space="preserve"> </w:t>
      </w:r>
      <w:r w:rsidR="00D83F98" w:rsidRPr="338430E2">
        <w:rPr>
          <w:rFonts w:ascii="Times New Roman" w:hAnsi="Times New Roman" w:cs="Times New Roman"/>
          <w:sz w:val="24"/>
          <w:szCs w:val="24"/>
          <w:lang w:val="es-ES"/>
        </w:rPr>
        <w:t>Gallo Financ Innov 2021; Sotiropoulos, Koronakos, &amp; Solanakis, 2024)</w:t>
      </w:r>
      <w:r w:rsidR="00847C15" w:rsidRPr="338430E2">
        <w:rPr>
          <w:rFonts w:ascii="Times New Roman" w:hAnsi="Times New Roman" w:cs="Times New Roman"/>
          <w:sz w:val="24"/>
          <w:szCs w:val="24"/>
          <w:lang w:val="es-ES"/>
        </w:rPr>
        <w:t>. En consecuencia, la ausencia de un historial robusto, combinada con la heterogeneidad de los perfiles de los solicitantes, genera un mayor nivel de riesgo crediticio y, por ende, tasas de morosidad más elevadas que las observadas en el sistema bancario tradicional, lo que obliga a replantear estrategias de análisis, segmentación y gestión del riesgo en este tipo de plataformas</w:t>
      </w:r>
      <w:r w:rsidR="00427FF4" w:rsidRPr="338430E2">
        <w:rPr>
          <w:lang w:val="es-ES"/>
        </w:rPr>
        <w:t xml:space="preserve"> </w:t>
      </w:r>
      <w:r w:rsidR="00427FF4" w:rsidRPr="338430E2">
        <w:rPr>
          <w:rFonts w:ascii="Times New Roman" w:hAnsi="Times New Roman" w:cs="Times New Roman"/>
          <w:sz w:val="24"/>
          <w:szCs w:val="24"/>
          <w:lang w:val="es-ES"/>
        </w:rPr>
        <w:t>(Ahelegbey, Giudici, &amp; Hadji-Misheva, 2019; Lyócsa, Vašaničová, Hadji Misheva, &amp; Vateha, 2022)</w:t>
      </w:r>
      <w:r w:rsidR="00D951C0" w:rsidRPr="338430E2">
        <w:rPr>
          <w:rFonts w:ascii="Times New Roman" w:hAnsi="Times New Roman" w:cs="Times New Roman"/>
          <w:sz w:val="24"/>
          <w:szCs w:val="24"/>
          <w:lang w:val="es-ES"/>
        </w:rPr>
        <w:t>.</w:t>
      </w:r>
    </w:p>
    <w:p w14:paraId="63980D43" w14:textId="77777777" w:rsidR="00847C15" w:rsidRPr="00847C15" w:rsidRDefault="00847C15" w:rsidP="006F0C3C">
      <w:pPr>
        <w:rPr>
          <w:rFonts w:ascii="Times New Roman" w:hAnsi="Times New Roman" w:cs="Times New Roman"/>
          <w:sz w:val="24"/>
          <w:szCs w:val="24"/>
        </w:rPr>
      </w:pPr>
    </w:p>
    <w:p w14:paraId="002654A7" w14:textId="06B48A35" w:rsidR="00847C15" w:rsidRPr="0002623C" w:rsidRDefault="00805CFD" w:rsidP="338430E2">
      <w:pPr>
        <w:spacing w:line="480" w:lineRule="auto"/>
        <w:rPr>
          <w:rFonts w:ascii="Times New Roman" w:hAnsi="Times New Roman" w:cs="Times New Roman"/>
          <w:sz w:val="24"/>
          <w:szCs w:val="24"/>
          <w:lang w:val="es-ES"/>
        </w:rPr>
      </w:pPr>
      <w:r w:rsidRPr="338430E2">
        <w:rPr>
          <w:rFonts w:ascii="Times New Roman" w:hAnsi="Times New Roman" w:cs="Times New Roman"/>
          <w:sz w:val="24"/>
          <w:szCs w:val="24"/>
          <w:lang w:val="es-ES"/>
        </w:rPr>
        <w:lastRenderedPageBreak/>
        <w:t>En este orden de ideas</w:t>
      </w:r>
      <w:r w:rsidR="001A2B66" w:rsidRPr="338430E2">
        <w:rPr>
          <w:rFonts w:ascii="Times New Roman" w:hAnsi="Times New Roman" w:cs="Times New Roman"/>
          <w:sz w:val="24"/>
          <w:szCs w:val="24"/>
          <w:lang w:val="es-ES"/>
        </w:rPr>
        <w:t xml:space="preserve"> </w:t>
      </w:r>
      <w:r w:rsidR="00847C15" w:rsidRPr="338430E2">
        <w:rPr>
          <w:rFonts w:ascii="Times New Roman" w:hAnsi="Times New Roman" w:cs="Times New Roman"/>
          <w:sz w:val="24"/>
          <w:szCs w:val="24"/>
          <w:lang w:val="es-ES"/>
        </w:rPr>
        <w:t xml:space="preserve">el funcionamiento de plataformas como Lending Club se relaciona con </w:t>
      </w:r>
      <w:r w:rsidR="00847C15" w:rsidRPr="00456FBD">
        <w:rPr>
          <w:rFonts w:ascii="Times New Roman" w:hAnsi="Times New Roman" w:cs="Times New Roman"/>
          <w:sz w:val="24"/>
          <w:szCs w:val="24"/>
          <w:highlight w:val="yellow"/>
          <w:lang w:val="es-ES"/>
        </w:rPr>
        <w:t>el riesgo institucional que enfrentan los inversionistas en caso de que la Fintech quiebre,</w:t>
      </w:r>
      <w:r w:rsidR="00847C15" w:rsidRPr="338430E2">
        <w:rPr>
          <w:rFonts w:ascii="Times New Roman" w:hAnsi="Times New Roman" w:cs="Times New Roman"/>
          <w:sz w:val="24"/>
          <w:szCs w:val="24"/>
          <w:lang w:val="es-ES"/>
        </w:rPr>
        <w:t xml:space="preserve"> afronte procesos legales o cese sus operaciones</w:t>
      </w:r>
      <w:r w:rsidR="008E2F60" w:rsidRPr="338430E2">
        <w:rPr>
          <w:rFonts w:ascii="Times New Roman" w:hAnsi="Times New Roman" w:cs="Times New Roman"/>
          <w:sz w:val="24"/>
          <w:szCs w:val="24"/>
          <w:lang w:val="es-ES"/>
        </w:rPr>
        <w:t xml:space="preserve"> (Sotiropoulos, Koronakos, &amp; Solanakis, 2024)</w:t>
      </w:r>
      <w:r w:rsidR="00847C15" w:rsidRPr="338430E2">
        <w:rPr>
          <w:rFonts w:ascii="Times New Roman" w:hAnsi="Times New Roman" w:cs="Times New Roman"/>
          <w:sz w:val="24"/>
          <w:szCs w:val="24"/>
          <w:lang w:val="es-ES"/>
        </w:rPr>
        <w:t>. Bajo este escenario, aun cuando los prestatarios continúen realizando sus pagos de manera puntual, los inversionistas podrían perder el acceso a los recursos invertidos debido a la interrupción en los canales de gestión y transferencia de fondos</w:t>
      </w:r>
      <w:r w:rsidR="008E2F60" w:rsidRPr="338430E2">
        <w:rPr>
          <w:rFonts w:ascii="Times New Roman" w:hAnsi="Times New Roman" w:cs="Times New Roman"/>
          <w:sz w:val="24"/>
          <w:szCs w:val="24"/>
          <w:lang w:val="es-ES"/>
        </w:rPr>
        <w:t xml:space="preserve"> (Kusumawati, Hanafi, Surwanti, &amp; Rahmawati, 2024)</w:t>
      </w:r>
      <w:r w:rsidR="00847C15" w:rsidRPr="338430E2">
        <w:rPr>
          <w:rFonts w:ascii="Times New Roman" w:hAnsi="Times New Roman" w:cs="Times New Roman"/>
          <w:sz w:val="24"/>
          <w:szCs w:val="24"/>
          <w:lang w:val="es-ES"/>
        </w:rPr>
        <w:t>. Este tipo de riesgo, conocido como riesgo operativo o de contraparte, trasciende la evaluación del comportamiento crediticio de los deudores y pone de manifiesto la vulnerabilidad de los inversionistas ante la sostenibilidad y solidez de la plataforma intermediaria</w:t>
      </w:r>
      <w:r w:rsidR="008E2F60" w:rsidRPr="338430E2">
        <w:rPr>
          <w:rFonts w:ascii="Times New Roman" w:hAnsi="Times New Roman" w:cs="Times New Roman"/>
          <w:sz w:val="24"/>
          <w:szCs w:val="24"/>
          <w:lang w:val="es-ES"/>
        </w:rPr>
        <w:t xml:space="preserve"> (Lyócsa, Vašaničová, Hadji Misheva, &amp; Vateha, 2022).</w:t>
      </w:r>
      <w:r w:rsidR="00847C15" w:rsidRPr="338430E2">
        <w:rPr>
          <w:rFonts w:ascii="Times New Roman" w:hAnsi="Times New Roman" w:cs="Times New Roman"/>
          <w:sz w:val="24"/>
          <w:szCs w:val="24"/>
          <w:lang w:val="es-ES"/>
        </w:rPr>
        <w:t xml:space="preserve"> En consecuencia, la estabilidad financiera y regulatoria de la Fintech se convierte en un factor crítico para garantizar la confianza en este modelo de financiamiento alternativo y proteger la seguridad de los recursos invertidos</w:t>
      </w:r>
      <w:r w:rsidR="008E2F60" w:rsidRPr="338430E2">
        <w:rPr>
          <w:color w:val="1F1F1F"/>
          <w:sz w:val="21"/>
          <w:szCs w:val="21"/>
          <w:shd w:val="clear" w:color="auto" w:fill="FFFFFF"/>
          <w:lang w:val="es-ES"/>
        </w:rPr>
        <w:t xml:space="preserve"> (</w:t>
      </w:r>
      <w:r w:rsidR="008E2F60" w:rsidRPr="338430E2">
        <w:rPr>
          <w:rFonts w:ascii="Times New Roman" w:hAnsi="Times New Roman" w:cs="Times New Roman"/>
          <w:sz w:val="24"/>
          <w:szCs w:val="24"/>
          <w:lang w:val="es-ES"/>
        </w:rPr>
        <w:t>Gallo Financ Innov 2021)</w:t>
      </w:r>
      <w:r w:rsidR="00D951C0" w:rsidRPr="338430E2">
        <w:rPr>
          <w:rFonts w:ascii="Times New Roman" w:hAnsi="Times New Roman" w:cs="Times New Roman"/>
          <w:sz w:val="24"/>
          <w:szCs w:val="24"/>
          <w:lang w:val="es-ES"/>
        </w:rPr>
        <w:t>.</w:t>
      </w:r>
    </w:p>
    <w:p w14:paraId="318DB06B" w14:textId="77777777" w:rsidR="006F0C3C" w:rsidRPr="0002623C" w:rsidRDefault="006F0C3C" w:rsidP="006F0C3C">
      <w:pPr>
        <w:rPr>
          <w:rFonts w:ascii="Times New Roman" w:hAnsi="Times New Roman" w:cs="Times New Roman"/>
          <w:sz w:val="24"/>
          <w:szCs w:val="24"/>
        </w:rPr>
      </w:pPr>
    </w:p>
    <w:p w14:paraId="5C0F3C68" w14:textId="663B1521" w:rsidR="00847C15" w:rsidRDefault="00805CFD"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 xml:space="preserve">Según lo antes descrito las </w:t>
      </w:r>
      <w:r w:rsidR="00847C15" w:rsidRPr="338430E2">
        <w:rPr>
          <w:rFonts w:ascii="Times New Roman" w:hAnsi="Times New Roman" w:cs="Times New Roman"/>
          <w:sz w:val="24"/>
          <w:szCs w:val="24"/>
          <w:lang w:val="es-ES"/>
        </w:rPr>
        <w:t>problemáticas</w:t>
      </w:r>
      <w:r w:rsidRPr="338430E2">
        <w:rPr>
          <w:rFonts w:ascii="Times New Roman" w:hAnsi="Times New Roman" w:cs="Times New Roman"/>
          <w:sz w:val="24"/>
          <w:szCs w:val="24"/>
          <w:lang w:val="es-ES"/>
        </w:rPr>
        <w:t xml:space="preserve"> </w:t>
      </w:r>
      <w:r w:rsidR="00847C15" w:rsidRPr="338430E2">
        <w:rPr>
          <w:rFonts w:ascii="Times New Roman" w:hAnsi="Times New Roman" w:cs="Times New Roman"/>
          <w:sz w:val="24"/>
          <w:szCs w:val="24"/>
          <w:lang w:val="es-ES"/>
        </w:rPr>
        <w:t xml:space="preserve">reflejan un denominador </w:t>
      </w:r>
      <w:r w:rsidRPr="338430E2">
        <w:rPr>
          <w:rFonts w:ascii="Times New Roman" w:hAnsi="Times New Roman" w:cs="Times New Roman"/>
          <w:sz w:val="24"/>
          <w:szCs w:val="24"/>
          <w:lang w:val="es-ES"/>
        </w:rPr>
        <w:t xml:space="preserve">en </w:t>
      </w:r>
      <w:r w:rsidR="00847C15" w:rsidRPr="338430E2">
        <w:rPr>
          <w:rFonts w:ascii="Times New Roman" w:hAnsi="Times New Roman" w:cs="Times New Roman"/>
          <w:sz w:val="24"/>
          <w:szCs w:val="24"/>
          <w:lang w:val="es-ES"/>
        </w:rPr>
        <w:t xml:space="preserve">común </w:t>
      </w:r>
      <w:r w:rsidR="00BC0EF8" w:rsidRPr="338430E2">
        <w:rPr>
          <w:rFonts w:ascii="Times New Roman" w:hAnsi="Times New Roman" w:cs="Times New Roman"/>
          <w:sz w:val="24"/>
          <w:szCs w:val="24"/>
          <w:lang w:val="es-ES"/>
        </w:rPr>
        <w:t xml:space="preserve">presente </w:t>
      </w:r>
      <w:r w:rsidR="00847C15" w:rsidRPr="338430E2">
        <w:rPr>
          <w:rFonts w:ascii="Times New Roman" w:hAnsi="Times New Roman" w:cs="Times New Roman"/>
          <w:sz w:val="24"/>
          <w:szCs w:val="24"/>
          <w:lang w:val="es-ES"/>
        </w:rPr>
        <w:t>en un mayor nivel de incertidumbre y vulnerabilidad para los inversionistas en comparación con el sistema bancario tradicional</w:t>
      </w:r>
      <w:r w:rsidR="00AE7101" w:rsidRPr="338430E2">
        <w:rPr>
          <w:rFonts w:ascii="Times New Roman" w:hAnsi="Times New Roman" w:cs="Times New Roman"/>
          <w:sz w:val="24"/>
          <w:szCs w:val="24"/>
          <w:lang w:val="es-ES"/>
        </w:rPr>
        <w:t xml:space="preserve"> (Wang, Ni, Ni, &amp; Biswas, 2025)</w:t>
      </w:r>
      <w:r w:rsidR="00847C15" w:rsidRPr="338430E2">
        <w:rPr>
          <w:rFonts w:ascii="Times New Roman" w:hAnsi="Times New Roman" w:cs="Times New Roman"/>
          <w:sz w:val="24"/>
          <w:szCs w:val="24"/>
          <w:lang w:val="es-ES"/>
        </w:rPr>
        <w:t xml:space="preserve">. </w:t>
      </w:r>
      <w:r w:rsidR="00847C15" w:rsidRPr="00456FBD">
        <w:rPr>
          <w:rFonts w:ascii="Times New Roman" w:hAnsi="Times New Roman" w:cs="Times New Roman"/>
          <w:sz w:val="24"/>
          <w:szCs w:val="24"/>
          <w:highlight w:val="yellow"/>
          <w:lang w:val="es-ES"/>
        </w:rPr>
        <w:t>La ausencia de historial crediticio en algunos prestatarios, la consecuente elevación de la tasa de morosidad y la limitada liquidez derivada de la estructura de los préstamos, se suman al riesgo operativo que supone la estabilidad de la propia Fintech como intermediaria</w:t>
      </w:r>
      <w:r w:rsidR="00AE00A7" w:rsidRPr="338430E2">
        <w:rPr>
          <w:rFonts w:ascii="Times New Roman" w:hAnsi="Times New Roman" w:cs="Times New Roman"/>
          <w:sz w:val="24"/>
          <w:szCs w:val="24"/>
          <w:lang w:val="es-ES"/>
        </w:rPr>
        <w:t xml:space="preserve"> (Lyócsa, Vašaničová, Hadji Misheva, &amp; Vateha, 2022)</w:t>
      </w:r>
      <w:r w:rsidR="00AE00A7" w:rsidRPr="338430E2">
        <w:rPr>
          <w:lang w:val="es-ES"/>
        </w:rPr>
        <w:t xml:space="preserve">. </w:t>
      </w:r>
      <w:r w:rsidR="00847C15" w:rsidRPr="338430E2">
        <w:rPr>
          <w:rFonts w:ascii="Times New Roman" w:hAnsi="Times New Roman" w:cs="Times New Roman"/>
          <w:sz w:val="24"/>
          <w:szCs w:val="24"/>
          <w:lang w:val="es-ES"/>
        </w:rPr>
        <w:t>Estos factores comparten el hecho de que dificultan la previsibilidad en la recuperación de la inversión y amplifican la exposición al riesgo, lo que obliga a replantear los modelos de análisis, diversificación y gestión en las plataformas peer-to-peer</w:t>
      </w:r>
      <w:r w:rsidR="00AE00A7" w:rsidRPr="338430E2">
        <w:rPr>
          <w:lang w:val="es-ES"/>
        </w:rPr>
        <w:t xml:space="preserve"> </w:t>
      </w:r>
      <w:r w:rsidR="00AE00A7" w:rsidRPr="338430E2">
        <w:rPr>
          <w:rFonts w:ascii="Times New Roman" w:hAnsi="Times New Roman" w:cs="Times New Roman"/>
          <w:sz w:val="24"/>
          <w:szCs w:val="24"/>
          <w:lang w:val="es-ES"/>
        </w:rPr>
        <w:t>(Wang, Ni, Ni, &amp; Biswas, 2025)</w:t>
      </w:r>
      <w:r w:rsidR="00847C15" w:rsidRPr="338430E2">
        <w:rPr>
          <w:rFonts w:ascii="Times New Roman" w:hAnsi="Times New Roman" w:cs="Times New Roman"/>
          <w:sz w:val="24"/>
          <w:szCs w:val="24"/>
          <w:lang w:val="es-ES"/>
        </w:rPr>
        <w:t xml:space="preserve">. En definitiva, aunque estos esquemas de financiamiento democratizan el acceso al crédito, también trasladan al inversionista una parte </w:t>
      </w:r>
      <w:r w:rsidR="00847C15" w:rsidRPr="338430E2">
        <w:rPr>
          <w:rFonts w:ascii="Times New Roman" w:hAnsi="Times New Roman" w:cs="Times New Roman"/>
          <w:sz w:val="24"/>
          <w:szCs w:val="24"/>
          <w:lang w:val="es-ES"/>
        </w:rPr>
        <w:lastRenderedPageBreak/>
        <w:t>significativa del riesgo que en la banca tradicional es mitigado mediante regulaciones, reservas de capital y mayor control institucional</w:t>
      </w:r>
      <w:r w:rsidR="00D33839" w:rsidRPr="338430E2">
        <w:rPr>
          <w:color w:val="1F1F1F"/>
          <w:sz w:val="21"/>
          <w:szCs w:val="21"/>
          <w:shd w:val="clear" w:color="auto" w:fill="FFFFFF"/>
          <w:lang w:val="es-ES"/>
        </w:rPr>
        <w:t xml:space="preserve"> (</w:t>
      </w:r>
      <w:r w:rsidR="00D33839" w:rsidRPr="338430E2">
        <w:rPr>
          <w:rFonts w:ascii="Times New Roman" w:hAnsi="Times New Roman" w:cs="Times New Roman"/>
          <w:sz w:val="24"/>
          <w:szCs w:val="24"/>
          <w:lang w:val="es-ES"/>
        </w:rPr>
        <w:t>Gallo Financ Innov 2021).</w:t>
      </w:r>
    </w:p>
    <w:p w14:paraId="4A86D194" w14:textId="01A2269A" w:rsidR="00A649B2" w:rsidRPr="00A2085A" w:rsidRDefault="00AF5C4D" w:rsidP="00A2085A">
      <w:pPr>
        <w:spacing w:line="480" w:lineRule="auto"/>
        <w:ind w:firstLine="720"/>
        <w:rPr>
          <w:rFonts w:ascii="Times New Roman" w:hAnsi="Times New Roman" w:cs="Times New Roman"/>
          <w:sz w:val="24"/>
          <w:szCs w:val="24"/>
          <w:lang w:val="es-ES"/>
        </w:rPr>
      </w:pPr>
      <w:r w:rsidRPr="00A2085A">
        <w:rPr>
          <w:rFonts w:ascii="Times New Roman" w:hAnsi="Times New Roman" w:cs="Times New Roman"/>
          <w:sz w:val="24"/>
          <w:szCs w:val="24"/>
        </w:rPr>
        <w:t>En las plataformas de préstamos entre pares (P2P), los inversionistas enfrentan un nivel de incertidumbre y exposición al riesgo mayor que en el sistema bancario tradicional, debido a la ausencia de historial crediticio en algunos prestatarios, la elevada tasa de morosidad, la limitada liquidez de los préstamos y la posible inestabilidad operativa de las Fintech como intermediarias.</w:t>
      </w:r>
      <w:r w:rsidRPr="00A2085A">
        <w:rPr>
          <w:rFonts w:ascii="Times New Roman" w:hAnsi="Times New Roman" w:cs="Times New Roman"/>
          <w:sz w:val="24"/>
          <w:szCs w:val="24"/>
        </w:rPr>
        <w:br/>
        <w:t>Esta combinación de factores reduce la previsibilidad en la recuperación del capital invertido y pone en evidencia la necesidad de desarrollar modelos más robustos para la estimación y gestión del riesgo crediticio que integren tanto la rentabilidad esperada como los componentes institucionales del entorno P2P.</w:t>
      </w:r>
    </w:p>
    <w:p w14:paraId="51629861" w14:textId="77777777" w:rsidR="00D92EF0" w:rsidRDefault="00D92EF0" w:rsidP="006F0C3C"/>
    <w:p w14:paraId="294C6960" w14:textId="77777777" w:rsidR="006F0C3C" w:rsidRDefault="006F0C3C" w:rsidP="006F0C3C"/>
    <w:p w14:paraId="07AA01DC" w14:textId="0261A0AF" w:rsidR="00A835E7" w:rsidRDefault="006F0C3C" w:rsidP="00874529">
      <w:pPr>
        <w:pStyle w:val="Ttulo1"/>
        <w:spacing w:line="480" w:lineRule="auto"/>
        <w:jc w:val="center"/>
        <w:rPr>
          <w:rFonts w:ascii="Times New Roman" w:hAnsi="Times New Roman" w:cs="Times New Roman"/>
          <w:b/>
          <w:bCs/>
          <w:sz w:val="24"/>
          <w:szCs w:val="24"/>
        </w:rPr>
      </w:pPr>
      <w:commentRangeStart w:id="4"/>
      <w:r w:rsidRPr="006F0C3C">
        <w:rPr>
          <w:rFonts w:ascii="Times New Roman" w:hAnsi="Times New Roman" w:cs="Times New Roman"/>
          <w:b/>
          <w:bCs/>
          <w:sz w:val="24"/>
          <w:szCs w:val="24"/>
        </w:rPr>
        <w:t>Justificaci</w:t>
      </w:r>
      <w:r>
        <w:rPr>
          <w:rFonts w:ascii="Times New Roman" w:hAnsi="Times New Roman" w:cs="Times New Roman"/>
          <w:b/>
          <w:bCs/>
          <w:sz w:val="24"/>
          <w:szCs w:val="24"/>
        </w:rPr>
        <w:t>ón</w:t>
      </w:r>
      <w:commentRangeEnd w:id="4"/>
      <w:r w:rsidR="00456FBD">
        <w:rPr>
          <w:rStyle w:val="Refdecomentario"/>
          <w:rFonts w:ascii="Times New Roman" w:hAnsi="Times New Roman" w:cs="Times New Roman"/>
          <w:b/>
          <w:bCs/>
          <w:sz w:val="24"/>
          <w:szCs w:val="24"/>
        </w:rPr>
        <w:commentReference w:id="4"/>
      </w:r>
    </w:p>
    <w:p w14:paraId="1C3CC476" w14:textId="7A570557" w:rsidR="00874529" w:rsidRPr="00874529" w:rsidRDefault="00874529" w:rsidP="00874529">
      <w:pPr>
        <w:spacing w:line="480" w:lineRule="auto"/>
        <w:ind w:firstLine="720"/>
        <w:rPr>
          <w:rFonts w:ascii="Times New Roman" w:hAnsi="Times New Roman" w:cs="Times New Roman"/>
          <w:sz w:val="24"/>
          <w:szCs w:val="24"/>
          <w:lang w:val="es-CO"/>
        </w:rPr>
      </w:pPr>
      <w:commentRangeStart w:id="5"/>
      <w:r w:rsidRPr="00874529">
        <w:rPr>
          <w:rFonts w:ascii="Times New Roman" w:hAnsi="Times New Roman" w:cs="Times New Roman"/>
          <w:sz w:val="24"/>
          <w:szCs w:val="24"/>
          <w:lang w:val="es-CO"/>
        </w:rPr>
        <w:t xml:space="preserve">La </w:t>
      </w:r>
      <w:r w:rsidR="00310AA7">
        <w:rPr>
          <w:rFonts w:ascii="Times New Roman" w:hAnsi="Times New Roman" w:cs="Times New Roman"/>
          <w:sz w:val="24"/>
          <w:szCs w:val="24"/>
          <w:lang w:val="es-CO"/>
        </w:rPr>
        <w:t xml:space="preserve">importancia </w:t>
      </w:r>
      <w:r w:rsidRPr="00874529">
        <w:rPr>
          <w:rFonts w:ascii="Times New Roman" w:hAnsi="Times New Roman" w:cs="Times New Roman"/>
          <w:sz w:val="24"/>
          <w:szCs w:val="24"/>
          <w:lang w:val="es-CO"/>
        </w:rPr>
        <w:t xml:space="preserve">de las plataformas de préstamo entre particulares (P2P), como Lending Club, ha </w:t>
      </w:r>
      <w:r w:rsidR="00310AA7">
        <w:rPr>
          <w:rFonts w:ascii="Times New Roman" w:hAnsi="Times New Roman" w:cs="Times New Roman"/>
          <w:sz w:val="24"/>
          <w:szCs w:val="24"/>
          <w:lang w:val="es-CO"/>
        </w:rPr>
        <w:t xml:space="preserve"> incrementado</w:t>
      </w:r>
      <w:r w:rsidRPr="00874529">
        <w:rPr>
          <w:rFonts w:ascii="Times New Roman" w:hAnsi="Times New Roman" w:cs="Times New Roman"/>
          <w:sz w:val="24"/>
          <w:szCs w:val="24"/>
          <w:lang w:val="es-CO"/>
        </w:rPr>
        <w:t xml:space="preserve"> el acceso al crédito</w:t>
      </w:r>
      <w:r w:rsidR="003E6292">
        <w:rPr>
          <w:rFonts w:ascii="Times New Roman" w:hAnsi="Times New Roman" w:cs="Times New Roman"/>
          <w:sz w:val="24"/>
          <w:szCs w:val="24"/>
          <w:lang w:val="es-CO"/>
        </w:rPr>
        <w:t xml:space="preserve"> </w:t>
      </w:r>
      <w:r w:rsidR="003E6292">
        <w:rPr>
          <w:rFonts w:ascii="Times New Roman" w:hAnsi="Times New Roman" w:cs="Times New Roman"/>
          <w:sz w:val="24"/>
          <w:szCs w:val="24"/>
        </w:rPr>
        <w:t>(</w:t>
      </w:r>
      <w:r w:rsidR="003E6292" w:rsidRPr="008E2F60">
        <w:rPr>
          <w:rFonts w:ascii="Times New Roman" w:hAnsi="Times New Roman" w:cs="Times New Roman"/>
          <w:sz w:val="24"/>
          <w:szCs w:val="24"/>
        </w:rPr>
        <w:t>Kusumawati, Hanafi, Surwanti, &amp; Rahmawati, 2024</w:t>
      </w:r>
      <w:r w:rsidR="003E6292">
        <w:rPr>
          <w:rFonts w:ascii="Times New Roman" w:hAnsi="Times New Roman" w:cs="Times New Roman"/>
          <w:sz w:val="24"/>
          <w:szCs w:val="24"/>
        </w:rPr>
        <w:t xml:space="preserve">; </w:t>
      </w:r>
      <w:r w:rsidR="003E6292" w:rsidRPr="004C629D">
        <w:rPr>
          <w:rFonts w:ascii="Times New Roman" w:hAnsi="Times New Roman" w:cs="Times New Roman"/>
          <w:sz w:val="24"/>
          <w:szCs w:val="24"/>
        </w:rPr>
        <w:t>Sotiropoulos, Koronakos, &amp; Solanakis, 2024</w:t>
      </w:r>
      <w:r w:rsidR="003E6292" w:rsidRPr="008E2F60">
        <w:rPr>
          <w:rFonts w:ascii="Times New Roman" w:hAnsi="Times New Roman" w:cs="Times New Roman"/>
          <w:sz w:val="24"/>
          <w:szCs w:val="24"/>
        </w:rPr>
        <w:t>)</w:t>
      </w:r>
      <w:r w:rsidRPr="00874529">
        <w:rPr>
          <w:rFonts w:ascii="Times New Roman" w:hAnsi="Times New Roman" w:cs="Times New Roman"/>
          <w:sz w:val="24"/>
          <w:szCs w:val="24"/>
          <w:lang w:val="es-CO"/>
        </w:rPr>
        <w:t xml:space="preserve">. , </w:t>
      </w:r>
      <w:r w:rsidR="00310AA7">
        <w:rPr>
          <w:rFonts w:ascii="Times New Roman" w:hAnsi="Times New Roman" w:cs="Times New Roman"/>
          <w:sz w:val="24"/>
          <w:szCs w:val="24"/>
          <w:lang w:val="es-CO"/>
        </w:rPr>
        <w:t xml:space="preserve">sin embargo </w:t>
      </w:r>
      <w:r w:rsidRPr="00874529">
        <w:rPr>
          <w:rFonts w:ascii="Times New Roman" w:hAnsi="Times New Roman" w:cs="Times New Roman"/>
          <w:sz w:val="24"/>
          <w:szCs w:val="24"/>
          <w:lang w:val="es-CO"/>
        </w:rPr>
        <w:t xml:space="preserve">este modelo opera en un entorno </w:t>
      </w:r>
      <w:r w:rsidR="00310AA7">
        <w:rPr>
          <w:rFonts w:ascii="Times New Roman" w:hAnsi="Times New Roman" w:cs="Times New Roman"/>
          <w:sz w:val="24"/>
          <w:szCs w:val="24"/>
          <w:highlight w:val="yellow"/>
          <w:lang w:val="es-CO"/>
        </w:rPr>
        <w:t>claramente</w:t>
      </w:r>
      <w:r w:rsidRPr="00456FBD">
        <w:rPr>
          <w:rFonts w:ascii="Times New Roman" w:hAnsi="Times New Roman" w:cs="Times New Roman"/>
          <w:sz w:val="24"/>
          <w:szCs w:val="24"/>
          <w:highlight w:val="yellow"/>
          <w:lang w:val="es-CO"/>
        </w:rPr>
        <w:t xml:space="preserve"> riesgoso</w:t>
      </w:r>
      <w:r w:rsidRPr="00874529">
        <w:rPr>
          <w:rFonts w:ascii="Times New Roman" w:hAnsi="Times New Roman" w:cs="Times New Roman"/>
          <w:sz w:val="24"/>
          <w:szCs w:val="24"/>
          <w:lang w:val="es-CO"/>
        </w:rPr>
        <w:t xml:space="preserve">, caracterizado </w:t>
      </w:r>
      <w:r w:rsidRPr="00456FBD">
        <w:rPr>
          <w:rFonts w:ascii="Times New Roman" w:hAnsi="Times New Roman" w:cs="Times New Roman"/>
          <w:sz w:val="24"/>
          <w:szCs w:val="24"/>
          <w:highlight w:val="yellow"/>
          <w:lang w:val="es-CO"/>
        </w:rPr>
        <w:t>por una </w:t>
      </w:r>
      <w:r w:rsidR="00310AA7">
        <w:rPr>
          <w:rFonts w:ascii="Times New Roman" w:hAnsi="Times New Roman" w:cs="Times New Roman"/>
          <w:sz w:val="24"/>
          <w:szCs w:val="24"/>
          <w:highlight w:val="yellow"/>
          <w:lang w:val="es-CO"/>
        </w:rPr>
        <w:t>cantidad desmesurada</w:t>
      </w:r>
      <w:r w:rsidRPr="00456FBD">
        <w:rPr>
          <w:rFonts w:ascii="Times New Roman" w:hAnsi="Times New Roman" w:cs="Times New Roman"/>
          <w:sz w:val="24"/>
          <w:szCs w:val="24"/>
          <w:highlight w:val="yellow"/>
          <w:lang w:val="es-CO"/>
        </w:rPr>
        <w:t xml:space="preserve"> de</w:t>
      </w:r>
      <w:r w:rsidRPr="00874529">
        <w:rPr>
          <w:rFonts w:ascii="Times New Roman" w:hAnsi="Times New Roman" w:cs="Times New Roman"/>
          <w:b/>
          <w:bCs/>
          <w:sz w:val="24"/>
          <w:szCs w:val="24"/>
          <w:lang w:val="es-CO"/>
        </w:rPr>
        <w:t xml:space="preserve"> </w:t>
      </w:r>
      <w:r w:rsidRPr="00874529">
        <w:rPr>
          <w:rFonts w:ascii="Times New Roman" w:hAnsi="Times New Roman" w:cs="Times New Roman"/>
          <w:sz w:val="24"/>
          <w:szCs w:val="24"/>
          <w:lang w:val="es-CO"/>
        </w:rPr>
        <w:t>información y una fuerte interconectividad entre los usuarios</w:t>
      </w:r>
      <w:r w:rsidR="003E6292">
        <w:rPr>
          <w:rFonts w:ascii="Times New Roman" w:hAnsi="Times New Roman" w:cs="Times New Roman"/>
          <w:sz w:val="24"/>
          <w:szCs w:val="24"/>
          <w:lang w:val="es-CO"/>
        </w:rPr>
        <w:t xml:space="preserve"> (</w:t>
      </w:r>
      <w:r w:rsidR="003E6292" w:rsidRPr="00427FF4">
        <w:rPr>
          <w:rFonts w:ascii="Times New Roman" w:hAnsi="Times New Roman" w:cs="Times New Roman"/>
          <w:sz w:val="24"/>
          <w:szCs w:val="24"/>
        </w:rPr>
        <w:t>Ahelegbey, Giudici, &amp; Hadji-Misheva, 2019</w:t>
      </w:r>
      <w:r w:rsidR="003E6292">
        <w:rPr>
          <w:rFonts w:ascii="Times New Roman" w:hAnsi="Times New Roman" w:cs="Times New Roman"/>
          <w:sz w:val="24"/>
          <w:szCs w:val="24"/>
          <w:lang w:val="es-CO"/>
        </w:rPr>
        <w:t>)</w:t>
      </w:r>
      <w:r w:rsidRPr="00874529">
        <w:rPr>
          <w:rFonts w:ascii="Times New Roman" w:hAnsi="Times New Roman" w:cs="Times New Roman"/>
          <w:sz w:val="24"/>
          <w:szCs w:val="24"/>
          <w:lang w:val="es-CO"/>
        </w:rPr>
        <w:t>. Esta dinámica genera tasas de impago que frecuentemente superan el 10%, un riesgo que recae directamente sobre los inversionistas y que amenaza la estabilidad y credibilidad de todo el sistema</w:t>
      </w:r>
      <w:r w:rsidR="00310AA7">
        <w:rPr>
          <w:rFonts w:ascii="Times New Roman" w:hAnsi="Times New Roman" w:cs="Times New Roman"/>
          <w:sz w:val="24"/>
          <w:szCs w:val="24"/>
          <w:lang w:val="es-CO"/>
        </w:rPr>
        <w:t xml:space="preserve"> financiero</w:t>
      </w:r>
      <w:r w:rsidR="003E6292" w:rsidRPr="003E6292">
        <w:rPr>
          <w:color w:val="1F1F1F"/>
          <w:sz w:val="21"/>
          <w:szCs w:val="21"/>
          <w:shd w:val="clear" w:color="auto" w:fill="FFFFFF"/>
        </w:rPr>
        <w:t xml:space="preserve"> </w:t>
      </w:r>
      <w:r w:rsidR="003E6292">
        <w:rPr>
          <w:color w:val="1F1F1F"/>
          <w:sz w:val="21"/>
          <w:szCs w:val="21"/>
          <w:shd w:val="clear" w:color="auto" w:fill="FFFFFF"/>
        </w:rPr>
        <w:t>(</w:t>
      </w:r>
      <w:r w:rsidR="003E6292" w:rsidRPr="003E6292">
        <w:rPr>
          <w:rFonts w:ascii="Times New Roman" w:hAnsi="Times New Roman" w:cs="Times New Roman"/>
          <w:color w:val="1F1F1F"/>
          <w:sz w:val="24"/>
          <w:szCs w:val="24"/>
          <w:shd w:val="clear" w:color="auto" w:fill="FFFFFF"/>
        </w:rPr>
        <w:t xml:space="preserve">Gallo Financ Innov </w:t>
      </w:r>
      <w:r w:rsidR="003E6292">
        <w:rPr>
          <w:rFonts w:ascii="Times New Roman" w:hAnsi="Times New Roman" w:cs="Times New Roman"/>
          <w:color w:val="1F1F1F"/>
          <w:sz w:val="24"/>
          <w:szCs w:val="24"/>
          <w:shd w:val="clear" w:color="auto" w:fill="FFFFFF"/>
        </w:rPr>
        <w:t xml:space="preserve">, </w:t>
      </w:r>
      <w:r w:rsidR="003E6292" w:rsidRPr="003E6292">
        <w:rPr>
          <w:rFonts w:ascii="Times New Roman" w:hAnsi="Times New Roman" w:cs="Times New Roman"/>
          <w:color w:val="1F1F1F"/>
          <w:sz w:val="24"/>
          <w:szCs w:val="24"/>
          <w:shd w:val="clear" w:color="auto" w:fill="FFFFFF"/>
        </w:rPr>
        <w:t>2021)</w:t>
      </w:r>
      <w:r w:rsidRPr="003E6292">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 </w:t>
      </w:r>
      <w:r w:rsidR="00310AA7">
        <w:rPr>
          <w:rFonts w:ascii="Times New Roman" w:hAnsi="Times New Roman" w:cs="Times New Roman"/>
          <w:sz w:val="24"/>
          <w:szCs w:val="24"/>
          <w:lang w:val="es-CO"/>
        </w:rPr>
        <w:t>En</w:t>
      </w:r>
      <w:r w:rsidRPr="00874529">
        <w:rPr>
          <w:rFonts w:ascii="Times New Roman" w:hAnsi="Times New Roman" w:cs="Times New Roman"/>
          <w:sz w:val="24"/>
          <w:szCs w:val="24"/>
          <w:lang w:val="es-CO"/>
        </w:rPr>
        <w:t xml:space="preserve"> </w:t>
      </w:r>
      <w:r w:rsidR="00310AA7">
        <w:rPr>
          <w:rFonts w:ascii="Times New Roman" w:hAnsi="Times New Roman" w:cs="Times New Roman"/>
          <w:sz w:val="24"/>
          <w:szCs w:val="24"/>
          <w:lang w:val="es-CO"/>
        </w:rPr>
        <w:t>l</w:t>
      </w:r>
      <w:r w:rsidRPr="00874529">
        <w:rPr>
          <w:rFonts w:ascii="Times New Roman" w:hAnsi="Times New Roman" w:cs="Times New Roman"/>
          <w:sz w:val="24"/>
          <w:szCs w:val="24"/>
          <w:lang w:val="es-CO"/>
        </w:rPr>
        <w:t xml:space="preserve">atinoamérica,  cualquier falla podría </w:t>
      </w:r>
      <w:r w:rsidR="00310AA7">
        <w:rPr>
          <w:rFonts w:ascii="Times New Roman" w:hAnsi="Times New Roman" w:cs="Times New Roman"/>
          <w:sz w:val="24"/>
          <w:szCs w:val="24"/>
          <w:lang w:val="es-CO"/>
        </w:rPr>
        <w:t>afectar</w:t>
      </w:r>
      <w:r w:rsidRPr="00874529">
        <w:rPr>
          <w:rFonts w:ascii="Times New Roman" w:hAnsi="Times New Roman" w:cs="Times New Roman"/>
          <w:sz w:val="24"/>
          <w:szCs w:val="24"/>
          <w:lang w:val="es-CO"/>
        </w:rPr>
        <w:t xml:space="preserve"> masivamente la confianza y limitar el desarrollo de estas alternativas financieras</w:t>
      </w:r>
      <w:r w:rsidR="003F1F43">
        <w:rPr>
          <w:rFonts w:ascii="Times New Roman" w:hAnsi="Times New Roman" w:cs="Times New Roman"/>
          <w:sz w:val="24"/>
          <w:szCs w:val="24"/>
          <w:lang w:val="es-CO"/>
        </w:rPr>
        <w:t xml:space="preserve"> </w:t>
      </w:r>
      <w:r w:rsidR="003F1F43">
        <w:rPr>
          <w:rFonts w:ascii="Times New Roman" w:hAnsi="Times New Roman" w:cs="Times New Roman"/>
          <w:sz w:val="24"/>
          <w:szCs w:val="24"/>
        </w:rPr>
        <w:t>(</w:t>
      </w:r>
      <w:r w:rsidR="003F1F43" w:rsidRPr="004C629D">
        <w:rPr>
          <w:rFonts w:ascii="Times New Roman" w:hAnsi="Times New Roman" w:cs="Times New Roman"/>
          <w:sz w:val="24"/>
          <w:szCs w:val="24"/>
        </w:rPr>
        <w:t>Lyócsa, Vašaničová, Hadji Misheva, &amp; Vateha, 2022</w:t>
      </w:r>
      <w:r w:rsidR="003F1F43" w:rsidRPr="00427FF4">
        <w:rPr>
          <w:rFonts w:ascii="Times New Roman" w:hAnsi="Times New Roman" w:cs="Times New Roman"/>
          <w:sz w:val="24"/>
          <w:szCs w:val="24"/>
        </w:rPr>
        <w:t>)</w:t>
      </w:r>
      <w:r w:rsidR="003F1F43">
        <w:t>.</w:t>
      </w:r>
      <w:commentRangeEnd w:id="5"/>
      <w:r w:rsidR="00456FBD" w:rsidRPr="00874529">
        <w:rPr>
          <w:rStyle w:val="Refdecomentario"/>
          <w:rFonts w:ascii="Times New Roman" w:hAnsi="Times New Roman" w:cs="Times New Roman"/>
          <w:sz w:val="24"/>
          <w:szCs w:val="24"/>
          <w:lang w:val="es-CO"/>
        </w:rPr>
        <w:commentReference w:id="5"/>
      </w:r>
    </w:p>
    <w:p w14:paraId="62499225" w14:textId="5F44B8CA" w:rsidR="00874529" w:rsidRPr="00874529" w:rsidRDefault="00874529" w:rsidP="00874529">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lastRenderedPageBreak/>
        <w:t>Frente a este escenario, los métodos tradicionales de evaluación de riesgo a menudo basados en modelos de "caja negra" o scores propietarios como el FICO resultan insuficientes. Su falta de transparencia, unida a desafíos como la ausencia de historial crediticio en nuevos prestatarios y el riesgo de información engañosa (misreporting), no solo afecta la rentabilidad del inversionista, sino que también obstaculiza la adopción masiva de estas plataformas</w:t>
      </w:r>
      <w:r w:rsidR="003F1F43">
        <w:rPr>
          <w:rFonts w:ascii="Times New Roman" w:hAnsi="Times New Roman" w:cs="Times New Roman"/>
          <w:sz w:val="24"/>
          <w:szCs w:val="24"/>
          <w:lang w:val="es-CO"/>
        </w:rPr>
        <w:t xml:space="preserve"> </w:t>
      </w:r>
      <w:r w:rsidR="003F1F43">
        <w:rPr>
          <w:rFonts w:ascii="Times New Roman" w:hAnsi="Times New Roman" w:cs="Times New Roman"/>
          <w:sz w:val="24"/>
          <w:szCs w:val="24"/>
        </w:rPr>
        <w:t>(</w:t>
      </w:r>
      <w:r w:rsidR="003F1F43" w:rsidRPr="004C629D">
        <w:rPr>
          <w:rFonts w:ascii="Times New Roman" w:hAnsi="Times New Roman" w:cs="Times New Roman"/>
          <w:sz w:val="24"/>
          <w:szCs w:val="24"/>
        </w:rPr>
        <w:t>Lyócsa, Vašaničová, Hadji Misheva, &amp; Vateha, 2022</w:t>
      </w:r>
      <w:r w:rsidR="003F1F43">
        <w:rPr>
          <w:rFonts w:ascii="Times New Roman" w:hAnsi="Times New Roman" w:cs="Times New Roman"/>
          <w:sz w:val="24"/>
          <w:szCs w:val="24"/>
        </w:rPr>
        <w:t>;</w:t>
      </w:r>
      <w:r w:rsidR="003F1F43" w:rsidRPr="003F1F43">
        <w:t xml:space="preserve"> </w:t>
      </w:r>
      <w:r w:rsidR="003F1F43" w:rsidRPr="003F1F43">
        <w:rPr>
          <w:rFonts w:ascii="Times New Roman" w:hAnsi="Times New Roman" w:cs="Times New Roman"/>
          <w:sz w:val="24"/>
          <w:szCs w:val="24"/>
        </w:rPr>
        <w:t>Albanesi &amp; Vamossy, 2019)</w:t>
      </w:r>
      <w:r w:rsidRPr="003F1F43">
        <w:rPr>
          <w:rFonts w:ascii="Times New Roman" w:hAnsi="Times New Roman" w:cs="Times New Roman"/>
          <w:sz w:val="24"/>
          <w:szCs w:val="24"/>
          <w:lang w:val="es-CO"/>
        </w:rPr>
        <w:t xml:space="preserve">. </w:t>
      </w:r>
      <w:r w:rsidRPr="00874529">
        <w:rPr>
          <w:rFonts w:ascii="Times New Roman" w:hAnsi="Times New Roman" w:cs="Times New Roman"/>
          <w:sz w:val="24"/>
          <w:szCs w:val="24"/>
          <w:lang w:val="es-CO"/>
        </w:rPr>
        <w:t>Por ello, surge la necesidad crítica de desarrollar sistemas que equilibren de manera efectiva la precisión predictiva con la interpretabilidad, permitiendo una gestión del riesgo más robusta y comprensible</w:t>
      </w:r>
      <w:r w:rsidR="003F1F43">
        <w:rPr>
          <w:rFonts w:ascii="Times New Roman" w:hAnsi="Times New Roman" w:cs="Times New Roman"/>
          <w:sz w:val="24"/>
          <w:szCs w:val="24"/>
          <w:lang w:val="es-CO"/>
        </w:rPr>
        <w:t xml:space="preserve"> (</w:t>
      </w:r>
      <w:r w:rsidR="003F1F43" w:rsidRPr="004C629D">
        <w:rPr>
          <w:rFonts w:ascii="Times New Roman" w:hAnsi="Times New Roman" w:cs="Times New Roman"/>
          <w:sz w:val="24"/>
          <w:szCs w:val="24"/>
        </w:rPr>
        <w:t>Sotiropoulos, Koronakos, &amp; Solanakis, 2024</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w:t>
      </w:r>
    </w:p>
    <w:p w14:paraId="3B7886E2" w14:textId="77777777" w:rsidR="00874529" w:rsidRPr="00874529" w:rsidRDefault="00874529" w:rsidP="00874529">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La presente investigación se justifica académicamente al integrar y avanzar sobre las soluciones más recientes identificadas en la literatura especializada, las cuales se articulan en tres dimensiones críticas:</w:t>
      </w:r>
    </w:p>
    <w:p w14:paraId="19DB6618" w14:textId="5BE44E93" w:rsidR="00874529" w:rsidRPr="00874529" w:rsidRDefault="00874529" w:rsidP="00874529">
      <w:pPr>
        <w:spacing w:line="480" w:lineRule="auto"/>
        <w:ind w:firstLine="720"/>
        <w:rPr>
          <w:rFonts w:ascii="Times New Roman" w:hAnsi="Times New Roman" w:cs="Times New Roman"/>
          <w:sz w:val="24"/>
          <w:szCs w:val="24"/>
          <w:lang w:val="es-CO"/>
        </w:rPr>
      </w:pPr>
      <w:r>
        <w:rPr>
          <w:rFonts w:ascii="Times New Roman" w:hAnsi="Times New Roman" w:cs="Times New Roman"/>
          <w:sz w:val="24"/>
          <w:szCs w:val="24"/>
          <w:lang w:val="es-CO"/>
        </w:rPr>
        <w:t>Iniciando por l</w:t>
      </w:r>
      <w:r w:rsidRPr="00874529">
        <w:rPr>
          <w:rFonts w:ascii="Times New Roman" w:hAnsi="Times New Roman" w:cs="Times New Roman"/>
          <w:sz w:val="24"/>
          <w:szCs w:val="24"/>
          <w:lang w:val="es-CO"/>
        </w:rPr>
        <w:t>a Imperativa Necesidad de Transparencia</w:t>
      </w:r>
      <w:r>
        <w:rPr>
          <w:rFonts w:ascii="Times New Roman" w:hAnsi="Times New Roman" w:cs="Times New Roman"/>
          <w:sz w:val="24"/>
          <w:szCs w:val="24"/>
          <w:lang w:val="es-CO"/>
        </w:rPr>
        <w:t xml:space="preserve"> en los</w:t>
      </w:r>
      <w:r w:rsidRPr="00874529">
        <w:rPr>
          <w:rFonts w:ascii="Times New Roman" w:hAnsi="Times New Roman" w:cs="Times New Roman"/>
          <w:sz w:val="24"/>
          <w:szCs w:val="24"/>
          <w:lang w:val="es-CO"/>
        </w:rPr>
        <w:t xml:space="preserve"> Modelos Explicativos (XAI) y Programación Genética (GP). Para mitigar la asimetría de información, es crucial que los modelos de scoring sean interpretables.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Sotiropoulos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2024) demuestran que la Programación Genética puede generar fórmulas analíticas con una precisión comparable a modelos complejos de machine learning (como MLPs y GSVMs), pero con la ventaja de la transparencia. Complementariamente,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Monje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2025) aplican Inteligencia Artificial Explicable (XAI) a modelos de alta precisión como XGBoost, generando reglas lingüísticas comprensibles para la clasificación del riesgo. Esta investigación busca </w:t>
      </w:r>
      <w:r w:rsidR="00A92A85">
        <w:rPr>
          <w:rFonts w:ascii="Times New Roman" w:hAnsi="Times New Roman" w:cs="Times New Roman"/>
          <w:sz w:val="24"/>
          <w:szCs w:val="24"/>
          <w:lang w:val="es-CO"/>
        </w:rPr>
        <w:t xml:space="preserve">generar fundamentos teóricos aplicando a </w:t>
      </w:r>
      <w:r w:rsidRPr="00874529">
        <w:rPr>
          <w:rFonts w:ascii="Times New Roman" w:hAnsi="Times New Roman" w:cs="Times New Roman"/>
          <w:sz w:val="24"/>
          <w:szCs w:val="24"/>
          <w:lang w:val="es-CO"/>
        </w:rPr>
        <w:t>estos enfoques para crear sistemas que no solo predigan, sino que también expliquen sus decisiones.</w:t>
      </w:r>
    </w:p>
    <w:p w14:paraId="10E85FF8" w14:textId="17632F9A" w:rsidR="00874529" w:rsidRPr="00874529" w:rsidRDefault="00874529" w:rsidP="00874529">
      <w:pPr>
        <w:spacing w:line="480" w:lineRule="auto"/>
        <w:ind w:firstLine="720"/>
        <w:rPr>
          <w:rFonts w:ascii="Times New Roman" w:hAnsi="Times New Roman" w:cs="Times New Roman"/>
          <w:sz w:val="24"/>
          <w:szCs w:val="24"/>
          <w:lang w:val="es-CO"/>
        </w:rPr>
      </w:pPr>
      <w:r w:rsidRPr="00456FBD">
        <w:rPr>
          <w:rFonts w:ascii="Times New Roman" w:hAnsi="Times New Roman" w:cs="Times New Roman"/>
          <w:sz w:val="24"/>
          <w:szCs w:val="24"/>
          <w:highlight w:val="yellow"/>
          <w:lang w:val="es-CO"/>
        </w:rPr>
        <w:t xml:space="preserve">Estudios como el de </w:t>
      </w:r>
      <w:r w:rsidR="003F1F43" w:rsidRPr="00456FBD">
        <w:rPr>
          <w:rFonts w:ascii="Times New Roman" w:hAnsi="Times New Roman" w:cs="Times New Roman"/>
          <w:sz w:val="24"/>
          <w:szCs w:val="24"/>
          <w:highlight w:val="yellow"/>
          <w:lang w:val="es-CO"/>
        </w:rPr>
        <w:t>(</w:t>
      </w:r>
      <w:r w:rsidRPr="00874529">
        <w:rPr>
          <w:rFonts w:ascii="Times New Roman" w:hAnsi="Times New Roman" w:cs="Times New Roman"/>
          <w:sz w:val="24"/>
          <w:szCs w:val="24"/>
          <w:lang w:val="es-CO"/>
        </w:rPr>
        <w:t xml:space="preserve">Lýócsa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2022) evidencian que los modelos basados en rentabilidad (Profit Scoring), como la Tasa Interna de Retorno Anual Ajustada (ARR), generan retornos significativamente superiores</w:t>
      </w:r>
      <w:r w:rsidR="00B62600">
        <w:rPr>
          <w:rFonts w:ascii="Times New Roman" w:hAnsi="Times New Roman" w:cs="Times New Roman"/>
          <w:sz w:val="24"/>
          <w:szCs w:val="24"/>
          <w:lang w:val="es-CO"/>
        </w:rPr>
        <w:t>, a</w:t>
      </w:r>
      <w:r w:rsidRPr="00874529">
        <w:rPr>
          <w:rFonts w:ascii="Times New Roman" w:hAnsi="Times New Roman" w:cs="Times New Roman"/>
          <w:sz w:val="24"/>
          <w:szCs w:val="24"/>
          <w:lang w:val="es-CO"/>
        </w:rPr>
        <w:t xml:space="preserve">nte la limitación de usar un solo score, </w:t>
      </w:r>
      <w:r w:rsidR="003F1F43">
        <w:rPr>
          <w:rFonts w:ascii="Times New Roman" w:hAnsi="Times New Roman" w:cs="Times New Roman"/>
          <w:sz w:val="24"/>
          <w:szCs w:val="24"/>
          <w:lang w:val="es-CO"/>
        </w:rPr>
        <w:lastRenderedPageBreak/>
        <w:t>(</w:t>
      </w:r>
      <w:r w:rsidRPr="00874529">
        <w:rPr>
          <w:rFonts w:ascii="Times New Roman" w:hAnsi="Times New Roman" w:cs="Times New Roman"/>
          <w:sz w:val="24"/>
          <w:szCs w:val="24"/>
          <w:lang w:val="es-CO"/>
        </w:rPr>
        <w:t xml:space="preserve">Wang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2025) proponen un modelo bivariante que evalúa simultáneamente el riesgo de impago y la rentabilidad</w:t>
      </w:r>
      <w:r w:rsidR="00265605" w:rsidRPr="00265605">
        <w:rPr>
          <w:rFonts w:ascii="Times New Roman" w:hAnsi="Times New Roman" w:cs="Times New Roman"/>
          <w:sz w:val="24"/>
          <w:szCs w:val="24"/>
        </w:rPr>
        <w:t>sta evolución orienta el desarrollo de una evaluación integral que optimice la relación riesgo-retorno para el inversionista.</w:t>
      </w:r>
    </w:p>
    <w:p w14:paraId="3DB657E1" w14:textId="46DC7D24" w:rsidR="00874529" w:rsidRPr="00874529" w:rsidRDefault="00874529" w:rsidP="00874529">
      <w:pPr>
        <w:spacing w:line="480" w:lineRule="auto"/>
        <w:ind w:firstLine="720"/>
        <w:rPr>
          <w:rFonts w:ascii="Times New Roman" w:hAnsi="Times New Roman" w:cs="Times New Roman"/>
          <w:sz w:val="24"/>
          <w:szCs w:val="24"/>
          <w:lang w:val="es-CO"/>
        </w:rPr>
      </w:pPr>
      <w:r w:rsidRPr="00456FBD">
        <w:rPr>
          <w:rFonts w:ascii="Times New Roman" w:hAnsi="Times New Roman" w:cs="Times New Roman"/>
          <w:sz w:val="24"/>
          <w:szCs w:val="24"/>
          <w:highlight w:val="yellow"/>
          <w:lang w:val="es-CO"/>
        </w:rPr>
        <w:t> </w:t>
      </w:r>
      <w:r w:rsidR="00B62600">
        <w:rPr>
          <w:rFonts w:ascii="Times New Roman" w:hAnsi="Times New Roman" w:cs="Times New Roman"/>
          <w:sz w:val="24"/>
          <w:szCs w:val="24"/>
          <w:highlight w:val="yellow"/>
          <w:lang w:val="es-CO"/>
        </w:rPr>
        <w:t>En este orden de ideas l</w:t>
      </w:r>
      <w:r w:rsidRPr="00456FBD">
        <w:rPr>
          <w:rFonts w:ascii="Times New Roman" w:hAnsi="Times New Roman" w:cs="Times New Roman"/>
          <w:sz w:val="24"/>
          <w:szCs w:val="24"/>
          <w:highlight w:val="yellow"/>
          <w:lang w:val="es-CO"/>
        </w:rPr>
        <w:t>a heterogeneidad de los prestatarios requiere modelos que capturen subpoblaciones específicas.</w:t>
      </w:r>
      <w:r w:rsidRPr="00874529">
        <w:rPr>
          <w:rFonts w:ascii="Times New Roman" w:hAnsi="Times New Roman" w:cs="Times New Roman"/>
          <w:sz w:val="24"/>
          <w:szCs w:val="24"/>
          <w:lang w:val="es-CO"/>
        </w:rPr>
        <w:t xml:space="preserve">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Ahelegbey et al.</w:t>
      </w:r>
      <w:r w:rsidR="003F1F43">
        <w:rPr>
          <w:rFonts w:ascii="Times New Roman" w:hAnsi="Times New Roman" w:cs="Times New Roman"/>
          <w:sz w:val="24"/>
          <w:szCs w:val="24"/>
          <w:lang w:val="es-CO"/>
        </w:rPr>
        <w:t xml:space="preserve">, </w:t>
      </w:r>
      <w:r w:rsidRPr="00874529">
        <w:rPr>
          <w:rFonts w:ascii="Times New Roman" w:hAnsi="Times New Roman" w:cs="Times New Roman"/>
          <w:sz w:val="24"/>
          <w:szCs w:val="24"/>
          <w:lang w:val="es-CO"/>
        </w:rPr>
        <w:t>2019) muestran que la segmentación mediante Modelos de Redes Factoriales, combinada con técnicas de selección de variables como Lasso, produce modelos más precisos y parsimoniosos. Asimismo, la identificación de variables de alto impacto como la Utilización Rotatoria (RU) y los Meses desde la Última Morosidad (MSLD)</w:t>
      </w:r>
      <w:r w:rsidR="00D92EF0">
        <w:rPr>
          <w:rFonts w:ascii="Times New Roman" w:hAnsi="Times New Roman" w:cs="Times New Roman"/>
          <w:sz w:val="24"/>
          <w:szCs w:val="24"/>
          <w:lang w:val="es-CO"/>
        </w:rPr>
        <w:t xml:space="preserve"> </w:t>
      </w:r>
      <w:r w:rsidRPr="00874529">
        <w:rPr>
          <w:rFonts w:ascii="Times New Roman" w:hAnsi="Times New Roman" w:cs="Times New Roman"/>
          <w:sz w:val="24"/>
          <w:szCs w:val="24"/>
          <w:lang w:val="es-CO"/>
        </w:rPr>
        <w:t xml:space="preserve">mediante modelos transparentes es vital para un screening crediticio efectivo. </w:t>
      </w:r>
      <w:r w:rsidR="00265605" w:rsidRPr="00265605">
        <w:rPr>
          <w:rFonts w:ascii="Times New Roman" w:hAnsi="Times New Roman" w:cs="Times New Roman"/>
          <w:sz w:val="24"/>
          <w:szCs w:val="24"/>
        </w:rPr>
        <w:t>Se incorpora el análisis de segmentación y la selección rigurosa de variables con el fin de mejorar la capacidad predictiva.</w:t>
      </w:r>
    </w:p>
    <w:p w14:paraId="175621B7" w14:textId="1A0BE27C" w:rsidR="00874529" w:rsidRPr="00874529" w:rsidRDefault="00874529" w:rsidP="00C23CA1">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 xml:space="preserve">En conclusión, esta </w:t>
      </w:r>
      <w:r w:rsidR="0095297B" w:rsidRPr="0095297B">
        <w:rPr>
          <w:rFonts w:ascii="Times New Roman" w:hAnsi="Times New Roman" w:cs="Times New Roman"/>
          <w:sz w:val="24"/>
          <w:szCs w:val="24"/>
          <w:lang w:val="es-CO"/>
        </w:rPr>
        <w:t>investigación</w:t>
      </w:r>
      <w:r w:rsidRPr="00874529">
        <w:rPr>
          <w:rFonts w:ascii="Times New Roman" w:hAnsi="Times New Roman" w:cs="Times New Roman"/>
          <w:sz w:val="24"/>
          <w:szCs w:val="24"/>
          <w:lang w:val="es-CO"/>
        </w:rPr>
        <w:t xml:space="preserve"> se justifica por la necesidad crítica de desarrollar sistemas de evaluación de riesgo integrales y transparentes para el mercado P2P. Al sintetizar los avances en modelos explicativos (XAI/GP), profit scoring y técnicas de segmentación, esta investigación no solo busca minimizar las pérdidas por impago, sino también maximizar la rentabilidad del inversionista. El objetivo final es contribuir a la sostenibilidad y confianza en estos mecanismos de financiamiento alternativo, proporcionando un marco analítico sólido que supere las limitaciones de los enfoques tradicionales.</w:t>
      </w:r>
    </w:p>
    <w:p w14:paraId="12247205" w14:textId="77777777" w:rsidR="00874529" w:rsidRPr="00874529" w:rsidRDefault="00874529" w:rsidP="00874529">
      <w:pPr>
        <w:rPr>
          <w:lang w:val="es-CO"/>
        </w:rPr>
      </w:pPr>
    </w:p>
    <w:p w14:paraId="07C308F0" w14:textId="77777777" w:rsidR="00A835E7" w:rsidRPr="00A835E7" w:rsidRDefault="00A835E7" w:rsidP="00A835E7"/>
    <w:p w14:paraId="42EE0BDC" w14:textId="77777777" w:rsidR="00A835E7" w:rsidRPr="00A835E7" w:rsidRDefault="00A835E7" w:rsidP="00A835E7"/>
    <w:p w14:paraId="481417ED" w14:textId="77777777" w:rsidR="00A835E7" w:rsidRPr="00A835E7" w:rsidRDefault="00A835E7" w:rsidP="00A835E7"/>
    <w:p w14:paraId="3E65EB77" w14:textId="77777777" w:rsidR="00A835E7" w:rsidRPr="00A835E7" w:rsidRDefault="00A835E7" w:rsidP="00A835E7"/>
    <w:p w14:paraId="1388A7AA" w14:textId="77777777" w:rsidR="00A835E7" w:rsidRPr="00A835E7" w:rsidRDefault="00A835E7" w:rsidP="00A835E7"/>
    <w:p w14:paraId="7623FCDC" w14:textId="77777777" w:rsidR="00A835E7" w:rsidRPr="00A835E7" w:rsidRDefault="00A835E7" w:rsidP="00A835E7"/>
    <w:p w14:paraId="25EA057A" w14:textId="77777777" w:rsidR="00A835E7" w:rsidRDefault="00A835E7" w:rsidP="00A835E7">
      <w:pPr>
        <w:rPr>
          <w:rFonts w:ascii="Times New Roman" w:hAnsi="Times New Roman" w:cs="Times New Roman"/>
          <w:b/>
          <w:bCs/>
          <w:sz w:val="24"/>
          <w:szCs w:val="24"/>
        </w:rPr>
      </w:pPr>
    </w:p>
    <w:p w14:paraId="315F19E5" w14:textId="5A9250CB" w:rsidR="00A835E7" w:rsidRDefault="00A835E7" w:rsidP="00A835E7">
      <w:pPr>
        <w:tabs>
          <w:tab w:val="left" w:pos="5268"/>
        </w:tabs>
      </w:pPr>
      <w:r>
        <w:tab/>
      </w:r>
    </w:p>
    <w:p w14:paraId="194B2042" w14:textId="77777777" w:rsidR="00A835E7" w:rsidRDefault="00A835E7" w:rsidP="00A835E7">
      <w:pPr>
        <w:tabs>
          <w:tab w:val="left" w:pos="5268"/>
        </w:tabs>
      </w:pPr>
    </w:p>
    <w:p w14:paraId="7F36B05C" w14:textId="77777777" w:rsidR="00A835E7" w:rsidRDefault="00A835E7" w:rsidP="00A835E7">
      <w:pPr>
        <w:tabs>
          <w:tab w:val="left" w:pos="5268"/>
        </w:tabs>
      </w:pPr>
    </w:p>
    <w:p w14:paraId="0133EE41" w14:textId="77777777" w:rsidR="00A835E7" w:rsidRDefault="00A835E7" w:rsidP="00A835E7">
      <w:pPr>
        <w:tabs>
          <w:tab w:val="left" w:pos="5268"/>
        </w:tabs>
      </w:pPr>
    </w:p>
    <w:p w14:paraId="1FC442B0" w14:textId="77777777" w:rsidR="00A835E7" w:rsidRDefault="00A835E7" w:rsidP="00A835E7">
      <w:pPr>
        <w:tabs>
          <w:tab w:val="left" w:pos="5268"/>
        </w:tabs>
      </w:pPr>
    </w:p>
    <w:p w14:paraId="5C7BE471" w14:textId="77777777" w:rsidR="00A835E7" w:rsidRDefault="00A835E7" w:rsidP="00A835E7">
      <w:pPr>
        <w:tabs>
          <w:tab w:val="left" w:pos="5268"/>
        </w:tabs>
      </w:pPr>
    </w:p>
    <w:p w14:paraId="3E758BAB" w14:textId="77777777" w:rsidR="00A835E7" w:rsidRDefault="00A835E7" w:rsidP="00A835E7">
      <w:pPr>
        <w:tabs>
          <w:tab w:val="left" w:pos="5268"/>
        </w:tabs>
      </w:pPr>
    </w:p>
    <w:p w14:paraId="3C9378EB" w14:textId="77777777" w:rsidR="00C051EA" w:rsidRDefault="00C051EA" w:rsidP="00A835E7">
      <w:pPr>
        <w:tabs>
          <w:tab w:val="left" w:pos="5268"/>
        </w:tabs>
      </w:pPr>
    </w:p>
    <w:p w14:paraId="3289C3E1" w14:textId="77777777" w:rsidR="00A835E7" w:rsidRDefault="00A835E7" w:rsidP="00A835E7">
      <w:pPr>
        <w:tabs>
          <w:tab w:val="left" w:pos="5268"/>
        </w:tabs>
      </w:pPr>
    </w:p>
    <w:p w14:paraId="44616B30" w14:textId="77777777" w:rsidR="00A835E7" w:rsidRDefault="00A835E7" w:rsidP="00A835E7">
      <w:pPr>
        <w:tabs>
          <w:tab w:val="left" w:pos="5268"/>
        </w:tabs>
      </w:pPr>
    </w:p>
    <w:p w14:paraId="5D15D09C" w14:textId="77777777" w:rsidR="00A835E7" w:rsidRDefault="00A835E7" w:rsidP="00A835E7">
      <w:pPr>
        <w:tabs>
          <w:tab w:val="left" w:pos="5268"/>
        </w:tabs>
      </w:pPr>
    </w:p>
    <w:p w14:paraId="3A47E1BC" w14:textId="77777777" w:rsidR="00A835E7" w:rsidRDefault="00A835E7" w:rsidP="00A835E7">
      <w:pPr>
        <w:tabs>
          <w:tab w:val="left" w:pos="5268"/>
        </w:tabs>
      </w:pPr>
    </w:p>
    <w:p w14:paraId="4113D6C7" w14:textId="77777777" w:rsidR="00A835E7" w:rsidRDefault="00A835E7" w:rsidP="00A835E7">
      <w:pPr>
        <w:tabs>
          <w:tab w:val="left" w:pos="5268"/>
        </w:tabs>
      </w:pPr>
    </w:p>
    <w:p w14:paraId="355DFB07" w14:textId="77777777" w:rsidR="00A835E7" w:rsidRDefault="00A835E7" w:rsidP="00A835E7">
      <w:pPr>
        <w:tabs>
          <w:tab w:val="left" w:pos="5268"/>
        </w:tabs>
      </w:pPr>
    </w:p>
    <w:p w14:paraId="0A3A86BF" w14:textId="77777777" w:rsidR="00A835E7" w:rsidRDefault="00A835E7" w:rsidP="00A835E7">
      <w:pPr>
        <w:tabs>
          <w:tab w:val="left" w:pos="5268"/>
        </w:tabs>
      </w:pPr>
    </w:p>
    <w:p w14:paraId="27EE8EE0" w14:textId="77777777" w:rsidR="00A649B2" w:rsidRDefault="00A649B2" w:rsidP="00A835E7">
      <w:pPr>
        <w:tabs>
          <w:tab w:val="left" w:pos="5268"/>
        </w:tabs>
      </w:pPr>
    </w:p>
    <w:p w14:paraId="47064E89" w14:textId="32E29E96" w:rsidR="00A649B2" w:rsidRPr="000B6D70" w:rsidRDefault="000B6D70" w:rsidP="000B6D70">
      <w:pPr>
        <w:pStyle w:val="Ttulo1"/>
        <w:jc w:val="center"/>
        <w:rPr>
          <w:rFonts w:ascii="Times New Roman" w:hAnsi="Times New Roman" w:cs="Times New Roman"/>
          <w:b/>
          <w:bCs/>
          <w:sz w:val="24"/>
          <w:szCs w:val="24"/>
        </w:rPr>
      </w:pPr>
      <w:r w:rsidRPr="000B6D70">
        <w:rPr>
          <w:rFonts w:ascii="Times New Roman" w:hAnsi="Times New Roman" w:cs="Times New Roman"/>
          <w:b/>
          <w:bCs/>
          <w:sz w:val="24"/>
          <w:szCs w:val="24"/>
        </w:rPr>
        <w:t>Pregunta de investigación</w:t>
      </w:r>
    </w:p>
    <w:p w14:paraId="76F54EC9" w14:textId="2650D26F" w:rsidR="0040088F" w:rsidRPr="00EA493D" w:rsidRDefault="0040088F" w:rsidP="00EA493D">
      <w:pPr>
        <w:tabs>
          <w:tab w:val="left" w:pos="5268"/>
        </w:tabs>
        <w:rPr>
          <w:rFonts w:ascii="Times New Roman" w:hAnsi="Times New Roman" w:cs="Times New Roman"/>
          <w:sz w:val="24"/>
          <w:szCs w:val="24"/>
        </w:rPr>
      </w:pPr>
      <w:r w:rsidRPr="0040088F">
        <w:rPr>
          <w:rFonts w:ascii="Times New Roman" w:hAnsi="Times New Roman" w:cs="Times New Roman"/>
          <w:sz w:val="24"/>
          <w:szCs w:val="24"/>
        </w:rPr>
        <w:t>¿Qué tipos de factores de riesgo permiten explicar la aparición y comportamiento del riesgo crediticio en los préstamos entre pares (P2P)?</w:t>
      </w:r>
    </w:p>
    <w:p w14:paraId="6B590A0A" w14:textId="2F8415AC" w:rsidR="000B6D70" w:rsidRPr="000B6D70" w:rsidRDefault="000B6D70" w:rsidP="000B6D70">
      <w:pPr>
        <w:pStyle w:val="Ttulo1"/>
        <w:spacing w:line="480" w:lineRule="auto"/>
        <w:jc w:val="center"/>
        <w:rPr>
          <w:rFonts w:ascii="Times New Roman" w:hAnsi="Times New Roman" w:cs="Times New Roman"/>
          <w:b/>
          <w:bCs/>
          <w:sz w:val="24"/>
          <w:szCs w:val="24"/>
        </w:rPr>
      </w:pPr>
      <w:r w:rsidRPr="000B6D70">
        <w:rPr>
          <w:rFonts w:ascii="Times New Roman" w:hAnsi="Times New Roman" w:cs="Times New Roman"/>
          <w:b/>
          <w:bCs/>
          <w:sz w:val="24"/>
          <w:szCs w:val="24"/>
        </w:rPr>
        <w:t>Objetivos</w:t>
      </w:r>
    </w:p>
    <w:p w14:paraId="36D6D66A" w14:textId="47D889DE" w:rsidR="001F6E68" w:rsidRPr="00852089" w:rsidRDefault="000B6D70" w:rsidP="00EB3B46">
      <w:pPr>
        <w:pStyle w:val="Subttulo"/>
        <w:spacing w:line="480" w:lineRule="auto"/>
        <w:rPr>
          <w:rFonts w:ascii="Times New Roman" w:hAnsi="Times New Roman" w:cs="Times New Roman"/>
          <w:b/>
          <w:bCs/>
          <w:color w:val="000000" w:themeColor="text1"/>
          <w:sz w:val="24"/>
          <w:szCs w:val="24"/>
        </w:rPr>
      </w:pPr>
      <w:r w:rsidRPr="00852089">
        <w:rPr>
          <w:rFonts w:ascii="Times New Roman" w:hAnsi="Times New Roman" w:cs="Times New Roman"/>
          <w:b/>
          <w:bCs/>
          <w:color w:val="000000" w:themeColor="text1"/>
          <w:sz w:val="24"/>
          <w:szCs w:val="24"/>
        </w:rPr>
        <w:t>Objetivo General:</w:t>
      </w:r>
    </w:p>
    <w:p w14:paraId="0953F473" w14:textId="7451C4C2" w:rsidR="00A2085A" w:rsidRPr="0040088F" w:rsidRDefault="00A2085A" w:rsidP="0040088F">
      <w:pPr>
        <w:pStyle w:val="Prrafodelista"/>
        <w:numPr>
          <w:ilvl w:val="0"/>
          <w:numId w:val="3"/>
        </w:numPr>
        <w:spacing w:line="480" w:lineRule="auto"/>
        <w:rPr>
          <w:rFonts w:ascii="Times New Roman" w:hAnsi="Times New Roman" w:cs="Times New Roman"/>
          <w:sz w:val="24"/>
          <w:szCs w:val="24"/>
        </w:rPr>
      </w:pPr>
      <w:r w:rsidRPr="00A2085A">
        <w:rPr>
          <w:rFonts w:ascii="Times New Roman" w:hAnsi="Times New Roman" w:cs="Times New Roman"/>
          <w:sz w:val="24"/>
          <w:szCs w:val="24"/>
        </w:rPr>
        <w:t>Desarrollar una metodología para evaluar el riesgo crediticio de los prestamistas en plataformas P2P, considerando los principales factores que influyen en la probabilidad de incumplimiento.</w:t>
      </w:r>
    </w:p>
    <w:p w14:paraId="5BCF053E" w14:textId="129B9E4C" w:rsidR="00EB3B46" w:rsidRPr="00852089" w:rsidRDefault="000B6D70" w:rsidP="00EB3B46">
      <w:pPr>
        <w:pStyle w:val="Subttulo"/>
        <w:spacing w:line="480" w:lineRule="auto"/>
        <w:rPr>
          <w:rFonts w:ascii="Times New Roman" w:hAnsi="Times New Roman" w:cs="Times New Roman"/>
          <w:b/>
          <w:bCs/>
          <w:color w:val="000000" w:themeColor="text1"/>
          <w:sz w:val="24"/>
          <w:szCs w:val="24"/>
        </w:rPr>
      </w:pPr>
      <w:r w:rsidRPr="00852089">
        <w:rPr>
          <w:rFonts w:ascii="Times New Roman" w:hAnsi="Times New Roman" w:cs="Times New Roman"/>
          <w:b/>
          <w:bCs/>
          <w:color w:val="000000" w:themeColor="text1"/>
          <w:sz w:val="24"/>
          <w:szCs w:val="24"/>
        </w:rPr>
        <w:t>Objetivos Específicos</w:t>
      </w:r>
      <w:r w:rsidR="00EB3B46" w:rsidRPr="00852089">
        <w:rPr>
          <w:rFonts w:ascii="Times New Roman" w:hAnsi="Times New Roman" w:cs="Times New Roman"/>
          <w:b/>
          <w:bCs/>
          <w:color w:val="000000" w:themeColor="text1"/>
          <w:sz w:val="24"/>
          <w:szCs w:val="24"/>
        </w:rPr>
        <w:t>:</w:t>
      </w:r>
    </w:p>
    <w:p w14:paraId="3A63E2AC" w14:textId="6ED25105" w:rsidR="00A2085A" w:rsidRDefault="00A2085A" w:rsidP="00A2085A">
      <w:pPr>
        <w:pStyle w:val="NormalWeb"/>
        <w:numPr>
          <w:ilvl w:val="0"/>
          <w:numId w:val="2"/>
        </w:numPr>
        <w:spacing w:line="480" w:lineRule="auto"/>
      </w:pPr>
      <w:r w:rsidRPr="00A2085A">
        <w:t>Caracterizar los patrones de incumplimiento y rentabilidad de los préstamos en Lending Club, segmentando la muestra según variables socioeconómicas y factores de misconduct identificados en la literatura.</w:t>
      </w:r>
    </w:p>
    <w:p w14:paraId="03BA59D0" w14:textId="3DE54050" w:rsidR="00A2085A" w:rsidRDefault="00A2085A" w:rsidP="00A2085A">
      <w:pPr>
        <w:pStyle w:val="NormalWeb"/>
        <w:numPr>
          <w:ilvl w:val="0"/>
          <w:numId w:val="2"/>
        </w:numPr>
        <w:spacing w:line="480" w:lineRule="auto"/>
      </w:pPr>
      <w:r w:rsidRPr="00A2085A">
        <w:t>Identificar los factores de riesgo que impactan la probabilidad de default, destacando su relación con los indicadores de credit scoring estándar.</w:t>
      </w:r>
    </w:p>
    <w:p w14:paraId="2A64D280" w14:textId="63718FFD" w:rsidR="00DE76D3" w:rsidRDefault="00A2085A" w:rsidP="00A2085A">
      <w:pPr>
        <w:pStyle w:val="NormalWeb"/>
        <w:numPr>
          <w:ilvl w:val="0"/>
          <w:numId w:val="2"/>
        </w:numPr>
        <w:spacing w:line="480" w:lineRule="auto"/>
      </w:pPr>
      <w:r w:rsidRPr="00A2085A">
        <w:t>Evaluar la capacidad predictiva de las variables identificadas mediante un enfoque probabilístico para estimar el riesgo de incumplimiento.</w:t>
      </w:r>
    </w:p>
    <w:p w14:paraId="239E0E95" w14:textId="77777777" w:rsidR="00A2085A" w:rsidRDefault="00A2085A" w:rsidP="00A2085A">
      <w:pPr>
        <w:pStyle w:val="NormalWeb"/>
        <w:spacing w:line="480" w:lineRule="auto"/>
        <w:ind w:left="720"/>
      </w:pPr>
    </w:p>
    <w:p w14:paraId="1B5C5996" w14:textId="77777777" w:rsidR="00DE76D3" w:rsidRDefault="00DE76D3" w:rsidP="00A835E7">
      <w:pPr>
        <w:tabs>
          <w:tab w:val="left" w:pos="5268"/>
        </w:tabs>
      </w:pPr>
    </w:p>
    <w:p w14:paraId="373521EC" w14:textId="77777777" w:rsidR="00FE1518" w:rsidRDefault="00FE1518" w:rsidP="00A835E7">
      <w:pPr>
        <w:tabs>
          <w:tab w:val="left" w:pos="5268"/>
        </w:tabs>
      </w:pPr>
    </w:p>
    <w:p w14:paraId="4DD894B8" w14:textId="77777777" w:rsidR="0040088F" w:rsidRDefault="0040088F" w:rsidP="0040088F">
      <w:pPr>
        <w:spacing w:line="480" w:lineRule="auto"/>
        <w:jc w:val="center"/>
        <w:rPr>
          <w:rFonts w:ascii="Times New Roman" w:hAnsi="Times New Roman" w:cs="Times New Roman"/>
          <w:b/>
          <w:bCs/>
          <w:sz w:val="24"/>
          <w:szCs w:val="24"/>
        </w:rPr>
      </w:pPr>
      <w:r w:rsidRPr="00EF6E63">
        <w:rPr>
          <w:rFonts w:ascii="Times New Roman" w:hAnsi="Times New Roman" w:cs="Times New Roman"/>
          <w:b/>
          <w:bCs/>
          <w:sz w:val="24"/>
          <w:szCs w:val="24"/>
        </w:rPr>
        <w:t>Justificación Bayesiana</w:t>
      </w:r>
    </w:p>
    <w:p w14:paraId="6F5863EF" w14:textId="3215559D" w:rsidR="0040088F" w:rsidRPr="00BF04DE" w:rsidRDefault="00BF04DE" w:rsidP="00BF04DE">
      <w:pPr>
        <w:spacing w:line="480" w:lineRule="auto"/>
        <w:rPr>
          <w:rFonts w:ascii="Times New Roman" w:hAnsi="Times New Roman" w:cs="Times New Roman"/>
          <w:sz w:val="24"/>
          <w:szCs w:val="24"/>
        </w:rPr>
      </w:pPr>
      <w:r w:rsidRPr="00BF04DE">
        <w:rPr>
          <w:rFonts w:ascii="Times New Roman" w:hAnsi="Times New Roman" w:cs="Times New Roman"/>
          <w:sz w:val="24"/>
          <w:szCs w:val="24"/>
        </w:rPr>
        <w:t>El uso de un modelo bayesiano en esta investigación se justifica por la naturaleza probabilística y dinámica que ofrece el riesgo crediticio en las plataformas de préstamos entre pares. Distintas de los métodos tradicionales de estimación</w:t>
      </w:r>
      <w:r>
        <w:rPr>
          <w:rFonts w:ascii="Times New Roman" w:hAnsi="Times New Roman" w:cs="Times New Roman"/>
          <w:sz w:val="24"/>
          <w:szCs w:val="24"/>
        </w:rPr>
        <w:t xml:space="preserve"> </w:t>
      </w:r>
      <w:r w:rsidRPr="00BF04DE">
        <w:rPr>
          <w:rFonts w:ascii="Times New Roman" w:hAnsi="Times New Roman" w:cs="Times New Roman"/>
          <w:sz w:val="24"/>
          <w:szCs w:val="24"/>
        </w:rPr>
        <w:t>que parten de suposiciones deterministas y requieren grandes volúmenes de información histórica, el enfoque bayesiano permite incorporar conocimiento previo, actualizando las estimaciones a medida que se obtiene nueva información. Desde este punto de vista, es más realista representar la incertidumbre del comportamiento de los prestatarios, ya que produce una distribución de probabilidad con cada estimación, no como los valores únicos que resultarían de usar una aproximación clásica. Más aún, su capacidad para manejar muestras pequeñas, datos incompletos o variables correlacionadas lo hace</w:t>
      </w:r>
      <w:r>
        <w:rPr>
          <w:rFonts w:ascii="Times New Roman" w:hAnsi="Times New Roman" w:cs="Times New Roman"/>
          <w:sz w:val="24"/>
          <w:szCs w:val="24"/>
        </w:rPr>
        <w:t xml:space="preserve"> </w:t>
      </w:r>
      <w:r w:rsidRPr="00BF04DE">
        <w:rPr>
          <w:rFonts w:ascii="Times New Roman" w:hAnsi="Times New Roman" w:cs="Times New Roman"/>
          <w:sz w:val="24"/>
          <w:szCs w:val="24"/>
        </w:rPr>
        <w:t>versátil y fuerte desde un punto de vista metodológico para el contexto de los préstamos P2P, donde la heterogeneidad y el riesgo de información asimétrica son elevados. En ese sentido, la implementación de un modelo bayesiano colabora para desarrollar una metodología cuantitativa más robusta y flexible con respecto a la estimación del nivel de riesgo crediticio, en concordancia con el objetivo general de esta investigación.</w:t>
      </w:r>
    </w:p>
    <w:p w14:paraId="435E1C89" w14:textId="77777777" w:rsidR="0040088F" w:rsidRDefault="0040088F" w:rsidP="00A835E7">
      <w:pPr>
        <w:tabs>
          <w:tab w:val="left" w:pos="5268"/>
        </w:tabs>
        <w:rPr>
          <w:lang w:val="es-CO"/>
        </w:rPr>
      </w:pPr>
    </w:p>
    <w:p w14:paraId="2C3222C1" w14:textId="77777777" w:rsidR="0040088F" w:rsidRDefault="0040088F" w:rsidP="00A835E7">
      <w:pPr>
        <w:tabs>
          <w:tab w:val="left" w:pos="5268"/>
        </w:tabs>
        <w:rPr>
          <w:lang w:val="es-CO"/>
        </w:rPr>
      </w:pPr>
    </w:p>
    <w:p w14:paraId="650AC816" w14:textId="77777777" w:rsidR="00DE76D3" w:rsidRDefault="00DE76D3" w:rsidP="00A835E7">
      <w:pPr>
        <w:tabs>
          <w:tab w:val="left" w:pos="5268"/>
        </w:tabs>
        <w:rPr>
          <w:lang w:val="es-CO"/>
        </w:rPr>
      </w:pPr>
    </w:p>
    <w:p w14:paraId="5A33E434" w14:textId="77777777" w:rsidR="00DE76D3" w:rsidRDefault="00DE76D3" w:rsidP="00A835E7">
      <w:pPr>
        <w:tabs>
          <w:tab w:val="left" w:pos="5268"/>
        </w:tabs>
        <w:rPr>
          <w:lang w:val="es-CO"/>
        </w:rPr>
      </w:pPr>
    </w:p>
    <w:p w14:paraId="4103E4BE" w14:textId="77777777" w:rsidR="00DE76D3" w:rsidRDefault="00DE76D3" w:rsidP="00A835E7">
      <w:pPr>
        <w:tabs>
          <w:tab w:val="left" w:pos="5268"/>
        </w:tabs>
        <w:rPr>
          <w:lang w:val="es-CO"/>
        </w:rPr>
      </w:pPr>
    </w:p>
    <w:p w14:paraId="228B0049" w14:textId="77777777" w:rsidR="00DE76D3" w:rsidRDefault="00DE76D3" w:rsidP="00A835E7">
      <w:pPr>
        <w:tabs>
          <w:tab w:val="left" w:pos="5268"/>
        </w:tabs>
        <w:rPr>
          <w:lang w:val="es-CO"/>
        </w:rPr>
      </w:pPr>
    </w:p>
    <w:p w14:paraId="42E5E418" w14:textId="77777777" w:rsidR="00DE76D3" w:rsidRDefault="00DE76D3" w:rsidP="00A835E7">
      <w:pPr>
        <w:tabs>
          <w:tab w:val="left" w:pos="5268"/>
        </w:tabs>
        <w:rPr>
          <w:lang w:val="es-CO"/>
        </w:rPr>
      </w:pPr>
    </w:p>
    <w:p w14:paraId="3F097F56" w14:textId="77777777" w:rsidR="00DE76D3" w:rsidRDefault="00DE76D3" w:rsidP="00A835E7">
      <w:pPr>
        <w:tabs>
          <w:tab w:val="left" w:pos="5268"/>
        </w:tabs>
        <w:rPr>
          <w:lang w:val="es-CO"/>
        </w:rPr>
      </w:pPr>
    </w:p>
    <w:p w14:paraId="3AA2873A" w14:textId="77777777" w:rsidR="00DE76D3" w:rsidRDefault="00DE76D3" w:rsidP="00A835E7">
      <w:pPr>
        <w:tabs>
          <w:tab w:val="left" w:pos="5268"/>
        </w:tabs>
        <w:rPr>
          <w:lang w:val="es-CO"/>
        </w:rPr>
      </w:pPr>
    </w:p>
    <w:p w14:paraId="66414C3E" w14:textId="77777777" w:rsidR="00DE76D3" w:rsidRDefault="00DE76D3" w:rsidP="00A835E7">
      <w:pPr>
        <w:tabs>
          <w:tab w:val="left" w:pos="5268"/>
        </w:tabs>
        <w:rPr>
          <w:lang w:val="es-CO"/>
        </w:rPr>
      </w:pPr>
    </w:p>
    <w:p w14:paraId="72848BEA" w14:textId="77777777" w:rsidR="00DE76D3" w:rsidRDefault="00DE76D3" w:rsidP="00A835E7">
      <w:pPr>
        <w:tabs>
          <w:tab w:val="left" w:pos="5268"/>
        </w:tabs>
        <w:rPr>
          <w:lang w:val="es-CO"/>
        </w:rPr>
      </w:pPr>
    </w:p>
    <w:p w14:paraId="14F85971" w14:textId="77777777" w:rsidR="00DE76D3" w:rsidRDefault="00DE76D3" w:rsidP="00A835E7">
      <w:pPr>
        <w:tabs>
          <w:tab w:val="left" w:pos="5268"/>
        </w:tabs>
        <w:rPr>
          <w:lang w:val="es-CO"/>
        </w:rPr>
      </w:pPr>
    </w:p>
    <w:p w14:paraId="118CF443" w14:textId="77777777" w:rsidR="00DE76D3" w:rsidRDefault="00DE76D3" w:rsidP="00A835E7">
      <w:pPr>
        <w:tabs>
          <w:tab w:val="left" w:pos="5268"/>
        </w:tabs>
        <w:rPr>
          <w:lang w:val="es-CO"/>
        </w:rPr>
      </w:pPr>
    </w:p>
    <w:p w14:paraId="38A52592" w14:textId="77777777" w:rsidR="00DE76D3" w:rsidRDefault="00DE76D3" w:rsidP="00A835E7">
      <w:pPr>
        <w:tabs>
          <w:tab w:val="left" w:pos="5268"/>
        </w:tabs>
        <w:rPr>
          <w:lang w:val="es-CO"/>
        </w:rPr>
      </w:pPr>
    </w:p>
    <w:p w14:paraId="1CB9E710" w14:textId="77777777" w:rsidR="00DE76D3" w:rsidRDefault="00DE76D3" w:rsidP="00A835E7">
      <w:pPr>
        <w:tabs>
          <w:tab w:val="left" w:pos="5268"/>
        </w:tabs>
        <w:rPr>
          <w:lang w:val="es-CO"/>
        </w:rPr>
      </w:pPr>
    </w:p>
    <w:p w14:paraId="565D9EF0" w14:textId="77777777" w:rsidR="00DE76D3" w:rsidRDefault="00DE76D3" w:rsidP="00A835E7">
      <w:pPr>
        <w:tabs>
          <w:tab w:val="left" w:pos="5268"/>
        </w:tabs>
        <w:rPr>
          <w:lang w:val="es-CO"/>
        </w:rPr>
      </w:pPr>
    </w:p>
    <w:p w14:paraId="1B861F17" w14:textId="77777777" w:rsidR="00DE76D3" w:rsidRDefault="00DE76D3" w:rsidP="00A835E7">
      <w:pPr>
        <w:tabs>
          <w:tab w:val="left" w:pos="5268"/>
        </w:tabs>
        <w:rPr>
          <w:lang w:val="es-CO"/>
        </w:rPr>
      </w:pPr>
    </w:p>
    <w:p w14:paraId="3DCE2AF2" w14:textId="67629395" w:rsidR="0040088F" w:rsidRPr="00DE76D3" w:rsidRDefault="00DE76D3" w:rsidP="00DE76D3">
      <w:pPr>
        <w:tabs>
          <w:tab w:val="left" w:pos="5268"/>
        </w:tabs>
        <w:jc w:val="center"/>
        <w:rPr>
          <w:rFonts w:ascii="Times New Roman" w:hAnsi="Times New Roman" w:cs="Times New Roman"/>
          <w:b/>
          <w:bCs/>
          <w:sz w:val="24"/>
          <w:szCs w:val="24"/>
          <w:lang w:val="es-CO"/>
        </w:rPr>
      </w:pPr>
      <w:r w:rsidRPr="00DE76D3">
        <w:rPr>
          <w:rFonts w:ascii="Times New Roman" w:hAnsi="Times New Roman" w:cs="Times New Roman"/>
          <w:b/>
          <w:bCs/>
          <w:sz w:val="24"/>
          <w:szCs w:val="24"/>
          <w:lang w:val="es-CO"/>
        </w:rPr>
        <w:t>Metodología Bayesiana</w:t>
      </w:r>
    </w:p>
    <w:p w14:paraId="12AEF665" w14:textId="77777777" w:rsidR="00D127C1" w:rsidRPr="00D127C1" w:rsidRDefault="00D127C1" w:rsidP="00D127C1">
      <w:pPr>
        <w:tabs>
          <w:tab w:val="left" w:pos="5268"/>
        </w:tabs>
        <w:rPr>
          <w:lang w:val="es-CO"/>
        </w:rPr>
      </w:pPr>
      <w:r w:rsidRPr="00D127C1">
        <w:rPr>
          <w:lang w:val="es-CO"/>
        </w:rPr>
        <w:t xml:space="preserve">En el marco del modelo de </w:t>
      </w:r>
      <w:r w:rsidRPr="00D127C1">
        <w:rPr>
          <w:b/>
          <w:bCs/>
          <w:lang w:val="es-CO"/>
        </w:rPr>
        <w:t>regresión logística bayesiana</w:t>
      </w:r>
      <w:r w:rsidRPr="00D127C1">
        <w:rPr>
          <w:lang w:val="es-CO"/>
        </w:rPr>
        <w:t xml:space="preserve"> planteado para estimar la probabilidad de incumplimiento () en los préstamos P2P, un enfoque que se alinea con la investigación avanzada sobre el riesgo crediticio, se definieron distribuciones previas de tipo débilmente informativo (</w:t>
      </w:r>
      <w:r w:rsidRPr="00D127C1">
        <w:rPr>
          <w:i/>
          <w:iCs/>
          <w:lang w:val="es-CO"/>
        </w:rPr>
        <w:t>weakly informative priors</w:t>
      </w:r>
      <w:r w:rsidRPr="00D127C1">
        <w:rPr>
          <w:lang w:val="es-CO"/>
        </w:rPr>
        <w:t xml:space="preserve">) con el propósito de incorporar conocimiento general sobre el comportamiento esperado de las variables sin imponer restricciones excesivas sobre los parámetros del modelo. La Regresión Logística, incluso con extensiones como el </w:t>
      </w:r>
      <w:r w:rsidRPr="00D127C1">
        <w:rPr>
          <w:i/>
          <w:iCs/>
          <w:lang w:val="es-CO"/>
        </w:rPr>
        <w:t>cost-sensitive logistic regression</w:t>
      </w:r>
      <w:r w:rsidRPr="00D127C1">
        <w:rPr>
          <w:lang w:val="es-CO"/>
        </w:rPr>
        <w:t xml:space="preserve">, sigue siendo un </w:t>
      </w:r>
      <w:r w:rsidRPr="00D127C1">
        <w:rPr>
          <w:b/>
          <w:bCs/>
          <w:lang w:val="es-CO"/>
        </w:rPr>
        <w:t>modelo de referencia (</w:t>
      </w:r>
      <w:r w:rsidRPr="00D127C1">
        <w:rPr>
          <w:b/>
          <w:bCs/>
          <w:i/>
          <w:iCs/>
          <w:lang w:val="es-CO"/>
        </w:rPr>
        <w:t>benchmark</w:t>
      </w:r>
      <w:r w:rsidRPr="00D127C1">
        <w:rPr>
          <w:b/>
          <w:bCs/>
          <w:lang w:val="es-CO"/>
        </w:rPr>
        <w:t>)</w:t>
      </w:r>
      <w:r w:rsidRPr="00D127C1">
        <w:rPr>
          <w:lang w:val="es-CO"/>
        </w:rPr>
        <w:t xml:space="preserve"> en la industria del riesgo crediticio.</w:t>
      </w:r>
    </w:p>
    <w:p w14:paraId="5D2F3152" w14:textId="77777777" w:rsidR="00D127C1" w:rsidRPr="00D127C1" w:rsidRDefault="00D127C1" w:rsidP="00D127C1">
      <w:pPr>
        <w:tabs>
          <w:tab w:val="left" w:pos="5268"/>
        </w:tabs>
        <w:rPr>
          <w:lang w:val="es-CO"/>
        </w:rPr>
      </w:pPr>
      <w:r w:rsidRPr="00D127C1">
        <w:rPr>
          <w:lang w:val="es-CO"/>
        </w:rPr>
        <w:t xml:space="preserve">Dado que la variable dependiente —la probabilidad de </w:t>
      </w:r>
      <w:r w:rsidRPr="00D127C1">
        <w:rPr>
          <w:i/>
          <w:iCs/>
          <w:lang w:val="es-CO"/>
        </w:rPr>
        <w:t>default</w:t>
      </w:r>
      <w:r w:rsidRPr="00D127C1">
        <w:rPr>
          <w:lang w:val="es-CO"/>
        </w:rPr>
        <w:t xml:space="preserve">— se modela mediante una función logística, los coeficientes se interpretan en términos de </w:t>
      </w:r>
      <w:r w:rsidRPr="00D127C1">
        <w:rPr>
          <w:i/>
          <w:iCs/>
          <w:lang w:val="es-CO"/>
        </w:rPr>
        <w:t>log-odds</w:t>
      </w:r>
      <w:r w:rsidRPr="00D127C1">
        <w:rPr>
          <w:lang w:val="es-CO"/>
        </w:rPr>
        <w:t xml:space="preserve">. Por tanto, se estableció como prior general para el intercepto () una distribución Normal con media cero y desviación estándar amplia, , lo que refleja un </w:t>
      </w:r>
      <w:r w:rsidRPr="00D127C1">
        <w:rPr>
          <w:b/>
          <w:bCs/>
          <w:lang w:val="es-CO"/>
        </w:rPr>
        <w:t>punto de partida neutral</w:t>
      </w:r>
      <w:r w:rsidRPr="00D127C1">
        <w:rPr>
          <w:lang w:val="es-CO"/>
        </w:rPr>
        <w:t xml:space="preserve"> respecto a la proporción esperada de incumplimiento.</w:t>
      </w:r>
    </w:p>
    <w:p w14:paraId="599D505C" w14:textId="77777777" w:rsidR="0040088F" w:rsidRDefault="0040088F" w:rsidP="00A835E7">
      <w:pPr>
        <w:tabs>
          <w:tab w:val="left" w:pos="5268"/>
        </w:tabs>
        <w:rPr>
          <w:lang w:val="es-CO"/>
        </w:rPr>
      </w:pPr>
    </w:p>
    <w:p w14:paraId="1A86AC20" w14:textId="77777777" w:rsidR="0040088F" w:rsidRDefault="0040088F" w:rsidP="00A835E7">
      <w:pPr>
        <w:tabs>
          <w:tab w:val="left" w:pos="5268"/>
        </w:tabs>
        <w:rPr>
          <w:lang w:val="es-CO"/>
        </w:rPr>
      </w:pPr>
    </w:p>
    <w:p w14:paraId="1DD99ECE" w14:textId="77777777" w:rsidR="0040088F" w:rsidRDefault="0040088F" w:rsidP="00A835E7">
      <w:pPr>
        <w:tabs>
          <w:tab w:val="left" w:pos="5268"/>
        </w:tabs>
        <w:rPr>
          <w:lang w:val="es-CO"/>
        </w:rPr>
      </w:pPr>
    </w:p>
    <w:p w14:paraId="6DF65CE7" w14:textId="77777777" w:rsidR="0040088F" w:rsidRDefault="0040088F" w:rsidP="00A835E7">
      <w:pPr>
        <w:tabs>
          <w:tab w:val="left" w:pos="5268"/>
        </w:tabs>
        <w:rPr>
          <w:lang w:val="es-CO"/>
        </w:rPr>
      </w:pPr>
    </w:p>
    <w:p w14:paraId="682964A5" w14:textId="77777777" w:rsidR="0040088F" w:rsidRDefault="0040088F" w:rsidP="00A835E7">
      <w:pPr>
        <w:tabs>
          <w:tab w:val="left" w:pos="5268"/>
        </w:tabs>
        <w:rPr>
          <w:lang w:val="es-CO"/>
        </w:rPr>
      </w:pPr>
    </w:p>
    <w:p w14:paraId="03C7DDDA" w14:textId="77777777" w:rsidR="0040088F" w:rsidRDefault="0040088F" w:rsidP="00A835E7">
      <w:pPr>
        <w:tabs>
          <w:tab w:val="left" w:pos="5268"/>
        </w:tabs>
        <w:rPr>
          <w:lang w:val="es-CO"/>
        </w:rPr>
      </w:pPr>
    </w:p>
    <w:p w14:paraId="1F1E697F" w14:textId="77777777" w:rsidR="0040088F" w:rsidRDefault="0040088F" w:rsidP="00A835E7">
      <w:pPr>
        <w:tabs>
          <w:tab w:val="left" w:pos="5268"/>
        </w:tabs>
        <w:rPr>
          <w:lang w:val="es-CO"/>
        </w:rPr>
      </w:pPr>
    </w:p>
    <w:p w14:paraId="28F47359" w14:textId="77777777" w:rsidR="0040088F" w:rsidRDefault="0040088F" w:rsidP="00A835E7">
      <w:pPr>
        <w:tabs>
          <w:tab w:val="left" w:pos="5268"/>
        </w:tabs>
        <w:rPr>
          <w:lang w:val="es-CO"/>
        </w:rPr>
      </w:pPr>
    </w:p>
    <w:p w14:paraId="42BD597A" w14:textId="77777777" w:rsidR="0040088F" w:rsidRDefault="0040088F" w:rsidP="00A835E7">
      <w:pPr>
        <w:tabs>
          <w:tab w:val="left" w:pos="5268"/>
        </w:tabs>
        <w:rPr>
          <w:lang w:val="es-CO"/>
        </w:rPr>
      </w:pPr>
    </w:p>
    <w:p w14:paraId="592EF6AD" w14:textId="77777777" w:rsidR="00BF04DE" w:rsidRDefault="00BF04DE" w:rsidP="00A835E7">
      <w:pPr>
        <w:tabs>
          <w:tab w:val="left" w:pos="5268"/>
        </w:tabs>
        <w:rPr>
          <w:lang w:val="es-CO"/>
        </w:rPr>
      </w:pPr>
    </w:p>
    <w:p w14:paraId="79A7915C" w14:textId="77777777" w:rsidR="00BF04DE" w:rsidRDefault="00BF04DE" w:rsidP="00A835E7">
      <w:pPr>
        <w:tabs>
          <w:tab w:val="left" w:pos="5268"/>
        </w:tabs>
        <w:rPr>
          <w:lang w:val="es-CO"/>
        </w:rPr>
      </w:pPr>
    </w:p>
    <w:p w14:paraId="54FDC4C5" w14:textId="77777777" w:rsidR="00BF04DE" w:rsidRDefault="00BF04DE" w:rsidP="00A835E7">
      <w:pPr>
        <w:tabs>
          <w:tab w:val="left" w:pos="5268"/>
        </w:tabs>
        <w:rPr>
          <w:lang w:val="es-CO"/>
        </w:rPr>
      </w:pPr>
    </w:p>
    <w:p w14:paraId="136D88AF" w14:textId="77777777" w:rsidR="00BF04DE" w:rsidRDefault="00BF04DE" w:rsidP="00A835E7">
      <w:pPr>
        <w:tabs>
          <w:tab w:val="left" w:pos="5268"/>
        </w:tabs>
        <w:rPr>
          <w:lang w:val="es-CO"/>
        </w:rPr>
      </w:pPr>
    </w:p>
    <w:p w14:paraId="55EE03B6" w14:textId="77777777" w:rsidR="00BF04DE" w:rsidRPr="0040088F" w:rsidRDefault="00BF04DE" w:rsidP="00A835E7">
      <w:pPr>
        <w:tabs>
          <w:tab w:val="left" w:pos="5268"/>
        </w:tabs>
        <w:rPr>
          <w:lang w:val="es-CO"/>
        </w:rPr>
      </w:pPr>
    </w:p>
    <w:p w14:paraId="78691BE1" w14:textId="2E5CFECC" w:rsidR="00D62EAD" w:rsidRPr="0040088F" w:rsidRDefault="0040088F" w:rsidP="00C23CA1">
      <w:pPr>
        <w:tabs>
          <w:tab w:val="left" w:pos="5268"/>
        </w:tabs>
        <w:spacing w:line="480" w:lineRule="auto"/>
        <w:jc w:val="center"/>
        <w:rPr>
          <w:rFonts w:ascii="Times New Roman" w:hAnsi="Times New Roman" w:cs="Times New Roman"/>
          <w:b/>
          <w:bCs/>
          <w:color w:val="000000" w:themeColor="text1"/>
          <w:sz w:val="24"/>
          <w:szCs w:val="24"/>
        </w:rPr>
      </w:pPr>
      <w:r w:rsidRPr="0040088F">
        <w:rPr>
          <w:rFonts w:ascii="Times New Roman" w:hAnsi="Times New Roman" w:cs="Times New Roman"/>
          <w:b/>
          <w:bCs/>
          <w:color w:val="000000" w:themeColor="text1"/>
          <w:sz w:val="24"/>
          <w:szCs w:val="24"/>
        </w:rPr>
        <w:t>Referencias</w:t>
      </w:r>
    </w:p>
    <w:p w14:paraId="7C82B906"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C8349A">
        <w:rPr>
          <w:rFonts w:ascii="Times New Roman" w:hAnsi="Times New Roman" w:cs="Times New Roman"/>
          <w:color w:val="000000" w:themeColor="text1"/>
          <w:sz w:val="24"/>
          <w:szCs w:val="24"/>
          <w:lang w:val="es-CO"/>
        </w:rPr>
        <w:t xml:space="preserve">Ahelegbey, D. F., Giudici, P., &amp; Hadji-Misheva, B. (2019). </w:t>
      </w:r>
      <w:r w:rsidRPr="0095297B">
        <w:rPr>
          <w:rFonts w:ascii="Times New Roman" w:hAnsi="Times New Roman" w:cs="Times New Roman"/>
          <w:color w:val="000000" w:themeColor="text1"/>
          <w:sz w:val="24"/>
          <w:szCs w:val="24"/>
          <w:lang w:val="en-US"/>
        </w:rPr>
        <w:t xml:space="preserve">Factorial network models to improve P2P credit risk management. </w:t>
      </w:r>
      <w:r w:rsidRPr="0095297B">
        <w:rPr>
          <w:rFonts w:ascii="Times New Roman" w:hAnsi="Times New Roman" w:cs="Times New Roman"/>
          <w:i/>
          <w:iCs/>
          <w:color w:val="000000" w:themeColor="text1"/>
          <w:sz w:val="24"/>
          <w:szCs w:val="24"/>
          <w:lang w:val="en-US"/>
        </w:rPr>
        <w:t>Frontiers in Artificial Intelligence, 2,</w:t>
      </w:r>
      <w:r w:rsidRPr="0095297B">
        <w:rPr>
          <w:rFonts w:ascii="Times New Roman" w:hAnsi="Times New Roman" w:cs="Times New Roman"/>
          <w:color w:val="000000" w:themeColor="text1"/>
          <w:sz w:val="24"/>
          <w:szCs w:val="24"/>
          <w:lang w:val="en-US"/>
        </w:rPr>
        <w:t xml:space="preserve"> Article 8. </w:t>
      </w:r>
      <w:hyperlink r:id="rId15" w:tgtFrame="_new" w:history="1">
        <w:r w:rsidRPr="0095297B">
          <w:rPr>
            <w:rStyle w:val="Hipervnculo"/>
            <w:rFonts w:ascii="Times New Roman" w:hAnsi="Times New Roman" w:cs="Times New Roman"/>
            <w:sz w:val="24"/>
            <w:szCs w:val="24"/>
            <w:lang w:val="en-US"/>
          </w:rPr>
          <w:t>https://doi.org/10.3389/frai.2019.00008</w:t>
        </w:r>
      </w:hyperlink>
    </w:p>
    <w:p w14:paraId="3E010461" w14:textId="77777777" w:rsidR="00C23CA1" w:rsidRPr="00AF5C4D" w:rsidRDefault="00C23CA1" w:rsidP="00C23CA1">
      <w:pPr>
        <w:tabs>
          <w:tab w:val="left" w:pos="5268"/>
        </w:tabs>
        <w:spacing w:line="480" w:lineRule="auto"/>
        <w:rPr>
          <w:lang w:val="en-US"/>
        </w:rPr>
      </w:pPr>
      <w:r w:rsidRPr="0095297B">
        <w:rPr>
          <w:rFonts w:ascii="Times New Roman" w:hAnsi="Times New Roman" w:cs="Times New Roman"/>
          <w:color w:val="000000" w:themeColor="text1"/>
          <w:sz w:val="24"/>
          <w:szCs w:val="24"/>
          <w:lang w:val="en-US"/>
        </w:rPr>
        <w:t xml:space="preserve">Ding, J., Huang, J., Li, Y., &amp; Meng, M. (2019). Is there an effective reputation mechanism in peer-to-peer lending? Evidence from China. </w:t>
      </w:r>
      <w:r w:rsidRPr="0095297B">
        <w:rPr>
          <w:rFonts w:ascii="Times New Roman" w:hAnsi="Times New Roman" w:cs="Times New Roman"/>
          <w:i/>
          <w:iCs/>
          <w:color w:val="000000" w:themeColor="text1"/>
          <w:sz w:val="24"/>
          <w:szCs w:val="24"/>
          <w:lang w:val="en-US"/>
        </w:rPr>
        <w:t>Finance Research Letters, 30,</w:t>
      </w:r>
      <w:r w:rsidRPr="0095297B">
        <w:rPr>
          <w:rFonts w:ascii="Times New Roman" w:hAnsi="Times New Roman" w:cs="Times New Roman"/>
          <w:color w:val="000000" w:themeColor="text1"/>
          <w:sz w:val="24"/>
          <w:szCs w:val="24"/>
          <w:lang w:val="en-US"/>
        </w:rPr>
        <w:t xml:space="preserve"> 208–215. </w:t>
      </w:r>
      <w:hyperlink r:id="rId16" w:tgtFrame="_new" w:history="1">
        <w:r w:rsidRPr="0095297B">
          <w:rPr>
            <w:rStyle w:val="Hipervnculo"/>
            <w:rFonts w:ascii="Times New Roman" w:hAnsi="Times New Roman" w:cs="Times New Roman"/>
            <w:sz w:val="24"/>
            <w:szCs w:val="24"/>
            <w:lang w:val="en-US"/>
          </w:rPr>
          <w:t>https://doi.org/10.1016/j.frl.2018.09.015</w:t>
        </w:r>
      </w:hyperlink>
    </w:p>
    <w:p w14:paraId="00DCDCDF" w14:textId="77777777" w:rsidR="00D60006" w:rsidRPr="00AF5C4D" w:rsidRDefault="00D60006" w:rsidP="00C23CA1">
      <w:pPr>
        <w:tabs>
          <w:tab w:val="left" w:pos="5268"/>
        </w:tabs>
        <w:spacing w:line="480" w:lineRule="auto"/>
        <w:rPr>
          <w:lang w:val="en-US"/>
        </w:rPr>
      </w:pPr>
    </w:p>
    <w:p w14:paraId="3ED3A939" w14:textId="6D6BBC10" w:rsidR="00D60006" w:rsidRPr="00AF5C4D" w:rsidRDefault="00D60006" w:rsidP="00C23CA1">
      <w:pPr>
        <w:tabs>
          <w:tab w:val="left" w:pos="5268"/>
        </w:tabs>
        <w:spacing w:line="480" w:lineRule="auto"/>
        <w:rPr>
          <w:rFonts w:ascii="Times New Roman" w:hAnsi="Times New Roman" w:cs="Times New Roman"/>
          <w:color w:val="000000" w:themeColor="text1"/>
          <w:sz w:val="24"/>
          <w:szCs w:val="24"/>
          <w:lang w:val="en-US"/>
        </w:rPr>
      </w:pPr>
      <w:r w:rsidRPr="00D60006">
        <w:rPr>
          <w:rFonts w:ascii="Times New Roman" w:hAnsi="Times New Roman" w:cs="Times New Roman"/>
          <w:color w:val="000000" w:themeColor="text1"/>
          <w:sz w:val="24"/>
          <w:szCs w:val="24"/>
          <w:lang w:val="en-US"/>
        </w:rPr>
        <w:lastRenderedPageBreak/>
        <w:t xml:space="preserve">Gallo, S. (2021). </w:t>
      </w:r>
      <w:r w:rsidRPr="00A42BC5">
        <w:rPr>
          <w:rFonts w:ascii="Times New Roman" w:hAnsi="Times New Roman" w:cs="Times New Roman"/>
          <w:color w:val="000000" w:themeColor="text1"/>
          <w:sz w:val="24"/>
          <w:szCs w:val="24"/>
          <w:lang w:val="en-US"/>
        </w:rPr>
        <w:t xml:space="preserve">Fintech platforms: Lax or careful borrowers’ screening? Financial Innovation, </w:t>
      </w:r>
      <w:r w:rsidRPr="00D60006">
        <w:rPr>
          <w:rFonts w:ascii="Times New Roman" w:hAnsi="Times New Roman" w:cs="Times New Roman"/>
          <w:i/>
          <w:iCs/>
          <w:color w:val="000000" w:themeColor="text1"/>
          <w:sz w:val="24"/>
          <w:szCs w:val="24"/>
          <w:lang w:val="en-US"/>
        </w:rPr>
        <w:t>7</w:t>
      </w:r>
      <w:r w:rsidRPr="00D60006">
        <w:rPr>
          <w:rFonts w:ascii="Times New Roman" w:hAnsi="Times New Roman" w:cs="Times New Roman"/>
          <w:color w:val="000000" w:themeColor="text1"/>
          <w:sz w:val="24"/>
          <w:szCs w:val="24"/>
          <w:lang w:val="en-US"/>
        </w:rPr>
        <w:t xml:space="preserve">(1), 58. </w:t>
      </w:r>
      <w:hyperlink r:id="rId17" w:history="1">
        <w:r w:rsidR="00DD12C2" w:rsidRPr="00C9698F">
          <w:rPr>
            <w:rStyle w:val="Hipervnculo"/>
            <w:rFonts w:ascii="Times New Roman" w:hAnsi="Times New Roman" w:cs="Times New Roman"/>
            <w:sz w:val="24"/>
            <w:szCs w:val="24"/>
            <w:lang w:val="en-US"/>
          </w:rPr>
          <w:t>https://www-scopus-com.basesbiblioteca.uexternado.edu.co/pages/publications/85110758071?origin=resultslist-y</w:t>
        </w:r>
      </w:hyperlink>
      <w:commentRangeStart w:id="6"/>
      <w:commentRangeEnd w:id="6"/>
      <w:r w:rsidRPr="00AF5C4D">
        <w:rPr>
          <w:rStyle w:val="Refdecomentario"/>
          <w:rFonts w:ascii="Times New Roman" w:hAnsi="Times New Roman" w:cs="Times New Roman"/>
          <w:color w:val="000000" w:themeColor="text1"/>
          <w:sz w:val="24"/>
          <w:szCs w:val="24"/>
          <w:lang w:val="en-US"/>
        </w:rPr>
        <w:commentReference w:id="6"/>
      </w:r>
    </w:p>
    <w:p w14:paraId="4811D7FA"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commentRangeStart w:id="7"/>
      <w:r w:rsidRPr="00AF5C4D">
        <w:rPr>
          <w:rFonts w:ascii="Times New Roman" w:hAnsi="Times New Roman" w:cs="Times New Roman"/>
          <w:color w:val="000000" w:themeColor="text1"/>
          <w:sz w:val="24"/>
          <w:szCs w:val="24"/>
          <w:lang w:val="en-US"/>
        </w:rPr>
        <w:t xml:space="preserve">Gallo, S. (2021). </w:t>
      </w:r>
      <w:r w:rsidRPr="0095297B">
        <w:rPr>
          <w:rFonts w:ascii="Times New Roman" w:hAnsi="Times New Roman" w:cs="Times New Roman"/>
          <w:color w:val="000000" w:themeColor="text1"/>
          <w:sz w:val="24"/>
          <w:szCs w:val="24"/>
          <w:lang w:val="en-US"/>
        </w:rPr>
        <w:t xml:space="preserve">Misconduct in the P2P lending market: Platforms' incentives and lenders' collection performance. </w:t>
      </w:r>
      <w:r w:rsidRPr="0095297B">
        <w:rPr>
          <w:rFonts w:ascii="Times New Roman" w:hAnsi="Times New Roman" w:cs="Times New Roman"/>
          <w:i/>
          <w:iCs/>
          <w:color w:val="000000" w:themeColor="text1"/>
          <w:sz w:val="24"/>
          <w:szCs w:val="24"/>
          <w:lang w:val="en-US"/>
        </w:rPr>
        <w:t>Financial Innovation, 7,</w:t>
      </w:r>
      <w:r w:rsidRPr="0095297B">
        <w:rPr>
          <w:rFonts w:ascii="Times New Roman" w:hAnsi="Times New Roman" w:cs="Times New Roman"/>
          <w:color w:val="000000" w:themeColor="text1"/>
          <w:sz w:val="24"/>
          <w:szCs w:val="24"/>
          <w:lang w:val="en-US"/>
        </w:rPr>
        <w:t xml:space="preserve"> Article 58. </w:t>
      </w:r>
      <w:hyperlink r:id="rId18" w:tgtFrame="_new" w:history="1">
        <w:r w:rsidRPr="0095297B">
          <w:rPr>
            <w:rStyle w:val="Hipervnculo"/>
            <w:rFonts w:ascii="Times New Roman" w:hAnsi="Times New Roman" w:cs="Times New Roman"/>
            <w:sz w:val="24"/>
            <w:szCs w:val="24"/>
            <w:lang w:val="en-US"/>
          </w:rPr>
          <w:t>https://doi.org/10.1186/s40854-021-00272-y</w:t>
        </w:r>
      </w:hyperlink>
      <w:commentRangeEnd w:id="7"/>
      <w:r w:rsidR="00EF0172" w:rsidRPr="0095297B">
        <w:rPr>
          <w:rStyle w:val="Refdecomentario"/>
          <w:rFonts w:ascii="Times New Roman" w:hAnsi="Times New Roman" w:cs="Times New Roman"/>
          <w:color w:val="000000" w:themeColor="text1"/>
          <w:sz w:val="24"/>
          <w:szCs w:val="24"/>
          <w:lang w:val="en-US"/>
        </w:rPr>
        <w:commentReference w:id="7"/>
      </w:r>
    </w:p>
    <w:p w14:paraId="6F976A62"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Jagtiani, J., &amp; Lemieux, C. (2018). Do fintech lenders penetrate areas that are underserved by traditional banks? </w:t>
      </w:r>
      <w:r w:rsidRPr="0095297B">
        <w:rPr>
          <w:rFonts w:ascii="Times New Roman" w:hAnsi="Times New Roman" w:cs="Times New Roman"/>
          <w:i/>
          <w:iCs/>
          <w:color w:val="000000" w:themeColor="text1"/>
          <w:sz w:val="24"/>
          <w:szCs w:val="24"/>
          <w:lang w:val="en-US"/>
        </w:rPr>
        <w:t>Journal of Economics and Business, 100,</w:t>
      </w:r>
      <w:r w:rsidRPr="0095297B">
        <w:rPr>
          <w:rFonts w:ascii="Times New Roman" w:hAnsi="Times New Roman" w:cs="Times New Roman"/>
          <w:color w:val="000000" w:themeColor="text1"/>
          <w:sz w:val="24"/>
          <w:szCs w:val="24"/>
          <w:lang w:val="en-US"/>
        </w:rPr>
        <w:t xml:space="preserve"> 43–54. </w:t>
      </w:r>
      <w:hyperlink r:id="rId19" w:tgtFrame="_new" w:history="1">
        <w:r w:rsidRPr="0095297B">
          <w:rPr>
            <w:rStyle w:val="Hipervnculo"/>
            <w:rFonts w:ascii="Times New Roman" w:hAnsi="Times New Roman" w:cs="Times New Roman"/>
            <w:sz w:val="24"/>
            <w:szCs w:val="24"/>
            <w:lang w:val="en-US"/>
          </w:rPr>
          <w:t>https://doi.org/10.1016/j.jeconbus.2018.03.001</w:t>
        </w:r>
      </w:hyperlink>
    </w:p>
    <w:p w14:paraId="1ED92644"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Kusumawati, R., Hanafi, M. M., Surwanti, A., &amp; Rahmawati, A. (2024). Peer-to-peer lending: An analytical review of research trends and future prospects. </w:t>
      </w:r>
      <w:r w:rsidRPr="0095297B">
        <w:rPr>
          <w:rFonts w:ascii="Times New Roman" w:hAnsi="Times New Roman" w:cs="Times New Roman"/>
          <w:i/>
          <w:iCs/>
          <w:color w:val="000000" w:themeColor="text1"/>
          <w:sz w:val="24"/>
          <w:szCs w:val="24"/>
          <w:lang w:val="en-US"/>
        </w:rPr>
        <w:t>Edelweiss Applied Science and Technology, 8(6),</w:t>
      </w:r>
      <w:r w:rsidRPr="0095297B">
        <w:rPr>
          <w:rFonts w:ascii="Times New Roman" w:hAnsi="Times New Roman" w:cs="Times New Roman"/>
          <w:color w:val="000000" w:themeColor="text1"/>
          <w:sz w:val="24"/>
          <w:szCs w:val="24"/>
          <w:lang w:val="en-US"/>
        </w:rPr>
        <w:t xml:space="preserve"> 5336–5348. </w:t>
      </w:r>
      <w:hyperlink r:id="rId20" w:tgtFrame="_new" w:history="1">
        <w:r w:rsidRPr="0095297B">
          <w:rPr>
            <w:rStyle w:val="Hipervnculo"/>
            <w:rFonts w:ascii="Times New Roman" w:hAnsi="Times New Roman" w:cs="Times New Roman"/>
            <w:sz w:val="24"/>
            <w:szCs w:val="24"/>
            <w:lang w:val="en-US"/>
          </w:rPr>
          <w:t>https://doi.org/10.55214/25768484.v8i6.3190</w:t>
        </w:r>
      </w:hyperlink>
    </w:p>
    <w:p w14:paraId="0B9DD181"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Lyócsa, Š., Vašaničová, P., Hadji-Misheva, B., &amp; Vateha, M. D. (2022). Default or profit scoring credit systems? Evidence from European and US peer-to-peer lending markets. </w:t>
      </w:r>
      <w:r w:rsidRPr="0095297B">
        <w:rPr>
          <w:rFonts w:ascii="Times New Roman" w:hAnsi="Times New Roman" w:cs="Times New Roman"/>
          <w:i/>
          <w:iCs/>
          <w:color w:val="000000" w:themeColor="text1"/>
          <w:sz w:val="24"/>
          <w:szCs w:val="24"/>
          <w:lang w:val="en-US"/>
        </w:rPr>
        <w:t>Financial Innovation, 8,</w:t>
      </w:r>
      <w:r w:rsidRPr="0095297B">
        <w:rPr>
          <w:rFonts w:ascii="Times New Roman" w:hAnsi="Times New Roman" w:cs="Times New Roman"/>
          <w:color w:val="000000" w:themeColor="text1"/>
          <w:sz w:val="24"/>
          <w:szCs w:val="24"/>
          <w:lang w:val="en-US"/>
        </w:rPr>
        <w:t xml:space="preserve"> Article 32. </w:t>
      </w:r>
      <w:hyperlink r:id="rId21" w:tgtFrame="_new" w:history="1">
        <w:r w:rsidRPr="0095297B">
          <w:rPr>
            <w:rStyle w:val="Hipervnculo"/>
            <w:rFonts w:ascii="Times New Roman" w:hAnsi="Times New Roman" w:cs="Times New Roman"/>
            <w:sz w:val="24"/>
            <w:szCs w:val="24"/>
            <w:lang w:val="en-US"/>
          </w:rPr>
          <w:t>https://doi.org/10.1186/s40854-022-00338-5</w:t>
        </w:r>
      </w:hyperlink>
    </w:p>
    <w:p w14:paraId="407AEA53"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Monje, L., Carrasco, R. A., &amp; Sánchez-Montañés, M. (2025). Machine learning XAI for early loan default prediction. </w:t>
      </w:r>
      <w:r w:rsidRPr="0095297B">
        <w:rPr>
          <w:rFonts w:ascii="Times New Roman" w:hAnsi="Times New Roman" w:cs="Times New Roman"/>
          <w:i/>
          <w:iCs/>
          <w:color w:val="000000" w:themeColor="text1"/>
          <w:sz w:val="24"/>
          <w:szCs w:val="24"/>
          <w:lang w:val="en-US"/>
        </w:rPr>
        <w:t>Computational Economics.</w:t>
      </w:r>
      <w:r w:rsidRPr="0095297B">
        <w:rPr>
          <w:rFonts w:ascii="Times New Roman" w:hAnsi="Times New Roman" w:cs="Times New Roman"/>
          <w:color w:val="000000" w:themeColor="text1"/>
          <w:sz w:val="24"/>
          <w:szCs w:val="24"/>
          <w:lang w:val="en-US"/>
        </w:rPr>
        <w:t xml:space="preserve"> Advance online publication. </w:t>
      </w:r>
      <w:hyperlink r:id="rId22" w:tgtFrame="_new" w:history="1">
        <w:r w:rsidRPr="0095297B">
          <w:rPr>
            <w:rStyle w:val="Hipervnculo"/>
            <w:rFonts w:ascii="Times New Roman" w:hAnsi="Times New Roman" w:cs="Times New Roman"/>
            <w:sz w:val="24"/>
            <w:szCs w:val="24"/>
            <w:lang w:val="en-US"/>
          </w:rPr>
          <w:t>https://doi.org/10.1007/s10614-025-10962-9</w:t>
        </w:r>
      </w:hyperlink>
    </w:p>
    <w:p w14:paraId="467C4F4A" w14:textId="77777777" w:rsidR="00C23CA1" w:rsidRPr="00E741D4" w:rsidRDefault="00C23CA1" w:rsidP="00C23CA1">
      <w:pPr>
        <w:tabs>
          <w:tab w:val="left" w:pos="5268"/>
        </w:tabs>
        <w:spacing w:line="480" w:lineRule="auto"/>
        <w:rPr>
          <w:rFonts w:ascii="Times New Roman" w:hAnsi="Times New Roman" w:cs="Times New Roman"/>
          <w:color w:val="000000" w:themeColor="text1"/>
          <w:sz w:val="24"/>
          <w:szCs w:val="24"/>
          <w:lang w:val="es-CO"/>
        </w:rPr>
      </w:pPr>
      <w:r w:rsidRPr="00E741D4">
        <w:rPr>
          <w:rFonts w:ascii="Times New Roman" w:hAnsi="Times New Roman" w:cs="Times New Roman"/>
          <w:color w:val="000000" w:themeColor="text1"/>
          <w:sz w:val="24"/>
          <w:szCs w:val="24"/>
          <w:lang w:val="en-US"/>
        </w:rPr>
        <w:t xml:space="preserve">Serrano-Cinca, C., Gutiérrez-Nieto, B., &amp; López-Palacios, L. (2015). </w:t>
      </w:r>
      <w:r w:rsidRPr="0095297B">
        <w:rPr>
          <w:rFonts w:ascii="Times New Roman" w:hAnsi="Times New Roman" w:cs="Times New Roman"/>
          <w:color w:val="000000" w:themeColor="text1"/>
          <w:sz w:val="24"/>
          <w:szCs w:val="24"/>
          <w:lang w:val="en-US"/>
        </w:rPr>
        <w:t xml:space="preserve">Determinants of default in P2P lending. </w:t>
      </w:r>
      <w:r w:rsidRPr="00E741D4">
        <w:rPr>
          <w:rFonts w:ascii="Times New Roman" w:hAnsi="Times New Roman" w:cs="Times New Roman"/>
          <w:i/>
          <w:iCs/>
          <w:color w:val="000000" w:themeColor="text1"/>
          <w:sz w:val="24"/>
          <w:szCs w:val="24"/>
          <w:lang w:val="es-CO"/>
        </w:rPr>
        <w:t>PLoS ONE, 10(10),</w:t>
      </w:r>
      <w:r w:rsidRPr="00E741D4">
        <w:rPr>
          <w:rFonts w:ascii="Times New Roman" w:hAnsi="Times New Roman" w:cs="Times New Roman"/>
          <w:color w:val="000000" w:themeColor="text1"/>
          <w:sz w:val="24"/>
          <w:szCs w:val="24"/>
          <w:lang w:val="es-CO"/>
        </w:rPr>
        <w:t xml:space="preserve"> e0139427. </w:t>
      </w:r>
      <w:hyperlink r:id="rId23" w:tgtFrame="_new" w:history="1">
        <w:r w:rsidRPr="00E741D4">
          <w:rPr>
            <w:rStyle w:val="Hipervnculo"/>
            <w:rFonts w:ascii="Times New Roman" w:hAnsi="Times New Roman" w:cs="Times New Roman"/>
            <w:sz w:val="24"/>
            <w:szCs w:val="24"/>
            <w:lang w:val="es-CO"/>
          </w:rPr>
          <w:t>https://doi.org/10.1371/journal.pone.0139427</w:t>
        </w:r>
      </w:hyperlink>
    </w:p>
    <w:p w14:paraId="29FA9B42"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s-CO"/>
        </w:rPr>
      </w:pPr>
      <w:r w:rsidRPr="0095297B">
        <w:rPr>
          <w:rFonts w:ascii="Times New Roman" w:hAnsi="Times New Roman" w:cs="Times New Roman"/>
          <w:color w:val="000000" w:themeColor="text1"/>
          <w:sz w:val="24"/>
          <w:szCs w:val="24"/>
          <w:lang w:val="es-CO"/>
        </w:rPr>
        <w:t xml:space="preserve">Sotiropoulos, D. N., Koronakos, G., &amp; Solanakis, S. V. (2024). </w:t>
      </w:r>
      <w:r w:rsidRPr="0095297B">
        <w:rPr>
          <w:rFonts w:ascii="Times New Roman" w:hAnsi="Times New Roman" w:cs="Times New Roman"/>
          <w:color w:val="000000" w:themeColor="text1"/>
          <w:sz w:val="24"/>
          <w:szCs w:val="24"/>
          <w:lang w:val="en-US"/>
        </w:rPr>
        <w:t xml:space="preserve">Evolving transparent credit risk models: A symbolic regression approach using genetic programming. </w:t>
      </w:r>
      <w:r w:rsidRPr="0095297B">
        <w:rPr>
          <w:rFonts w:ascii="Times New Roman" w:hAnsi="Times New Roman" w:cs="Times New Roman"/>
          <w:i/>
          <w:iCs/>
          <w:color w:val="000000" w:themeColor="text1"/>
          <w:sz w:val="24"/>
          <w:szCs w:val="24"/>
          <w:lang w:val="es-CO"/>
        </w:rPr>
        <w:t>Electronics, 13(21),</w:t>
      </w:r>
      <w:r w:rsidRPr="0095297B">
        <w:rPr>
          <w:rFonts w:ascii="Times New Roman" w:hAnsi="Times New Roman" w:cs="Times New Roman"/>
          <w:color w:val="000000" w:themeColor="text1"/>
          <w:sz w:val="24"/>
          <w:szCs w:val="24"/>
          <w:lang w:val="es-CO"/>
        </w:rPr>
        <w:t xml:space="preserve"> 4324. </w:t>
      </w:r>
      <w:hyperlink r:id="rId24" w:tgtFrame="_new" w:history="1">
        <w:r w:rsidRPr="0095297B">
          <w:rPr>
            <w:rStyle w:val="Hipervnculo"/>
            <w:rFonts w:ascii="Times New Roman" w:hAnsi="Times New Roman" w:cs="Times New Roman"/>
            <w:sz w:val="24"/>
            <w:szCs w:val="24"/>
            <w:lang w:val="es-CO"/>
          </w:rPr>
          <w:t>https://doi.org/10.3390/electronics13214324</w:t>
        </w:r>
      </w:hyperlink>
    </w:p>
    <w:p w14:paraId="60A5D424" w14:textId="1B2ADD11" w:rsidR="00C23CA1" w:rsidRPr="00C8349A" w:rsidRDefault="00C23CA1" w:rsidP="0095297B">
      <w:pPr>
        <w:tabs>
          <w:tab w:val="left" w:pos="5268"/>
        </w:tabs>
        <w:spacing w:line="480" w:lineRule="auto"/>
        <w:rPr>
          <w:lang w:val="en-US"/>
        </w:rPr>
      </w:pPr>
      <w:r w:rsidRPr="0095297B">
        <w:rPr>
          <w:rFonts w:ascii="Times New Roman" w:hAnsi="Times New Roman" w:cs="Times New Roman"/>
          <w:color w:val="000000" w:themeColor="text1"/>
          <w:sz w:val="24"/>
          <w:szCs w:val="24"/>
          <w:lang w:val="es-CO"/>
        </w:rPr>
        <w:lastRenderedPageBreak/>
        <w:t xml:space="preserve">Wang, Y., Ni, X. S., Ni, H., &amp; Biswas, S. (2025). </w:t>
      </w:r>
      <w:r w:rsidRPr="0095297B">
        <w:rPr>
          <w:rFonts w:ascii="Times New Roman" w:hAnsi="Times New Roman" w:cs="Times New Roman"/>
          <w:color w:val="000000" w:themeColor="text1"/>
          <w:sz w:val="24"/>
          <w:szCs w:val="24"/>
          <w:lang w:val="en-US"/>
        </w:rPr>
        <w:t xml:space="preserve">A bivariate model for correlated and mixed outcomes: A case study on the simultaneous prediction of credit risk and profitability of peer-to-peer (P2P) loans. </w:t>
      </w:r>
      <w:r w:rsidRPr="00C8349A">
        <w:rPr>
          <w:rFonts w:ascii="Times New Roman" w:hAnsi="Times New Roman" w:cs="Times New Roman"/>
          <w:i/>
          <w:iCs/>
          <w:color w:val="000000" w:themeColor="text1"/>
          <w:sz w:val="24"/>
          <w:szCs w:val="24"/>
          <w:lang w:val="en-US"/>
        </w:rPr>
        <w:t>Risks, 13(2),</w:t>
      </w:r>
      <w:r w:rsidRPr="00C8349A">
        <w:rPr>
          <w:rFonts w:ascii="Times New Roman" w:hAnsi="Times New Roman" w:cs="Times New Roman"/>
          <w:color w:val="000000" w:themeColor="text1"/>
          <w:sz w:val="24"/>
          <w:szCs w:val="24"/>
          <w:lang w:val="en-US"/>
        </w:rPr>
        <w:t xml:space="preserve"> 33. </w:t>
      </w:r>
      <w:hyperlink r:id="rId25" w:tgtFrame="_new" w:history="1">
        <w:r w:rsidRPr="00C8349A">
          <w:rPr>
            <w:rStyle w:val="Hipervnculo"/>
            <w:rFonts w:ascii="Times New Roman" w:hAnsi="Times New Roman" w:cs="Times New Roman"/>
            <w:sz w:val="24"/>
            <w:szCs w:val="24"/>
            <w:lang w:val="en-US"/>
          </w:rPr>
          <w:t>https://doi.org/10.3390/risks13020033</w:t>
        </w:r>
      </w:hyperlink>
    </w:p>
    <w:p w14:paraId="6B50EB88" w14:textId="11AD58B2" w:rsidR="00590F84" w:rsidRDefault="00590F84" w:rsidP="0095297B">
      <w:pPr>
        <w:tabs>
          <w:tab w:val="left" w:pos="5268"/>
        </w:tabs>
        <w:spacing w:line="480" w:lineRule="auto"/>
        <w:rPr>
          <w:rFonts w:ascii="Times New Roman" w:hAnsi="Times New Roman" w:cs="Times New Roman"/>
          <w:color w:val="0000FF" w:themeColor="hyperlink"/>
          <w:sz w:val="24"/>
          <w:szCs w:val="24"/>
          <w:u w:val="single"/>
          <w:lang w:val="en-US"/>
        </w:rPr>
      </w:pPr>
      <w:r w:rsidRPr="00C8349A">
        <w:rPr>
          <w:rFonts w:ascii="Times New Roman" w:hAnsi="Times New Roman" w:cs="Times New Roman"/>
          <w:sz w:val="24"/>
          <w:szCs w:val="24"/>
          <w:lang w:val="en-US"/>
        </w:rPr>
        <w:t>Xia, Y., Liu, C., &amp; Liu, N. (2017a).</w:t>
      </w:r>
      <w:r w:rsidRPr="00C8349A">
        <w:rPr>
          <w:rFonts w:ascii="Times New Roman" w:hAnsi="Times New Roman" w:cs="Times New Roman"/>
          <w:sz w:val="24"/>
          <w:szCs w:val="24"/>
          <w:u w:val="single"/>
          <w:lang w:val="en-US"/>
        </w:rPr>
        <w:t xml:space="preserve"> </w:t>
      </w:r>
      <w:r w:rsidRPr="00590F84">
        <w:rPr>
          <w:rFonts w:ascii="Times New Roman" w:hAnsi="Times New Roman" w:cs="Times New Roman"/>
          <w:i/>
          <w:iCs/>
          <w:sz w:val="24"/>
          <w:szCs w:val="24"/>
          <w:lang w:val="en-US"/>
        </w:rPr>
        <w:t>Cost-sensitive boosted tree for loan evaluation in peer-to-peer lending</w:t>
      </w:r>
      <w:r w:rsidRPr="00590F84">
        <w:rPr>
          <w:rFonts w:ascii="Times New Roman" w:hAnsi="Times New Roman" w:cs="Times New Roman"/>
          <w:sz w:val="24"/>
          <w:szCs w:val="24"/>
          <w:lang w:val="en-US"/>
        </w:rPr>
        <w:t xml:space="preserve">. </w:t>
      </w:r>
      <w:r w:rsidRPr="00590F84">
        <w:rPr>
          <w:rFonts w:ascii="Times New Roman" w:hAnsi="Times New Roman" w:cs="Times New Roman"/>
          <w:i/>
          <w:iCs/>
          <w:sz w:val="24"/>
          <w:szCs w:val="24"/>
          <w:lang w:val="en-US"/>
        </w:rPr>
        <w:t>Electronic Commerce Research and Applications, 24</w:t>
      </w:r>
      <w:r w:rsidRPr="00590F84">
        <w:rPr>
          <w:rFonts w:ascii="Times New Roman" w:hAnsi="Times New Roman" w:cs="Times New Roman"/>
          <w:sz w:val="24"/>
          <w:szCs w:val="24"/>
          <w:lang w:val="en-US"/>
        </w:rPr>
        <w:t>, 30-49.</w:t>
      </w:r>
      <w:r w:rsidRPr="00590F84">
        <w:rPr>
          <w:rFonts w:ascii="Times New Roman" w:hAnsi="Times New Roman" w:cs="Times New Roman"/>
          <w:sz w:val="24"/>
          <w:szCs w:val="24"/>
          <w:u w:val="single"/>
          <w:lang w:val="en-US"/>
        </w:rPr>
        <w:t xml:space="preserve"> </w:t>
      </w:r>
      <w:hyperlink r:id="rId26" w:history="1">
        <w:r w:rsidR="005724B1" w:rsidRPr="003067EC">
          <w:rPr>
            <w:rStyle w:val="Hipervnculo"/>
            <w:rFonts w:ascii="Times New Roman" w:hAnsi="Times New Roman" w:cs="Times New Roman"/>
            <w:sz w:val="24"/>
            <w:szCs w:val="24"/>
            <w:lang w:val="en-US"/>
          </w:rPr>
          <w:t>https://doi.org/10.1016/j.elerap.2017.06.004</w:t>
        </w:r>
      </w:hyperlink>
    </w:p>
    <w:p w14:paraId="2AE81011" w14:textId="34D3AC69" w:rsidR="005724B1" w:rsidRPr="00590F84" w:rsidRDefault="005724B1" w:rsidP="0095297B">
      <w:pPr>
        <w:tabs>
          <w:tab w:val="left" w:pos="5268"/>
        </w:tabs>
        <w:spacing w:line="480" w:lineRule="auto"/>
        <w:rPr>
          <w:rFonts w:ascii="Times New Roman" w:hAnsi="Times New Roman" w:cs="Times New Roman"/>
          <w:color w:val="0000FF" w:themeColor="hyperlink"/>
          <w:sz w:val="24"/>
          <w:szCs w:val="24"/>
          <w:u w:val="single"/>
          <w:lang w:val="en-US"/>
        </w:rPr>
      </w:pPr>
      <w:r w:rsidRPr="005724B1">
        <w:rPr>
          <w:rFonts w:ascii="Times New Roman" w:hAnsi="Times New Roman" w:cs="Times New Roman"/>
          <w:sz w:val="24"/>
          <w:szCs w:val="24"/>
          <w:lang w:val="en-US"/>
        </w:rPr>
        <w:t>Berhane, T., Melese, T., &amp; Seid, A. M. (2024). Performance Evaluation of Hybrid Machine Learning Algorithms for Online Lending Credit Risk Prediction. </w:t>
      </w:r>
      <w:r w:rsidRPr="005724B1">
        <w:rPr>
          <w:rFonts w:ascii="Times New Roman" w:hAnsi="Times New Roman" w:cs="Times New Roman"/>
          <w:i/>
          <w:iCs/>
          <w:sz w:val="24"/>
          <w:szCs w:val="24"/>
        </w:rPr>
        <w:t>Applied Artificial Intelligence</w:t>
      </w:r>
      <w:r w:rsidRPr="005724B1">
        <w:rPr>
          <w:rFonts w:ascii="Times New Roman" w:hAnsi="Times New Roman" w:cs="Times New Roman"/>
          <w:sz w:val="24"/>
          <w:szCs w:val="24"/>
        </w:rPr>
        <w:t>, </w:t>
      </w:r>
      <w:r w:rsidRPr="005724B1">
        <w:rPr>
          <w:rFonts w:ascii="Times New Roman" w:hAnsi="Times New Roman" w:cs="Times New Roman"/>
          <w:i/>
          <w:iCs/>
          <w:sz w:val="24"/>
          <w:szCs w:val="24"/>
        </w:rPr>
        <w:t>38</w:t>
      </w:r>
      <w:r w:rsidRPr="005724B1">
        <w:rPr>
          <w:rFonts w:ascii="Times New Roman" w:hAnsi="Times New Roman" w:cs="Times New Roman"/>
          <w:sz w:val="24"/>
          <w:szCs w:val="24"/>
        </w:rPr>
        <w:t>(1).</w:t>
      </w:r>
      <w:r w:rsidRPr="005724B1">
        <w:rPr>
          <w:rFonts w:ascii="Times New Roman" w:hAnsi="Times New Roman" w:cs="Times New Roman"/>
          <w:sz w:val="24"/>
          <w:szCs w:val="24"/>
          <w:u w:val="single"/>
        </w:rPr>
        <w:t xml:space="preserve"> </w:t>
      </w:r>
      <w:r w:rsidRPr="005724B1">
        <w:rPr>
          <w:rFonts w:ascii="Times New Roman" w:hAnsi="Times New Roman" w:cs="Times New Roman"/>
          <w:color w:val="0000FF" w:themeColor="hyperlink"/>
          <w:sz w:val="24"/>
          <w:szCs w:val="24"/>
          <w:u w:val="single"/>
        </w:rPr>
        <w:t>https://doi.org/10.1080/08839514.2024.2358661</w:t>
      </w:r>
    </w:p>
    <w:sectPr w:rsidR="005724B1" w:rsidRPr="00590F84">
      <w:headerReference w:type="even" r:id="rId27"/>
      <w:headerReference w:type="default" r:id="rId28"/>
      <w:footerReference w:type="even" r:id="rId29"/>
      <w:footerReference w:type="default" r:id="rId30"/>
      <w:headerReference w:type="first" r:id="rId31"/>
      <w:footerReference w:type="first" r:id="rId3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hislaine Murzi" w:date="2025-10-19T16:27:00Z" w:initials="GM">
    <w:p w14:paraId="04D510F7" w14:textId="77777777" w:rsidR="00456FBD" w:rsidRDefault="00456FBD" w:rsidP="00456FBD">
      <w:r>
        <w:rPr>
          <w:rStyle w:val="Refdecomentario"/>
        </w:rPr>
        <w:annotationRef/>
      </w:r>
      <w:r>
        <w:rPr>
          <w:sz w:val="20"/>
          <w:szCs w:val="20"/>
        </w:rPr>
        <w:t>El trabajo está bien estructurado y con fuentes verificables. Sin embargo, el estilo, la complejidad del lenguaje  indican redacción asistida por IA en un porcentaje muy alto. Se requiere mayor apropiación conceptual, formular el planteamiento del problema y reformulación de los objetivos con enfoque operativo.</w:t>
      </w:r>
    </w:p>
    <w:p w14:paraId="7CF880FC" w14:textId="77777777" w:rsidR="00456FBD" w:rsidRDefault="00456FBD" w:rsidP="00456FBD"/>
    <w:p w14:paraId="67ACBD19" w14:textId="77777777" w:rsidR="00456FBD" w:rsidRDefault="00456FBD" w:rsidP="00456FBD">
      <w:r>
        <w:rPr>
          <w:sz w:val="20"/>
          <w:szCs w:val="20"/>
        </w:rPr>
        <w:t>Nota: 3,9</w:t>
      </w:r>
    </w:p>
  </w:comment>
  <w:comment w:id="3" w:author="Ghislaine Murzi" w:date="2025-10-19T16:04:00Z" w:initials="GM">
    <w:p w14:paraId="3155A5D4" w14:textId="197F81A4" w:rsidR="00456FBD" w:rsidRDefault="00456FBD" w:rsidP="00456FBD">
      <w:r>
        <w:rPr>
          <w:rStyle w:val="Refdecomentario"/>
        </w:rPr>
        <w:annotationRef/>
      </w:r>
      <w:r>
        <w:rPr>
          <w:sz w:val="20"/>
          <w:szCs w:val="20"/>
        </w:rPr>
        <w:t>Hay una buena descripción de los hallazgos de la literatura, pero ¿cuál es el problema? El análisis carece de formulación propia del problema.</w:t>
      </w:r>
    </w:p>
    <w:p w14:paraId="0F7CC693" w14:textId="77777777" w:rsidR="00456FBD" w:rsidRDefault="00456FBD" w:rsidP="00456FBD"/>
  </w:comment>
  <w:comment w:id="4" w:author="Ghislaine Murzi" w:date="2025-10-19T16:18:00Z" w:initials="GM">
    <w:p w14:paraId="1B92C4DB" w14:textId="77777777" w:rsidR="00456FBD" w:rsidRDefault="00456FBD" w:rsidP="00456FBD">
      <w:r>
        <w:rPr>
          <w:rStyle w:val="Refdecomentario"/>
        </w:rPr>
        <w:annotationRef/>
      </w:r>
      <w:r>
        <w:rPr>
          <w:sz w:val="20"/>
          <w:szCs w:val="20"/>
        </w:rPr>
        <w:t>El nivel de complejidad teórica es inusualmente alto para un trabajo de  esta naturaleza; sugieren uso de IA o textos preexistentes.</w:t>
      </w:r>
    </w:p>
    <w:p w14:paraId="5DF496C0" w14:textId="77777777" w:rsidR="00456FBD" w:rsidRDefault="00456FBD" w:rsidP="00456FBD">
      <w:r>
        <w:rPr>
          <w:sz w:val="20"/>
          <w:szCs w:val="20"/>
        </w:rPr>
        <w:t>Sería importante escuchar "tu voz" a partir del análisis critico de los planteamientos.</w:t>
      </w:r>
    </w:p>
  </w:comment>
  <w:comment w:id="5" w:author="Ghislaine Murzi" w:date="2025-10-19T16:07:00Z" w:initials="GM">
    <w:p w14:paraId="09DA07C3" w14:textId="79569F2A" w:rsidR="00456FBD" w:rsidRDefault="00456FBD" w:rsidP="00456FBD">
      <w:r>
        <w:rPr>
          <w:rStyle w:val="Refdecomentario"/>
        </w:rPr>
        <w:annotationRef/>
      </w:r>
      <w:r>
        <w:rPr>
          <w:sz w:val="20"/>
          <w:szCs w:val="20"/>
        </w:rPr>
        <w:t>No queda claro si el texto es parafraseado o tomado textualmente</w:t>
      </w:r>
    </w:p>
  </w:comment>
  <w:comment w:id="6" w:author="Ghislaine Murzi" w:date="2025-10-17T17:59:00Z" w:initials="GM">
    <w:p w14:paraId="614687DA" w14:textId="77777777" w:rsidR="00D60006" w:rsidRDefault="00D60006" w:rsidP="00D60006">
      <w:r>
        <w:rPr>
          <w:rStyle w:val="Refdecomentario"/>
        </w:rPr>
        <w:annotationRef/>
      </w:r>
      <w:r>
        <w:rPr>
          <w:sz w:val="20"/>
          <w:szCs w:val="20"/>
        </w:rPr>
        <w:t>No corresponde.</w:t>
      </w:r>
    </w:p>
    <w:p w14:paraId="69D6AE87" w14:textId="77777777" w:rsidR="00D60006" w:rsidRDefault="00D60006" w:rsidP="00D60006">
      <w:r>
        <w:rPr>
          <w:color w:val="333333"/>
          <w:sz w:val="20"/>
          <w:szCs w:val="20"/>
        </w:rPr>
        <w:t>Fintech platforms: Lax or careful borrowers’ screening?</w:t>
      </w:r>
    </w:p>
    <w:p w14:paraId="6BF2664E" w14:textId="77777777" w:rsidR="00D60006" w:rsidRDefault="00D60006" w:rsidP="00D60006">
      <w:r>
        <w:rPr>
          <w:color w:val="004B83"/>
          <w:sz w:val="20"/>
          <w:szCs w:val="20"/>
        </w:rPr>
        <w:tab/>
      </w:r>
      <w:r>
        <w:rPr>
          <w:color w:val="004B83"/>
          <w:sz w:val="20"/>
          <w:szCs w:val="20"/>
        </w:rPr>
        <w:tab/>
      </w:r>
      <w:r>
        <w:rPr>
          <w:color w:val="004B83"/>
          <w:sz w:val="20"/>
          <w:szCs w:val="20"/>
          <w:u w:val="single"/>
        </w:rPr>
        <w:t>Serena Gallo</w:t>
      </w:r>
      <w:r>
        <w:rPr>
          <w:color w:val="333333"/>
          <w:sz w:val="20"/>
          <w:szCs w:val="20"/>
        </w:rPr>
        <w:t> </w:t>
      </w:r>
    </w:p>
    <w:p w14:paraId="4D4BA271" w14:textId="77777777" w:rsidR="00D60006" w:rsidRDefault="00D60006" w:rsidP="00D60006">
      <w:hyperlink r:id="rId1" w:history="1">
        <w:r w:rsidRPr="005737BF">
          <w:rPr>
            <w:rStyle w:val="Hipervnculo"/>
            <w:i/>
            <w:iCs/>
            <w:sz w:val="20"/>
            <w:szCs w:val="20"/>
          </w:rPr>
          <w:t>Financial Innovation</w:t>
        </w:r>
      </w:hyperlink>
    </w:p>
    <w:p w14:paraId="69A3964D" w14:textId="77777777" w:rsidR="00D60006" w:rsidRDefault="00D60006" w:rsidP="00D60006">
      <w:r>
        <w:rPr>
          <w:b/>
          <w:bCs/>
          <w:color w:val="333333"/>
          <w:sz w:val="20"/>
          <w:szCs w:val="20"/>
        </w:rPr>
        <w:t>volume</w:t>
      </w:r>
    </w:p>
    <w:p w14:paraId="43C9EC3A" w14:textId="77777777" w:rsidR="00D60006" w:rsidRDefault="00D60006" w:rsidP="00D60006">
      <w:r>
        <w:rPr>
          <w:b/>
          <w:bCs/>
          <w:color w:val="333333"/>
          <w:sz w:val="20"/>
          <w:szCs w:val="20"/>
        </w:rPr>
        <w:t> 7</w:t>
      </w:r>
      <w:r>
        <w:rPr>
          <w:color w:val="333333"/>
          <w:sz w:val="20"/>
          <w:szCs w:val="20"/>
        </w:rPr>
        <w:t xml:space="preserve">, Article number: 58 (2021) </w:t>
      </w:r>
      <w:r>
        <w:rPr>
          <w:color w:val="004B83"/>
          <w:sz w:val="20"/>
          <w:szCs w:val="20"/>
          <w:u w:val="single"/>
        </w:rPr>
        <w:t>Cite this article</w:t>
      </w:r>
    </w:p>
  </w:comment>
  <w:comment w:id="7" w:author="Ghislaine Murzi" w:date="2025-10-17T17:59:00Z" w:initials="GM">
    <w:p w14:paraId="249777EA" w14:textId="77777777" w:rsidR="00EF0172" w:rsidRDefault="00EF0172" w:rsidP="00EF0172">
      <w:r>
        <w:rPr>
          <w:rStyle w:val="Refdecomentario"/>
        </w:rPr>
        <w:annotationRef/>
      </w:r>
      <w:r>
        <w:rPr>
          <w:sz w:val="20"/>
          <w:szCs w:val="20"/>
        </w:rPr>
        <w:t>No corresponde.</w:t>
      </w:r>
    </w:p>
    <w:p w14:paraId="61E01968" w14:textId="77777777" w:rsidR="00EF0172" w:rsidRDefault="00EF0172" w:rsidP="00EF0172">
      <w:r>
        <w:rPr>
          <w:color w:val="333333"/>
          <w:sz w:val="20"/>
          <w:szCs w:val="20"/>
        </w:rPr>
        <w:t>Fintech platforms: Lax or careful borrowers’ screening?</w:t>
      </w:r>
    </w:p>
    <w:p w14:paraId="6D3B9CF8" w14:textId="77777777" w:rsidR="00EF0172" w:rsidRDefault="00EF0172" w:rsidP="00EF0172">
      <w:r>
        <w:rPr>
          <w:color w:val="004B83"/>
          <w:sz w:val="20"/>
          <w:szCs w:val="20"/>
        </w:rPr>
        <w:tab/>
      </w:r>
      <w:r>
        <w:rPr>
          <w:color w:val="004B83"/>
          <w:sz w:val="20"/>
          <w:szCs w:val="20"/>
        </w:rPr>
        <w:tab/>
      </w:r>
      <w:r>
        <w:rPr>
          <w:color w:val="004B83"/>
          <w:sz w:val="20"/>
          <w:szCs w:val="20"/>
          <w:u w:val="single"/>
        </w:rPr>
        <w:t>Serena Gallo</w:t>
      </w:r>
      <w:r>
        <w:rPr>
          <w:color w:val="333333"/>
          <w:sz w:val="20"/>
          <w:szCs w:val="20"/>
        </w:rPr>
        <w:t> </w:t>
      </w:r>
    </w:p>
    <w:p w14:paraId="2301CF68" w14:textId="77777777" w:rsidR="00EF0172" w:rsidRDefault="00EF0172" w:rsidP="00EF0172">
      <w:hyperlink r:id="rId2" w:history="1">
        <w:r w:rsidRPr="005737BF">
          <w:rPr>
            <w:rStyle w:val="Hipervnculo"/>
            <w:i/>
            <w:iCs/>
            <w:sz w:val="20"/>
            <w:szCs w:val="20"/>
          </w:rPr>
          <w:t>Financial Innovation</w:t>
        </w:r>
      </w:hyperlink>
    </w:p>
    <w:p w14:paraId="177E7F42" w14:textId="77777777" w:rsidR="00EF0172" w:rsidRDefault="00EF0172" w:rsidP="00EF0172">
      <w:r>
        <w:rPr>
          <w:b/>
          <w:bCs/>
          <w:color w:val="333333"/>
          <w:sz w:val="20"/>
          <w:szCs w:val="20"/>
        </w:rPr>
        <w:t>volume</w:t>
      </w:r>
    </w:p>
    <w:p w14:paraId="3BA4E46B" w14:textId="77777777" w:rsidR="00EF0172" w:rsidRDefault="00EF0172" w:rsidP="00EF0172">
      <w:r>
        <w:rPr>
          <w:b/>
          <w:bCs/>
          <w:color w:val="333333"/>
          <w:sz w:val="20"/>
          <w:szCs w:val="20"/>
        </w:rPr>
        <w:t> 7</w:t>
      </w:r>
      <w:r>
        <w:rPr>
          <w:color w:val="333333"/>
          <w:sz w:val="20"/>
          <w:szCs w:val="20"/>
        </w:rPr>
        <w:t xml:space="preserve">, Article number: 58 (2021) </w:t>
      </w:r>
      <w:r>
        <w:rPr>
          <w:color w:val="004B83"/>
          <w:sz w:val="20"/>
          <w:szCs w:val="20"/>
          <w:u w:val="single"/>
        </w:rPr>
        <w:t>Cite this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ACBD19" w15:done="0"/>
  <w15:commentEx w15:paraId="0F7CC693" w15:done="0"/>
  <w15:commentEx w15:paraId="5DF496C0" w15:done="0"/>
  <w15:commentEx w15:paraId="09DA07C3" w15:done="0"/>
  <w15:commentEx w15:paraId="43C9EC3A" w15:done="0"/>
  <w15:commentEx w15:paraId="3BA4E4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8C402" w16cex:dateUtc="2025-10-19T21:27:00Z"/>
  <w16cex:commentExtensible w16cex:durableId="6EA4FBF8" w16cex:dateUtc="2025-10-19T21:04:00Z"/>
  <w16cex:commentExtensible w16cex:durableId="5415AD50" w16cex:dateUtc="2025-10-19T21:18:00Z"/>
  <w16cex:commentExtensible w16cex:durableId="42535ABB" w16cex:dateUtc="2025-10-19T21:07:00Z"/>
  <w16cex:commentExtensible w16cex:durableId="2B5C5EE2" w16cex:dateUtc="2025-10-17T22:59:00Z"/>
  <w16cex:commentExtensible w16cex:durableId="7E306F56" w16cex:dateUtc="2025-10-17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ACBD19" w16cid:durableId="7DB8C402"/>
  <w16cid:commentId w16cid:paraId="0F7CC693" w16cid:durableId="6EA4FBF8"/>
  <w16cid:commentId w16cid:paraId="5DF496C0" w16cid:durableId="5415AD50"/>
  <w16cid:commentId w16cid:paraId="09DA07C3" w16cid:durableId="42535ABB"/>
  <w16cid:commentId w16cid:paraId="43C9EC3A" w16cid:durableId="2B5C5EE2"/>
  <w16cid:commentId w16cid:paraId="3BA4E46B" w16cid:durableId="7E306F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6E61" w14:textId="77777777" w:rsidR="005C2F2D" w:rsidRDefault="005C2F2D">
      <w:pPr>
        <w:spacing w:line="240" w:lineRule="auto"/>
      </w:pPr>
      <w:r>
        <w:separator/>
      </w:r>
    </w:p>
  </w:endnote>
  <w:endnote w:type="continuationSeparator" w:id="0">
    <w:p w14:paraId="7CB64E79" w14:textId="77777777" w:rsidR="005C2F2D" w:rsidRDefault="005C2F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144C" w14:textId="77777777" w:rsidR="00CE585B" w:rsidRDefault="00CE58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B584" w14:textId="77777777" w:rsidR="00CE585B" w:rsidRDefault="00CE58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1892" w14:textId="77777777" w:rsidR="00CE585B" w:rsidRDefault="00CE58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F9A0" w14:textId="77777777" w:rsidR="005C2F2D" w:rsidRDefault="005C2F2D">
      <w:pPr>
        <w:spacing w:line="240" w:lineRule="auto"/>
      </w:pPr>
      <w:r>
        <w:separator/>
      </w:r>
    </w:p>
  </w:footnote>
  <w:footnote w:type="continuationSeparator" w:id="0">
    <w:p w14:paraId="6EEF43C1" w14:textId="77777777" w:rsidR="005C2F2D" w:rsidRDefault="005C2F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35D6" w14:textId="77777777" w:rsidR="00CE585B" w:rsidRDefault="00CE58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12D2D6F1" w:rsidR="00C675C2" w:rsidRDefault="00B55681">
    <w:pPr>
      <w:jc w:val="right"/>
    </w:pPr>
    <w:r>
      <w:fldChar w:fldCharType="begin"/>
    </w:r>
    <w:r>
      <w:instrText>PAGE</w:instrText>
    </w:r>
    <w:r>
      <w:fldChar w:fldCharType="separate"/>
    </w:r>
    <w:r w:rsidR="00255ED3">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4753" w14:textId="77777777" w:rsidR="00CE585B" w:rsidRDefault="00CE58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408B"/>
    <w:multiLevelType w:val="multilevel"/>
    <w:tmpl w:val="9C20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B1E5B"/>
    <w:multiLevelType w:val="hybridMultilevel"/>
    <w:tmpl w:val="95DEF48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4D9499F"/>
    <w:multiLevelType w:val="hybridMultilevel"/>
    <w:tmpl w:val="3938A0E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60992520">
    <w:abstractNumId w:val="0"/>
  </w:num>
  <w:num w:numId="2" w16cid:durableId="1813785374">
    <w:abstractNumId w:val="1"/>
  </w:num>
  <w:num w:numId="3" w16cid:durableId="6915389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hislaine Murzi">
    <w15:presenceInfo w15:providerId="Windows Live" w15:userId="37b3acb43b0ff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5C2"/>
    <w:rsid w:val="000113C4"/>
    <w:rsid w:val="0002623C"/>
    <w:rsid w:val="000961B4"/>
    <w:rsid w:val="000A4B85"/>
    <w:rsid w:val="000B6D70"/>
    <w:rsid w:val="000C14B7"/>
    <w:rsid w:val="000E2CB2"/>
    <w:rsid w:val="000E63AB"/>
    <w:rsid w:val="001229C0"/>
    <w:rsid w:val="001475F5"/>
    <w:rsid w:val="001A2B66"/>
    <w:rsid w:val="001A7C2E"/>
    <w:rsid w:val="001F6E68"/>
    <w:rsid w:val="0023212A"/>
    <w:rsid w:val="00255ED3"/>
    <w:rsid w:val="00265605"/>
    <w:rsid w:val="002A64BE"/>
    <w:rsid w:val="002B6645"/>
    <w:rsid w:val="002E5314"/>
    <w:rsid w:val="002E6C8A"/>
    <w:rsid w:val="00304437"/>
    <w:rsid w:val="00310AA7"/>
    <w:rsid w:val="0032615E"/>
    <w:rsid w:val="003542B1"/>
    <w:rsid w:val="003738E8"/>
    <w:rsid w:val="003E6292"/>
    <w:rsid w:val="003F1F43"/>
    <w:rsid w:val="003F3814"/>
    <w:rsid w:val="0040088F"/>
    <w:rsid w:val="00427FF4"/>
    <w:rsid w:val="00447CF3"/>
    <w:rsid w:val="00456FBD"/>
    <w:rsid w:val="00482FC7"/>
    <w:rsid w:val="004C629D"/>
    <w:rsid w:val="00561684"/>
    <w:rsid w:val="00563C3C"/>
    <w:rsid w:val="00565A26"/>
    <w:rsid w:val="005724B1"/>
    <w:rsid w:val="00583524"/>
    <w:rsid w:val="00590F84"/>
    <w:rsid w:val="005C2F2D"/>
    <w:rsid w:val="005C76BA"/>
    <w:rsid w:val="00661545"/>
    <w:rsid w:val="00680093"/>
    <w:rsid w:val="00682767"/>
    <w:rsid w:val="00692914"/>
    <w:rsid w:val="006B0EE8"/>
    <w:rsid w:val="006B1216"/>
    <w:rsid w:val="006F0C3C"/>
    <w:rsid w:val="00704FE1"/>
    <w:rsid w:val="00747BF6"/>
    <w:rsid w:val="0075624E"/>
    <w:rsid w:val="00775DA4"/>
    <w:rsid w:val="00797153"/>
    <w:rsid w:val="007E6B44"/>
    <w:rsid w:val="00805CFD"/>
    <w:rsid w:val="00847C15"/>
    <w:rsid w:val="00852089"/>
    <w:rsid w:val="008648D2"/>
    <w:rsid w:val="00874529"/>
    <w:rsid w:val="008B26ED"/>
    <w:rsid w:val="008E2F60"/>
    <w:rsid w:val="00943A1A"/>
    <w:rsid w:val="0095297B"/>
    <w:rsid w:val="00957F06"/>
    <w:rsid w:val="009746E0"/>
    <w:rsid w:val="009A0972"/>
    <w:rsid w:val="00A2085A"/>
    <w:rsid w:val="00A35E27"/>
    <w:rsid w:val="00A42BC5"/>
    <w:rsid w:val="00A649B2"/>
    <w:rsid w:val="00A70E12"/>
    <w:rsid w:val="00A835E7"/>
    <w:rsid w:val="00A92A85"/>
    <w:rsid w:val="00A93C4E"/>
    <w:rsid w:val="00AE00A7"/>
    <w:rsid w:val="00AE7101"/>
    <w:rsid w:val="00AF5C4D"/>
    <w:rsid w:val="00B260EA"/>
    <w:rsid w:val="00B55681"/>
    <w:rsid w:val="00B62600"/>
    <w:rsid w:val="00B64BD6"/>
    <w:rsid w:val="00B822AE"/>
    <w:rsid w:val="00BC0EF8"/>
    <w:rsid w:val="00BF04DE"/>
    <w:rsid w:val="00C051EA"/>
    <w:rsid w:val="00C23CA1"/>
    <w:rsid w:val="00C468E5"/>
    <w:rsid w:val="00C50851"/>
    <w:rsid w:val="00C675C2"/>
    <w:rsid w:val="00C8349A"/>
    <w:rsid w:val="00C83BBA"/>
    <w:rsid w:val="00C93398"/>
    <w:rsid w:val="00CA62FD"/>
    <w:rsid w:val="00CB352D"/>
    <w:rsid w:val="00CB69B6"/>
    <w:rsid w:val="00CB78D4"/>
    <w:rsid w:val="00CE585B"/>
    <w:rsid w:val="00CF3676"/>
    <w:rsid w:val="00D127C1"/>
    <w:rsid w:val="00D33839"/>
    <w:rsid w:val="00D3747B"/>
    <w:rsid w:val="00D4645E"/>
    <w:rsid w:val="00D60006"/>
    <w:rsid w:val="00D62EAD"/>
    <w:rsid w:val="00D83F98"/>
    <w:rsid w:val="00D92EF0"/>
    <w:rsid w:val="00D951C0"/>
    <w:rsid w:val="00DD12C2"/>
    <w:rsid w:val="00DE6B95"/>
    <w:rsid w:val="00DE76D3"/>
    <w:rsid w:val="00DF31D5"/>
    <w:rsid w:val="00DF4860"/>
    <w:rsid w:val="00DF4FD3"/>
    <w:rsid w:val="00E741D4"/>
    <w:rsid w:val="00EA3489"/>
    <w:rsid w:val="00EA493D"/>
    <w:rsid w:val="00EB3B46"/>
    <w:rsid w:val="00EE0D44"/>
    <w:rsid w:val="00EF0172"/>
    <w:rsid w:val="00F10D6E"/>
    <w:rsid w:val="00FA724C"/>
    <w:rsid w:val="00FC0F1A"/>
    <w:rsid w:val="00FD464D"/>
    <w:rsid w:val="00FE1518"/>
    <w:rsid w:val="33843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52E3"/>
  <w15:docId w15:val="{909B8C83-DFFF-447D-A0D7-9E236F82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255ED3"/>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2">
    <w:name w:val="toc 2"/>
    <w:basedOn w:val="Normal"/>
    <w:next w:val="Normal"/>
    <w:autoRedefine/>
    <w:uiPriority w:val="39"/>
    <w:unhideWhenUsed/>
    <w:rsid w:val="00255ED3"/>
    <w:pPr>
      <w:spacing w:after="100" w:line="259" w:lineRule="auto"/>
      <w:ind w:left="220"/>
    </w:pPr>
    <w:rPr>
      <w:rFonts w:asciiTheme="minorHAnsi" w:eastAsiaTheme="minorEastAsia" w:hAnsiTheme="minorHAnsi" w:cs="Times New Roman"/>
      <w:lang w:val="es-CO"/>
    </w:rPr>
  </w:style>
  <w:style w:type="paragraph" w:styleId="TDC1">
    <w:name w:val="toc 1"/>
    <w:basedOn w:val="Normal"/>
    <w:next w:val="Normal"/>
    <w:autoRedefine/>
    <w:uiPriority w:val="39"/>
    <w:unhideWhenUsed/>
    <w:rsid w:val="00255ED3"/>
    <w:pPr>
      <w:spacing w:after="100" w:line="259" w:lineRule="auto"/>
    </w:pPr>
    <w:rPr>
      <w:rFonts w:asciiTheme="minorHAnsi" w:eastAsiaTheme="minorEastAsia" w:hAnsiTheme="minorHAnsi" w:cs="Times New Roman"/>
      <w:lang w:val="es-CO"/>
    </w:rPr>
  </w:style>
  <w:style w:type="paragraph" w:styleId="TDC3">
    <w:name w:val="toc 3"/>
    <w:basedOn w:val="Normal"/>
    <w:next w:val="Normal"/>
    <w:autoRedefine/>
    <w:uiPriority w:val="39"/>
    <w:unhideWhenUsed/>
    <w:rsid w:val="00255ED3"/>
    <w:pPr>
      <w:spacing w:after="100" w:line="259" w:lineRule="auto"/>
      <w:ind w:left="440"/>
    </w:pPr>
    <w:rPr>
      <w:rFonts w:asciiTheme="minorHAnsi" w:eastAsiaTheme="minorEastAsia" w:hAnsiTheme="minorHAnsi" w:cs="Times New Roman"/>
      <w:lang w:val="es-CO"/>
    </w:rPr>
  </w:style>
  <w:style w:type="character" w:styleId="Hipervnculo">
    <w:name w:val="Hyperlink"/>
    <w:basedOn w:val="Fuentedeprrafopredeter"/>
    <w:uiPriority w:val="99"/>
    <w:unhideWhenUsed/>
    <w:rsid w:val="00C23CA1"/>
    <w:rPr>
      <w:color w:val="0000FF" w:themeColor="hyperlink"/>
      <w:u w:val="single"/>
    </w:rPr>
  </w:style>
  <w:style w:type="character" w:styleId="Mencinsinresolver">
    <w:name w:val="Unresolved Mention"/>
    <w:basedOn w:val="Fuentedeprrafopredeter"/>
    <w:uiPriority w:val="99"/>
    <w:semiHidden/>
    <w:unhideWhenUsed/>
    <w:rsid w:val="00C23CA1"/>
    <w:rPr>
      <w:color w:val="605E5C"/>
      <w:shd w:val="clear" w:color="auto" w:fill="E1DFDD"/>
    </w:rPr>
  </w:style>
  <w:style w:type="paragraph" w:styleId="Encabezado">
    <w:name w:val="header"/>
    <w:basedOn w:val="Normal"/>
    <w:link w:val="EncabezadoCar"/>
    <w:uiPriority w:val="99"/>
    <w:unhideWhenUsed/>
    <w:rsid w:val="00CE585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E585B"/>
  </w:style>
  <w:style w:type="paragraph" w:styleId="Piedepgina">
    <w:name w:val="footer"/>
    <w:basedOn w:val="Normal"/>
    <w:link w:val="PiedepginaCar"/>
    <w:uiPriority w:val="99"/>
    <w:unhideWhenUsed/>
    <w:rsid w:val="00CE585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E585B"/>
  </w:style>
  <w:style w:type="character" w:styleId="nfasis">
    <w:name w:val="Emphasis"/>
    <w:basedOn w:val="Fuentedeprrafopredeter"/>
    <w:uiPriority w:val="20"/>
    <w:qFormat/>
    <w:rsid w:val="00682767"/>
    <w:rPr>
      <w:i/>
      <w:iCs/>
    </w:rPr>
  </w:style>
  <w:style w:type="paragraph" w:styleId="Prrafodelista">
    <w:name w:val="List Paragraph"/>
    <w:basedOn w:val="Normal"/>
    <w:uiPriority w:val="34"/>
    <w:qFormat/>
    <w:rsid w:val="00852089"/>
    <w:pPr>
      <w:ind w:left="720"/>
      <w:contextualSpacing/>
    </w:pPr>
  </w:style>
  <w:style w:type="character" w:styleId="Hipervnculovisitado">
    <w:name w:val="FollowedHyperlink"/>
    <w:basedOn w:val="Fuentedeprrafopredeter"/>
    <w:uiPriority w:val="99"/>
    <w:semiHidden/>
    <w:unhideWhenUsed/>
    <w:rsid w:val="00EF0172"/>
    <w:rPr>
      <w:color w:val="800080" w:themeColor="followedHyperlink"/>
      <w:u w:val="single"/>
    </w:rPr>
  </w:style>
  <w:style w:type="character" w:styleId="Refdecomentario">
    <w:name w:val="annotation reference"/>
    <w:basedOn w:val="Fuentedeprrafopredeter"/>
    <w:uiPriority w:val="99"/>
    <w:semiHidden/>
    <w:unhideWhenUsed/>
    <w:rsid w:val="00EF0172"/>
    <w:rPr>
      <w:sz w:val="16"/>
      <w:szCs w:val="16"/>
    </w:rPr>
  </w:style>
  <w:style w:type="paragraph" w:styleId="Textocomentario">
    <w:name w:val="annotation text"/>
    <w:basedOn w:val="Normal"/>
    <w:link w:val="TextocomentarioCar"/>
    <w:uiPriority w:val="99"/>
    <w:semiHidden/>
    <w:unhideWhenUsed/>
    <w:rsid w:val="00EF01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0172"/>
    <w:rPr>
      <w:sz w:val="20"/>
      <w:szCs w:val="20"/>
    </w:rPr>
  </w:style>
  <w:style w:type="paragraph" w:styleId="Asuntodelcomentario">
    <w:name w:val="annotation subject"/>
    <w:basedOn w:val="Textocomentario"/>
    <w:next w:val="Textocomentario"/>
    <w:link w:val="AsuntodelcomentarioCar"/>
    <w:uiPriority w:val="99"/>
    <w:semiHidden/>
    <w:unhideWhenUsed/>
    <w:rsid w:val="00EF0172"/>
    <w:rPr>
      <w:b/>
      <w:bCs/>
    </w:rPr>
  </w:style>
  <w:style w:type="character" w:customStyle="1" w:styleId="AsuntodelcomentarioCar">
    <w:name w:val="Asunto del comentario Car"/>
    <w:basedOn w:val="TextocomentarioCar"/>
    <w:link w:val="Asuntodelcomentario"/>
    <w:uiPriority w:val="99"/>
    <w:semiHidden/>
    <w:rsid w:val="00EF0172"/>
    <w:rPr>
      <w:b/>
      <w:bCs/>
      <w:sz w:val="20"/>
      <w:szCs w:val="20"/>
    </w:rPr>
  </w:style>
  <w:style w:type="paragraph" w:styleId="NormalWeb">
    <w:name w:val="Normal (Web)"/>
    <w:basedOn w:val="Normal"/>
    <w:uiPriority w:val="99"/>
    <w:unhideWhenUsed/>
    <w:rsid w:val="00DF4FD3"/>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DF4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jfin-swufe.springeropen.com/" TargetMode="External"/><Relationship Id="rId1" Type="http://schemas.openxmlformats.org/officeDocument/2006/relationships/hyperlink" Target="https://jfin-swufe.springeropen.co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186/s40854-021-00272-y" TargetMode="External"/><Relationship Id="rId26" Type="http://schemas.openxmlformats.org/officeDocument/2006/relationships/hyperlink" Target="https://doi.org/10.1016/j.elerap.2017.06.004" TargetMode="External"/><Relationship Id="rId3" Type="http://schemas.openxmlformats.org/officeDocument/2006/relationships/customXml" Target="../customXml/item3.xml"/><Relationship Id="rId21" Type="http://schemas.openxmlformats.org/officeDocument/2006/relationships/hyperlink" Target="https://doi.org/10.1186/s40854-022-00338-5" TargetMode="External"/><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scopus-com.basesbiblioteca.uexternado.edu.co/pages/publications/85110758071?origin=resultslist-y" TargetMode="External"/><Relationship Id="rId25" Type="http://schemas.openxmlformats.org/officeDocument/2006/relationships/hyperlink" Target="https://doi.org/10.3390/risks1302003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frl.2018.09.015" TargetMode="External"/><Relationship Id="rId20" Type="http://schemas.openxmlformats.org/officeDocument/2006/relationships/hyperlink" Target="https://doi.org/10.55214/25768484.v8i6.319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3390/electronics13214324"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doi.org/10.3389/frai.2019.00008" TargetMode="External"/><Relationship Id="rId23" Type="http://schemas.openxmlformats.org/officeDocument/2006/relationships/hyperlink" Target="https://doi.org/10.1371/journal.pone.0139427"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i.org/10.1016/j.jeconbus.2018.03.001"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1007/s10614-025-10962-9"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2becf9f-8b43-4757-9a85-a812702bf4b0" xsi:nil="true"/>
    <lcf76f155ced4ddcb4097134ff3c332f xmlns="dbd771a1-f397-4c22-b4f3-4788b0aa5bb2">
      <Terms xmlns="http://schemas.microsoft.com/office/infopath/2007/PartnerControls"/>
    </lcf76f155ced4ddcb4097134ff3c332f>
    <ReferenceId xmlns="dbd771a1-f397-4c22-b4f3-4788b0aa5b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CFE5BAD77A6404487DB97FCC1E15F48" ma:contentTypeVersion="12" ma:contentTypeDescription="Create a new document." ma:contentTypeScope="" ma:versionID="3a1b75aa00a9990a61e203b075fc5100">
  <xsd:schema xmlns:xsd="http://www.w3.org/2001/XMLSchema" xmlns:xs="http://www.w3.org/2001/XMLSchema" xmlns:p="http://schemas.microsoft.com/office/2006/metadata/properties" xmlns:ns2="dbd771a1-f397-4c22-b4f3-4788b0aa5bb2" xmlns:ns3="e2becf9f-8b43-4757-9a85-a812702bf4b0" targetNamespace="http://schemas.microsoft.com/office/2006/metadata/properties" ma:root="true" ma:fieldsID="c456003391a18143dcb85c5df4cd9492" ns2:_="" ns3:_="">
    <xsd:import namespace="dbd771a1-f397-4c22-b4f3-4788b0aa5bb2"/>
    <xsd:import namespace="e2becf9f-8b43-4757-9a85-a812702bf4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771a1-f397-4c22-b4f3-4788b0aa5bb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6bc7a4c-92c2-4ed7-be9f-085aae8723f6"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becf9f-8b43-4757-9a85-a812702bf4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d968ec3-17e2-44a7-8533-3e0397ccf65a}" ma:internalName="TaxCatchAll" ma:showField="CatchAllData" ma:web="e2becf9f-8b43-4757-9a85-a812702bf4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8C4D1D-93DB-4B07-9880-017D63549E93}">
  <ds:schemaRefs>
    <ds:schemaRef ds:uri="http://schemas.openxmlformats.org/officeDocument/2006/bibliography"/>
  </ds:schemaRefs>
</ds:datastoreItem>
</file>

<file path=customXml/itemProps2.xml><?xml version="1.0" encoding="utf-8"?>
<ds:datastoreItem xmlns:ds="http://schemas.openxmlformats.org/officeDocument/2006/customXml" ds:itemID="{3128AC6D-1F7A-4CB2-B157-8B147B9A84CC}">
  <ds:schemaRefs>
    <ds:schemaRef ds:uri="http://schemas.microsoft.com/office/2006/metadata/properties"/>
    <ds:schemaRef ds:uri="http://schemas.microsoft.com/office/infopath/2007/PartnerControls"/>
    <ds:schemaRef ds:uri="e2becf9f-8b43-4757-9a85-a812702bf4b0"/>
    <ds:schemaRef ds:uri="dbd771a1-f397-4c22-b4f3-4788b0aa5bb2"/>
  </ds:schemaRefs>
</ds:datastoreItem>
</file>

<file path=customXml/itemProps3.xml><?xml version="1.0" encoding="utf-8"?>
<ds:datastoreItem xmlns:ds="http://schemas.openxmlformats.org/officeDocument/2006/customXml" ds:itemID="{2E1F32FC-EF86-4933-9659-21C385F765A2}">
  <ds:schemaRefs>
    <ds:schemaRef ds:uri="http://schemas.microsoft.com/sharepoint/v3/contenttype/forms"/>
  </ds:schemaRefs>
</ds:datastoreItem>
</file>

<file path=customXml/itemProps4.xml><?xml version="1.0" encoding="utf-8"?>
<ds:datastoreItem xmlns:ds="http://schemas.openxmlformats.org/officeDocument/2006/customXml" ds:itemID="{08B5A15A-4867-4400-9669-010BDDCD7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771a1-f397-4c22-b4f3-4788b0aa5bb2"/>
    <ds:schemaRef ds:uri="e2becf9f-8b43-4757-9a85-a812702bf4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5405</TotalTime>
  <Pages>17</Pages>
  <Words>3558</Words>
  <Characters>21704</Characters>
  <Application>Microsoft Office Word</Application>
  <DocSecurity>0</DocSecurity>
  <Lines>493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carito</dc:creator>
  <cp:keywords/>
  <dc:description/>
  <cp:lastModifiedBy>Francy Carolina Umbarila Rodríguez</cp:lastModifiedBy>
  <cp:revision>10</cp:revision>
  <dcterms:created xsi:type="dcterms:W3CDTF">2025-10-20T19:30:00Z</dcterms:created>
  <dcterms:modified xsi:type="dcterms:W3CDTF">2025-11-15T19:00:00Z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0x0101009CFE5BAD77A6404487DB97FCC1E15F48</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y fmtid="{D5CDD505-2E9C-101B-9397-08002B2CF9AE}" pid="6" name="ReferenceId">
    <vt:lpwstr/>
  </property>
</Properties>
</file>