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Noto Serif SC" w:cs="Noto Serif SC" w:eastAsia="Noto Serif SC" w:hAnsi="Noto Serif SC"/>
          <w:b/>
          <w:bCs/>
          <w:color w:val="1E3A3A"/>
          <w:sz w:val="60"/>
          <w:szCs w:val="60"/>
        </w:rPr>
        <w:t xml:space="preserve">御笔易学</w:t>
      </w:r>
    </w:p>
    <w:p>
      <w:pPr>
        <w:spacing w:after="300"/>
        <w:jc w:val="center"/>
      </w:pPr>
      <w:r>
        <w:rPr>
          <w:rFonts w:ascii="Noto Serif SC" w:cs="Noto Serif SC" w:eastAsia="Noto Serif SC" w:hAnsi="Noto Serif SC"/>
          <w:color w:val="D4AF37"/>
          <w:sz w:val="28"/>
          <w:szCs w:val="28"/>
        </w:rPr>
        <w:t xml:space="preserve">×</w:t>
      </w:r>
    </w:p>
    <w:p>
      <w:pPr>
        <w:spacing w:after="100"/>
        <w:jc w:val="center"/>
      </w:pPr>
      <w:r>
        <w:rPr>
          <w:rFonts w:ascii="Noto Serif SC" w:cs="Noto Serif SC" w:eastAsia="Noto Serif SC" w:hAnsi="Noto Serif SC"/>
          <w:color w:val="1E3A3A"/>
          <w:sz w:val="32"/>
          <w:szCs w:val="32"/>
        </w:rPr>
        <w:t xml:space="preserve">qingnang.cc 青囊</w:t>
      </w:r>
    </w:p>
    <w:p>
      <w:pPr>
        <w:spacing w:after="500"/>
        <w:jc w:val="center"/>
      </w:pPr>
      <w:r>
        <w:rPr>
          <w:rFonts w:ascii="Noto Serif SC" w:cs="Noto Serif SC" w:eastAsia="Noto Serif SC" w:hAnsi="Noto Serif SC"/>
          <w:b/>
          <w:bCs/>
          <w:color w:val="D4AF37"/>
          <w:sz w:val="48"/>
          <w:szCs w:val="48"/>
        </w:rPr>
        <w:t xml:space="preserve">对标分析优化方案</w:t>
      </w:r>
    </w:p>
    <w:p>
      <w:pPr>
        <w:spacing w:after="60"/>
        <w:jc w:val="center"/>
      </w:pPr>
      <w:r>
        <w:rPr>
          <w:rFonts w:ascii="Noto Sans SC" w:cs="Noto Sans SC" w:eastAsia="Noto Sans SC" w:hAnsi="Noto Sans SC"/>
          <w:color w:val="666666"/>
          <w:sz w:val="20"/>
          <w:szCs w:val="20"/>
        </w:rPr>
        <w:t xml:space="preserve">古籍数字化 AI 推演平台 · 功能 / 设计 / 技术全维度对标</w:t>
      </w:r>
    </w:p>
    <w:p>
      <w:pPr>
        <w:spacing w:after="200"/>
        <w:jc w:val="center"/>
      </w:pPr>
      <w:r>
        <w:rPr>
          <w:rFonts w:ascii="Noto Sans SC" w:cs="Noto Sans SC" w:eastAsia="Noto Sans SC" w:hAnsi="Noto Sans SC"/>
          <w:color w:val="999999"/>
          <w:sz w:val="18"/>
          <w:szCs w:val="18"/>
        </w:rPr>
        <w:t xml:space="preserve">2026 年 6 月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目  录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一、整体架构对比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二、视觉设计系统深度分析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三、动画与交互特效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四、功能覆盖面对比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五、功能性对标优化方案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六、视觉 / 交互 / 动效优化方案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七、技术债务清理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八、实施优先级矩阵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九、关键文件清单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十、同业案例参考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十一、验证指标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一、整体架构对比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qingnang.cc（青囊 Aether Pouch）是基于 Next.js App Router + Turbopack 构建的古籍数字化 AI 推演平台，托管于 Vercel + Cloudflare CDN。御笔易学 (yubiyixue.xyz) 是 React SPA + Vite + Express 架构，托管于自建 Ubuntu VPS。两者服务于同一类用户群体，但在技术选型、设计品质、功能覆盖上存在系统性差距。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526"/>
      </w:tblGrid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qingnang.cc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御笔易学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框架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Next.js + Turbopack + RSC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React SPA + Vite 6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保持 Vite，加代码分割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部署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Vercel + Cloudflare CDN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Ubuntu VPS + Nginx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保持 VPS（备案），可加 CDN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CSS 方案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Tailwind v4 (CSS-first)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Tailwind v3 + CSS 变量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升级到 Tailwind v4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动画引擎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27+ 纯 CSS 关键帧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4 个基础动画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扩展至 12-15 个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PWA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完整支持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必须添加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SEO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完整 OG / JSON-LD / 百度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仅基础 title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必须添加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主题系统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套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 套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扩展至 3 套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字体系统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Serif 标题 + Sans 正文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SF Pro + Noto 混用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宋体标题 + 黑体正文</w:t>
            </w:r>
          </w:p>
        </w:tc>
      </w:tr>
    </w:tbl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二、视觉设计系统深度分析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2.1 色彩系统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qingnang.cc 使用中文古典色调命名，三套主题通过 CSS 变量驱动。御笔当前使用 Apple 蓝白 HSL 配色，与命理古籍主题气质不匹配。以下为核心色值对照：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226"/>
      </w:tblGrid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classic 主题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zen 主题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zen-dark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--dai-qing (黛青)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#004d4d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#1f2d2d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#e8e8e3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主文本 / 标题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--dai-qing-light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#006666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#4a5c5c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#a8b0ac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次要文本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--xuan-zhi (宣纸)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#fbfaf5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#fbfaf5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#14181a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页面背景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--xuan-zhi-dark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#e8e4c9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#f4f1e8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#1c2225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卡片背景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--hu-po-jin (琥珀金)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#d4af37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#c9a14a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#c9a14a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强调色 / 金色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红色系 (合参)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#9c3d54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#b24a63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#b24a63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三术合参卡片</w:t>
            </w:r>
          </w:p>
        </w:tc>
      </w:tr>
    </w:tbl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建议实施方案：御笔 CSS 色板全面迁移至宣纸/黛青/琥珀金体系，详见第六节。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2.2 字体系统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qingnang.cc 全站标题使用 font-serif (Noto Serif SC + 宋体)，正文使用 font-sans (Noto Sans SC)。字体层级清晰，古籍韵味统一。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御笔当前混用 SF Pro / Noto Sans / Noto Serif，缺乏系统字体层级。建议在 :root 建立独立字体变量。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2.3 组件命名体系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qingnang.cc 拥有 .qn- 前缀完整组件体系，设计语言高度一致。御笔类名混乱（card / btn / ink-nav / subtabs），缺乏统一命名空间。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026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qingnang 类名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御笔当前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按钮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.qn-btn --primary / --amber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.btn .btn-primary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.yb-btn --primary / --gold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卡片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.qn-card --interactive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.card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.yb-card --hover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表单域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.qn-field __head / __label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.field-wrap / .field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.yb-field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导航栏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.qn-navbar --scrolled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.ink-nav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.yb-navbar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印章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.qn-seal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新增 .yb-seal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分隔线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.divider-ink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新增 .divider-ink</w:t>
            </w:r>
          </w:p>
        </w:tc>
      </w:tr>
    </w:tbl>
    <w:p>
      <w:r>
        <w:br w:type="page"/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三、动画与交互特效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qingnang.cc 内置 27+ CSS 关键帧动画。御笔当前仅有 rotate / pulse / fadeIn / scaleIn 4 个，远不足以支撑古籍美学交互深度。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3.1 高频核心动画（建议优先实现）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62"/>
        <w:gridCol w:w="3262"/>
        <w:gridCol w:w="2002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动画名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触发场景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技术参数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glow-breathe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Logo 呼吸发光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drop-shadow + text-shadow 3s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ink-spread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水墨扩散效果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scale(0→2.5) + blur 2.5s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coin-flip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六爻硬币翻转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rotateY(0→720deg) 1.2s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foil-sheen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金色箔片流光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background-position 偏移 13s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btn-sheen-sweep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按钮光泽扫过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skew + translate 4.8s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blink-cursor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打字光标闪烁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step-end 0.8s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pulse-lamp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指示灯脉冲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box-shadow 2.4s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glyph-float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符文上浮消散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translateY + opacity 10s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trinity-flow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三连线流动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stroke-dashoffset 1.8s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hecan-pulse</w:t>
            </w:r>
          </w:p>
        </w:tc>
        <w:tc>
          <w:tcPr>
            <w:tcW w:type="dxa" w:w="2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合参完成脉冲</w:t>
            </w:r>
          </w:p>
        </w:tc>
        <w:tc>
          <w:tcPr>
            <w:tcW w:type="dxa" w:w="32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scale(1→1.035) 1.2s</w:t>
            </w:r>
          </w:p>
        </w:tc>
        <w:tc>
          <w:tcPr>
            <w:tcW w:type="dxa" w:w="20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3.2 Web 特效组件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特效组件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技术实现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适用御笔页面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.gold-foil-text (金箔文字)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background-clip: text + 3 层渐变 + 动画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页首标题 / 八字日主显示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.ink-border (水墨描边)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::before 伪元素 + mask-composite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卡片框 / 按钮边框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.spotlight-card (聚光灯)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::after radial-gradient 跟随鼠标 mousemove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功能入口卡片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.divider-ink (水墨分割线)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三色渐变 gradient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section 分隔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.yb-seal (古印章)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红色底 + inset box-shadow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「御笔」品牌标识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.marquee (典籍滚动)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translateX(-50%) 无限 + 渐变遮罩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首页 banner</w:t>
            </w:r>
          </w:p>
        </w:tc>
      </w:tr>
    </w:tbl>
    <w:p>
      <w:r>
        <w:br w:type="page"/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四、功能覆盖面对比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此页面使用横向排版以完整展示 4 列对照表格。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  <w:gridCol w:w="3758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qingnang.cc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御笔当前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差距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八字排盘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持平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八字详批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有（付费 + RAG 古籍溯源）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有（AI 无溯源）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 RAG 溯源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八字合盘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持平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紫微斗数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缺核心术数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七政四余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三术合参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有（旗舰）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缺旗舰功能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六爻起卦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有（含梅花易数）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持平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奇门遁甲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大六壬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每日时令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有（免费）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高优先补充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风水分析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有（户型图 + 位置）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独有优势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藏经阁 Wiki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缺内容功能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百宝袋 Toolkit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主题切换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套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 套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PWA 支持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完整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双人格 AI 模式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有（博导/老友）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缺差异化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按次计费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有（赠 50 灵签）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免费</w:t>
            </w:r>
          </w:p>
        </w:tc>
        <w:tc>
          <w:tcPr>
            <w:tcW w:type="dxa" w:w="37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缺商业模式</w:t>
            </w:r>
          </w:p>
        </w:tc>
      </w:tr>
    </w:tbl>
    <w:p>
      <w:r>
        <w:br w:type="page"/>
      </w:r>
    </w:p>
    <w:p>
      <w:pPr>
        <w:sectPr>
          <w:headerReference w:type="default" r:id="rId17"/>
          <w:footerReference w:type="default" r:id="rId18"/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五、功能性对标优化方案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5.1 每日时令（P1，工作量 3 天，ROI ★★★）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零成本高留存功能。利用已有的 lunar-typescript 库和 ganzhi.ts 中的节气表，80% 逻辑现成。展示当日干支、节气、宜忌、五行日主颜色指示。与新用户互动的每日入口。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5.2 RAG 古籍锚定（P1，工作量 5 天，ROI ★★★）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这是 qingnang.cc 最核心的差异化竞争力——每一句 AI 解读都引用《滴天髓》《三命通会》《增删卜易》等古籍原文并标注出处。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技术方案：把现有 duanyu.ts（1494行 64卦×18维）和 zhantiduans.ts 的断语库用 embedding 向量化，在 AI prompt 中动态注入最相关的古籍片段。可用本地 text-to-vector + 余弦相似度，无需外部向量数据库。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5.3 紫微斗数（P1，工作量 7 天，ROI ★★★）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覆盖十二宫排盘(命宫→父母宫)、14颗主星(紫微系+天府系)、辅星、四化。需要新建算法模块。对齐 qingnang 的免费排盘策略。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5.4 双人格 AI 模式（P2，工作量 3 天，ROI 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同一张盘可选「博导模式」或「老友模式」。博导：引经据典、逻辑严密；老友：风趣直白、接地气比喻。实现：同一个 AI prompt 架构，改 system.message 的 tone 参数。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5.5 按次计费系统（P2，工作量 5 天，ROI ★★★）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参考 qingnang「注册赠 50 灵签，按次计费、无订阅」模式。需要微信支付集成 + 用户余额管理 + 计费中间件。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5.6 SEO + PWA（P0，工作量 2 天，ROI ★★★）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添加完整 Open Graph / Twitter Card / JSON-LD / 百度验证 meta 标签；manifest.webmanifest + Service Worker 离线缓存；移动浏览器添加至桌面提示。</w:t>
      </w:r>
    </w:p>
    <w:p>
      <w:r>
        <w:br w:type="page"/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六、视觉 / 交互 / 动效优化方案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6.1 CSS 色板全面替换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从 Apple-style HSL 蓝白过渡到宣纸/黛青/琥珀金古籍配色：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CSS 变量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当前值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新值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色名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0 0% 100% (白)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#fbfaf5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宣纸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0 0% 9% (近黑)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#004d4d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黛青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--accent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211 100% 50% (蓝)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#d4af37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琥珀金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--muted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0 0% 96% (浅灰)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#f4f1e8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浅宣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--border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0 0% 91%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rgba(0,0,0,0.06)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淡墨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--success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141 72% 42% (绿)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#2d6a4f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苍翠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--danger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358 75% 52% (红)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#9c3d54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朱砂</w:t>
            </w:r>
          </w:p>
        </w:tc>
      </w:tr>
    </w:tbl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6.2 动画扩展（8 个核心关键帧）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全部定义在 src/index.css，组件通过 Tailwind 类或内联 animation 引用。每个动画 5-15 行 CSS：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glow-breathe — Logo 呼吸发光 (drop-shadow + text-shadow, 3s)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ink-spread — 墨水扩散 (scale + blur, 2.5s)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coin-flip — 六爻硬币 (rotateY 720deg, 1.2s)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foil-sheen — 金箔流光 (background-position, 13s)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btn-sheen — 按钮扫光 (skew + translate, 4.8s)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blink-cursor — 打字光标 (step-end, 0.8s)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pulse-lamp — 指示灯 (box-shadow, 2.4s)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glyph-float — 符文上浮 (translateY + opacity, 10s)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6.3 组件特效（6 个亮点）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.gold-foil-text — 金箔文字，用于八字日主和页首标题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.ink-border — 水墨描边，用于卡片和按钮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.spotlight-card — 聚光灯跟随鼠标，用于功能入口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.divider-ink — 水墨三色分割线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.yb-seal — 古印章组件，用于品牌标识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.marquee — 典籍滚动字幕，用于首页 banner</w:t>
      </w:r>
    </w:p>
    <w:p>
      <w:r>
        <w:br w:type="page"/>
      </w:r>
    </w:p>
    <w:p>
      <w:pPr>
        <w:sectPr>
          <w:headerReference w:type="default" r:id="rId21"/>
          <w:footerReference w:type="default" r:id="rId2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七、技术债务清理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改进目标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CSS 文件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1565 行单文件 + 大量内联 style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拆分 design tokens → tokens.css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字体引用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SF Pro / Noto Sans / Serif 混用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统一 font-serif / font-sans 类名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Canvas 组件色值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写死的 '#E0DDD5' / '#2C2C2C'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全面支持 CSS 变量动态配色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暗色/主题切换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仅 CSS 变量预备，无触发机制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添加主题切换按钮 + 3 套主题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Vite chunk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单个 1.4MB JS bundle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添加 manualChunks 代码分割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PWA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 manifest / SW / install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添加完整 PWA 支持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IndexedDB 同步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补丁式修复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重构为统一 sync 层</w:t>
            </w:r>
          </w:p>
        </w:tc>
      </w:tr>
    </w:tbl>
    <w:p>
      <w:r>
        <w:br w:type="page"/>
      </w:r>
    </w:p>
    <w:p>
      <w:pPr>
        <w:sectPr>
          <w:headerReference w:type="default" r:id="rId23"/>
          <w:footerReference w:type="default" r:id="rId2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八、实施优先级矩阵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此页面使用横向排版以完整展示 5 列矩阵。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10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600"/>
        <w:gridCol w:w="1600"/>
        <w:gridCol w:w="2626"/>
      </w:tblGrid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工作量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依赖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 立即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SEO + PWA 支持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 立即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CSS 色板 + 字体替换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 立即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动画关键帧 8 个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P0 立即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组件特效 4 个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 高优先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每日时令 (黄历)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lunar-typescript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 高优先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RAG 古籍锚定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5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duanyu.ts embedding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P1 高优先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紫微斗数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7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 中优先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双人格 AI 模式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AI prompt 调整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 中优先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按次计费 + 微信支付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5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微信支付商户号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P2 中优先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 套主题切换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CSS 变量已就绪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P3 低优先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奇门/大六壬/七政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22 天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★★</w:t>
            </w:r>
          </w:p>
        </w:tc>
        <w:tc>
          <w:tcPr>
            <w:tcW w:type="dxa" w:w="2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需新建大量算法</w:t>
            </w:r>
          </w:p>
        </w:tc>
      </w:tr>
    </w:tbl>
    <w:p>
      <w:r>
        <w:br w:type="page"/>
      </w:r>
    </w:p>
    <w:p>
      <w:pPr>
        <w:sectPr>
          <w:headerReference w:type="default" r:id="rId25"/>
          <w:footerReference w:type="default" r:id="rId26"/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九、关键文件清单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以下文件需要在 P0 阶段修改或新建：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需重写 (P0)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src/index.css — 色板 / 字体 / 动画全量替换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tailwind.config.js — 对齐新色板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src/App.tsx — 添加主题切换 / PWA manifest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src/components/layout/TopNav.tsx — 导航栏古籍风适配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src/components/ui/Card / Button / Badge — 样式适配新色板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需新建 (P0-P1)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src/styles/tokens.css — 设计 token 独立文件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public/manifest.webmanifest — PWA 清单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public/sw.js — Service Worker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src/features/daily/DailyPage.tsx — 每日时令页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src/utils/rag.ts — RAG 检索工具函数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src/features/bazi/BaziPersonaToggle.tsx — 双人格切换组件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src/features/ziwei/ — 紫微斗数模块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可复用资源（已存在，无需改动）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src/utils/duanyu.ts (1494行) — 断语库，RAG 的文本源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src/utils/zhantiduans.ts — 占题断语库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src/utils/ganzhi.ts — 干支/节气/四柱计算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lunar-typescript — 农历转换核心库</w:t>
      </w:r>
    </w:p>
    <w:p>
      <w:r>
        <w:br w:type="page"/>
      </w:r>
    </w:p>
    <w:p>
      <w:pPr>
        <w:sectPr>
          <w:headerReference w:type="default" r:id="rId27"/>
          <w:footerReference w:type="default" r:id="rId2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十、同业案例参考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10.1 Aura AI — AI 五行命盘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许志豪 2026 年作品，Vite 8 + React 19 + Tailwind v4 + Anthropic SDK，4 天从 idea 到 Vercel 上线。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五行 runtime CSS 变量：金/木/水/火/土整页 accent color 即时切换，呼应命盘五行本质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Canvas 2D 水墨流场粒子：由 Claude 共写，未使用 framer-motion/three.js，从零生成水墨游丝动画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Claude Design 做整体风格 prototype，古典美學 + 現代互動 + 結構化 AI 輸出三者同时成立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客户端纯函数日干推算 (Julian Day Number → 60 甲子循环)，不依赖后端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AI 结构化输出 (JSON output + prompt cache 降 token 成本)，繁体/英文双语支持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10.2 问卜 AI (wenbu.net)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Vue 3 + Element Plus + ECharts + Spring Boot + MySQL。前后端分离，WebSocket 实时 AI 对话。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ECharts 绘制八字干支图、十神关系图、九宫格局可视化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支持 DeepSeek / ChatGPT 多模型切换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Noto Sans SC" w:cs="Noto Sans SC" w:eastAsia="Noto Sans SC" w:hAnsi="Noto Sans SC"/>
          <w:color w:val="333333"/>
          <w:sz w:val="19"/>
          <w:szCs w:val="19"/>
        </w:rPr>
        <w:t xml:space="preserve">完整的 SaaS 计费与用户体系</w:t>
      </w:r>
    </w:p>
    <w:p>
      <w:pPr>
        <w:pStyle w:val="Heading2"/>
        <w:spacing w:after="180" w:before="360"/>
      </w:pPr>
      <w:r>
        <w:rPr>
          <w:rFonts w:ascii="Noto Serif SC" w:cs="Noto Serif SC" w:eastAsia="Noto Serif SC" w:hAnsi="Noto Serif SC"/>
          <w:b/>
          <w:bCs/>
          <w:color w:val="2D5F5F"/>
          <w:sz w:val="26"/>
          <w:szCs w:val="26"/>
        </w:rPr>
        <w:t xml:space="preserve">10.3 对御笔的直接启发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>水墨 Canvas 粒子动画和五行 CSS 变量即时换肤是御笔可以实现的最具视觉冲击力的特性。Canvas 2D 动画不需要 three.js——仅用原生 Canvas API + requestAnimationFrame 即可实现流动的墨水粒子效果。建议在 P0 的「组件特效」中优先实现金箔文字和水墨描边，在 P1 的 Canvas 扩展中实现水墨流场背景。</w:t>
      </w:r>
    </w:p>
    <w:p>
      <w:r>
        <w:br w:type="page"/>
      </w:r>
    </w:p>
    <w:p>
      <w:pPr>
        <w:sectPr>
          <w:headerReference w:type="default" r:id="rId29"/>
          <w:footerReference w:type="default" r:id="rId3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Noto Serif SC" w:cs="Noto Serif SC" w:eastAsia="Noto Serif SC" w:hAnsi="Noto Serif SC"/>
          <w:b/>
          <w:bCs/>
          <w:color w:val="1E3A3A"/>
          <w:sz w:val="36"/>
          <w:szCs w:val="36"/>
        </w:rPr>
        <w:t xml:space="preserve">十一、验证指标</w:t>
      </w:r>
    </w:p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当前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18"/>
                <w:szCs w:val="18"/>
              </w:rPr>
              <w:t xml:space="preserve">测量方式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Lighthouse 评分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~70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&gt;90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Chrome DevTools Audit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PWA 安装可用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否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是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移动端 → 添加到桌面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动画关键帧数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12+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grep @keyframes index.css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主题数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设置 → 主题切换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Open Graph 标签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无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完整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opengraph.xyz 检测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首页加载时间 (3G)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3-5s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&lt;2s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WebPageTest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SEO meta tags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仅 title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完整 + 百度验证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查看页面源码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术数覆盖数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4 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6 种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SC" w:cs="Noto Sans SC" w:eastAsia="Noto Sans SC" w:hAnsi="Noto Sans SC"/>
                <w:sz w:val="18"/>
                <w:szCs w:val="18"/>
              </w:rPr>
              <w:t xml:space="preserve">功能导航栏计数</w:t>
            </w:r>
          </w:p>
        </w:tc>
      </w:tr>
    </w:tbl>
    <w:p>
      <w:pPr>
        <w:spacing w:after="100"/>
      </w:pPr>
      <w:r>
        <w:rPr>
          <w:rFonts w:ascii="Noto Sans SC" w:cs="Noto Sans SC" w:eastAsia="Noto Sans SC" w:hAnsi="Noto Sans SC"/>
          <w:color w:val="1A1A1A"/>
          <w:sz w:val="20"/>
          <w:szCs w:val="20"/>
        </w:rPr>
        <w:t xml:space="preserve"/>
      </w:r>
    </w:p>
    <w:p>
      <w:pPr>
        <w:spacing w:before="600"/>
      </w:pPr>
    </w:p>
    <w:p>
      <w:pPr>
        <w:pBdr>
          <w:top w:val="single" w:color="D4AF37" w:sz="6" w:space="12"/>
        </w:pBdr>
        <w:spacing w:before="400"/>
        <w:jc w:val="center"/>
      </w:pPr>
      <w:r>
        <w:rPr>
          <w:rFonts w:ascii="Noto Serif SC" w:cs="Noto Serif SC" w:eastAsia="Noto Serif SC" w:hAnsi="Noto Serif SC"/>
          <w:i/>
          <w:iCs/>
          <w:color w:val="999999"/>
          <w:sz w:val="22"/>
          <w:szCs w:val="22"/>
        </w:rPr>
        <w:t xml:space="preserve">— 全文完 —</w:t>
      </w:r>
    </w:p>
    <w:sectPr>
      <w:headerReference w:type="default" r:id="rId31"/>
      <w:footerReference w:type="default" r:id="rId3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200"/>
      <w:jc w:val="center"/>
    </w:pPr>
    <w:r>
      <w:rPr>
        <w:rFonts w:ascii="Noto Sans SC" w:cs="Noto Sans SC" w:eastAsia="Noto Sans SC" w:hAnsi="Noto Sans SC"/>
        <w:color w:val="999999"/>
        <w:sz w:val="16"/>
        <w:szCs w:val="16"/>
      </w:rPr>
      <w:t xml:space="preserve">第 </w:t>
    </w:r>
    <w:r>
      <w:rPr>
        <w:rFonts w:ascii="Noto Sans SC" w:cs="Noto Sans SC" w:eastAsia="Noto Sans SC" w:hAnsi="Noto Sans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80"/>
      <w:jc w:val="right"/>
    </w:pPr>
    <w:r>
      <w:rPr>
        <w:rFonts w:ascii="Noto Serif SC" w:cs="Noto Serif SC" w:eastAsia="Noto Serif SC" w:hAnsi="Noto Serif SC"/>
        <w:color w:val="999999"/>
        <w:sz w:val="16"/>
        <w:szCs w:val="16"/>
      </w:rPr>
      <w:t xml:space="preserve">御笔易学 · qingnang.cc 对标优化方案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Noto Serif SC" w:cs="Noto Serif SC" w:eastAsia="Noto Serif SC" w:hAnsi="Noto Serif SC"/>
      <w:b/>
      <w:bCs/>
      <w:color w:val="1E3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Noto Serif SC" w:cs="Noto Serif SC" w:eastAsia="Noto Serif SC" w:hAnsi="Noto Serif SC"/>
      <w:b/>
      <w:bCs/>
      <w:color w:val="2D5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2026-06-14T14:13:31.017Z</dcterms:created>
  <dcterms:modified xsi:type="dcterms:W3CDTF">2026-06-14T14:13:31.018Z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