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变更批复书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变更编号</w:t>
            </w:r>
          </w:p>
        </w:tc>
        <w:tc>
          <w:tcPr>
            <w:tcW w:type="dxa" w:w="4320"/>
          </w:tcPr>
          <w:p>
            <w:r>
              <w:t>CR-W1-002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基于计算机视觉的农产品品质分级与溯源平台</w:t>
            </w:r>
          </w:p>
        </w:tc>
      </w:tr>
      <w:tr>
        <w:tc>
          <w:tcPr>
            <w:tcW w:type="dxa" w:w="4320"/>
          </w:tcPr>
          <w:p>
            <w:r>
              <w:t>申请人</w:t>
            </w:r>
          </w:p>
        </w:tc>
        <w:tc>
          <w:tcPr>
            <w:tcW w:type="dxa" w:w="4320"/>
          </w:tcPr>
          <w:p>
            <w:r>
              <w:t>W1（数据工程工程师）</w:t>
            </w:r>
          </w:p>
        </w:tc>
      </w:tr>
      <w:tr>
        <w:tc>
          <w:tcPr>
            <w:tcW w:type="dxa" w:w="4320"/>
          </w:tcPr>
          <w:p>
            <w:r>
              <w:t>关联里程碑</w:t>
            </w:r>
          </w:p>
        </w:tc>
        <w:tc>
          <w:tcPr>
            <w:tcW w:type="dxa" w:w="4320"/>
          </w:tcPr>
          <w:p>
            <w:r>
              <w:t>M2（模型训练）· yolov8s 追加实验</w:t>
            </w:r>
          </w:p>
        </w:tc>
      </w:tr>
      <w:tr>
        <w:tc>
          <w:tcPr>
            <w:tcW w:type="dxa" w:w="4320"/>
          </w:tcPr>
          <w:p>
            <w:r>
              <w:t>申请日期</w:t>
            </w:r>
          </w:p>
        </w:tc>
        <w:tc>
          <w:tcPr>
            <w:tcW w:type="dxa" w:w="4320"/>
          </w:tcPr>
          <w:p>
            <w:r>
              <w:t>2026-09-05</w:t>
            </w:r>
          </w:p>
        </w:tc>
      </w:tr>
      <w:tr>
        <w:tc>
          <w:tcPr>
            <w:tcW w:type="dxa" w:w="4320"/>
          </w:tcPr>
          <w:p>
            <w:r>
              <w:t>批复日期</w:t>
            </w:r>
          </w:p>
        </w:tc>
        <w:tc>
          <w:tcPr>
            <w:tcW w:type="dxa" w:w="4320"/>
          </w:tcPr>
          <w:p>
            <w:r>
              <w:t>2026-09-05</w:t>
            </w:r>
          </w:p>
        </w:tc>
      </w:tr>
      <w:tr>
        <w:tc>
          <w:tcPr>
            <w:tcW w:type="dxa" w:w="4320"/>
          </w:tcPr>
          <w:p>
            <w:r>
              <w:t>批复人</w:t>
            </w:r>
          </w:p>
        </w:tc>
        <w:tc>
          <w:tcPr>
            <w:tcW w:type="dxa" w:w="4320"/>
          </w:tcPr>
          <w:p>
            <w:r>
              <w:t>组长</w:t>
            </w:r>
          </w:p>
        </w:tc>
      </w:tr>
    </w:tbl>
    <w:p/>
    <w:p>
      <w:pPr>
        <w:pStyle w:val="Heading2"/>
      </w:pPr>
      <w:r>
        <w:t>一、变更内容摘要</w:t>
      </w:r>
    </w:p>
    <w:p>
      <w:pPr>
        <w:pStyle w:val="ListNumber"/>
      </w:pPr>
      <w:r>
        <w:t>1. train_detect.py / train_cls.py 的模型规模由硬编码 yolov8n 改为通过环境变量 YOLO_MODEL_SIZE 可配置；未设置时默认 yolov8n，保持旧行为完全兼容。</w:t>
      </w:r>
    </w:p>
    <w:p>
      <w:pPr>
        <w:pStyle w:val="ListNumber"/>
      </w:pPr>
      <w:r>
        <w:t>2. 训练产物同步到 Google Drive 时文件名追加规模后缀（如 best_detect_yolov8s.pt），实现 yolov8n 基线与 yolov8s 实验的物理隔离。</w:t>
      </w:r>
    </w:p>
    <w:p>
      <w:pPr>
        <w:pStyle w:val="ListNumber"/>
      </w:pPr>
      <w:r>
        <w:t>3. yolov8s 规模下自动下调 batch size：检测 16→8，分类 64→32，规避 T4 GPU 显存溢出。</w:t>
      </w:r>
    </w:p>
    <w:p>
      <w:pPr>
        <w:pStyle w:val="ListNumber"/>
      </w:pPr>
      <w:r>
        <w:t>4. sync_checkpoints.py 同步支持 YOLO_MODEL_SIZE，收尾崩溃时可就地抢救对应规模产物。</w:t>
      </w:r>
    </w:p>
    <w:p>
      <w:pPr>
        <w:pStyle w:val="Heading2"/>
      </w:pPr>
      <w:r>
        <w:t>二、批复结论</w:t>
      </w:r>
    </w:p>
    <w:p>
      <w:r>
        <w:t>同意方案 A：环境变量可配 + 文件名加后缀物理隔离。</w:t>
      </w:r>
    </w:p>
    <w:p>
      <w:r>
        <w:t>附加说明：变更申请人字段虽填写为 W1，但变更对象（训练脚本）属于 M2 视觉模型工作域；结合项目经理确认，本次变更实际由 W2 视觉模型工程师发起并实施，W1 承担脚本工程化与回归校验。批复以文件编号 CR-W1-002 为准。</w:t>
      </w:r>
    </w:p>
    <w:p>
      <w:pPr>
        <w:pStyle w:val="Heading2"/>
      </w:pPr>
      <w:r>
        <w:t>三、关键决策</w:t>
      </w:r>
    </w:p>
    <w:p>
      <w:r>
        <w:t>① 论文主模型是否升为 yolov8s：</w:t>
      </w:r>
    </w:p>
    <w:p>
      <w:r>
        <w:t>暂缓决策。当前维持 yolov8n 为论文主模型与系统部署默认模型；yolov8s 仅作为消融对照实验。待 yolov8s 训练完成后，按以下量化口径二次裁定：</w:t>
      </w:r>
    </w:p>
    <w:p>
      <w:pPr>
        <w:pStyle w:val="ListBullet"/>
      </w:pPr>
      <w:r>
        <w:t>若 yolov8s 相比 yolov8n 的 mAP50-95 提升 ≥ 0.05，且本机 CPU 推理单张耗时 &lt; 200ms，则批准将主模型切换为 yolov8s；</w:t>
      </w:r>
    </w:p>
    <w:p>
      <w:pPr>
        <w:pStyle w:val="ListBullet"/>
      </w:pPr>
      <w:r>
        <w:t>否则维持 yolov8n 为主模型，yolov8s 仅用于论文消融对比章节。</w:t>
      </w:r>
    </w:p>
    <w:p>
      <w:r>
        <w:t>② 接口契约②权重路径：</w:t>
      </w:r>
    </w:p>
    <w:p>
      <w:r>
        <w:t>在二次裁定前，W3 后端仍按原契约加载 best_detect.pt（yolov8n）。若主模型切换为 yolov8s，须由 W2 另提变更申请，同步修改接口契约②与 W3 加载逻辑。</w:t>
      </w:r>
    </w:p>
    <w:p>
      <w:pPr>
        <w:pStyle w:val="Heading2"/>
      </w:pPr>
      <w:r>
        <w:t>四、生效范围与后续动作</w:t>
      </w:r>
    </w:p>
    <w:p>
      <w:pPr>
        <w:pStyle w:val="ListNumber"/>
      </w:pPr>
      <w:r>
        <w:t>W2 可在 Colab 立即执行 yolov8s 追加实验：先 %env YOLO_MODEL_SIZE=yolov8s，再 %run train_detect.py / train_cls.py。</w:t>
      </w:r>
    </w:p>
    <w:p>
      <w:pPr>
        <w:pStyle w:val="ListNumber"/>
      </w:pPr>
      <w:r>
        <w:t>yolov8n 基线产物（best_detect.pt 等）保留在 Drive BISHE/models/，禁止覆盖。</w:t>
      </w:r>
    </w:p>
    <w:p>
      <w:pPr>
        <w:pStyle w:val="ListNumber"/>
      </w:pPr>
      <w:r>
        <w:t>W3 后端保持现状，继续以 best_detect.pt（yolov8n）对接 mock→真实模型切换工作。</w:t>
      </w:r>
    </w:p>
    <w:p>
      <w:pPr>
        <w:pStyle w:val="ListNumber"/>
      </w:pPr>
      <w:r>
        <w:t>yolov8s 实验完成后，W2 须在 M2 汇报中单独列出 yolov8n vs yolov8s 消融指标，并提出主模型切换的后续变更申请（如适用）。</w:t>
      </w:r>
    </w:p>
    <w:p>
      <w:pPr>
        <w:pStyle w:val="Heading2"/>
      </w:pPr>
      <w:r>
        <w:t>五、风险与约束</w:t>
      </w:r>
    </w:p>
    <w:p>
      <w:pPr>
        <w:pStyle w:val="ListBullet"/>
      </w:pPr>
      <w:r>
        <w:t>yolov8s 训练时长约为 yolov8n 的 2–3 倍，Colab 免费 GPU 有 12h 会话限制，需设置断点续训或分阶段运行。</w:t>
      </w:r>
    </w:p>
    <w:p>
      <w:pPr>
        <w:pStyle w:val="ListBullet"/>
      </w:pPr>
      <w:r>
        <w:t>切换主模型属于接口契约②变更，必须走正式变更流程，不得由 W2/W3 私下协商。</w:t>
      </w:r>
    </w:p>
    <w:p>
      <w:pPr>
        <w:pStyle w:val="ListBullet"/>
      </w:pPr>
      <w:r>
        <w:t>所有训练产物命名须严格按 YOLO_MODEL_SIZE 后缀规则，避免 Drive 文件互相覆盖导致对照组丢失。</w:t>
      </w:r>
    </w:p>
    <w:p/>
    <w:p>
      <w:pPr>
        <w:jc w:val="right"/>
      </w:pPr>
      <w:r>
        <w:t>批复人签字：_______________</w:t>
      </w:r>
    </w:p>
    <w:p>
      <w:pPr>
        <w:jc w:val="right"/>
      </w:pPr>
      <w:r>
        <w:t>日期：2026-09-05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