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00"/>
        <w:jc w:val="center"/>
      </w:pPr>
      <w:r>
        <w:rPr>
          <w:rFonts w:ascii="微软雅黑" w:hAnsi="微软雅黑" w:eastAsia="微软雅黑"/>
          <w:b/>
          <w:color w:val="1F4E79"/>
          <w:sz w:val="52"/>
        </w:rPr>
        <w:t>软件工程毕业设计选题方案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——基于社会需求调研与前沿技术研判的创新型选题草拟</w:t>
      </w:r>
    </w:p>
    <w:p>
      <w:pPr>
        <w:spacing w:after="800"/>
        <w:jc w:val="center"/>
      </w:pPr>
      <w:r>
        <w:rPr>
          <w:rFonts w:ascii="宋体" w:hAnsi="宋体" w:eastAsia="宋体"/>
          <w:color w:val="777777"/>
          <w:sz w:val="21"/>
        </w:rPr>
        <w:t>适用对象：软件工程专业本科毕业生　|　文档版本：v1.0　|　编制日期：2026-09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30"/>
        </w:rPr>
        <w:t>目　录</w:t>
      </w:r>
    </w:p>
    <w:p>
      <w:r>
        <w:fldChar w:fldCharType="begin"/>
        <w:instrText xml:space="preserve">TOC \o "1-3" \h \z \u</w:instrText>
        <w:fldChar w:fldCharType="separate"/>
        <w:t>（在 Word 中右键“更新域”以生成目录）</w:t>
        <w:fldChar w:fldCharType="end"/>
      </w:r>
    </w:p>
    <w:p>
      <w:r>
        <w:br w:type="page"/>
      </w:r>
    </w:p>
    <w:p>
      <w:pPr>
        <w:spacing w:before="200" w:after="80" w:line="312" w:lineRule="auto"/>
        <w:jc w:val="left"/>
      </w:pPr>
      <w:r>
        <w:rPr>
          <w:rFonts w:ascii="微软雅黑" w:hAnsi="微软雅黑" w:eastAsia="微软雅黑"/>
          <w:b/>
          <w:color w:val="1F4E79"/>
          <w:sz w:val="32"/>
        </w:rPr>
        <w:t>一、社会需求调研分析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本方案以“需求牵引、技术支撑”为原则，综合国家数字社会政策导向与公开社会调研数据，识别出当前最迫切、且与软件工程能力高度匹配的民生需求场景。以下需求均来自权威来源，可作为选题的现实锚点。</w:t>
      </w:r>
    </w:p>
    <w:p>
      <w:pPr>
        <w:spacing w:before="120" w:after="80" w:line="312" w:lineRule="auto"/>
      </w:pPr>
      <w:r>
        <w:rPr>
          <w:rFonts w:ascii="微软雅黑" w:hAnsi="微软雅黑" w:eastAsia="微软雅黑"/>
          <w:b/>
          <w:color w:val="1F4E79"/>
          <w:sz w:val="28"/>
        </w:rPr>
        <w:t>1.1 政策与社会的双重信号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国家数据局《2025年数字社会工作要点》明确将医疗、养老、教育、社保、文旅、社区列为与群众利益最直接相关的六大重点领域，并部署“三医”协同、医康养联动、智慧教育、灵活就业、智慧文旅、智慧社区等一批“小切口”应用场景。2025年全国两会调查中，“民生保障”“社会治理”位列热词前三，其中 72.33% 的网民呼吁加强社区养老服务，82.16% 的网民期盼打击网络谣言——数字技术正成为破解民生治理难题的关键路径。</w:t>
      </w:r>
    </w:p>
    <w:p>
      <w:pPr>
        <w:spacing w:before="120" w:after="80" w:line="312" w:lineRule="auto"/>
      </w:pPr>
      <w:r>
        <w:rPr>
          <w:rFonts w:ascii="微软雅黑" w:hAnsi="微软雅黑" w:eastAsia="微软雅黑"/>
          <w:b/>
          <w:color w:val="1F4E79"/>
          <w:sz w:val="28"/>
        </w:rPr>
        <w:t>1.2 关键需求场景梳理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需求领域</w:t>
            </w:r>
          </w:p>
        </w:tc>
        <w:tc>
          <w:tcPr>
            <w:tcW w:type="dxa" w:w="2381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核心痛点</w:t>
            </w:r>
          </w:p>
        </w:tc>
        <w:tc>
          <w:tcPr>
            <w:tcW w:type="dxa" w:w="2381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数字化契机</w:t>
            </w:r>
          </w:p>
        </w:tc>
        <w:tc>
          <w:tcPr>
            <w:tcW w:type="dxa" w:w="2381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软件工程切入点</w:t>
            </w:r>
          </w:p>
        </w:tc>
      </w:tr>
      <w:tr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智慧养老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独居老人健康监测难、社区养老资源不足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医康养联动、居家+社区+机构融合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本地化AI陪护、异常预警、健康画像</w:t>
            </w:r>
          </w:p>
        </w:tc>
      </w:tr>
      <w:tr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医疗健康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数据孤岛、跨机构协同难、基层能力弱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三医协同、互联网医院、AI辅助诊断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联邦学习、医学影像分析、RAG问诊</w:t>
            </w:r>
          </w:p>
        </w:tc>
      </w:tr>
      <w:tr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教育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个性化不足、乡村师资薄弱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AI+教育改革、资源共享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知识库问答、学习路径推荐</w:t>
            </w:r>
          </w:p>
        </w:tc>
      </w:tr>
      <w:tr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基层治理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基层报表多头填报、数据核查负担重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报表数据“只报一次”、一网统管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OCR/LLM+RPA 自动填报核查</w:t>
            </w:r>
          </w:p>
        </w:tc>
      </w:tr>
      <w:tr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新就业群体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骑手/网约车司机社保与安全保障缺失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灵活就业权益保障、零工市场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边缘安全监测、权益保障助手</w:t>
            </w:r>
          </w:p>
        </w:tc>
      </w:tr>
      <w:tr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农产品与乡村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分级靠人工、溯源难信任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乡村振兴、农产品溯源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CV分级 + 区块链溯源</w:t>
            </w:r>
          </w:p>
        </w:tc>
      </w:tr>
      <w:tr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企业碳管理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碳核算成本高、减排决策缺数据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绿色低碳、可持续发展</w:t>
            </w:r>
          </w:p>
        </w:tc>
        <w:tc>
          <w:tcPr>
            <w:tcW w:type="dxa" w:w="2381"/>
          </w:tcPr>
          <w:p>
            <w:r>
              <w:rPr>
                <w:rFonts w:ascii="宋体" w:hAnsi="宋体" w:eastAsia="宋体"/>
                <w:sz w:val="21"/>
              </w:rPr>
              <w:t>CV+Llama 智能核算与决策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结论：上述场景中，“养老、医疗、教育、基层治理、新就业群体”五类需求兼具社会紧迫性与技术可行性，是毕业设计的优选土壤。</w:t>
      </w:r>
    </w:p>
    <w:p>
      <w:pPr>
        <w:spacing w:before="200" w:after="80" w:line="312" w:lineRule="auto"/>
        <w:jc w:val="left"/>
      </w:pPr>
      <w:r>
        <w:rPr>
          <w:rFonts w:ascii="微软雅黑" w:hAnsi="微软雅黑" w:eastAsia="微软雅黑"/>
          <w:b/>
          <w:color w:val="1F4E79"/>
          <w:sz w:val="32"/>
        </w:rPr>
        <w:t>二、技术趋势研判（成熟且前沿）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选题须“用成熟技术做前沿应用”，避免采用尚不稳定、难以落地的技术。下列技术均已具备成熟开源生态与生产级案例，适合本科毕设的工程化实现。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技术方向</w:t>
            </w:r>
          </w:p>
        </w:tc>
        <w:tc>
          <w:tcPr>
            <w:tcW w:type="dxa" w:w="2948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代表工具/框架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成熟度</w:t>
            </w:r>
          </w:p>
        </w:tc>
        <w:tc>
          <w:tcPr>
            <w:tcW w:type="dxa" w:w="2154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典型应用场景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大语言模型工程化与AI Agent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sz w:val="21"/>
              </w:rPr>
              <w:t>LangChain/LlamaIndex、LangGraph、MetaGPT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21"/>
              </w:rPr>
              <w:t>★成熟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21"/>
              </w:rPr>
              <w:t>RAG问答、多智能体编排、自动化流程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本地化/边缘AI部署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sz w:val="21"/>
              </w:rPr>
              <w:t>Ollama、llama.cpp、Jetson Nano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21"/>
              </w:rPr>
              <w:t>★成熟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21"/>
              </w:rPr>
              <w:t>隐私敏感场景、离线推理、低延迟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联邦学习 + 隐私计算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sz w:val="21"/>
              </w:rPr>
              <w:t>Flower、PySyft、差分隐私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21"/>
              </w:rPr>
              <w:t>★较成熟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21"/>
              </w:rPr>
              <w:t>跨机构医疗建模、数据不出域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计算机视觉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sz w:val="21"/>
              </w:rPr>
              <w:t>YOLOv8、SwinIR、OpenCV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21"/>
              </w:rPr>
              <w:t>★成熟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21"/>
              </w:rPr>
              <w:t>图像识别、超分辨率、目标检测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知识图谱 + 推荐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sz w:val="21"/>
              </w:rPr>
              <w:t>Neo4j、协同过滤/深度学习推荐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21"/>
              </w:rPr>
              <w:t>★成熟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21"/>
              </w:rPr>
              <w:t>个性化学习、智能导购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云原生 / MLOps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sz w:val="21"/>
              </w:rPr>
              <w:t>Kubernetes、MLflow、Prometheus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21"/>
              </w:rPr>
              <w:t>★成熟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21"/>
              </w:rPr>
              <w:t>模型全生命周期管理、弹性部署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低代码工作流编排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sz w:val="21"/>
              </w:rPr>
              <w:t>n8n、Langflow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21"/>
              </w:rPr>
              <w:t>★成熟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21"/>
              </w:rPr>
              <w:t>基层填报、业务流程自动化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1"/>
              </w:rPr>
              <w:t>鸿蒙/移动端开发</w:t>
            </w:r>
          </w:p>
        </w:tc>
        <w:tc>
          <w:tcPr>
            <w:tcW w:type="dxa" w:w="2948"/>
          </w:tcPr>
          <w:p>
            <w:r>
              <w:rPr>
                <w:rFonts w:ascii="宋体" w:hAnsi="宋体" w:eastAsia="宋体"/>
                <w:sz w:val="21"/>
              </w:rPr>
              <w:t>ArkUI、MindSpore Lite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21"/>
              </w:rPr>
              <w:t>★上升期</w:t>
            </w:r>
          </w:p>
        </w:tc>
        <w:tc>
          <w:tcPr>
            <w:tcW w:type="dxa" w:w="2154"/>
          </w:tcPr>
          <w:p>
            <w:r>
              <w:rPr>
                <w:rFonts w:ascii="宋体" w:hAnsi="宋体" w:eastAsia="宋体"/>
                <w:sz w:val="21"/>
              </w:rPr>
              <w:t>端侧AI、适老化应用</w:t>
            </w:r>
          </w:p>
        </w:tc>
      </w:tr>
    </w:tbl>
    <w:p>
      <w:pPr>
        <w:spacing w:after="40"/>
      </w:pPr>
    </w:p>
    <w:p>
      <w:pPr>
        <w:spacing w:before="200" w:after="80" w:line="312" w:lineRule="auto"/>
        <w:jc w:val="left"/>
      </w:pPr>
      <w:r>
        <w:rPr>
          <w:rFonts w:ascii="微软雅黑" w:hAnsi="微软雅黑" w:eastAsia="微软雅黑"/>
          <w:b/>
          <w:color w:val="1F4E79"/>
          <w:sz w:val="32"/>
        </w:rPr>
        <w:t>三、毕业设计选题方案（六选）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以下六个选题均满足“有创新点、技术前沿且成熟、可行性高”三项要求，覆盖不同难度与兴趣方向，可按个人技术储备与导师方向选择。</w:t>
      </w:r>
    </w:p>
    <w:p>
      <w:pPr>
        <w:spacing w:before="120" w:after="80" w:line="312" w:lineRule="auto"/>
      </w:pPr>
      <w:r>
        <w:rPr>
          <w:rFonts w:ascii="微软雅黑" w:hAnsi="微软雅黑" w:eastAsia="微软雅黑"/>
          <w:b/>
          <w:color w:val="1F4E79"/>
          <w:sz w:val="28"/>
        </w:rPr>
        <w:t>选题一：基于本地化大模型的独居老人健康陪护与异常预警系统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3"/>
        </w:rPr>
        <w:t>【社会需求与背景】老龄化加剧，72%以上网民关注社区养老；独居老人面临突发健康事件响应慢、隐私顾虑强（不愿数据上云）的痛点。</w:t>
      </w:r>
    </w:p>
    <w:p>
      <w:pPr>
        <w:spacing w:after="60"/>
      </w:pPr>
      <w:r>
        <w:rPr>
          <w:rFonts w:ascii="宋体" w:hAnsi="宋体" w:eastAsia="宋体"/>
          <w:b/>
          <w:sz w:val="23"/>
        </w:rPr>
        <w:t>【核心创新点】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3"/>
        </w:rPr>
        <w:t>本地化部署开源大模型（Ollama + llama.cpp），实现“数据不出户”的隐私保护，呼应技术向善与适老化改造要求；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3"/>
        </w:rPr>
        <w:t>多智能体协同架构：健康问答 Agent + 用药提醒 Agent + 异常检测 Agent，由 LangGraph 统一编排；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3"/>
        </w:rPr>
        <w:t>轻量化推理（量化/蒸馏）跑在树莓派/Jetson Nano 等边缘设备上，成本低、可演示。</w:t>
      </w:r>
    </w:p>
    <w:p>
      <w:pPr>
        <w:spacing w:after="60"/>
      </w:pPr>
      <w:r>
        <w:rPr>
          <w:rFonts w:ascii="宋体" w:hAnsi="宋体" w:eastAsia="宋体"/>
          <w:sz w:val="23"/>
        </w:rPr>
        <w:t>【技术栈】Python + Ollama + LangGraph + Chroma 向量库 + 边缘设备（树莓派4B/Jetson Nano）+ 语音交互</w:t>
      </w:r>
    </w:p>
    <w:p>
      <w:pPr>
        <w:spacing w:after="60"/>
      </w:pPr>
      <w:r>
        <w:rPr>
          <w:rFonts w:ascii="宋体" w:hAnsi="宋体" w:eastAsia="宋体"/>
          <w:sz w:val="23"/>
        </w:rPr>
        <w:t>【可行性分析】开源模型与框架成熟；可用公开健康对话/传感器数据集 + 规则模拟；硬件成本低（数百元）。难度：中。</w:t>
      </w:r>
    </w:p>
    <w:p>
      <w:pPr>
        <w:spacing w:after="160"/>
      </w:pPr>
      <w:r>
        <w:rPr>
          <w:rFonts w:ascii="宋体" w:hAnsi="宋体" w:eastAsia="宋体"/>
          <w:sz w:val="23"/>
        </w:rPr>
        <w:t>【预期成果】可演示的陪护原型 + 论文（本地化 vs 云端部署的延迟/隐私对比实验）。</w:t>
      </w:r>
    </w:p>
    <w:p>
      <w:pPr>
        <w:spacing w:before="120" w:after="80" w:line="312" w:lineRule="auto"/>
      </w:pPr>
      <w:r>
        <w:rPr>
          <w:rFonts w:ascii="微软雅黑" w:hAnsi="微软雅黑" w:eastAsia="微软雅黑"/>
          <w:b/>
          <w:color w:val="1F4E79"/>
          <w:sz w:val="28"/>
        </w:rPr>
        <w:t>选题二：基于联邦学习的区域医疗影像辅助诊断系统（隐私保护）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3"/>
        </w:rPr>
        <w:t>【社会需求与背景】“三医”协同要求医疗机构数据互通，但患者隐私与合规禁止原始数据出域，形成数据孤岛。</w:t>
      </w:r>
    </w:p>
    <w:p>
      <w:pPr>
        <w:spacing w:after="60"/>
      </w:pPr>
      <w:r>
        <w:rPr>
          <w:rFonts w:ascii="宋体" w:hAnsi="宋体" w:eastAsia="宋体"/>
          <w:b/>
          <w:sz w:val="23"/>
        </w:rPr>
        <w:t>【核心创新点】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3"/>
        </w:rPr>
        <w:t>采用 Flower 联邦学习框架，多家机构本地训练、仅交换模型参数，解决“数据可用不可见”；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3"/>
        </w:rPr>
        <w:t>引入差分隐私加固，给出隐私预算(ε)与精度的权衡分析；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3"/>
        </w:rPr>
        <w:t>对比“集中式训练 vs 联邦学习”的精度损失，论证隐私保护下的实用价值。</w:t>
      </w:r>
    </w:p>
    <w:p>
      <w:pPr>
        <w:spacing w:after="60"/>
      </w:pPr>
      <w:r>
        <w:rPr>
          <w:rFonts w:ascii="宋体" w:hAnsi="宋体" w:eastAsia="宋体"/>
          <w:sz w:val="23"/>
        </w:rPr>
        <w:t>【技术栈】Python + PyTorch + Flower + 差分隐私 + 公开医学影像数据集（如 ChestX-ray14、ISIC）</w:t>
      </w:r>
    </w:p>
    <w:p>
      <w:pPr>
        <w:spacing w:after="60"/>
      </w:pPr>
      <w:r>
        <w:rPr>
          <w:rFonts w:ascii="宋体" w:hAnsi="宋体" w:eastAsia="宋体"/>
          <w:sz w:val="23"/>
        </w:rPr>
        <w:t>【可行性分析】数据集公开、框架文档完善；可在单机模拟多客户端。难度：中高。</w:t>
      </w:r>
    </w:p>
    <w:p>
      <w:pPr>
        <w:spacing w:after="160"/>
      </w:pPr>
      <w:r>
        <w:rPr>
          <w:rFonts w:ascii="宋体" w:hAnsi="宋体" w:eastAsia="宋体"/>
          <w:sz w:val="23"/>
        </w:rPr>
        <w:t>【预期成果】联邦训练原型 + 收敛曲线 + 隐私-精度对比实验，论文素材丰富。</w:t>
      </w:r>
    </w:p>
    <w:p>
      <w:pPr>
        <w:spacing w:before="120" w:after="80" w:line="312" w:lineRule="auto"/>
      </w:pPr>
      <w:r>
        <w:rPr>
          <w:rFonts w:ascii="微软雅黑" w:hAnsi="微软雅黑" w:eastAsia="微软雅黑"/>
          <w:b/>
          <w:color w:val="1F4E79"/>
          <w:sz w:val="28"/>
        </w:rPr>
        <w:t>选题三：基于RAG的高校课程知识库智能问答与个性化学习路径推荐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3"/>
        </w:rPr>
        <w:t>【社会需求与背景】“AI+教育改革”背景下，学生需要精准、可追溯的问答，而非易幻觉的通用大模型回答。</w:t>
      </w:r>
    </w:p>
    <w:p>
      <w:pPr>
        <w:spacing w:after="60"/>
      </w:pPr>
      <w:r>
        <w:rPr>
          <w:rFonts w:ascii="宋体" w:hAnsi="宋体" w:eastAsia="宋体"/>
          <w:b/>
          <w:sz w:val="23"/>
        </w:rPr>
        <w:t>【核心创新点】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3"/>
        </w:rPr>
        <w:t>RAG 架构（LlamaIndex + Chroma）将回答锚定到课程教材/课件，抑制幻觉并提供出处；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3"/>
        </w:rPr>
        <w:t>融合知识图谱刻画知识点先修关系，生成个性化学习路径；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3"/>
        </w:rPr>
        <w:t>结合学习者行为数据做推荐，形成“问—学—练”闭环。</w:t>
      </w:r>
    </w:p>
    <w:p>
      <w:pPr>
        <w:spacing w:after="60"/>
      </w:pPr>
      <w:r>
        <w:rPr>
          <w:rFonts w:ascii="宋体" w:hAnsi="宋体" w:eastAsia="宋体"/>
          <w:sz w:val="23"/>
        </w:rPr>
        <w:t>【技术栈】Vue/React 前端 + FastAPI 后端 + LlamaIndex + Chroma + 推荐算法（协同过滤/图算法）</w:t>
      </w:r>
    </w:p>
    <w:p>
      <w:pPr>
        <w:spacing w:after="60"/>
      </w:pPr>
      <w:r>
        <w:rPr>
          <w:rFonts w:ascii="宋体" w:hAnsi="宋体" w:eastAsia="宋体"/>
          <w:sz w:val="23"/>
        </w:rPr>
        <w:t>【可行性分析】课程文档可自建语料；框架成熟、社区案例多。难度：中。可行性高。</w:t>
      </w:r>
    </w:p>
    <w:p>
      <w:pPr>
        <w:spacing w:after="160"/>
      </w:pPr>
      <w:r>
        <w:rPr>
          <w:rFonts w:ascii="宋体" w:hAnsi="宋体" w:eastAsia="宋体"/>
          <w:sz w:val="23"/>
        </w:rPr>
        <w:t>【预期成果】可运行问答系统 + 学习路径可视化，演示效果好、论文易写。</w:t>
      </w:r>
    </w:p>
    <w:p>
      <w:pPr>
        <w:spacing w:before="120" w:after="80" w:line="312" w:lineRule="auto"/>
      </w:pPr>
      <w:r>
        <w:rPr>
          <w:rFonts w:ascii="微软雅黑" w:hAnsi="微软雅黑" w:eastAsia="微软雅黑"/>
          <w:b/>
          <w:color w:val="1F4E79"/>
          <w:sz w:val="28"/>
        </w:rPr>
        <w:t>选题四：面向基层减负的智能报表填报与数据核查系统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3"/>
        </w:rPr>
        <w:t>【社会需求与背景】国家明确要求基层报表数据“只报一次”，但基层仍面临多头填报、人工核查易错的负担。</w:t>
      </w:r>
    </w:p>
    <w:p>
      <w:pPr>
        <w:spacing w:after="60"/>
      </w:pPr>
      <w:r>
        <w:rPr>
          <w:rFonts w:ascii="宋体" w:hAnsi="宋体" w:eastAsia="宋体"/>
          <w:b/>
          <w:sz w:val="23"/>
        </w:rPr>
        <w:t>【核心创新点】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3"/>
        </w:rPr>
        <w:t>OCR（PaddleOCR）+ LLM 自动抽取表单字段，一键生成标准化填报数据；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3"/>
        </w:rPr>
        <w:t>基于 n8n/Langflow 的低代码工作流，串联“采集—校验—上报”多系统；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3"/>
        </w:rPr>
        <w:t>多源数据自动比对核查，标记异常并给出提示，显著降低人工成本。</w:t>
      </w:r>
    </w:p>
    <w:p>
      <w:pPr>
        <w:spacing w:after="60"/>
      </w:pPr>
      <w:r>
        <w:rPr>
          <w:rFonts w:ascii="宋体" w:hAnsi="宋体" w:eastAsia="宋体"/>
          <w:sz w:val="23"/>
        </w:rPr>
        <w:t>【技术栈】Python + PaddleOCR + 开源LLM + n8n/Langflow + 轻量前端</w:t>
      </w:r>
    </w:p>
    <w:p>
      <w:pPr>
        <w:spacing w:after="60"/>
      </w:pPr>
      <w:r>
        <w:rPr>
          <w:rFonts w:ascii="宋体" w:hAnsi="宋体" w:eastAsia="宋体"/>
          <w:sz w:val="23"/>
        </w:rPr>
        <w:t>【可行性分析】政策高度契合、开源工具成熟；可用模拟报表数据验证。难度：中。可行性高。</w:t>
      </w:r>
    </w:p>
    <w:p>
      <w:pPr>
        <w:spacing w:after="160"/>
      </w:pPr>
      <w:r>
        <w:rPr>
          <w:rFonts w:ascii="宋体" w:hAnsi="宋体" w:eastAsia="宋体"/>
          <w:sz w:val="23"/>
        </w:rPr>
        <w:t>【预期成果】填报效率对比演示 + 核查准确率评估，社会价值直观。</w:t>
      </w:r>
    </w:p>
    <w:p>
      <w:pPr>
        <w:spacing w:before="120" w:after="80" w:line="312" w:lineRule="auto"/>
      </w:pPr>
      <w:r>
        <w:rPr>
          <w:rFonts w:ascii="微软雅黑" w:hAnsi="微软雅黑" w:eastAsia="微软雅黑"/>
          <w:b/>
          <w:color w:val="1F4E79"/>
          <w:sz w:val="28"/>
        </w:rPr>
        <w:t>选题五：基于计算机视觉的农产品品质分级与溯源平台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3"/>
        </w:rPr>
        <w:t>【社会需求与背景】乡村振兴中，农产品分级依赖人工、主观性强；消费者对溯源真实性存疑。</w:t>
      </w:r>
    </w:p>
    <w:p>
      <w:pPr>
        <w:spacing w:after="60"/>
      </w:pPr>
      <w:r>
        <w:rPr>
          <w:rFonts w:ascii="宋体" w:hAnsi="宋体" w:eastAsia="宋体"/>
          <w:b/>
          <w:sz w:val="23"/>
        </w:rPr>
        <w:t>【核心创新点】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3"/>
        </w:rPr>
        <w:t>成熟技术 + 新场景：YOLOv8 实现外观/瑕疵自动分级，速度快、精度高；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3"/>
        </w:rPr>
        <w:t>分级结果写入哈希链，构建不可篡改的溯源链；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3"/>
        </w:rPr>
        <w:t>IoT 采集生长环境数据，形成“分级—溯源—展示”一体化。</w:t>
      </w:r>
    </w:p>
    <w:p>
      <w:pPr>
        <w:spacing w:after="60"/>
      </w:pPr>
      <w:r>
        <w:rPr>
          <w:rFonts w:ascii="宋体" w:hAnsi="宋体" w:eastAsia="宋体"/>
          <w:sz w:val="23"/>
        </w:rPr>
        <w:t>【技术栈】YOLOv8 + OpenCV + 哈希链 + Vue 前端 + 可选 IoT 设备</w:t>
      </w:r>
    </w:p>
    <w:p>
      <w:pPr>
        <w:spacing w:after="60"/>
      </w:pPr>
      <w:r>
        <w:rPr>
          <w:rFonts w:ascii="宋体" w:hAnsi="宋体" w:eastAsia="宋体"/>
          <w:sz w:val="23"/>
        </w:rPr>
        <w:t>【可行性分析】公开农产品图像数据集 + 预训练模型微调；区块链可用本地私链。难度：中高。</w:t>
      </w:r>
    </w:p>
    <w:p>
      <w:pPr>
        <w:spacing w:after="160"/>
      </w:pPr>
      <w:r>
        <w:rPr>
          <w:rFonts w:ascii="宋体" w:hAnsi="宋体" w:eastAsia="宋体"/>
          <w:sz w:val="23"/>
        </w:rPr>
        <w:t>【预期成果】分级模型 + 溯源查询原型，兼具算法与系统维度。</w:t>
      </w:r>
    </w:p>
    <w:p>
      <w:pPr>
        <w:spacing w:before="120" w:after="80" w:line="312" w:lineRule="auto"/>
      </w:pPr>
      <w:r>
        <w:rPr>
          <w:rFonts w:ascii="微软雅黑" w:hAnsi="微软雅黑" w:eastAsia="微软雅黑"/>
          <w:b/>
          <w:color w:val="1F4E79"/>
          <w:sz w:val="28"/>
        </w:rPr>
        <w:t>选题六：基于边缘计算的外卖骑手安全监测与权益保障助手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3"/>
        </w:rPr>
        <w:t>【社会需求与背景】新就业群体规模庞大，骑手疲劳驾驶、交通事故风险高，社保与安全保障亟待加强。</w:t>
      </w:r>
    </w:p>
    <w:p>
      <w:pPr>
        <w:spacing w:after="60"/>
      </w:pPr>
      <w:r>
        <w:rPr>
          <w:rFonts w:ascii="宋体" w:hAnsi="宋体" w:eastAsia="宋体"/>
          <w:b/>
          <w:sz w:val="23"/>
        </w:rPr>
        <w:t>【核心创新点】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3"/>
        </w:rPr>
        <w:t>边缘端实时处理（手机/Jetson）实现疲劳与危险驾驶行为预警，数据本地处理保隐私；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3"/>
        </w:rPr>
        <w:t>模型轻量化（量化/剪枝）适配移动端，低功耗实时运行；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3"/>
        </w:rPr>
        <w:t>联动权益保障知识库，主动推送社保、维权指引。</w:t>
      </w:r>
    </w:p>
    <w:p>
      <w:pPr>
        <w:spacing w:after="60"/>
      </w:pPr>
      <w:r>
        <w:rPr>
          <w:rFonts w:ascii="宋体" w:hAnsi="宋体" w:eastAsia="宋体"/>
          <w:sz w:val="23"/>
        </w:rPr>
        <w:t>【技术栈】Android/移动端 + 边缘推理（TFLite/ONNX Runtime）+ 传感器 + 轻量后端</w:t>
      </w:r>
    </w:p>
    <w:p>
      <w:pPr>
        <w:spacing w:after="60"/>
      </w:pPr>
      <w:r>
        <w:rPr>
          <w:rFonts w:ascii="宋体" w:hAnsi="宋体" w:eastAsia="宋体"/>
          <w:sz w:val="23"/>
        </w:rPr>
        <w:t>【可行性分析】可用公开驾驶行为数据集训练 + 仿真验证；需一定硬件/移动端基础。难度：中高。</w:t>
      </w:r>
    </w:p>
    <w:p>
      <w:pPr>
        <w:spacing w:after="160"/>
      </w:pPr>
      <w:r>
        <w:rPr>
          <w:rFonts w:ascii="宋体" w:hAnsi="宋体" w:eastAsia="宋体"/>
          <w:sz w:val="23"/>
        </w:rPr>
        <w:t>【预期成果】预警原型 + 权益知识助手，社会关怀属性强。</w:t>
      </w:r>
    </w:p>
    <w:p>
      <w:pPr>
        <w:spacing w:before="200" w:after="80" w:line="312" w:lineRule="auto"/>
        <w:jc w:val="left"/>
      </w:pPr>
      <w:r>
        <w:rPr>
          <w:rFonts w:ascii="微软雅黑" w:hAnsi="微软雅黑" w:eastAsia="微软雅黑"/>
          <w:b/>
          <w:color w:val="1F4E79"/>
          <w:sz w:val="32"/>
        </w:rPr>
        <w:t>四、选题对比与推荐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下表从社会需求契合度、技术前沿性、可行性、论文易写度四个维度对六个选题进行定性评估（★越多越优），供决策参考。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2494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选题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需求契合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技术前沿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可行性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论文易写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综合推荐</w:t>
            </w:r>
          </w:p>
        </w:tc>
      </w:tr>
      <w:tr>
        <w:tc>
          <w:tcPr>
            <w:tcW w:type="dxa" w:w="2494"/>
          </w:tcPr>
          <w:p>
            <w:r>
              <w:rPr>
                <w:rFonts w:ascii="宋体" w:hAnsi="宋体" w:eastAsia="宋体"/>
                <w:sz w:val="21"/>
              </w:rPr>
              <w:t>一、本地化老人陪护预警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★★★★★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21"/>
              </w:rPr>
              <w:t>⭐⭐⭐⭐⭐</w:t>
            </w:r>
          </w:p>
        </w:tc>
      </w:tr>
      <w:tr>
        <w:tc>
          <w:tcPr>
            <w:tcW w:type="dxa" w:w="2494"/>
          </w:tcPr>
          <w:p>
            <w:r>
              <w:rPr>
                <w:rFonts w:ascii="宋体" w:hAnsi="宋体" w:eastAsia="宋体"/>
                <w:sz w:val="21"/>
              </w:rPr>
              <w:t>二、联邦学习医疗诊断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★★★★★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★★★★★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★★★★★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21"/>
              </w:rPr>
              <w:t>⭐⭐⭐⭐⭐</w:t>
            </w:r>
          </w:p>
        </w:tc>
      </w:tr>
      <w:tr>
        <w:tc>
          <w:tcPr>
            <w:tcW w:type="dxa" w:w="2494"/>
          </w:tcPr>
          <w:p>
            <w:r>
              <w:rPr>
                <w:rFonts w:ascii="宋体" w:hAnsi="宋体" w:eastAsia="宋体"/>
                <w:sz w:val="21"/>
              </w:rPr>
              <w:t>三、RAG课程问答与路径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★★★★★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★★★★★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21"/>
              </w:rPr>
              <w:t>⭐⭐⭐⭐⭐</w:t>
            </w:r>
          </w:p>
        </w:tc>
      </w:tr>
      <w:tr>
        <w:tc>
          <w:tcPr>
            <w:tcW w:type="dxa" w:w="2494"/>
          </w:tcPr>
          <w:p>
            <w:r>
              <w:rPr>
                <w:rFonts w:ascii="宋体" w:hAnsi="宋体" w:eastAsia="宋体"/>
                <w:sz w:val="21"/>
              </w:rPr>
              <w:t>四、基层智能报表核查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★★★★★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★★★★★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21"/>
              </w:rPr>
              <w:t>⭐⭐⭐⭐</w:t>
            </w:r>
          </w:p>
        </w:tc>
      </w:tr>
      <w:tr>
        <w:tc>
          <w:tcPr>
            <w:tcW w:type="dxa" w:w="2494"/>
          </w:tcPr>
          <w:p>
            <w:r>
              <w:rPr>
                <w:rFonts w:ascii="宋体" w:hAnsi="宋体" w:eastAsia="宋体"/>
                <w:sz w:val="21"/>
              </w:rPr>
              <w:t>五、CV农产品分级溯源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21"/>
              </w:rPr>
              <w:t>⭐⭐⭐⭐</w:t>
            </w:r>
          </w:p>
        </w:tc>
      </w:tr>
      <w:tr>
        <w:tc>
          <w:tcPr>
            <w:tcW w:type="dxa" w:w="2494"/>
          </w:tcPr>
          <w:p>
            <w:r>
              <w:rPr>
                <w:rFonts w:ascii="宋体" w:hAnsi="宋体" w:eastAsia="宋体"/>
                <w:sz w:val="21"/>
              </w:rPr>
              <w:t>六、骑手安全权益助手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★★★★★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★★★★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</w:t>
            </w:r>
          </w:p>
        </w:tc>
        <w:tc>
          <w:tcPr>
            <w:tcW w:type="dxa" w:w="1020"/>
          </w:tcPr>
          <w:p>
            <w:r>
              <w:rPr>
                <w:rFonts w:ascii="宋体" w:hAnsi="宋体" w:eastAsia="宋体"/>
                <w:sz w:val="21"/>
              </w:rPr>
              <w:t>★★★</w:t>
            </w:r>
          </w:p>
        </w:tc>
        <w:tc>
          <w:tcPr>
            <w:tcW w:type="dxa" w:w="1247"/>
          </w:tcPr>
          <w:p>
            <w:r>
              <w:rPr>
                <w:rFonts w:ascii="宋体" w:hAnsi="宋体" w:eastAsia="宋体"/>
                <w:sz w:val="21"/>
              </w:rPr>
              <w:t>⭐⭐⭐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推荐策略：① 技术储备一般、追求稳妥高产 → 优先“选题三/RAG 课程问答”；② 希望论文亮点突出、有顶会热词 → 选“选题二/联邦学习”；③ 关注社会价值与适老化 → 选“选题一/本地化陪护”或“选题四/基层减负”；④ 有 CV/区块链基础 → 选“选题五”；⑤ 有移动端/边缘基础 → 选“选题六”。</w:t>
      </w:r>
    </w:p>
    <w:p>
      <w:pPr>
        <w:spacing w:before="200" w:after="80" w:line="312" w:lineRule="auto"/>
        <w:jc w:val="left"/>
      </w:pPr>
      <w:r>
        <w:rPr>
          <w:rFonts w:ascii="微软雅黑" w:hAnsi="微软雅黑" w:eastAsia="微软雅黑"/>
          <w:b/>
          <w:color w:val="1F4E79"/>
          <w:sz w:val="32"/>
        </w:rPr>
        <w:t>五、选题落地与避坑建议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避免“纯 Web 管理系统”式选题：该类题目技术含量低、同质化严重，答辩竞争力弱；应在传统系统中嵌入 AI/数据智能能力。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范围控制优先：先定义最小可行产品（MVP），再逐步扩展；本科毕设重“完整闭环”而非“大而全”。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数据来源要可靠：优先使用公开数据集（Kaggle、天池、学术数据集）或合法自建语料，避免数据合规风险。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技术选型避坑：谨慎采用过新、社区薄弱的框架；优先选用文档完善、案例丰富的成熟生态（如 LangChain、Flower、YOLOv8）。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论文与演示并重：AI 功能必须“跑得通、看得见”，准备对比实验与演示视频作为答辩杀手锏。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与导师方向对齐：在下方选题基础上，结合导师研究领域做微调，可显著提升指导质量与产出效率。</w:t>
      </w:r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