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ARC-1</w:t>
      </w:r>
      <w:r>
        <w:t xml:space="preserve"> </w:t>
      </w:r>
      <w:r>
        <w:t xml:space="preserve">Compact</w:t>
      </w:r>
      <w:r>
        <w:t xml:space="preserve"> </w:t>
      </w:r>
      <w:r>
        <w:t xml:space="preserve">—</w:t>
      </w:r>
      <w:r>
        <w:t xml:space="preserve"> </w:t>
      </w:r>
      <w:r>
        <w:t xml:space="preserve">Claude</w:t>
      </w:r>
      <w:r>
        <w:t xml:space="preserve"> </w:t>
      </w:r>
      <w:r>
        <w:t xml:space="preserve">engineering</w:t>
      </w:r>
      <w:r>
        <w:t xml:space="preserve"> </w:t>
      </w:r>
      <w:r>
        <w:t xml:space="preserve">handoff</w:t>
      </w:r>
    </w:p>
    <w:p>
      <w:pPr>
        <w:pStyle w:val="Subtitle"/>
      </w:pPr>
      <w:r>
        <w:t xml:space="preserve">R05</w:t>
      </w:r>
      <w:r>
        <w:t xml:space="preserve"> </w:t>
      </w:r>
      <w:r>
        <w:t xml:space="preserve">•</w:t>
      </w:r>
      <w:r>
        <w:t xml:space="preserve"> </w:t>
      </w:r>
      <w:r>
        <w:t xml:space="preserve">14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what-is-ready"/>
    <w:p>
      <w:pPr>
        <w:pStyle w:val="Heading2"/>
      </w:pPr>
      <w:r>
        <w:t xml:space="preserve">What is ready</w:t>
      </w:r>
    </w:p>
    <w:p>
      <w:pPr>
        <w:pStyle w:val="FirstParagraph"/>
      </w:pPr>
      <w:r>
        <w:rPr>
          <w:b/>
          <w:bCs/>
        </w:rPr>
        <w:t xml:space="preserve">R05 adds executable engineering work to the selected F133-B + T35F400C3 +</w:t>
      </w:r>
      <w:r>
        <w:rPr>
          <w:b/>
          <w:bCs/>
        </w:rPr>
        <w:t xml:space="preserve"> </w:t>
      </w:r>
      <w:r>
        <w:rPr>
          <w:b/>
          <w:bCs/>
        </w:rPr>
        <w:t xml:space="preserve">BT820B design.</w:t>
      </w:r>
      <w:r>
        <w:t xml:space="preserve"> </w:t>
      </w:r>
      <w:r>
        <w:t xml:space="preserve">It includes a C transport/session library, a portable fixed-point</w:t>
      </w:r>
      <w:r>
        <w:t xml:space="preserve"> </w:t>
      </w:r>
      <w:r>
        <w:t xml:space="preserve">transform/culling reference, corresponding SystemVerilog RTL with actual simulation,</w:t>
      </w:r>
      <w:r>
        <w:t xml:space="preserve"> </w:t>
      </w:r>
      <w:r>
        <w:t xml:space="preserve">a host integration model, display/memory validators and a manufacturer-source</w:t>
      </w:r>
      <w:r>
        <w:t xml:space="preserve"> </w:t>
      </w:r>
      <w:r>
        <w:t xml:space="preserve">T35 package inventory. Claude can build from these artifacts.</w:t>
      </w:r>
    </w:p>
    <w:p>
      <w:pPr>
        <w:pStyle w:val="BodyText"/>
      </w:pPr>
      <w:r>
        <w:t xml:space="preserve">The selected combination remains a development direction. No assembled Compact,</w:t>
      </w:r>
      <w:r>
        <w:t xml:space="preserve"> </w:t>
      </w:r>
      <w:r>
        <w:t xml:space="preserve">bootable F133 image, complete FPGA design or rendered game was tested. The immediate</w:t>
      </w:r>
      <w:r>
        <w:t xml:space="preserve"> </w:t>
      </w:r>
      <w:r>
        <w:t xml:space="preserve">goal is a real CPU→FPGA→BT820→screen path, followed by measured workload qualification.</w:t>
      </w:r>
    </w:p>
    <w:bookmarkEnd w:id="20"/>
    <w:bookmarkStart w:id="24" w:name="selected-hardware"/>
    <w:p>
      <w:pPr>
        <w:pStyle w:val="Heading2"/>
      </w:pPr>
      <w:r>
        <w:t xml:space="preserve">Selected hardware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Function</w:t>
            </w:r>
          </w:p>
        </w:tc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Selected part / working implementation</w:t>
            </w:r>
          </w:p>
        </w:tc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Memory target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Game/platform CPU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Allwinner F133-B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64 MiB internal DDR2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FPGA compute and command host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Efinix T35F400C3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128 MiB private x16 DDR3L; exact SKU open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Graphics/composition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Bridgetek BT820B; MN820 module first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128 MiB private DDR3L on MN820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Built-in screen candidate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Newhaven NHD-7.0-1024600AF-LSXP Rev2C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7-inch IPS, 1024 × 600, single-channel LVDS</w:t>
            </w:r>
          </w:p>
        </w:tc>
      </w:tr>
    </w:tbl>
    <w:p>
      <w:pPr>
        <w:pStyle w:val="BodyText"/>
      </w:pPr>
      <w:r>
        <w:rPr>
          <w:b/>
          <w:bCs/>
        </w:rPr>
        <w:t xml:space="preserve">320 MiB is the selected total across three private pools</w:t>
      </w:r>
      <w:r>
        <w:t xml:space="preserve">, not shared RAM or a</w:t>
      </w:r>
      <w:r>
        <w:t xml:space="preserve"> </w:t>
      </w:r>
      <w:r>
        <w:t xml:space="preserve">measured installed capacity. The screen is an accepted qualification candidate.</w:t>
      </w:r>
      <w:r>
        <w:t xml:space="preserve"> </w:t>
      </w:r>
      <w:r>
        <w:t xml:space="preserve">Storage, orientation, supporting power/audio/input circuits and final pins remain open.</w:t>
      </w:r>
    </w:p>
    <w:p>
      <w:pPr>
        <w:pStyle w:val="CaptionedFigure"/>
      </w:pPr>
      <w:r>
        <w:drawing>
          <wp:inline>
            <wp:extent cx="5334000" cy="2049908"/>
            <wp:effectExtent b="0" l="0" r="0" t="0"/>
            <wp:docPr descr="Functional architecture; interfaces remain proposed." title="" id="22" name="Picture"/>
            <a:graphic>
              <a:graphicData uri="http://schemas.openxmlformats.org/drawingml/2006/picture">
                <pic:pic>
                  <pic:nvPicPr>
                    <pic:cNvPr descr="assets/compact_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Functional architecture; interfaces remain proposed.</w:t>
      </w:r>
    </w:p>
    <w:p>
      <w:pPr>
        <w:pStyle w:val="BodyText"/>
      </w:pPr>
      <w:r>
        <w:t xml:space="preserve">F133 is the proposed SPI0 master of a scene mailbox. T35 performs useful work and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sole BT820 QSPI host</w:t>
      </w:r>
      <w:r>
        <w:t xml:space="preserve">. BT820 drives the display directly. FPGA LVDS pixels</w:t>
      </w:r>
      <w:r>
        <w:t xml:space="preserve"> </w:t>
      </w:r>
      <w:r>
        <w:t xml:space="preserve">into BT820 remain optional future work; decide physical routing/resource reservation</w:t>
      </w:r>
      <w:r>
        <w:t xml:space="preserve"> </w:t>
      </w:r>
      <w:r>
        <w:t xml:space="preserve">before PCB freeze. Initial CPU SPI is single-bit; quad is a separate qualification.</w:t>
      </w:r>
    </w:p>
    <w:bookmarkEnd w:id="24"/>
    <w:bookmarkStart w:id="27" w:name="actual-implementations-and-verification"/>
    <w:p>
      <w:pPr>
        <w:pStyle w:val="Heading2"/>
      </w:pPr>
      <w:r>
        <w:t xml:space="preserve">Actual implementations and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Area</w:t>
            </w:r>
          </w:p>
        </w:tc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Implemented / checked in R05</w:t>
            </w:r>
          </w:p>
        </w:tc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Evidence limit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Transport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C11 codec, CRC32, bounded stream parser, epoch/sequence/credit session, retry/conflict handling; independent Python codec and 38 golden vectors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Host reference; no SPI PHY, DMA, IRQ or FPGA parser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Numeric kernel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Portable checked C11 fixed-point affine bounds/culling plus ready/valid SystemVerilog datapath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Host tests and actual Icarus simulation; no Efinity synthesis/STA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Integration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C codec/session + C compute library joined through explicit little-endian scene payloads; duplicate result replay/cache-loss handling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Synchronous host model; no RTL transport or BT drawing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Screen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Executable clock/raster/range checks; corrected porch interpretation and conditional BT register model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Planning arithmetic; no register writes or physical confirmation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BT memory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Aligned half-open allocations, overlap/reservation/capacity checks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Illustrative allowances; no workload asset inventory or DDR measurement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T35 package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400 unique manufacturer ball records; all source fields independently compared</w:t>
            </w:r>
          </w:p>
        </w:tc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Zero PCB nets assigned; not a simultaneous interface fit</w:t>
            </w:r>
          </w:p>
        </w:tc>
      </w:tr>
    </w:tbl>
    <w:p>
      <w:pPr>
        <w:pStyle w:val="BodyText"/>
      </w:pPr>
      <w:r>
        <w:t xml:space="preserve">The numeric suite contains</w:t>
      </w:r>
      <w:r>
        <w:t xml:space="preserve"> </w:t>
      </w:r>
      <w:r>
        <w:rPr>
          <w:b/>
          <w:bCs/>
        </w:rPr>
        <w:t xml:space="preserve">1,165 oracle cases</w:t>
      </w:r>
      <w:r>
        <w:t xml:space="preserve">. C scalar and batch results and</w:t>
      </w:r>
      <w:r>
        <w:t xml:space="preserve"> </w:t>
      </w:r>
      <w:r>
        <w:t xml:space="preserve">the RTL match the independent reference. Simulation also checks backpressure,</w:t>
      </w:r>
      <w:r>
        <w:t xml:space="preserve"> </w:t>
      </w:r>
      <w:r>
        <w:t xml:space="preserve">simultaneous retire/accept, and reset during computation and while holding a result.</w:t>
      </w:r>
      <w:r>
        <w:t xml:space="preserve"> </w:t>
      </w:r>
      <w:r>
        <w:t xml:space="preserve">The reported 13,465 simulation cycles are testbench cycles, not a hardware benchmark.</w:t>
      </w:r>
    </w:p>
    <w:p>
      <w:pPr>
        <w:pStyle w:val="BodyText"/>
      </w:pPr>
      <w:r>
        <w:t xml:space="preserve">Protocol checks include native C behavior, 14 independent Python/differential suites,</w:t>
      </w:r>
      <w:r>
        <w:t xml:space="preserve"> </w:t>
      </w:r>
      <w:r>
        <w:t xml:space="preserve">20,000 deterministic malformed buffers, full eight-credit completion cases and</w:t>
      </w:r>
      <w:r>
        <w:t xml:space="preserve"> </w:t>
      </w:r>
      <w:r>
        <w:t xml:space="preserve">ASan/UBSan. LeakSanitizer was disabled because of the execution environment; the</w:t>
      </w:r>
      <w:r>
        <w:t xml:space="preserve"> </w:t>
      </w:r>
      <w:r>
        <w:t xml:space="preserve">library does not allocate heap memory. Display/memory suites contain 14/18 tests;</w:t>
      </w:r>
      <w:r>
        <w:t xml:space="preserve"> </w:t>
      </w:r>
      <w:r>
        <w:t xml:space="preserve">integration has 13. Run</w:t>
      </w:r>
      <w:r>
        <w:t xml:space="preserve"> </w:t>
      </w:r>
      <w:r>
        <w:rPr>
          <w:rStyle w:val="VerbatimChar"/>
        </w:rPr>
        <w:t xml:space="preserve">VERIFY.md</w:t>
      </w:r>
      <w:r>
        <w:t xml:space="preserve"> </w:t>
      </w:r>
      <w:r>
        <w:t xml:space="preserve">and inspect retained logs and source hashes.</w:t>
      </w:r>
    </w:p>
    <w:bookmarkStart w:id="25" w:name="contracts-to-preserve"/>
    <w:p>
      <w:pPr>
        <w:pStyle w:val="Heading3"/>
      </w:pPr>
      <w:r>
        <w:t xml:space="preserve">Contracts to preserve</w:t>
      </w:r>
    </w:p>
    <w:p>
      <w:pPr>
        <w:pStyle w:val="FirstParagraph"/>
      </w:pPr>
      <w:r>
        <w:t xml:space="preserve">Transport frames have a 20-byte little-endian header, up to 4,096 payload bytes and</w:t>
      </w:r>
      <w:r>
        <w:t xml:space="preserve"> </w:t>
      </w:r>
      <w:r>
        <w:t xml:space="preserve">a trailing CRC32. JOBs are nonempty; current session depth is eight. HELLO establishes</w:t>
      </w:r>
      <w:r>
        <w:t xml:space="preserve"> </w:t>
      </w:r>
      <w:r>
        <w:t xml:space="preserve">an epoch; accepted jobs execute once within the retained session window. Completed</w:t>
      </w:r>
      <w:r>
        <w:t xml:space="preserve"> </w:t>
      </w:r>
      <w:r>
        <w:t xml:space="preserve">duplicates need a separately retained result. The host session is deliberately</w:t>
      </w:r>
      <w:r>
        <w:t xml:space="preserve"> </w:t>
      </w:r>
      <w:r>
        <w:t xml:space="preserve">conservative and consumes about 32 KiB for retained payloads; choose an explicit</w:t>
      </w:r>
      <w:r>
        <w:t xml:space="preserve"> </w:t>
      </w:r>
      <w:r>
        <w:t xml:space="preserve">FPGA memory implementation rather than assuming it is free.</w:t>
      </w:r>
    </w:p>
    <w:p>
      <w:pPr>
        <w:pStyle w:val="BodyText"/>
      </w:pPr>
      <w:r>
        <w:t xml:space="preserve">Application payload v1 carries 1–85 rectangles per JOB: an 8-byte batch header and</w:t>
      </w:r>
      <w:r>
        <w:t xml:space="preserve"> </w:t>
      </w:r>
      <w:r>
        <w:t xml:space="preserve">48-byte records. Each result record is 24 bytes. The kernel transforms all four</w:t>
      </w:r>
      <w:r>
        <w:t xml:space="preserve"> </w:t>
      </w:r>
      <w:r>
        <w:t xml:space="preserve">corners, rounds once to Q16.16 with ties away from zero, saturates, and performs a</w:t>
      </w:r>
      <w:r>
        <w:t xml:space="preserve"> </w:t>
      </w:r>
      <w:r>
        <w:t xml:space="preserve">conservative viewport intersection. Results are forward bounds, not BT820 inverse</w:t>
      </w:r>
      <w:r>
        <w:t xml:space="preserve"> </w:t>
      </w:r>
      <w:r>
        <w:t xml:space="preserve">sampling coefficients.</w:t>
      </w:r>
      <w:r>
        <w:t xml:space="preserve"> </w:t>
      </w:r>
      <w:r>
        <w:rPr>
          <w:rStyle w:val="VerbatimChar"/>
        </w:rPr>
        <w:t xml:space="preserve">compute/CONTRACT.md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protocol/WIRE_ABI.md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integration/SCENE_PAYLOAD_V1.md</w:t>
      </w:r>
      <w:r>
        <w:t xml:space="preserve"> </w:t>
      </w:r>
      <w:r>
        <w:t xml:space="preserve">define exact behavior.</w:t>
      </w:r>
    </w:p>
    <w:bookmarkEnd w:id="25"/>
    <w:bookmarkStart w:id="26" w:name="synthetic-integration-result"/>
    <w:p>
      <w:pPr>
        <w:pStyle w:val="Heading3"/>
      </w:pPr>
      <w:r>
        <w:t xml:space="preserve">Synthetic integration result</w:t>
      </w:r>
    </w:p>
    <w:p>
      <w:pPr>
        <w:pStyle w:val="FirstParagraph"/>
      </w:pPr>
      <w:r>
        <w:t xml:space="preserve">The deterministic host scene processes 256 objects, including 64 quarter-turn</w:t>
      </w:r>
      <w:r>
        <w:t xml:space="preserve"> </w:t>
      </w:r>
      <w:r>
        <w:t xml:space="preserve">transforms:</w:t>
      </w:r>
      <w:r>
        <w:t xml:space="preserve"> </w:t>
      </w:r>
      <w:r>
        <w:rPr>
          <w:b/>
          <w:bCs/>
        </w:rPr>
        <w:t xml:space="preserve">218 visible and 38 culled</w:t>
      </w:r>
      <w:r>
        <w:t xml:space="preserve">. Four batches contain 85/85/85/1 objects.</w:t>
      </w:r>
      <w:r>
        <w:t xml:space="preserve"> </w:t>
      </w:r>
      <w:r>
        <w:t xml:space="preserve">Its steady traffic is 12,416 request bytes plus 6,528 response bytes per scene,</w:t>
      </w:r>
      <w:r>
        <w:t xml:space="preserve"> </w:t>
      </w:r>
      <w:r>
        <w:t xml:space="preserve">including status/result framing. At 60 scenes/s this calculates to 1.13664 MB/s,</w:t>
      </w:r>
      <w:r>
        <w:t xml:space="preserve"> </w:t>
      </w:r>
      <w:r>
        <w:t xml:space="preserve">or 6.315 ms of serialized bits at 24 MHz single-bit SPI before gaps, scheduling,</w:t>
      </w:r>
      <w:r>
        <w:t xml:space="preserve"> </w:t>
      </w:r>
      <w:r>
        <w:t xml:space="preserve">DMA/HAL and asset transfers. HELLO and retries are excluded from this estimate.</w:t>
      </w:r>
    </w:p>
    <w:p>
      <w:pPr>
        <w:pStyle w:val="BodyText"/>
      </w:pPr>
      <w:r>
        <w:t xml:space="preserve">This result proves the host contracts agree on a bounds workload. It draws no</w:t>
      </w:r>
      <w:r>
        <w:t xml:space="preserve"> </w:t>
      </w:r>
      <w:r>
        <w:t xml:space="preserve">pixels, implements no parallax scene and establishes no measured frame rate or</w:t>
      </w:r>
      <w:r>
        <w:t xml:space="preserve"> </w:t>
      </w:r>
      <w:r>
        <w:t xml:space="preserve">offload speedup. Measure CPU-only versus offloaded execution including all transfer</w:t>
      </w:r>
      <w:r>
        <w:t xml:space="preserve"> </w:t>
      </w:r>
      <w:r>
        <w:t xml:space="preserve">and wait time; this small kernel may not justify offload on its own.</w:t>
      </w:r>
    </w:p>
    <w:bookmarkEnd w:id="26"/>
    <w:bookmarkEnd w:id="27"/>
    <w:bookmarkStart w:id="28" w:name="display-correction-from-r04"/>
    <w:p>
      <w:pPr>
        <w:pStyle w:val="Heading2"/>
      </w:pPr>
      <w:r>
        <w:t xml:space="preserve">Display correction from R04</w:t>
      </w:r>
    </w:p>
    <w:p>
      <w:pPr>
        <w:pStyle w:val="FirstParagraph"/>
      </w:pPr>
      <w:r>
        <w:t xml:space="preserve">The nominal calculation remains</w:t>
      </w:r>
      <w:r>
        <w:t xml:space="preserve"> </w:t>
      </w:r>
      <w:r>
        <w:rPr>
          <w:b/>
          <w:bCs/>
        </w:rPr>
        <w:t xml:space="preserve">48,000,000 / (1280 × 625) = 60 Hz</w:t>
      </w:r>
      <w:r>
        <w:t xml:space="preserve">. The clock</w:t>
      </w:r>
      <w:r>
        <w:t xml:space="preserve"> </w:t>
      </w:r>
      <w:r>
        <w:t xml:space="preserve">proposal is 38.4 MHz × 15 / (2 × 6). However, the panel table’s typical totals imply</w:t>
      </w:r>
      <w:r>
        <w:t xml:space="preserve"> </w:t>
      </w:r>
      <w:r>
        <w:t xml:space="preserve">that its printed back interval</w:t>
      </w:r>
      <w:r>
        <w:t xml:space="preserve"> </w:t>
      </w:r>
      <w:r>
        <w:rPr>
          <w:b/>
          <w:bCs/>
        </w:rPr>
        <w:t xml:space="preserve">includes the sync pulse</w:t>
      </w:r>
      <w:r>
        <w:t xml:space="preserve">. R04 treated that field</w:t>
      </w:r>
      <w:r>
        <w:t xml:space="preserve"> </w:t>
      </w:r>
      <w:r>
        <w:t xml:space="preserve">as an additional post-sync back porch. R05 corrects this planning interpretation: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/>
        </w:trPr>
        <w:tc>
          <w:tcPr>
            <w:shd w:fill="E8F0F5"/>
          </w:tcPr>
          <w:p>
            <w:pPr>
              <w:pStyle w:val="Compact"/>
              <w:spacing w:after="80"/>
              <w:jc w:val="left"/>
            </w:pPr>
            <w:r>
              <w:rPr>
                <w:b/>
                <w:sz w:val="18"/>
              </w:rPr>
              <w:t xml:space="preserve">Interval</w:t>
            </w:r>
          </w:p>
        </w:tc>
        <w:tc>
          <w:tcPr>
            <w:shd w:fill="E8F0F5"/>
          </w:tcPr>
          <w:p>
            <w:pPr>
              <w:pStyle w:val="Compact"/>
              <w:spacing w:after="80"/>
              <w:jc w:val="right"/>
            </w:pPr>
            <w:r>
              <w:rPr>
                <w:b/>
                <w:sz w:val="18"/>
              </w:rPr>
              <w:t xml:space="preserve">Horizontal clocks</w:t>
            </w:r>
          </w:p>
        </w:tc>
        <w:tc>
          <w:tcPr>
            <w:shd w:fill="E8F0F5"/>
          </w:tcPr>
          <w:p>
            <w:pPr>
              <w:pStyle w:val="Compact"/>
              <w:spacing w:after="80"/>
              <w:jc w:val="right"/>
            </w:pPr>
            <w:r>
              <w:rPr>
                <w:b/>
                <w:sz w:val="18"/>
              </w:rPr>
              <w:t xml:space="preserve">Vertical lines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Active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1024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Sync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Back interval including sync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160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Equivalent post-sync back porch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144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Front porch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96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80"/>
              <w:jc w:val="left"/>
            </w:pPr>
            <w:r>
              <w:rPr>
                <w:sz w:val="18"/>
              </w:rPr>
              <w:t xml:space="preserve">Total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1280</w:t>
            </w:r>
          </w:p>
        </w:tc>
        <w:tc>
          <w:tcPr/>
          <w:p>
            <w:pPr>
              <w:pStyle w:val="Compact"/>
              <w:spacing w:after="80"/>
              <w:jc w:val="right"/>
            </w:pPr>
            <w:r>
              <w:rPr>
                <w:sz w:val="18"/>
              </w:rPr>
              <w:t xml:space="preserve">625</w:t>
            </w:r>
          </w:p>
        </w:tc>
      </w:tr>
    </w:tbl>
    <w:p>
      <w:pPr>
        <w:pStyle w:val="BodyText"/>
      </w:pPr>
      <w:r>
        <w:t xml:space="preserve">The conditional front-first BT model gives HSIZE/HCYCLE/HSYNC0/HSYNC1/HOFFSET =</w:t>
      </w:r>
      <w:r>
        <w:t xml:space="preserve"> </w:t>
      </w:r>
      <w:r>
        <w:t xml:space="preserve">1024/1280/96/112/256 and VSIZE/VCYCLE/VSYNC0/VSYNC1/VOFFSET =</w:t>
      </w:r>
      <w:r>
        <w:t xml:space="preserve"> </w:t>
      </w:r>
      <w:r>
        <w:t xml:space="preserve">600/625/2/3/25. SO_MODE candidate is 0.</w:t>
      </w:r>
      <w:r>
        <w:t xml:space="preserve"> </w:t>
      </w:r>
      <w:r>
        <w:rPr>
          <w:b/>
          <w:bCs/>
        </w:rPr>
        <w:t xml:space="preserve">These are model outputs, not an</w:t>
      </w:r>
      <w:r>
        <w:rPr>
          <w:b/>
          <w:bCs/>
        </w:rPr>
        <w:t xml:space="preserve"> </w:t>
      </w:r>
      <w:r>
        <w:rPr>
          <w:b/>
          <w:bCs/>
        </w:rPr>
        <w:t xml:space="preserve">initialization sequence.</w:t>
      </w:r>
      <w:r>
        <w:t xml:space="preserve"> </w:t>
      </w:r>
      <w:r>
        <w:t xml:space="preserve">Confirm the panel interval interpretation and actual</w:t>
      </w:r>
      <w:r>
        <w:t xml:space="preserve"> </w:t>
      </w:r>
      <w:r>
        <w:t xml:space="preserve">BT82X encoding/firmware before writing them to hardware. R04’s old values are</w:t>
      </w:r>
      <w:r>
        <w:t xml:space="preserve"> </w:t>
      </w:r>
      <w:r>
        <w:t xml:space="preserve">retained only as an intentionally failing regression fixture.</w:t>
      </w:r>
    </w:p>
    <w:p>
      <w:pPr>
        <w:pStyle w:val="BodyText"/>
      </w:pPr>
      <w:r>
        <w:t xml:space="preserve">Lane/bit mapping, polarity, cable orientation, differential/common-mode levels,</w:t>
      </w:r>
      <w:r>
        <w:t xml:space="preserve"> </w:t>
      </w:r>
      <w:r>
        <w:t xml:space="preserve">termination and reset/power sequencing still need confirmation. Panel logic is</w:t>
      </w:r>
      <w:r>
        <w:t xml:space="preserve"> </w:t>
      </w:r>
      <w:r>
        <w:t xml:space="preserve">3.3 V; its backlight requires a constant-current design (documented nominal</w:t>
      </w:r>
      <w:r>
        <w:t xml:space="preserve"> </w:t>
      </w:r>
      <w:r>
        <w:t xml:space="preserve">150 mA around 19.2 V), not a direct GPIO supply. Documented typical/maximum</w:t>
      </w:r>
      <w:r>
        <w:t xml:space="preserve"> </w:t>
      </w:r>
      <w:r>
        <w:t xml:space="preserve">Tr+Tf is 30/40 ms; nominal 60 Hz does not guarantee acceptable motion response.</w:t>
      </w:r>
      <w:r>
        <w:t xml:space="preserve"> </w:t>
      </w:r>
      <w:r>
        <w:t xml:space="preserve">Use color-bit patterns, unique frame IDs and input-to-photon measurements.</w:t>
      </w:r>
    </w:p>
    <w:bookmarkEnd w:id="28"/>
    <w:bookmarkStart w:id="29" w:name="memory-and-package-progress"/>
    <w:p>
      <w:pPr>
        <w:pStyle w:val="Heading2"/>
      </w:pPr>
      <w:r>
        <w:t xml:space="preserve">Memory and package progress</w:t>
      </w:r>
    </w:p>
    <w:p>
      <w:pPr>
        <w:pStyle w:val="FirstParagraph"/>
      </w:pPr>
      <w:r>
        <w:t xml:space="preserve">The BT allocator model reserves the upper 2.5 MiB of physical 128 MiB. Two RGB8</w:t>
      </w:r>
      <w:r>
        <w:t xml:space="preserve"> </w:t>
      </w:r>
      <w:r>
        <w:t xml:space="preserve">1024 × 600 buffers require 1,843,200 bytes each. Illustrative allowances add</w:t>
      </w:r>
      <w:r>
        <w:t xml:space="preserve"> </w:t>
      </w:r>
      <w:r>
        <w:t xml:space="preserve">32 MiB atlas storage, 8 MiB scratch, 4 MiB staging and 1 MiB saved lists. The model</w:t>
      </w:r>
      <w:r>
        <w:t xml:space="preserve"> </w:t>
      </w:r>
      <w:r>
        <w:t xml:space="preserve">allocates</w:t>
      </w:r>
      <w:r>
        <w:t xml:space="preserve"> </w:t>
      </w:r>
      <w:r>
        <w:rPr>
          <w:b/>
          <w:bCs/>
        </w:rPr>
        <w:t xml:space="preserve">48.515625 MiB</w:t>
      </w:r>
      <w:r>
        <w:t xml:space="preserve">, leaving</w:t>
      </w:r>
      <w:r>
        <w:t xml:space="preserve"> </w:t>
      </w:r>
      <w:r>
        <w:rPr>
          <w:b/>
          <w:bCs/>
        </w:rPr>
        <w:t xml:space="preserve">76.984375 MiB</w:t>
      </w:r>
      <w:r>
        <w:t xml:space="preserve"> </w:t>
      </w:r>
      <w:r>
        <w:t xml:space="preserve">after the reservation.</w:t>
      </w:r>
      <w:r>
        <w:t xml:space="preserve"> </w:t>
      </w:r>
      <w:r>
        <w:t xml:space="preserve">These are planning allowances. Optional video capture is not allocated; actual</w:t>
      </w:r>
      <w:r>
        <w:t xml:space="preserve"> </w:t>
      </w:r>
      <w:r>
        <w:t xml:space="preserve">assets, swapchain requirements and concurrent bandwidth remain to be established.</w:t>
      </w:r>
    </w:p>
    <w:p>
      <w:pPr>
        <w:pStyle w:val="BodyText"/>
      </w:pPr>
      <w:r>
        <w:t xml:space="preserve">The T35F400 package CSV comes from the official Efinix workbook, with its raw</w:t>
      </w:r>
      <w:r>
        <w:t xml:space="preserve"> </w:t>
      </w:r>
      <w:r>
        <w:t xml:space="preserve">source hash recorded. An independent openpyxl comparison checked every A–H field</w:t>
      </w:r>
      <w:r>
        <w:t xml:space="preserve"> </w:t>
      </w:r>
      <w:r>
        <w:t xml:space="preserve">against the standard-library extractor. All 400 balls are unique and all board-net</w:t>
      </w:r>
      <w:r>
        <w:t xml:space="preserve"> </w:t>
      </w:r>
      <w:r>
        <w:t xml:space="preserve">fields are blank. The 230 GPIO-named, 54 DDR-annotated, 138 DDIO and 92 LVDS-annotated</w:t>
      </w:r>
      <w:r>
        <w:t xml:space="preserve"> </w:t>
      </w:r>
      <w:r>
        <w:t xml:space="preserve">entries overlap; they cannot be summed or used as an available-pin budget.</w:t>
      </w:r>
    </w:p>
    <w:p>
      <w:pPr>
        <w:pStyle w:val="BodyText"/>
      </w:pPr>
      <w:r>
        <w:t xml:space="preserve">Select the exact FPGA 1-Gbit x16 DDR3L part, then generate native T35F400C3 Efinity</w:t>
      </w:r>
      <w:r>
        <w:t xml:space="preserve"> </w:t>
      </w:r>
      <w:r>
        <w:t xml:space="preserve">DDR/pin/bank/clock/resource/STA evidence for all simultaneous interfaces. No such</w:t>
      </w:r>
      <w:r>
        <w:t xml:space="preserve"> </w:t>
      </w:r>
      <w:r>
        <w:t xml:space="preserve">native run occurred here. The workbook, Efinity installer/IP and downloaded HDL</w:t>
      </w:r>
      <w:r>
        <w:t xml:space="preserve"> </w:t>
      </w:r>
      <w:r>
        <w:t xml:space="preserve">tool binaries are not redistributed in this archive.</w:t>
      </w:r>
    </w:p>
    <w:bookmarkEnd w:id="29"/>
    <w:bookmarkStart w:id="30" w:name="next-work-for-claude"/>
    <w:p>
      <w:pPr>
        <w:pStyle w:val="Heading2"/>
      </w:pPr>
      <w:r>
        <w:t xml:space="preserve">Next work for Claude</w:t>
      </w:r>
    </w:p>
    <w:p>
      <w:pPr>
        <w:pStyle w:val="Compact"/>
        <w:numPr>
          <w:ilvl w:val="0"/>
          <w:numId w:val="1001"/>
        </w:numPr>
      </w:pPr>
      <w:r>
        <w:t xml:space="preserve">Reproduce</w:t>
      </w:r>
      <w:r>
        <w:t xml:space="preserve"> </w:t>
      </w:r>
      <w:r>
        <w:rPr>
          <w:rStyle w:val="VerbatimChar"/>
        </w:rPr>
        <w:t xml:space="preserve">VERIFY.md</w:t>
      </w:r>
      <w:r>
        <w:t xml:space="preserve">, confirm source versions and preserve the tested contracts.</w:t>
      </w:r>
      <w:r>
        <w:t xml:space="preserve"> </w:t>
      </w:r>
      <w:r>
        <w:t xml:space="preserve">Resolve any actual failure before building on the reference implementation.</w:t>
      </w:r>
    </w:p>
    <w:p>
      <w:pPr>
        <w:pStyle w:val="Compact"/>
        <w:numPr>
          <w:ilvl w:val="0"/>
          <w:numId w:val="1001"/>
        </w:numPr>
      </w:pPr>
      <w:r>
        <w:t xml:space="preserve">Pin the F133 BSP/toolchain and implement a bootable SD0 prototype plus actual</w:t>
      </w:r>
      <w:r>
        <w:t xml:space="preserve"> </w:t>
      </w:r>
      <w:r>
        <w:t xml:space="preserve">SPI0 HAL. Check PC2–PC7, PC4/PC5 boot straps, high impedance, persistent IRQ/status</w:t>
      </w:r>
      <w:r>
        <w:t xml:space="preserve"> </w:t>
      </w:r>
      <w:r>
        <w:t xml:space="preserve">acknowledgment and recovery with invalid FPGA user logic.</w:t>
      </w:r>
    </w:p>
    <w:p>
      <w:pPr>
        <w:pStyle w:val="Compact"/>
        <w:numPr>
          <w:ilvl w:val="0"/>
          <w:numId w:val="1001"/>
        </w:numPr>
      </w:pPr>
      <w:r>
        <w:t xml:space="preserve">Implement FPGA SPI mailbox and bounded asynchronous queues/result retention;</w:t>
      </w:r>
      <w:r>
        <w:t xml:space="preserve"> </w:t>
      </w:r>
      <w:r>
        <w:t xml:space="preserve">integrate the existing kernel. Implement FPGA QSPI ownership and BT820 startup,</w:t>
      </w:r>
      <w:r>
        <w:t xml:space="preserve"> </w:t>
      </w:r>
      <w:r>
        <w:t xml:space="preserve">command/asset uploads and readback using pinned official driver sources.</w:t>
      </w:r>
    </w:p>
    <w:p>
      <w:pPr>
        <w:pStyle w:val="Compact"/>
        <w:numPr>
          <w:ilvl w:val="0"/>
          <w:numId w:val="1001"/>
        </w:numPr>
      </w:pPr>
      <w:r>
        <w:t xml:space="preserve">Select exact FPGA DDR and create the full-interface Efinity design. Retain actual</w:t>
      </w:r>
      <w:r>
        <w:t xml:space="preserve"> </w:t>
      </w:r>
      <w:r>
        <w:t xml:space="preserve">constraints, IP/tool versions, warnings, resources, timing and loadable image.</w:t>
      </w:r>
      <w:r>
        <w:t xml:space="preserve"> </w:t>
      </w:r>
      <w:r>
        <w:t xml:space="preserve">Allocate optional future video resources before PCB freeze.</w:t>
      </w:r>
    </w:p>
    <w:p>
      <w:pPr>
        <w:pStyle w:val="Compact"/>
        <w:numPr>
          <w:ilvl w:val="0"/>
          <w:numId w:val="1001"/>
        </w:numPr>
      </w:pPr>
      <w:r>
        <w:t xml:space="preserve">Draw a real deterministic BT scene with transforms, transparency, parallax and</w:t>
      </w:r>
      <w:r>
        <w:t xml:space="preserve"> </w:t>
      </w:r>
      <w:r>
        <w:t xml:space="preserve">telemetry. Qualify the panel electrically, visually and under concurrent load.</w:t>
      </w:r>
      <w:r>
        <w:t xml:space="preserve"> </w:t>
      </w:r>
      <w:r>
        <w:t xml:space="preserve">Recover the authoritative game source/trace before claiming STRUTHIO fidelity.</w:t>
      </w:r>
    </w:p>
    <w:p>
      <w:pPr>
        <w:pStyle w:val="Compact"/>
        <w:numPr>
          <w:ilvl w:val="0"/>
          <w:numId w:val="1001"/>
        </w:numPr>
      </w:pPr>
      <w:r>
        <w:t xml:space="preserve">Bench-test full-address memory, power/reset/recovery, unique-frame cadence and</w:t>
      </w:r>
      <w:r>
        <w:t xml:space="preserve"> </w:t>
      </w:r>
      <w:r>
        <w:t xml:space="preserve">input latency. Compare complete CPU-only/offloaded paths; record a 30-minute</w:t>
      </w:r>
      <w:r>
        <w:t xml:space="preserve"> </w:t>
      </w:r>
      <w:r>
        <w:t xml:space="preserve">representative 60 Hz challenge without confusing refresh with unique frames.</w:t>
      </w:r>
    </w:p>
    <w:p>
      <w:pPr>
        <w:pStyle w:val="FirstParagraph"/>
      </w:pPr>
      <w:r>
        <w:t xml:space="preserve">Work that needs unavailable hardware or Efinity stays explicitly unexecuted;</w:t>
      </w:r>
      <w:r>
        <w:t xml:space="preserve"> </w:t>
      </w:r>
      <w:r>
        <w:t xml:space="preserve">independent source/firmware/test work can continue. Exact storage, orientation,</w:t>
      </w:r>
      <w:r>
        <w:t xml:space="preserve"> </w:t>
      </w:r>
      <w:r>
        <w:t xml:space="preserve">audio/inputs/power and procurement are still engineering decisions. No Compact</w:t>
      </w:r>
      <w:r>
        <w:t xml:space="preserve"> </w:t>
      </w:r>
      <w:r>
        <w:t xml:space="preserve">schematic/netlist or fabrication release is included.</w:t>
      </w:r>
    </w:p>
    <w:bookmarkEnd w:id="30"/>
    <w:bookmarkStart w:id="31" w:name="provenance-and-reading-map"/>
    <w:p>
      <w:pPr>
        <w:pStyle w:val="Heading2"/>
      </w:pPr>
      <w:r>
        <w:t xml:space="preserve">Provenance and reading map</w:t>
      </w:r>
    </w:p>
    <w:p>
      <w:pPr>
        <w:pStyle w:val="FirstParagraph"/>
      </w:pPr>
      <w:r>
        <w:t xml:space="preserve">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governs current Compact work.</w:t>
      </w:r>
      <w:r>
        <w:t xml:space="preserve"> </w:t>
      </w:r>
      <w:r>
        <w:rPr>
          <w:rStyle w:val="VerbatimChar"/>
        </w:rPr>
        <w:t xml:space="preserve">engineering/tasks.json</w:t>
      </w:r>
      <w:r>
        <w:t xml:space="preserve"> </w:t>
      </w:r>
      <w:r>
        <w:t xml:space="preserve">records</w:t>
      </w:r>
      <w:r>
        <w:t xml:space="preserve"> </w:t>
      </w:r>
      <w:r>
        <w:t xml:space="preserve">partial progress and gaps;</w:t>
      </w:r>
      <w:r>
        <w:t xml:space="preserve"> </w:t>
      </w:r>
      <w:r>
        <w:rPr>
          <w:rStyle w:val="VerbatimChar"/>
        </w:rPr>
        <w:t xml:space="preserve">sources.json</w:t>
      </w:r>
      <w:r>
        <w:t xml:space="preserve"> </w:t>
      </w:r>
      <w:r>
        <w:t xml:space="preserve">records manufacturer references, including</w:t>
      </w:r>
      <w:r>
        <w:t xml:space="preserve"> </w:t>
      </w:r>
      <w:r>
        <w:t xml:space="preserve">the new LVDS integration note and exact-package workbook source. Component logs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verification/last_run/summary.json</w:t>
      </w:r>
      <w:r>
        <w:t xml:space="preserve"> </w:t>
      </w:r>
      <w:r>
        <w:t xml:space="preserve">retain actual command results. See</w:t>
      </w:r>
      <w:r>
        <w:t xml:space="preserve"> </w:t>
      </w:r>
      <w:r>
        <w:rPr>
          <w:rStyle w:val="VerbatimChar"/>
        </w:rPr>
        <w:t xml:space="preserve">COVERAGE_AND_EVIDENCE.md</w:t>
      </w:r>
      <w:r>
        <w:t xml:space="preserve"> </w:t>
      </w:r>
      <w:r>
        <w:t xml:space="preserve">for evidence boundaries and</w:t>
      </w:r>
      <w:r>
        <w:t xml:space="preserve"> </w:t>
      </w:r>
      <w:r>
        <w:rPr>
          <w:rStyle w:val="VerbatimChar"/>
        </w:rPr>
        <w:t xml:space="preserve">VERIFY.md</w:t>
      </w:r>
      <w:r>
        <w:t xml:space="preserve"> </w:t>
      </w:r>
      <w:r>
        <w:t xml:space="preserve">to reproduce.</w:t>
      </w:r>
    </w:p>
    <w:p>
      <w:pPr>
        <w:pStyle w:val="BodyText"/>
      </w:pPr>
      <w:r>
        <w:t xml:space="preserve">The five supplied original attachments remain byte-identical under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.</w:t>
      </w:r>
      <w:r>
        <w:t xml:space="preserve"> </w:t>
      </w:r>
      <w:r>
        <w:t xml:space="preserve">R04 and older recommendations remain historical; the separate dual-T120 Tabletop</w:t>
      </w:r>
      <w:r>
        <w:t xml:space="preserve"> </w:t>
      </w:r>
      <w:r>
        <w:t xml:space="preserve">project is unchanged. Other chats, including the supplied chat identifier, were</w:t>
      </w:r>
      <w:r>
        <w:t xml:space="preserve"> </w:t>
      </w:r>
      <w:r>
        <w:t xml:space="preserve">not accessible. Missing historical/game artifacts are still missing. The package</w:t>
      </w:r>
      <w:r>
        <w:t xml:space="preserve"> </w:t>
      </w:r>
      <w:r>
        <w:t xml:space="preserve">contains no claimed review of unavailable conversation contents.</w:t>
      </w:r>
    </w:p>
    <w:bookmarkEnd w:id="31"/>
    <w:sectPr>
      <w:footerReference w:type="default" r:id="rId9"/>
      <w:pgMar w:top="936" w:bottom="936" w:left="1008" w:right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ARC-1 Compact • R05 •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/>
    </w:pPr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/>
      <w:b/>
      <w:bCs/>
      <w:color w:val="285C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285C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/>
      <w:b/>
      <w:bCs/>
      <w:color w:val="285C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/>
      <w:bCs/>
      <w:i/>
      <w:color w:val="285C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/>
      <w:iCs/>
      <w:color w:val="285C7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/>
      <w:color w:val="285C7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/>
      <w:color w:val="285C7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/>
      <w:color w:val="285C7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/>
      <w:color w:val="285C7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ARC-1 Compact — Claude engineering handoff R05</dc:title>
  <dc:creator/>
  <cp:keywords/>
  <dcterms:created xsi:type="dcterms:W3CDTF">2026-10-14T22:34:36Z</dcterms:created>
  <dcterms:modified xsi:type="dcterms:W3CDTF">2026-10-14T22:34:36Z</dcterms:modified>
  <dc:subject>Tested source building blocks and hardware continuation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R05 • 14 October 2026</vt:lpwstr>
  </property>
</Properties>
</file>