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ARC-1</w:t>
      </w:r>
      <w:r>
        <w:t xml:space="preserve"> </w:t>
      </w:r>
      <w:r>
        <w:t xml:space="preserve">—</w:t>
      </w:r>
      <w:r>
        <w:t xml:space="preserve"> </w:t>
      </w:r>
      <w:r>
        <w:t xml:space="preserve">prior-work</w:t>
      </w:r>
      <w:r>
        <w:t xml:space="preserve"> </w:t>
      </w:r>
      <w:r>
        <w:t xml:space="preserve">reconciliation</w:t>
      </w:r>
      <w:r>
        <w:t xml:space="preserve"> </w:t>
      </w:r>
      <w:r>
        <w:t xml:space="preserve">and</w:t>
      </w:r>
      <w:r>
        <w:t xml:space="preserve"> </w:t>
      </w:r>
      <w:r>
        <w:t xml:space="preserve">BT820</w:t>
      </w:r>
      <w:r>
        <w:t xml:space="preserve"> </w:t>
      </w:r>
      <w:r>
        <w:t xml:space="preserve">decision</w:t>
      </w:r>
      <w:r>
        <w:t xml:space="preserve"> </w:t>
      </w:r>
      <w:r>
        <w:t xml:space="preserve">path</w:t>
      </w:r>
    </w:p>
    <w:p>
      <w:pPr>
        <w:pStyle w:val="Date"/>
      </w:pPr>
      <w:r>
        <w:t xml:space="preserve">14</w:t>
      </w:r>
      <w:r>
        <w:t xml:space="preserve"> </w:t>
      </w:r>
      <w:r>
        <w:t xml:space="preserve">October</w:t>
      </w:r>
      <w:r>
        <w:t xml:space="preserve"> </w:t>
      </w:r>
      <w:r>
        <w:t xml:space="preserve">2026</w:t>
      </w:r>
    </w:p>
    <w:p>
      <w:pPr>
        <w:pStyle w:val="FirstParagraph"/>
      </w:pPr>
      <w:r>
        <w:t xml:space="preserve">The four uploaded packages have now been reviewed as the available earlier engineering record. They contain a coherent Tabletop revision history, original FPGA package data, architecture reviews and working evidence-management software. They also show that</w:t>
      </w:r>
      <w:r>
        <w:t xml:space="preserve"> </w:t>
      </w:r>
      <w:r>
        <w:rPr>
          <w:b/>
          <w:bCs/>
        </w:rPr>
        <w:t xml:space="preserve">BT820B was already part of Tabletop R23</w:t>
      </w:r>
      <w:r>
        <w:t xml:space="preserve">. The earlier F133/T35/BT820 recommendation in this conversation was made from the separate Compact handoff and must not be treated as a replacement for R23.</w:t>
      </w:r>
    </w:p>
    <w:bookmarkStart w:id="20" w:name="project-scope-and-authority"/>
    <w:p>
      <w:pPr>
        <w:pStyle w:val="Heading2"/>
      </w:pPr>
      <w:r>
        <w:t xml:space="preserve">Project scope and authority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ARC-1 Compact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ARC-1 Tabletop R23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Authority supplied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ARC1_Handoff R0.2, 14 October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ARC1_R23_Handoff, 12 October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Locked 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RISC-V processor, FPGA, distinct hardware 2.5D accelerator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Owner-selected F133-B, two T120F484I4 devices, tabletop HDMI/USB, memory/storage decisions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FPGA arrangement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Open; earlier recommendation uses one T35F400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T120-A permanent GPU plus T120-B game-specific accelerator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BT820 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Candidate main sprite/command renderer; optional FPGA video 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Selected evaluation target for capture and final composition of A’s video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BT memory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MN820 prototype provides 128 MiB DDR3L; final memory 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Selected 64 MiB x16 LPDDR2; named candidate actually 128 MiB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Display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Panel, orientation and HDMI 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External HDMI; 720p60/1080p60 targets; no internal LCD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Three dedicated 16 MiB NOR devices; separate SPI NAND games; no eMMC</w:t>
            </w:r>
          </w:p>
        </w:tc>
      </w:tr>
    </w:tbl>
    <w:p>
      <w:pPr>
        <w:pStyle w:val="BodyText"/>
      </w:pPr>
      <w:r>
        <w:t xml:space="preserve">The newer date of the Compact handoff does not overwrite the separate Tabletop project. The supplied R23 instructions govern continuation of Tabletop; the Compact brief explicitly protects that separation. No owner-selected Tabletop parts, topology or capacities were changed in this review. The active project remains a clarification point in the conversation.</w:t>
      </w:r>
    </w:p>
    <w:bookmarkEnd w:id="20"/>
    <w:bookmarkStart w:id="21" w:name="what-the-packages-preserve"/>
    <w:p>
      <w:pPr>
        <w:pStyle w:val="Heading2"/>
      </w:pPr>
      <w:r>
        <w:t xml:space="preserve">What the packages preserve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Package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 and principal contribution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R19 FPGA pin 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T120F484 plus T20F256 source-coordinate audit and provisional bank/signal plan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R22 Claude handoff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Dual-T120 Tabletop architecture and Project House continuation baseline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R22 DEV-002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 intake, provenance, conflict checks and expanded software tests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R23 engineering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Adds BT820 composition, three dedicated NORs, separate NAND and fourteen engineering gates; includes earlier source reviews</w:t>
            </w:r>
          </w:p>
        </w:tc>
      </w:tr>
    </w:tbl>
    <w:p>
      <w:pPr>
        <w:pStyle w:val="BodyText"/>
      </w:pPr>
      <w:r>
        <w:t xml:space="preserve">All</w:t>
      </w:r>
      <w:r>
        <w:t xml:space="preserve"> </w:t>
      </w:r>
      <w:r>
        <w:rPr>
          <w:b/>
          <w:bCs/>
        </w:rPr>
        <w:t xml:space="preserve">180 file entries</w:t>
      </w:r>
      <w:r>
        <w:t xml:space="preserve"> </w:t>
      </w:r>
      <w:r>
        <w:t xml:space="preserve">were inventoried; there are</w:t>
      </w:r>
      <w:r>
        <w:t xml:space="preserve"> </w:t>
      </w:r>
      <w:r>
        <w:rPr>
          <w:b/>
          <w:bCs/>
        </w:rPr>
        <w:t xml:space="preserve">122 distinct byte contents</w:t>
      </w:r>
      <w:r>
        <w:t xml:space="preserve">. The original packages remain unedited in</w:t>
      </w:r>
      <w:r>
        <w:t xml:space="preserve"> </w:t>
      </w:r>
      <w:r>
        <w:rPr>
          <w:rStyle w:val="VerbatimChar"/>
        </w:rPr>
        <w:t xml:space="preserve">/workspace/arc1_import</w:t>
      </w:r>
      <w:r>
        <w:t xml:space="preserve">. The full R23 DOCX body was extracted and its SHA-256 matches the supplied extraction record:</w:t>
      </w:r>
      <w:r>
        <w:t xml:space="preserve"> </w:t>
      </w:r>
      <w:r>
        <w:rPr>
          <w:rStyle w:val="VerbatimChar"/>
        </w:rPr>
        <w:t xml:space="preserve">007186705ecdde8a22860b0c287a3baaeb622cf526f9c1b7b22f9ca66a9e0d2a</w:t>
      </w:r>
      <w:r>
        <w:t xml:space="preserve">. The owner architecture diagram was inspected as a functional diagram.</w:t>
      </w:r>
    </w:p>
    <w:p>
      <w:pPr>
        <w:pStyle w:val="BodyText"/>
      </w:pPr>
      <w:r>
        <w:t xml:space="preserve">R19’s original sheets contain 484 unique T120 and 256 unique T20 coordinates. Its provisional mapping has 106 entries: 84 candidates, 20 reservations and two configuration-mode-TBD entries. Source consistency does not demonstrate bank, clock or electrical legality.</w:t>
      </w:r>
    </w:p>
    <w:p>
      <w:pPr>
        <w:pStyle w:val="BodyText"/>
      </w:pPr>
      <w:r>
        <w:t xml:space="preserve">The same T120 workbook survives unchanged across R19/R22/R23. R22 and R23 preserve the same 968 A/B package records and clean unassigned CSV. Their connection-net fields are blank. Manufacturer resource counts and real ball coordinates are useful inputs, not a completed board netlist.</w:t>
      </w:r>
    </w:p>
    <w:p>
      <w:pPr>
        <w:pStyle w:val="BodyText"/>
      </w:pPr>
      <w:r>
        <w:t xml:space="preserve">R22 handoff → DEV-002 preserves 22 files, changes nine and adds sixteen. DEV-002 → R23 preserves thirty, changes seventeen and adds forty-eight. Neither transition deletes files. R23 also references an intermediate R22 source-review delivery that is not among these uploads; its R23-only diff cannot be reconstructed solely from these four ZIPs. No Git commit was supplied.</w:t>
      </w:r>
    </w:p>
    <w:bookmarkEnd w:id="21"/>
    <w:bookmarkStart w:id="22" w:name="current-tabletop-architecture"/>
    <w:p>
      <w:pPr>
        <w:pStyle w:val="Heading2"/>
      </w:pPr>
      <w:r>
        <w:t xml:space="preserve">Current Tabletop architecture</w:t>
      </w:r>
    </w:p>
    <w:p>
      <w:pPr>
        <w:pStyle w:val="FirstParagraph"/>
      </w:pPr>
      <w:r>
        <w:rPr>
          <w:b/>
          <w:bCs/>
        </w:rPr>
        <w:t xml:space="preserve">F133-B → candidate RGMII/SPI paths → T120-A → LVDS → BT820B → LVDS → IT6263N candidate → external HDMI.</w:t>
      </w:r>
      <w:r>
        <w:t xml:space="preserve"> </w:t>
      </w:r>
      <w:r>
        <w:t xml:space="preserve">T120-B connects directly to A through a separately qualified accelerator link.</w:t>
      </w:r>
    </w:p>
    <w:p>
      <w:pPr>
        <w:pStyle w:val="BodyText"/>
      </w:pPr>
      <w:r>
        <w:t xml:space="preserve">F133 has private 64 MiB DDR2. Each T120 targets its own 128 MiB x32 LPDDR2. BT has a separately owned memory pool. A remains the programmable renderer; B remains game-configurable hardware; BT adds professional 2D/video composition. These roles differ from the Compact command-renderer proposal.</w:t>
      </w:r>
    </w:p>
    <w:p>
      <w:pPr>
        <w:pStyle w:val="BodyText"/>
      </w:pPr>
      <w:r>
        <w:t xml:space="preserve">Retain the source research, independent-memory contracts, packet/fence/reset concepts, recovery strategy and immutable pin data. Retire T20, internal portrait LCD, eMMC and direct A-to-HDMI assumptions only as current Tabletop architecture; their historical artifacts remain useful records.</w:t>
      </w:r>
    </w:p>
    <w:bookmarkEnd w:id="22"/>
    <w:bookmarkStart w:id="24" w:name="X4b2d80c9e265a83dfcfd9907151a8154a5a1754"/>
    <w:p>
      <w:pPr>
        <w:pStyle w:val="Heading2"/>
      </w:pPr>
      <w:r>
        <w:t xml:space="preserve">BT820 findings that affect the next decision</w:t>
      </w:r>
    </w:p>
    <w:p>
      <w:pPr>
        <w:pStyle w:val="FirstParagraph"/>
      </w:pPr>
      <w:r>
        <w:rPr>
          <w:b/>
          <w:bCs/>
        </w:rPr>
        <w:t xml:space="preserve">1. Capacity is unresolved, not merely mislabeled.</w:t>
      </w:r>
      <w:r>
        <w:t xml:space="preserve"> </w:t>
      </w:r>
      <w:r>
        <w:t xml:space="preserve">R23 targets 64 MiB BT memory and 384 MiB total.</w:t>
      </w:r>
      <w:r>
        <w:t xml:space="preserve"> </w:t>
      </w:r>
      <w:r>
        <w:rPr>
          <w:rStyle w:val="VerbatimChar"/>
        </w:rPr>
        <w:t xml:space="preserve">AS4C64M16MD2A-25BIN</w:t>
      </w:r>
      <w:r>
        <w:t xml:space="preserve"> </w:t>
      </w:r>
      <w:r>
        <w:t xml:space="preserve">contains 64M x16 bits = 1 Gbit =</w:t>
      </w:r>
      <w:r>
        <w:t xml:space="preserve"> </w:t>
      </w:r>
      <w:r>
        <w:rPr>
          <w:b/>
          <w:bCs/>
        </w:rPr>
        <w:t xml:space="preserve">128 MiB</w:t>
      </w:r>
      <w:r>
        <w:t xml:space="preserve">. Installing the named candidates produces</w:t>
      </w:r>
      <w:r>
        <w:t xml:space="preserve"> </w:t>
      </w:r>
      <w:r>
        <w:rPr>
          <w:b/>
          <w:bCs/>
        </w:rPr>
        <w:t xml:space="preserve">448 MiB</w:t>
      </w:r>
      <w:r>
        <w:t xml:space="preserve"> </w:t>
      </w:r>
      <w:r>
        <w:t xml:space="preserve">total. A software allocation limit cannot change installed capacity. This contradiction was already correctly identified in the R23 BT review and migration record.</w:t>
      </w:r>
    </w:p>
    <w:p>
      <w:pPr>
        <w:pStyle w:val="BodyText"/>
      </w:pPr>
      <w:r>
        <w:rPr>
          <w:b/>
          <w:bCs/>
        </w:rPr>
        <w:t xml:space="preserve">2. LPDDR2 needs an applicable current support contract.</w:t>
      </w:r>
      <w:r>
        <w:t xml:space="preserve"> </w:t>
      </w:r>
      <w:r>
        <w:t xml:space="preserve">The R23 review notes that current BT82X guide Table 5 lists DDR3/DDR3L presets without LPDDR2/512-Mbit entries. A further check found Appendix C of AN086 v1.4, printed page 286: the v1.2 change entry lists</w:t>
      </w:r>
      <w:r>
        <w:t xml:space="preserve"> </w:t>
      </w:r>
      <w:r>
        <w:t xml:space="preserve">“</w:t>
      </w:r>
      <w:r>
        <w:t xml:space="preserve">LPDDR2 DRAM support</w:t>
      </w:r>
      <w:r>
        <w:t xml:space="preserve">”</w:t>
      </w:r>
      <w:r>
        <w:t xml:space="preserve"> </w:t>
      </w:r>
      <w:r>
        <w:t xml:space="preserve">among removed items. This conflicts with the older DS v1.1 capability statement. It does not establish that the silicon cannot operate LPDDR2; it prevents assuming a supported present firmware/init path. Obtain the applicable silicon/firmware version and sanctioned initialization before choosing that memory.</w:t>
      </w:r>
      <w:r>
        <w:t xml:space="preserve"> </w:t>
      </w:r>
      <w:hyperlink r:id="rId23">
        <w:r>
          <w:rPr>
            <w:rStyle w:val="Hyperlink"/>
          </w:rPr>
          <w:t xml:space="preserve">Current BT82X guide</w:t>
        </w:r>
      </w:hyperlink>
    </w:p>
    <w:p>
      <w:pPr>
        <w:pStyle w:val="BodyText"/>
      </w:pPr>
      <w:r>
        <w:rPr>
          <w:b/>
          <w:bCs/>
        </w:rPr>
        <w:t xml:space="preserve">3. Standard HDMI timing is not established.</w:t>
      </w:r>
      <w:r>
        <w:t xml:space="preserve"> </w:t>
      </w:r>
      <w:r>
        <w:t xml:space="preserve">The reviewed documented clock choices do not generate 74.25 MHz, needed for standard single-link 720p60 and dual-link 1080p60. Using 72 MHz with standard totals gives approximately</w:t>
      </w:r>
      <w:r>
        <w:t xml:space="preserve"> </w:t>
      </w:r>
      <w:r>
        <w:rPr>
          <w:b/>
          <w:bCs/>
        </w:rPr>
        <w:t xml:space="preserve">58.18 Hz</w:t>
      </w:r>
      <w:r>
        <w:t xml:space="preserve">. Manufacturer AN097 alternate-blanking examples provide a test path, but their listed totals conditionally calculate approximately 60.81/60.73 Hz. Actual register units, generated rate and monitor acceptance must be reproduced. This is a standard-timing gap, not proof that all usable HDMI timing is impossible.</w:t>
      </w:r>
    </w:p>
    <w:p>
      <w:pPr>
        <w:pStyle w:val="BodyText"/>
      </w:pPr>
      <w:r>
        <w:rPr>
          <w:b/>
          <w:bCs/>
        </w:rPr>
        <w:t xml:space="preserve">4. Both LVDS boundaries need real contracts.</w:t>
      </w:r>
      <w:r>
        <w:t xml:space="preserve"> </w:t>
      </w:r>
      <w:r>
        <w:t xml:space="preserve">Odd/even channels represent one video stream. The BT input does not supply per-pixel alpha. BT output clock pairs versus the ITE reference’s shared clock, channel phase/mapping and exact N/FN bridge revision remain unresolved. Do not join driven clock outputs or copy an F576 development-board mapping to F484.</w:t>
      </w:r>
    </w:p>
    <w:p>
      <w:pPr>
        <w:pStyle w:val="BodyText"/>
      </w:pPr>
      <w:r>
        <w:rPr>
          <w:b/>
          <w:bCs/>
        </w:rPr>
        <w:t xml:space="preserve">5. Composition consumes memory traffic and latency.</w:t>
      </w:r>
      <w:r>
        <w:t xml:space="preserve"> </w:t>
      </w:r>
      <w:r>
        <w:t xml:space="preserve">A hypothetical four-pass RGB888 1080p60 model is 1.493 GB/s against an x16 LPDDR2-800 raw ceiling of 1.6 GB/s. The real pipeline may differ; this is neither a measured pass nor a measured rejection. Count changing input frames, overlays and presentation timestamps under load. Reserve the BT guide’s upper 2.5 MiB DDR region before user allocations.</w:t>
      </w:r>
    </w:p>
    <w:p>
      <w:pPr>
        <w:pStyle w:val="BodyText"/>
      </w:pPr>
      <w:r>
        <w:t xml:space="preserve">Primary local records: R23</w:t>
      </w:r>
      <w:r>
        <w:t xml:space="preserve"> </w:t>
      </w:r>
      <w:r>
        <w:rPr>
          <w:rStyle w:val="VerbatimChar"/>
        </w:rPr>
        <w:t xml:space="preserve">BT820_MEMORY_VIDEO_REVIEW.md</w:t>
      </w:r>
      <w:r>
        <w:t xml:space="preserve"> </w:t>
      </w:r>
      <w:r>
        <w:t xml:space="preserve">lines 7–25;</w:t>
      </w:r>
      <w:r>
        <w:t xml:space="preserve"> </w:t>
      </w:r>
      <w:r>
        <w:rPr>
          <w:rStyle w:val="VerbatimChar"/>
        </w:rPr>
        <w:t xml:space="preserve">VIDEO_CHAIN_REVIEW.md</w:t>
      </w:r>
      <w:r>
        <w:t xml:space="preserve"> </w:t>
      </w:r>
      <w:r>
        <w:t xml:space="preserve">lines 23–65;</w:t>
      </w:r>
      <w:r>
        <w:t xml:space="preserve"> </w:t>
      </w:r>
      <w:r>
        <w:rPr>
          <w:rStyle w:val="VerbatimChar"/>
        </w:rPr>
        <w:t xml:space="preserve">R23_ARCHITECTURE_DECISION_RECORD.md</w:t>
      </w:r>
      <w:r>
        <w:t xml:space="preserve"> </w:t>
      </w:r>
      <w:r>
        <w:t xml:space="preserve">lines 32–38. The newly noted guide change-history detail is recorded here without rewriting those supplied records. Guide review used web extraction; original downloaded guide bytes and their hash are not available in the uploads.</w:t>
      </w:r>
    </w:p>
    <w:bookmarkEnd w:id="24"/>
    <w:bookmarkStart w:id="25" w:name="Xee4404483bdc4cf1b78ece40ceeb2f654392dd7"/>
    <w:p>
      <w:pPr>
        <w:pStyle w:val="Heading2"/>
      </w:pPr>
      <w:r>
        <w:t xml:space="preserve">What transfers to Compact, and what must be regenerated</w:t>
      </w:r>
    </w:p>
    <w:p>
      <w:pPr>
        <w:pStyle w:val="Compact"/>
        <w:numPr>
          <w:ilvl w:val="0"/>
          <w:numId w:val="1001"/>
        </w:numPr>
      </w:pPr>
      <w:r>
        <w:t xml:space="preserve">Reuse private-memory ownership, bounded queues, explicit transfers, CRC/epochs/fences, instrumentation and fault recovery.</w:t>
      </w:r>
    </w:p>
    <w:p>
      <w:pPr>
        <w:pStyle w:val="Compact"/>
        <w:numPr>
          <w:ilvl w:val="0"/>
          <w:numId w:val="1001"/>
        </w:numPr>
      </w:pPr>
      <w:r>
        <w:t xml:space="preserve">Reuse exact-package auditing and the requirement to compile all simultaneous interfaces in Efinity.</w:t>
      </w:r>
    </w:p>
    <w:p>
      <w:pPr>
        <w:pStyle w:val="Compact"/>
        <w:numPr>
          <w:ilvl w:val="0"/>
          <w:numId w:val="1001"/>
        </w:numPr>
      </w:pPr>
      <w:r>
        <w:t xml:space="preserve">Reuse the principle that recovery must remain reachable when user FPGA logic is absent or invalid.</w:t>
      </w:r>
    </w:p>
    <w:p>
      <w:pPr>
        <w:pStyle w:val="Compact"/>
        <w:numPr>
          <w:ilvl w:val="0"/>
          <w:numId w:val="1001"/>
        </w:numPr>
      </w:pPr>
      <w:r>
        <w:t xml:space="preserve">Regenerate all T35 pin/bank/clock/DDR work. T35F400 hardened DDR is x8/x16; the Tabletop x32 Alliance mapping and F484 resource counts cannot be ported directly.</w:t>
      </w:r>
    </w:p>
    <w:p>
      <w:pPr>
        <w:pStyle w:val="Compact"/>
        <w:numPr>
          <w:ilvl w:val="0"/>
          <w:numId w:val="1001"/>
        </w:numPr>
      </w:pPr>
      <w:r>
        <w:t xml:space="preserve">Rebuild the storage/control matrix. The earlier Compact SD0-boot/SPI0-mailbox proposal does not preserve R23’s dedicated CPU NOR plus NAND without a new pinmux and ownership study.</w:t>
      </w:r>
    </w:p>
    <w:p>
      <w:pPr>
        <w:pStyle w:val="Compact"/>
        <w:numPr>
          <w:ilvl w:val="0"/>
          <w:numId w:val="1001"/>
        </w:numPr>
      </w:pPr>
      <w:r>
        <w:t xml:space="preserve">Adapt Project House’s evidence schemas before applying them to Compact. Its existing validators are tied to the Tabletop dual-T120 topology.</w:t>
      </w:r>
    </w:p>
    <w:bookmarkEnd w:id="25"/>
    <w:bookmarkStart w:id="26" w:name="verification-performed-in-this-review"/>
    <w:p>
      <w:pPr>
        <w:pStyle w:val="Heading2"/>
      </w:pPr>
      <w:r>
        <w:t xml:space="preserve">Verification performed in this review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Fresh 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R23</w:t>
            </w:r>
            <w:r>
              <w:t xml:space="preserve"> </w:t>
            </w:r>
            <w:r>
              <w:rPr>
                <w:rStyle w:val="VerbatimChar"/>
              </w:rPr>
              <w:t xml:space="preserve">npm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112/112 passed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Software, including synthetic DOM/service-worker fixtures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DEV-002</w:t>
            </w:r>
            <w:r>
              <w:t xml:space="preserve"> </w:t>
            </w:r>
            <w:r>
              <w:rPr>
                <w:rStyle w:val="VerbatimChar"/>
              </w:rPr>
              <w:t xml:space="preserve">npm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67/67 passed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Software regression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R23 package-facts 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484 F484 rows match workbook columns A–H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Manufacturer source-data consistency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Working manifests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R23 94/94 and DEV-002 46/46 entries 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Supplied byte integrity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Original R22 manifest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30/30 entries match original package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Original supplied byte integrity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Architecture diagnostics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SOURCE_REVIEW_ONLY; fourteen OPEN gates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Correctly retains unresolved hardware status</w:t>
            </w:r>
          </w:p>
        </w:tc>
      </w:tr>
    </w:tbl>
    <w:p>
      <w:pPr>
        <w:pStyle w:val="BodyText"/>
      </w:pPr>
      <w:r>
        <w:t xml:space="preserve">Reviewed scripts were run locally without source changes, network work or browser execution. Fresh logs and independent arithmetic are retained under</w:t>
      </w:r>
      <w:r>
        <w:t xml:space="preserve"> </w:t>
      </w:r>
      <w:r>
        <w:rPr>
          <w:rStyle w:val="VerbatimChar"/>
        </w:rPr>
        <w:t xml:space="preserve">arc1_review/verification</w:t>
      </w:r>
      <w:r>
        <w:t xml:space="preserve">. Original inherited manifests in later packages intentionally describe historical bytes and are not substitutes for their current working manifests.</w:t>
      </w:r>
    </w:p>
    <w:p>
      <w:pPr>
        <w:pStyle w:val="BodyText"/>
      </w:pPr>
      <w:r>
        <w:t xml:space="preserve">No authentic Efinity project/STA export, HDL implementation or simulator trace, loadable firmware/bitstream, electrical CAD/ERC/DRC/SI, authoritative STRUTHIO build/renderer trace, or physical benchmark was found in these four packages. This describes the supplied archive, not all work that may exist elsewhere. Referenced U2/U3/U4 interconnect, OverDrive and DDR handoff documents are absent. These contents cannot be claimed as reviewed. All fourteen Tabletop hardware gates remain open.</w:t>
      </w:r>
    </w:p>
    <w:bookmarkEnd w:id="26"/>
    <w:bookmarkStart w:id="27" w:name="X71c5de7dd264273307b27cff511afd5ab30ca04"/>
    <w:p>
      <w:pPr>
        <w:pStyle w:val="Heading2"/>
      </w:pPr>
      <w:r>
        <w:t xml:space="preserve">Recommendation after reconciling the prior work</w:t>
      </w:r>
    </w:p>
    <w:p>
      <w:pPr>
        <w:pStyle w:val="FirstParagraph"/>
      </w:pPr>
      <w:r>
        <w:rPr>
          <w:b/>
          <w:bCs/>
        </w:rPr>
        <w:t xml:space="preserve">For Compact:</w:t>
      </w:r>
      <w:r>
        <w:t xml:space="preserve"> </w:t>
      </w:r>
      <w:r>
        <w:t xml:space="preserve">retain F133-B + T35F400 + BT820B as the leading exploratory combination. Start graphics evaluation on the manufacturer’s 128 MiB DDR3L module. It avoids treating the unresolved R23 64 MiB LPDDR2 configuration as established. Use a mode actually supported by the prototype display, preserve the authoritative STRUTHIO rules, and benchmark the real scene before final part selection. If HDMI is selected, the end-to-end timing issue must also be addressed.</w:t>
      </w:r>
    </w:p>
    <w:p>
      <w:pPr>
        <w:pStyle w:val="BodyText"/>
      </w:pPr>
      <w:r>
        <w:rPr>
          <w:b/>
          <w:bCs/>
        </w:rPr>
        <w:t xml:space="preserve">For Tabletop R23:</w:t>
      </w:r>
      <w:r>
        <w:t xml:space="preserve"> </w:t>
      </w:r>
      <w:r>
        <w:t xml:space="preserve">continue the selected dual-T120 architecture. The next high-value work is a supported BT memory/init and complete video timing dossier, in parallel with independent full-interface A/B Efinity projects. A DDR3L module can investigate BT rendering/composition but cannot qualify the selected LPDDR2 channel. The manufacturer-reference</w:t>
      </w:r>
      <w:r>
        <w:t xml:space="preserve"> </w:t>
      </w:r>
      <w:r>
        <w:rPr>
          <w:b/>
          <w:bCs/>
        </w:rPr>
        <w:t xml:space="preserve">128 MiB DDR3L</w:t>
      </w:r>
      <w:r>
        <w:t xml:space="preserve"> </w:t>
      </w:r>
      <w:r>
        <w:t xml:space="preserve">arrangement is an engineering alternative worth evaluating if the owner revises BT memory; it would change selected total RAM to 448 MiB. It is not adopted by this review.</w:t>
      </w:r>
    </w:p>
    <w:p>
      <w:pPr>
        <w:pStyle w:val="BodyText"/>
      </w:pPr>
      <w:r>
        <w:t xml:space="preserve">The common first proof is BT initialization and a deterministic standalone rendering scene with frame IDs, known alpha images, scripted motion and timestamps.</w:t>
      </w:r>
      <w:r>
        <w:t xml:space="preserve"> </w:t>
      </w:r>
      <w:r>
        <w:rPr>
          <w:b/>
          <w:bCs/>
        </w:rPr>
        <w:t xml:space="preserve">Tabletop R23 then requires a changing live-video source plus local BT overlays through its selected HDMI path. Compact can first qualify its command-rendered STRUTHIO scene without adopting live-video capture; that input path remains optional.</w:t>
      </w:r>
      <w:r>
        <w:t xml:space="preserve"> </w:t>
      </w:r>
      <w:r>
        <w:t xml:space="preserve">Add actual game load and concurrent FPGA traffic as each prototype is integrated. Record sustained unique frames, command/memory occupancy, repeated/dropped frames, latency and recovery. A graphics demo or software test cannot approve the final HDMI bridge, memory part or FPGA pin plan.</w:t>
      </w:r>
    </w:p>
    <w:p>
      <w:pPr>
        <w:pStyle w:val="BodyText"/>
      </w:pPr>
      <w:r>
        <w:t xml:space="preserve">This review preserves the work already done and identifies the smallest useful next experiments. It does not freeze new parts, contact vendors or authorize fabrication.</w:t>
      </w:r>
    </w:p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3" Target="https://brtchip.com/wp-content/uploads/2026/09/BRT_AN_086_BT82X-Series-Programming-Guide-1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https://brtchip.com/wp-content/uploads/2026/09/BRT_AN_086_BT82X-Series-Programming-Guide-1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ARC-1 — prior-work reconciliation and BT820 decision path</dc:title>
  <dc:creator/>
  <cp:keywords/>
  <dcterms:created xsi:type="dcterms:W3CDTF">2026-10-14T05:31:35Z</dcterms:created>
  <dcterms:modified xsi:type="dcterms:W3CDTF">2026-10-14T05:31:35Z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14 October 2026</vt:lpwstr>
  </property>
</Properties>
</file>