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16" w:rsidRDefault="00FE4016" w:rsidP="00FE4016">
      <w:pPr>
        <w:pStyle w:val="Heading1"/>
      </w:pPr>
      <w:r>
        <w:t>Composition services</w:t>
      </w:r>
    </w:p>
    <w:p w:rsidR="00FE4016" w:rsidRDefault="00FE4016" w:rsidP="00FE4016">
      <w:pPr>
        <w:pStyle w:val="Heading2"/>
      </w:pPr>
      <w:r>
        <w:t>The composition infrastructure</w:t>
      </w:r>
    </w:p>
    <w:p w:rsidR="00FE4016" w:rsidRDefault="00FE4016" w:rsidP="00FE4016">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FE4016" w:rsidRDefault="00FE4016" w:rsidP="00FE4016">
      <w:r>
        <w:t>The infrastructure for composition includes:</w:t>
      </w:r>
    </w:p>
    <w:p w:rsidR="00FE4016" w:rsidRDefault="00FE4016" w:rsidP="00FE4016">
      <w:pPr>
        <w:pStyle w:val="ListParagraph"/>
        <w:numPr>
          <w:ilvl w:val="0"/>
          <w:numId w:val="9"/>
        </w:numPr>
        <w:spacing w:line="254" w:lineRule="auto"/>
      </w:pPr>
      <w:r>
        <w:t xml:space="preserve">The interface </w:t>
      </w:r>
      <w:proofErr w:type="spellStart"/>
      <w:r>
        <w:t>IConventionsRegistrar</w:t>
      </w:r>
      <w:proofErr w:type="spellEnd"/>
      <w:r>
        <w:t>, which is the contract for registering composition conventions.</w:t>
      </w:r>
    </w:p>
    <w:p w:rsidR="00FE4016" w:rsidRDefault="00FE4016" w:rsidP="00FE4016">
      <w:pPr>
        <w:pStyle w:val="ListParagraph"/>
        <w:numPr>
          <w:ilvl w:val="0"/>
          <w:numId w:val="9"/>
        </w:numPr>
        <w:spacing w:line="254" w:lineRule="auto"/>
      </w:pPr>
      <w:r>
        <w:t xml:space="preserve">The interface </w:t>
      </w:r>
      <w:proofErr w:type="spellStart"/>
      <w:r>
        <w:t>IConventionsBuilder</w:t>
      </w:r>
      <w:proofErr w:type="spellEnd"/>
      <w:r>
        <w:t>, which is the contract for defining conventions using a fluent API.</w:t>
      </w:r>
    </w:p>
    <w:p w:rsidR="00FE4016" w:rsidRDefault="00FE4016" w:rsidP="00FE4016">
      <w:pPr>
        <w:pStyle w:val="ListParagraph"/>
        <w:numPr>
          <w:ilvl w:val="0"/>
          <w:numId w:val="9"/>
        </w:numPr>
        <w:spacing w:line="254" w:lineRule="auto"/>
      </w:pPr>
      <w:r>
        <w:t xml:space="preserve">The interface </w:t>
      </w:r>
      <w:proofErr w:type="spellStart"/>
      <w:r>
        <w:t>ICompositionContainer</w:t>
      </w:r>
      <w:proofErr w:type="spellEnd"/>
      <w:r>
        <w:t>, which is the contract for components providing composition hosting.</w:t>
      </w:r>
    </w:p>
    <w:p w:rsidR="00FE4016" w:rsidRDefault="00FE4016" w:rsidP="00FE4016">
      <w:pPr>
        <w:pStyle w:val="ListParagraph"/>
        <w:numPr>
          <w:ilvl w:val="0"/>
          <w:numId w:val="9"/>
        </w:numPr>
        <w:spacing w:line="254" w:lineRule="auto"/>
      </w:pPr>
      <w:r>
        <w:t xml:space="preserve">The class </w:t>
      </w:r>
      <w:proofErr w:type="spellStart"/>
      <w:r>
        <w:t>CompositionContainerBuilderBase</w:t>
      </w:r>
      <w:proofErr w:type="spellEnd"/>
      <w:r>
        <w:t>, which provides a base implementation for builders of composition containers.</w:t>
      </w:r>
    </w:p>
    <w:p w:rsidR="00FE4016" w:rsidRDefault="00FE4016" w:rsidP="00FE4016">
      <w:r>
        <w:t>How the composition infrastructure works:</w:t>
      </w:r>
    </w:p>
    <w:p w:rsidR="00FE4016" w:rsidRDefault="00FE4016" w:rsidP="00FE4016">
      <w:pPr>
        <w:pStyle w:val="ListParagraph"/>
        <w:numPr>
          <w:ilvl w:val="0"/>
          <w:numId w:val="2"/>
        </w:numPr>
        <w:spacing w:line="254" w:lineRule="auto"/>
      </w:pPr>
      <w:r>
        <w:t xml:space="preserve">All the convention registrars are collected (simply all the classes implementing </w:t>
      </w:r>
      <w:proofErr w:type="spellStart"/>
      <w:r>
        <w:t>IConventionRegistrar</w:t>
      </w:r>
      <w:proofErr w:type="spellEnd"/>
      <w:r>
        <w:t>) and then they are invoked to register the conventions.</w:t>
      </w:r>
    </w:p>
    <w:p w:rsidR="00FE4016" w:rsidRDefault="00FE4016" w:rsidP="00FE4016">
      <w:pPr>
        <w:pStyle w:val="ListParagraph"/>
        <w:numPr>
          <w:ilvl w:val="0"/>
          <w:numId w:val="2"/>
        </w:numPr>
        <w:spacing w:line="254" w:lineRule="auto"/>
      </w:pPr>
      <w:r>
        <w:t>The composition container builder registers the log manager, the configuration manager, and the platform manager with factory export providers.</w:t>
      </w:r>
    </w:p>
    <w:p w:rsidR="00FE4016" w:rsidRDefault="00FE4016" w:rsidP="00FE4016">
      <w:pPr>
        <w:pStyle w:val="ListParagraph"/>
        <w:numPr>
          <w:ilvl w:val="0"/>
          <w:numId w:val="2"/>
        </w:numPr>
        <w:spacing w:line="254" w:lineRule="auto"/>
      </w:pPr>
      <w:r>
        <w:t>The composition container builder registers all application services [link] according to their metadata provided by the [</w:t>
      </w:r>
      <w:proofErr w:type="spellStart"/>
      <w:r>
        <w:t>AppServiceContract</w:t>
      </w:r>
      <w:proofErr w:type="spellEnd"/>
      <w:r>
        <w:t>] attribute.</w:t>
      </w:r>
    </w:p>
    <w:p w:rsidR="00FE4016" w:rsidRDefault="00FE4016" w:rsidP="00FE4016">
      <w:pPr>
        <w:pStyle w:val="ListParagraph"/>
        <w:numPr>
          <w:ilvl w:val="0"/>
          <w:numId w:val="2"/>
        </w:numPr>
        <w:spacing w:line="254" w:lineRule="auto"/>
      </w:pPr>
      <w:r>
        <w:t>The composition container is built using the provided conventions.</w:t>
      </w:r>
    </w:p>
    <w:p w:rsidR="00FE4016" w:rsidRDefault="00FE4016" w:rsidP="00FE4016">
      <w:pPr>
        <w:pStyle w:val="ListParagraph"/>
        <w:numPr>
          <w:ilvl w:val="0"/>
          <w:numId w:val="2"/>
        </w:numPr>
        <w:spacing w:line="254" w:lineRule="auto"/>
      </w:pPr>
      <w:r>
        <w:t xml:space="preserve">And last, the composition container registers itself as the service exporting </w:t>
      </w:r>
      <w:proofErr w:type="spellStart"/>
      <w:r>
        <w:t>ICompositionContainer</w:t>
      </w:r>
      <w:proofErr w:type="spellEnd"/>
      <w:r>
        <w:t>.</w:t>
      </w:r>
    </w:p>
    <w:p w:rsidR="00FE4016" w:rsidRDefault="00FE4016" w:rsidP="00FE4016">
      <w:r>
        <w:t>Recommendations:</w:t>
      </w:r>
    </w:p>
    <w:p w:rsidR="00FE4016" w:rsidRDefault="00FE4016" w:rsidP="00FE4016">
      <w:pPr>
        <w:pStyle w:val="ListParagraph"/>
        <w:numPr>
          <w:ilvl w:val="0"/>
          <w:numId w:val="10"/>
        </w:numPr>
        <w:spacing w:line="254" w:lineRule="auto"/>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FE4016" w:rsidRDefault="00FE4016" w:rsidP="00FE4016">
      <w:pPr>
        <w:pStyle w:val="ListParagraph"/>
        <w:numPr>
          <w:ilvl w:val="0"/>
          <w:numId w:val="10"/>
        </w:numPr>
        <w:spacing w:line="254" w:lineRule="auto"/>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FE4016" w:rsidRDefault="00FE4016" w:rsidP="00FE4016">
      <w:pPr>
        <w:pStyle w:val="ListParagraph"/>
        <w:numPr>
          <w:ilvl w:val="0"/>
          <w:numId w:val="10"/>
        </w:numPr>
        <w:spacing w:line="254" w:lineRule="auto"/>
      </w:pPr>
      <w:r>
        <w:t xml:space="preserve">Prefer conventions over attributes. The code becomes clearer and more concise, and the dependencies on specific </w:t>
      </w:r>
      <w:proofErr w:type="spellStart"/>
      <w:proofErr w:type="gramStart"/>
      <w:r>
        <w:t>IoC</w:t>
      </w:r>
      <w:proofErr w:type="spellEnd"/>
      <w:proofErr w:type="gramEnd"/>
      <w:r>
        <w:t xml:space="preserve"> containers will diminish.</w:t>
      </w:r>
    </w:p>
    <w:p w:rsidR="00FE4016" w:rsidRDefault="00FE4016" w:rsidP="00FE4016">
      <w:r>
        <w:t>See exposing application services [link] for more details about how to use in practice the composition.</w:t>
      </w:r>
    </w:p>
    <w:p w:rsidR="00FE4016" w:rsidRDefault="00FE4016" w:rsidP="00FE4016">
      <w:pPr>
        <w:pStyle w:val="Heading2"/>
      </w:pPr>
      <w:r>
        <w:lastRenderedPageBreak/>
        <w:t>Alternative container implementation</w:t>
      </w:r>
    </w:p>
    <w:p w:rsidR="00FE4016" w:rsidRDefault="00FE4016" w:rsidP="00FE4016">
      <w:r>
        <w:t xml:space="preserve">Kephas provides a default composition container based on the portable MEF implementation. If a custom implementation is required for other </w:t>
      </w:r>
      <w:proofErr w:type="spellStart"/>
      <w:proofErr w:type="gramStart"/>
      <w:r>
        <w:t>IoC</w:t>
      </w:r>
      <w:proofErr w:type="spellEnd"/>
      <w:proofErr w:type="gramEnd"/>
      <w:r>
        <w:t xml:space="preserve"> containers, please take care of the following:</w:t>
      </w:r>
    </w:p>
    <w:p w:rsidR="00FE4016" w:rsidRDefault="00FE4016" w:rsidP="00FE4016">
      <w:pPr>
        <w:pStyle w:val="ListParagraph"/>
        <w:numPr>
          <w:ilvl w:val="0"/>
          <w:numId w:val="11"/>
        </w:numPr>
        <w:spacing w:line="254" w:lineRule="auto"/>
      </w:pPr>
      <w:r>
        <w:t xml:space="preserve">The composition container should export itself as a shared service for the </w:t>
      </w:r>
      <w:proofErr w:type="spellStart"/>
      <w:r>
        <w:t>ICompositionContainer</w:t>
      </w:r>
      <w:proofErr w:type="spellEnd"/>
      <w:r>
        <w:t xml:space="preserve"> contact, so that services requiring the composition container get this service injected. Accessing ambient services (like </w:t>
      </w:r>
      <w:proofErr w:type="spellStart"/>
      <w:r>
        <w:t>AmbientServices.Instance.CompositionContainer</w:t>
      </w:r>
      <w:proofErr w:type="spellEnd"/>
      <w:r>
        <w:t xml:space="preserve"> [link]) makes unit testing very hard. </w:t>
      </w:r>
    </w:p>
    <w:p w:rsidR="00FE4016" w:rsidRDefault="00FE4016" w:rsidP="00FE4016">
      <w:pPr>
        <w:pStyle w:val="ListParagraph"/>
        <w:numPr>
          <w:ilvl w:val="0"/>
          <w:numId w:val="11"/>
        </w:numPr>
        <w:spacing w:line="254" w:lineRule="auto"/>
      </w:pPr>
      <w:r>
        <w:t>Use a composition container builder derived from the one provided as base, to have access to all the features it provides, including the registration of application services.</w:t>
      </w:r>
    </w:p>
    <w:p w:rsidR="00FE4016" w:rsidRDefault="00FE4016" w:rsidP="00FE4016">
      <w:pPr>
        <w:pStyle w:val="Heading1"/>
      </w:pPr>
      <w:r>
        <w:t>Application services</w:t>
      </w:r>
    </w:p>
    <w:p w:rsidR="00FE4016" w:rsidRDefault="00FE4016" w:rsidP="00FE4016">
      <w:r>
        <w:t>Application services are services discovered and registered with the composition container at application level.</w:t>
      </w:r>
    </w:p>
    <w:p w:rsidR="00FE4016" w:rsidRDefault="00FE4016" w:rsidP="00FE4016">
      <w:r>
        <w:t>Steps for defining an application service:</w:t>
      </w:r>
    </w:p>
    <w:p w:rsidR="00FE4016" w:rsidRDefault="00FE4016" w:rsidP="00FE4016">
      <w:pPr>
        <w:pStyle w:val="ListParagraph"/>
        <w:numPr>
          <w:ilvl w:val="0"/>
          <w:numId w:val="12"/>
        </w:numPr>
        <w:spacing w:line="254" w:lineRule="auto"/>
      </w:pPr>
      <w:r>
        <w:t>Define the application service contract and configure it using the [</w:t>
      </w:r>
      <w:proofErr w:type="spellStart"/>
      <w:r>
        <w:t>AppServiceContract</w:t>
      </w:r>
      <w:proofErr w:type="spellEnd"/>
      <w:r>
        <w:t>] attribute (Shared: yes/no, Allow multiple: yes/no).</w:t>
      </w:r>
    </w:p>
    <w:p w:rsidR="00FE4016" w:rsidRDefault="00FE4016" w:rsidP="00FE4016">
      <w:pPr>
        <w:pStyle w:val="ListParagraph"/>
        <w:numPr>
          <w:ilvl w:val="0"/>
          <w:numId w:val="12"/>
        </w:numPr>
        <w:spacing w:line="254" w:lineRule="auto"/>
      </w:pPr>
      <w:r>
        <w:t>Implement one or more application services based on the contract defined in the step above. Note: for contracts not allowing multiple service implementations, it is a recommended practice to decorate the service implementation with the [</w:t>
      </w:r>
      <w:proofErr w:type="spellStart"/>
      <w:r>
        <w:t>OverridePriority</w:t>
      </w:r>
      <w:proofErr w:type="spellEnd"/>
      <w:r>
        <w:t>] attribute.</w:t>
      </w:r>
    </w:p>
    <w:p w:rsidR="00FE4016" w:rsidRDefault="00FE4016" w:rsidP="00FE4016">
      <w:pPr>
        <w:pStyle w:val="ListParagraph"/>
        <w:numPr>
          <w:ilvl w:val="0"/>
          <w:numId w:val="12"/>
        </w:numPr>
        <w:spacing w:line="254" w:lineRule="auto"/>
      </w:pPr>
      <w:r>
        <w:t>Consume the service.</w:t>
      </w:r>
    </w:p>
    <w:p w:rsidR="00FE4016" w:rsidRDefault="00FE4016" w:rsidP="00FE4016">
      <w:r>
        <w:t>Note: By default, the application services are shared. To change this default behavior, set the lifetime of the exported service in the [</w:t>
      </w:r>
      <w:proofErr w:type="spellStart"/>
      <w:r>
        <w:t>AppServiceContract</w:t>
      </w:r>
      <w:proofErr w:type="spellEnd"/>
      <w:r>
        <w:t>] attribute.</w:t>
      </w:r>
    </w:p>
    <w:p w:rsidR="00FE4016" w:rsidRDefault="00FE4016" w:rsidP="00FE4016">
      <w:r>
        <w:t>Note: Kephas registers automatically application services with the composition container, so no composition registrars are required in this case.</w:t>
      </w:r>
    </w:p>
    <w:p w:rsidR="00FE4016" w:rsidRDefault="00FE4016" w:rsidP="00FE4016">
      <w:r>
        <w:t>Note: Because the sharing scope is defined at the service contract level, there is no need to set it at the implementation level. Otherwise it’s even counterproductive and confusing, making hard to identify possible bugs.</w:t>
      </w:r>
    </w:p>
    <w:p w:rsidR="00FE4016" w:rsidRDefault="00FE4016" w:rsidP="00FE4016">
      <w:r>
        <w:t>Note: in most cases the definition and discovery of application services should be sufficient, and no other conventions registrar for other kind of components should be required.</w:t>
      </w:r>
    </w:p>
    <w:p w:rsidR="00FE4016" w:rsidRDefault="00FE4016" w:rsidP="00FE4016">
      <w:pPr>
        <w:pStyle w:val="Heading2"/>
      </w:pPr>
      <w:r>
        <w:t>Override priorities</w:t>
      </w:r>
    </w:p>
    <w:p w:rsidR="00FE4016" w:rsidRDefault="00FE4016" w:rsidP="00FE4016">
      <w:r>
        <w:t>An override priority is used for services not allowing multiple implementations at the same time, to ensure a deterministic identification of the desired service.</w:t>
      </w:r>
    </w:p>
    <w:p w:rsidR="00FE4016" w:rsidRDefault="00FE4016" w:rsidP="00FE4016">
      <w:r>
        <w:t>Kephas exposes its default services either with a lowest override priority (for example for null services), or with a low priority (the rest of them), to allow an uncomplicated override, because when an override priority is not provided, the normal value is used in this case.</w:t>
      </w:r>
    </w:p>
    <w:p w:rsidR="00FE4016" w:rsidRDefault="00FE4016" w:rsidP="00FE4016">
      <w:pPr>
        <w:pStyle w:val="Heading2"/>
      </w:pPr>
      <w:r>
        <w:t>Multiple services with the same contract</w:t>
      </w:r>
    </w:p>
    <w:p w:rsidR="00FE4016" w:rsidRDefault="00FE4016" w:rsidP="00FE4016">
      <w:r>
        <w:t xml:space="preserve">If the application service contract should allow multiple registered service implementations, set the </w:t>
      </w:r>
      <w:proofErr w:type="spellStart"/>
      <w:r>
        <w:t>AllowMultiple</w:t>
      </w:r>
      <w:proofErr w:type="spellEnd"/>
      <w:r>
        <w:t xml:space="preserve"> option to true in the contract declaration.</w:t>
      </w:r>
    </w:p>
    <w:p w:rsidR="00923660" w:rsidRDefault="00FE4016" w:rsidP="00FE4016">
      <w:r>
        <w:lastRenderedPageBreak/>
        <w:t xml:space="preserve">Example: </w:t>
      </w:r>
    </w:p>
    <w:p w:rsidR="00FE4016" w:rsidRDefault="00FE4016" w:rsidP="00FE4016">
      <w:r>
        <w:t>[</w:t>
      </w:r>
      <w:proofErr w:type="spellStart"/>
      <w:proofErr w:type="gramStart"/>
      <w:r>
        <w:t>AppServiceContract</w:t>
      </w:r>
      <w:proofErr w:type="spellEnd"/>
      <w:r>
        <w:t>(</w:t>
      </w:r>
      <w:proofErr w:type="spellStart"/>
      <w:proofErr w:type="gramEnd"/>
      <w:r>
        <w:t>AllowMultiple</w:t>
      </w:r>
      <w:proofErr w:type="spellEnd"/>
      <w:r>
        <w:t xml:space="preserve"> = true)]</w:t>
      </w:r>
    </w:p>
    <w:p w:rsidR="00FE4016" w:rsidRDefault="00FE4016" w:rsidP="00FE4016">
      <w:r>
        <w:t>Note: generic application service contracts allow multiple registrations by default, because it is expected that multiple services will be defined with different actual generic type parameters.</w:t>
      </w:r>
    </w:p>
    <w:p w:rsidR="0050680E" w:rsidRDefault="0050680E" w:rsidP="0050680E">
      <w:pPr>
        <w:pStyle w:val="Heading2"/>
      </w:pPr>
      <w:r>
        <w:t>Composition metadata</w:t>
      </w:r>
    </w:p>
    <w:p w:rsidR="0050680E" w:rsidRDefault="0050680E" w:rsidP="00FE4016">
      <w:r>
        <w:t>Application services may indicate metadata attributes that they use. The following conventions are applied:</w:t>
      </w:r>
    </w:p>
    <w:p w:rsidR="0050680E" w:rsidRDefault="0050680E" w:rsidP="0050680E">
      <w:pPr>
        <w:pStyle w:val="ListParagraph"/>
        <w:numPr>
          <w:ilvl w:val="0"/>
          <w:numId w:val="13"/>
        </w:numPr>
      </w:pPr>
      <w:r>
        <w:t xml:space="preserve">The attributes must implement </w:t>
      </w:r>
      <w:proofErr w:type="spellStart"/>
      <w:r>
        <w:t>IMetadataValue</w:t>
      </w:r>
      <w:proofErr w:type="spellEnd"/>
      <w:r>
        <w:t>&lt;</w:t>
      </w:r>
      <w:proofErr w:type="spellStart"/>
      <w:r>
        <w:t>TValue</w:t>
      </w:r>
      <w:proofErr w:type="spellEnd"/>
      <w:r>
        <w:t>&gt;. The Value property will provide the value of the metadata key.</w:t>
      </w:r>
    </w:p>
    <w:p w:rsidR="0050680E" w:rsidRDefault="0050680E" w:rsidP="0050680E">
      <w:pPr>
        <w:pStyle w:val="ListParagraph"/>
        <w:numPr>
          <w:ilvl w:val="0"/>
          <w:numId w:val="13"/>
        </w:numPr>
      </w:pPr>
      <w:r>
        <w:t>The attribute type without the “Attribute” suffix will be the metadata key.</w:t>
      </w:r>
    </w:p>
    <w:p w:rsidR="0050680E" w:rsidRDefault="0050680E" w:rsidP="0050680E">
      <w:pPr>
        <w:pStyle w:val="ListParagraph"/>
        <w:numPr>
          <w:ilvl w:val="0"/>
          <w:numId w:val="13"/>
        </w:numPr>
      </w:pPr>
      <w:r>
        <w:t>When declaring the contract, the supported metadata attributes must be declared.</w:t>
      </w:r>
    </w:p>
    <w:p w:rsidR="0050680E" w:rsidRDefault="0050680E" w:rsidP="0050680E">
      <w:pPr>
        <w:pStyle w:val="ListParagraph"/>
        <w:numPr>
          <w:ilvl w:val="0"/>
          <w:numId w:val="13"/>
        </w:numPr>
      </w:pPr>
      <w:r>
        <w:t>The attributes are applied to the service implementations.</w:t>
      </w:r>
    </w:p>
    <w:p w:rsidR="0050680E" w:rsidRDefault="0050680E" w:rsidP="00FE4016">
      <w:r>
        <w:t>Example:</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AppServiceLifetime</w:t>
      </w:r>
      <w:r>
        <w:rPr>
          <w:rFonts w:ascii="Consolas" w:hAnsi="Consolas" w:cs="Consolas"/>
          <w:color w:val="B4B4B4"/>
          <w:sz w:val="19"/>
          <w:szCs w:val="19"/>
          <w:highlight w:val="black"/>
        </w:rPr>
        <w:t>.</w:t>
      </w:r>
      <w:r>
        <w:rPr>
          <w:rFonts w:ascii="Consolas" w:hAnsi="Consolas" w:cs="Consolas"/>
          <w:color w:val="DCDCDC"/>
          <w:sz w:val="19"/>
          <w:szCs w:val="19"/>
          <w:highlight w:val="black"/>
        </w:rPr>
        <w:t>Instance</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IRequestFilter</w:t>
      </w:r>
      <w:proofErr w:type="spellEnd"/>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E4016" w:rsidRDefault="00FE4016" w:rsidP="00FE4016">
      <w:pPr>
        <w:pStyle w:val="Heading2"/>
      </w:pPr>
      <w:r>
        <w:t>Generic application service</w:t>
      </w:r>
      <w:r w:rsidR="00923660">
        <w:t xml:space="preserve"> contract</w:t>
      </w:r>
      <w:r>
        <w:t>s</w:t>
      </w:r>
    </w:p>
    <w:p w:rsidR="00923660" w:rsidRDefault="00923660" w:rsidP="00923660">
      <w:r>
        <w:t>When exposing generic application service contracts, Kephas will try to find a non-generic application service contract in the implemented interfaces with the same full name. If one is found, it is considered that this non-generic contract is the actual service contract, and the generic one is provided for convenience and for collecting metadata.</w:t>
      </w:r>
    </w:p>
    <w:p w:rsidR="00923660" w:rsidRDefault="00923660" w:rsidP="00923660">
      <w:r>
        <w:t>Example:</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TResponse</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response</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AppServiceLifetime</w:t>
      </w:r>
      <w:r>
        <w:rPr>
          <w:rFonts w:ascii="Consolas" w:hAnsi="Consolas" w:cs="Consolas"/>
          <w:color w:val="B4B4B4"/>
          <w:sz w:val="19"/>
          <w:szCs w:val="19"/>
          <w:highlight w:val="black"/>
        </w:rPr>
        <w:t>.</w:t>
      </w:r>
      <w:r>
        <w:rPr>
          <w:rFonts w:ascii="Consolas" w:hAnsi="Consolas" w:cs="Consolas"/>
          <w:color w:val="DCDCDC"/>
          <w:sz w:val="19"/>
          <w:szCs w:val="19"/>
          <w:highlight w:val="black"/>
        </w:rPr>
        <w:t>Instance</w:t>
      </w:r>
      <w:proofErr w:type="spellEnd"/>
      <w:r>
        <w:rPr>
          <w:rFonts w:ascii="Consolas" w:hAnsi="Consolas" w:cs="Consolas"/>
          <w:color w:val="DCDCDC"/>
          <w:sz w:val="19"/>
          <w:szCs w:val="19"/>
          <w:highlight w:val="black"/>
        </w:rPr>
        <w: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TResponse</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IRequestHandler</w:t>
      </w:r>
      <w:proofErr w:type="spellEnd"/>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23660" w:rsidRDefault="00923660" w:rsidP="00923660">
      <w:r>
        <w:lastRenderedPageBreak/>
        <w:t xml:space="preserve">In this example, the request handlers are registered </w:t>
      </w:r>
      <w:bookmarkStart w:id="0" w:name="_GoBack"/>
      <w:bookmarkEnd w:id="0"/>
      <w:r>
        <w:t xml:space="preserve">exporting the non-generic </w:t>
      </w:r>
      <w:proofErr w:type="spellStart"/>
      <w:r>
        <w:t>IRequestHandler</w:t>
      </w:r>
      <w:proofErr w:type="spellEnd"/>
      <w:r>
        <w:t xml:space="preserve"> interface, so that all of them can be collected by the composition using the non-generic contract, and later on decisions may be taken based on the generic type metadata.</w:t>
      </w:r>
    </w:p>
    <w:p w:rsidR="0050680E" w:rsidRDefault="0050680E" w:rsidP="00923660">
      <w:r>
        <w:t xml:space="preserve">Additional to the metadata collected by using the </w:t>
      </w:r>
      <w:proofErr w:type="spellStart"/>
      <w:r>
        <w:t>MetadataAttributes</w:t>
      </w:r>
      <w:proofErr w:type="spellEnd"/>
      <w:r>
        <w:t xml:space="preserve"> declaration, Kephas collects also from the service implementations the actual generic types and adds them to the existing composition metadata. The following rules are applies:</w:t>
      </w:r>
    </w:p>
    <w:p w:rsidR="0050680E" w:rsidRDefault="0050680E" w:rsidP="0050680E">
      <w:pPr>
        <w:pStyle w:val="ListParagraph"/>
        <w:numPr>
          <w:ilvl w:val="0"/>
          <w:numId w:val="14"/>
        </w:numPr>
      </w:pPr>
      <w:r>
        <w:t>The actual generic parameter is the metadata value.</w:t>
      </w:r>
    </w:p>
    <w:p w:rsidR="0050680E" w:rsidRDefault="0050680E" w:rsidP="0050680E">
      <w:pPr>
        <w:pStyle w:val="ListParagraph"/>
        <w:numPr>
          <w:ilvl w:val="0"/>
          <w:numId w:val="14"/>
        </w:numPr>
      </w:pPr>
      <w:r>
        <w:t>The adjusted name of the generic parameter is the metadata key. The adjusted name is obtained by stripping the leading “T”, if specified, and appending “Type”, if not already there.</w:t>
      </w:r>
    </w:p>
    <w:sectPr w:rsidR="00506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BA00BD"/>
    <w:multiLevelType w:val="hybridMultilevel"/>
    <w:tmpl w:val="F4C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54F02A0"/>
    <w:multiLevelType w:val="hybridMultilevel"/>
    <w:tmpl w:val="E50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7"/>
  </w:num>
  <w:num w:numId="6">
    <w:abstractNumId w:val="5"/>
  </w:num>
  <w:num w:numId="7">
    <w:abstractNumId w:val="6"/>
  </w:num>
  <w:num w:numId="8">
    <w:abstractNumId w:val="4"/>
  </w:num>
  <w:num w:numId="9">
    <w:abstractNumId w:val="2"/>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44"/>
    <w:rsid w:val="0007599E"/>
    <w:rsid w:val="000767CD"/>
    <w:rsid w:val="000F7A3A"/>
    <w:rsid w:val="002C3F91"/>
    <w:rsid w:val="003321C9"/>
    <w:rsid w:val="00376E4F"/>
    <w:rsid w:val="00455C3B"/>
    <w:rsid w:val="00460332"/>
    <w:rsid w:val="004E1F37"/>
    <w:rsid w:val="004E35A9"/>
    <w:rsid w:val="0050680E"/>
    <w:rsid w:val="0068665C"/>
    <w:rsid w:val="00772ADB"/>
    <w:rsid w:val="00923660"/>
    <w:rsid w:val="00A579BD"/>
    <w:rsid w:val="00AF6466"/>
    <w:rsid w:val="00B35DC9"/>
    <w:rsid w:val="00BF6F78"/>
    <w:rsid w:val="00D04F62"/>
    <w:rsid w:val="00EC28C6"/>
    <w:rsid w:val="00EE3EB2"/>
    <w:rsid w:val="00F72BFC"/>
    <w:rsid w:val="00FA0A71"/>
    <w:rsid w:val="00FA2B44"/>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73E77-3A16-408D-AC34-6979DFD4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4577">
      <w:bodyDiv w:val="1"/>
      <w:marLeft w:val="0"/>
      <w:marRight w:val="0"/>
      <w:marTop w:val="0"/>
      <w:marBottom w:val="0"/>
      <w:divBdr>
        <w:top w:val="none" w:sz="0" w:space="0" w:color="auto"/>
        <w:left w:val="none" w:sz="0" w:space="0" w:color="auto"/>
        <w:bottom w:val="none" w:sz="0" w:space="0" w:color="auto"/>
        <w:right w:val="none" w:sz="0" w:space="0" w:color="auto"/>
      </w:divBdr>
    </w:div>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19</cp:revision>
  <dcterms:created xsi:type="dcterms:W3CDTF">2014-11-11T08:28:00Z</dcterms:created>
  <dcterms:modified xsi:type="dcterms:W3CDTF">2014-11-17T10:02:00Z</dcterms:modified>
</cp:coreProperties>
</file>