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THE FORGE</w:t>
      </w:r>
    </w:p>
    <w:p>
      <w:pPr>
        <w:jc w:val="center"/>
      </w:pPr>
      <w:r>
        <w:rPr>
          <w:b/>
          <w:sz w:val="38"/>
        </w:rPr>
        <w:t>A Systematic Trading Research Chronicle</w:t>
      </w:r>
    </w:p>
    <w:p>
      <w:pPr>
        <w:jc w:val="center"/>
      </w:pPr>
      <w:r>
        <w:rPr>
          <w:i/>
          <w:sz w:val="20"/>
        </w:rPr>
        <w:t>Living Research Document • Version 1.1 • September 2026</w:t>
      </w:r>
    </w:p>
    <w:p/>
    <w:p>
      <w:pPr>
        <w:jc w:val="center"/>
      </w:pPr>
      <w:r>
        <w:rPr>
          <w:sz w:val="20"/>
        </w:rPr>
        <w:t>Purpose: document the research process, technical challenges, strategy hypotheses, backtest evidence, failed experiments, forward-test performance, and decisions over time.</w:t>
      </w:r>
    </w:p>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jc w:val="center"/>
            </w:pPr>
            <w:r/>
            <w:r>
              <w:rPr>
                <w:b/>
                <w:sz w:val="16"/>
              </w:rPr>
              <w:t>Current Branch</w:t>
            </w:r>
          </w:p>
        </w:tc>
        <w:tc>
          <w:tcPr>
            <w:tcW w:type="dxa" w:w="3408"/>
            <w:vAlign w:val="center"/>
            <w:shd w:fill="D9EAF7"/>
          </w:tcPr>
          <w:p>
            <w:pPr>
              <w:jc w:val="center"/>
            </w:pPr>
            <w:r/>
            <w:r>
              <w:rPr>
                <w:b/>
                <w:sz w:val="16"/>
              </w:rPr>
              <w:t>Status</w:t>
            </w:r>
          </w:p>
        </w:tc>
        <w:tc>
          <w:tcPr>
            <w:tcW w:type="dxa" w:w="3408"/>
            <w:vAlign w:val="center"/>
            <w:shd w:fill="D9EAF7"/>
          </w:tcPr>
          <w:p>
            <w:pPr>
              <w:jc w:val="center"/>
            </w:pPr>
            <w:r/>
            <w:r>
              <w:rPr>
                <w:b/>
                <w:sz w:val="16"/>
              </w:rPr>
              <w:t>Role</w:t>
            </w:r>
          </w:p>
        </w:tc>
      </w:tr>
      <w:tr>
        <w:tc>
          <w:tcPr>
            <w:tcW w:type="dxa" w:w="3408"/>
            <w:vAlign w:val="center"/>
          </w:tcPr>
          <w:p>
            <w:pPr>
              <w:jc w:val="center"/>
            </w:pPr>
            <w:r/>
            <w:r>
              <w:rPr>
                <w:b w:val="0"/>
                <w:sz w:val="16"/>
              </w:rPr>
              <w:t>V13 SELL</w:t>
            </w:r>
          </w:p>
        </w:tc>
        <w:tc>
          <w:tcPr>
            <w:tcW w:type="dxa" w:w="3408"/>
            <w:vAlign w:val="center"/>
          </w:tcPr>
          <w:p>
            <w:pPr>
              <w:jc w:val="center"/>
            </w:pPr>
            <w:r/>
            <w:r>
              <w:rPr>
                <w:b w:val="0"/>
                <w:sz w:val="16"/>
              </w:rPr>
              <w:t>FORWARD TEST</w:t>
            </w:r>
          </w:p>
        </w:tc>
        <w:tc>
          <w:tcPr>
            <w:tcW w:type="dxa" w:w="3408"/>
            <w:vAlign w:val="center"/>
          </w:tcPr>
          <w:p>
            <w:pPr>
              <w:jc w:val="center"/>
            </w:pPr>
            <w:r/>
            <w:r>
              <w:rPr>
                <w:b w:val="0"/>
                <w:sz w:val="16"/>
              </w:rPr>
              <w:t>Baseline ICT-style SELL</w:t>
            </w:r>
          </w:p>
        </w:tc>
      </w:tr>
      <w:tr>
        <w:tc>
          <w:tcPr>
            <w:tcW w:type="dxa" w:w="3408"/>
            <w:vAlign w:val="center"/>
          </w:tcPr>
          <w:p>
            <w:pPr>
              <w:jc w:val="center"/>
            </w:pPr>
            <w:r/>
            <w:r>
              <w:rPr>
                <w:b w:val="0"/>
                <w:sz w:val="16"/>
              </w:rPr>
              <w:t>V17 Filtered SELL</w:t>
            </w:r>
          </w:p>
        </w:tc>
        <w:tc>
          <w:tcPr>
            <w:tcW w:type="dxa" w:w="3408"/>
            <w:vAlign w:val="center"/>
          </w:tcPr>
          <w:p>
            <w:pPr>
              <w:jc w:val="center"/>
            </w:pPr>
            <w:r/>
            <w:r>
              <w:rPr>
                <w:b w:val="0"/>
                <w:sz w:val="16"/>
              </w:rPr>
              <w:t>FORWARD TEST</w:t>
            </w:r>
          </w:p>
        </w:tc>
        <w:tc>
          <w:tcPr>
            <w:tcW w:type="dxa" w:w="3408"/>
            <w:vAlign w:val="center"/>
          </w:tcPr>
          <w:p>
            <w:pPr>
              <w:jc w:val="center"/>
            </w:pPr>
            <w:r/>
            <w:r>
              <w:rPr>
                <w:b w:val="0"/>
                <w:sz w:val="16"/>
              </w:rPr>
              <w:t>Higher-selectivity SELL</w:t>
            </w:r>
          </w:p>
        </w:tc>
      </w:tr>
      <w:tr>
        <w:tc>
          <w:tcPr>
            <w:tcW w:type="dxa" w:w="3408"/>
            <w:vAlign w:val="center"/>
          </w:tcPr>
          <w:p>
            <w:pPr>
              <w:jc w:val="center"/>
            </w:pPr>
            <w:r/>
            <w:r>
              <w:rPr>
                <w:b w:val="0"/>
                <w:sz w:val="16"/>
              </w:rPr>
              <w:t>V19 BUY</w:t>
            </w:r>
          </w:p>
        </w:tc>
        <w:tc>
          <w:tcPr>
            <w:tcW w:type="dxa" w:w="3408"/>
            <w:vAlign w:val="center"/>
          </w:tcPr>
          <w:p>
            <w:pPr>
              <w:jc w:val="center"/>
            </w:pPr>
            <w:r/>
            <w:r>
              <w:rPr>
                <w:b w:val="0"/>
                <w:sz w:val="16"/>
              </w:rPr>
              <w:t>FORWARD TEST</w:t>
            </w:r>
          </w:p>
        </w:tc>
        <w:tc>
          <w:tcPr>
            <w:tcW w:type="dxa" w:w="3408"/>
            <w:vAlign w:val="center"/>
          </w:tcPr>
          <w:p>
            <w:pPr>
              <w:jc w:val="center"/>
            </w:pPr>
            <w:r/>
            <w:r>
              <w:rPr>
                <w:b w:val="0"/>
                <w:sz w:val="16"/>
              </w:rPr>
              <w:t>Independent trend/range-breakout BUY</w:t>
            </w:r>
          </w:p>
        </w:tc>
      </w:tr>
      <w:tr>
        <w:tc>
          <w:tcPr>
            <w:tcW w:type="dxa" w:w="3408"/>
            <w:vAlign w:val="center"/>
          </w:tcPr>
          <w:p>
            <w:pPr>
              <w:jc w:val="center"/>
            </w:pPr>
            <w:r/>
            <w:r>
              <w:rPr>
                <w:b w:val="0"/>
                <w:sz w:val="16"/>
              </w:rPr>
              <w:t>Old V18 ICT BUY</w:t>
            </w:r>
          </w:p>
        </w:tc>
        <w:tc>
          <w:tcPr>
            <w:tcW w:type="dxa" w:w="3408"/>
            <w:vAlign w:val="center"/>
          </w:tcPr>
          <w:p>
            <w:pPr>
              <w:jc w:val="center"/>
            </w:pPr>
            <w:r/>
            <w:r>
              <w:rPr>
                <w:b w:val="0"/>
                <w:sz w:val="16"/>
              </w:rPr>
              <w:t>SHELVED</w:t>
            </w:r>
          </w:p>
        </w:tc>
        <w:tc>
          <w:tcPr>
            <w:tcW w:type="dxa" w:w="3408"/>
            <w:vAlign w:val="center"/>
          </w:tcPr>
          <w:p>
            <w:pPr>
              <w:jc w:val="center"/>
            </w:pPr>
            <w:r/>
            <w:r>
              <w:rPr>
                <w:b w:val="0"/>
                <w:sz w:val="16"/>
              </w:rPr>
              <w:t>Failed robustness validation</w:t>
            </w:r>
          </w:p>
        </w:tc>
      </w:tr>
      <w:tr>
        <w:tc>
          <w:tcPr>
            <w:tcW w:type="dxa" w:w="3408"/>
            <w:vAlign w:val="center"/>
          </w:tcPr>
          <w:p>
            <w:pPr>
              <w:jc w:val="center"/>
            </w:pPr>
            <w:r/>
            <w:r>
              <w:rPr>
                <w:b w:val="0"/>
                <w:sz w:val="16"/>
              </w:rPr>
              <w:t>V18 Update Compression BUY</w:t>
            </w:r>
          </w:p>
        </w:tc>
        <w:tc>
          <w:tcPr>
            <w:tcW w:type="dxa" w:w="3408"/>
            <w:vAlign w:val="center"/>
          </w:tcPr>
          <w:p>
            <w:pPr>
              <w:jc w:val="center"/>
            </w:pPr>
            <w:r/>
            <w:r>
              <w:rPr>
                <w:b w:val="0"/>
                <w:sz w:val="16"/>
              </w:rPr>
              <w:t>SHELVED</w:t>
            </w:r>
          </w:p>
        </w:tc>
        <w:tc>
          <w:tcPr>
            <w:tcW w:type="dxa" w:w="3408"/>
            <w:vAlign w:val="center"/>
          </w:tcPr>
          <w:p>
            <w:pPr>
              <w:jc w:val="center"/>
            </w:pPr>
            <w:r/>
            <w:r>
              <w:rPr>
                <w:b w:val="0"/>
                <w:sz w:val="16"/>
              </w:rPr>
              <w:t>Recent regime weakness</w:t>
            </w:r>
          </w:p>
        </w:tc>
      </w:tr>
      <w:tr>
        <w:tc>
          <w:tcPr>
            <w:tcW w:type="dxa" w:w="3408"/>
            <w:vAlign w:val="center"/>
          </w:tcPr>
          <w:p>
            <w:pPr>
              <w:jc w:val="center"/>
            </w:pPr>
            <w:r/>
            <w:r>
              <w:rPr>
                <w:b w:val="0"/>
                <w:sz w:val="16"/>
              </w:rPr>
              <w:t>V18 Mean Reversion BUY</w:t>
            </w:r>
          </w:p>
        </w:tc>
        <w:tc>
          <w:tcPr>
            <w:tcW w:type="dxa" w:w="3408"/>
            <w:vAlign w:val="center"/>
          </w:tcPr>
          <w:p>
            <w:pPr>
              <w:jc w:val="center"/>
            </w:pPr>
            <w:r/>
            <w:r>
              <w:rPr>
                <w:b w:val="0"/>
                <w:sz w:val="16"/>
              </w:rPr>
              <w:t>SHELVED</w:t>
            </w:r>
          </w:p>
        </w:tc>
        <w:tc>
          <w:tcPr>
            <w:tcW w:type="dxa" w:w="3408"/>
            <w:vAlign w:val="center"/>
          </w:tcPr>
          <w:p>
            <w:pPr>
              <w:jc w:val="center"/>
            </w:pPr>
            <w:r/>
            <w:r>
              <w:rPr>
                <w:b w:val="0"/>
                <w:sz w:val="16"/>
              </w:rPr>
              <w:t>Later sample deterioration</w:t>
            </w:r>
          </w:p>
        </w:tc>
      </w:tr>
    </w:tbl>
    <w:p>
      <w:r/>
    </w:p>
    <w:p>
      <w:pPr>
        <w:pStyle w:val="Heading1"/>
      </w:pPr>
      <w:r>
        <w:t>1. Executive Summary</w:t>
      </w:r>
    </w:p>
    <w:p>
      <w:r>
        <w:t>The Forge research program is an iterative XAUUSD strategy-research program using MetaTrader 5 and Python. The objective is not to force one strategy to work, but to identify trading rules that survive historical testing, chronological validation, realistic execution assumptions, and genuinely unseen forward data.</w:t>
      </w:r>
    </w:p>
    <w:p>
      <w:r>
        <w:t>The strongest research outcome to date is the SELL branch. V13 produced a strong historical SELL result, and V17 was developed as a more selective subset after quality-filter research and rolling validation. V19 was developed separately to provide BUY-side diversification without relying on the same ICT logic.</w:t>
      </w:r>
    </w:p>
    <w:p>
      <w:r>
        <w:t>Multiple BUY experiments have been rejected rather than optimized indefinitely. This is an important part of the research process: failed hypotheses are documented so that future work does not unknowingly repeat the same weak ideas.</w:t>
      </w:r>
    </w:p>
    <w:p>
      <w:pPr>
        <w:pStyle w:val="Heading1"/>
      </w:pPr>
      <w:r>
        <w:t>2. Research Principles</w:t>
      </w:r>
    </w:p>
    <w:p>
      <w:pPr>
        <w:spacing w:after="40"/>
      </w:pPr>
      <w:r>
        <w:rPr>
          <w:b/>
        </w:rPr>
        <w:t xml:space="preserve">• </w:t>
      </w:r>
      <w:r>
        <w:t>Paper/forward testing before live deployment; research scripts do not send orders.</w:t>
      </w:r>
    </w:p>
    <w:p>
      <w:pPr>
        <w:spacing w:after="40"/>
      </w:pPr>
      <w:r>
        <w:rPr>
          <w:b/>
        </w:rPr>
        <w:t xml:space="preserve">• </w:t>
      </w:r>
      <w:r>
        <w:t>Prefer chronological out-of-sample evidence over attractive full-sample results.</w:t>
      </w:r>
    </w:p>
    <w:p>
      <w:pPr>
        <w:spacing w:after="40"/>
      </w:pPr>
      <w:r>
        <w:rPr>
          <w:b/>
        </w:rPr>
        <w:t xml:space="preserve">• </w:t>
      </w:r>
      <w:r>
        <w:t>Freeze a strategy once it enters forward testing; do not tune it using forward outcomes.</w:t>
      </w:r>
    </w:p>
    <w:p>
      <w:pPr>
        <w:spacing w:after="40"/>
      </w:pPr>
      <w:r>
        <w:rPr>
          <w:b/>
        </w:rPr>
        <w:t xml:space="preserve">• </w:t>
      </w:r>
      <w:r>
        <w:t>Treat same-candle stop-loss and take-profit ambiguity conservatively as a loss.</w:t>
      </w:r>
    </w:p>
    <w:p>
      <w:pPr>
        <w:spacing w:after="40"/>
      </w:pPr>
      <w:r>
        <w:rPr>
          <w:b/>
        </w:rPr>
        <w:t xml:space="preserve">• </w:t>
      </w:r>
      <w:r>
        <w:t>Use one-active-trade execution where required so filtered strategies are tested as executable counterfactuals.</w:t>
      </w:r>
    </w:p>
    <w:p>
      <w:pPr>
        <w:spacing w:after="40"/>
      </w:pPr>
      <w:r>
        <w:rPr>
          <w:b/>
        </w:rPr>
        <w:t xml:space="preserve">• </w:t>
      </w:r>
      <w:r>
        <w:t>Track R-multiples, profit factor, expectancy, drawdown, loss streaks, frequency, and overlap—not win rate alone.</w:t>
      </w:r>
    </w:p>
    <w:p>
      <w:pPr>
        <w:spacing w:after="40"/>
      </w:pPr>
      <w:r>
        <w:rPr>
          <w:b/>
        </w:rPr>
        <w:t xml:space="preserve">• </w:t>
      </w:r>
      <w:r>
        <w:t>Reject fragile strategies instead of repeatedly adding filters until the backtest looks good.</w:t>
      </w:r>
    </w:p>
    <w:p>
      <w:pPr>
        <w:spacing w:after="40"/>
      </w:pPr>
      <w:r>
        <w:rPr>
          <w:b/>
        </w:rPr>
        <w:t xml:space="preserve">• </w:t>
      </w:r>
      <w:r>
        <w:t>Keep BUY and SELL research structurally diversified where possible.</w:t>
      </w:r>
    </w:p>
    <w:p>
      <w:pPr>
        <w:pStyle w:val="Heading1"/>
      </w:pPr>
      <w:r>
        <w:t>3. Technical Environment &amp; Challenges</w:t>
      </w:r>
    </w:p>
    <w:p>
      <w:r>
        <w:t>The research environment uses Windows, MetaTrader 5, Python, and a paid Windows VPS for continuous operation. The VPS allows the forward bots to remain online and reduces missed signals caused by a local computer being off.</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jc w:val="center"/>
            </w:pPr>
            <w:r/>
            <w:r>
              <w:rPr>
                <w:b/>
                <w:sz w:val="16"/>
              </w:rPr>
              <w:t>Issue</w:t>
            </w:r>
          </w:p>
        </w:tc>
        <w:tc>
          <w:tcPr>
            <w:tcW w:type="dxa" w:w="3408"/>
            <w:vAlign w:val="center"/>
            <w:shd w:fill="D9EAF7"/>
          </w:tcPr>
          <w:p>
            <w:pPr>
              <w:jc w:val="center"/>
            </w:pPr>
            <w:r/>
            <w:r>
              <w:rPr>
                <w:b/>
                <w:sz w:val="16"/>
              </w:rPr>
              <w:t>What Happened</w:t>
            </w:r>
          </w:p>
        </w:tc>
        <w:tc>
          <w:tcPr>
            <w:tcW w:type="dxa" w:w="3408"/>
            <w:vAlign w:val="center"/>
            <w:shd w:fill="D9EAF7"/>
          </w:tcPr>
          <w:p>
            <w:pPr>
              <w:jc w:val="center"/>
            </w:pPr>
            <w:r/>
            <w:r>
              <w:rPr>
                <w:b/>
                <w:sz w:val="16"/>
              </w:rPr>
              <w:t>Resolution / Research Impact</w:t>
            </w:r>
          </w:p>
        </w:tc>
      </w:tr>
      <w:tr>
        <w:tc>
          <w:tcPr>
            <w:tcW w:type="dxa" w:w="3408"/>
            <w:vAlign w:val="center"/>
          </w:tcPr>
          <w:p>
            <w:pPr>
              <w:jc w:val="center"/>
            </w:pPr>
            <w:r/>
            <w:r>
              <w:rPr>
                <w:b w:val="0"/>
                <w:sz w:val="16"/>
              </w:rPr>
              <w:t>MT5 large history calls</w:t>
            </w:r>
          </w:p>
        </w:tc>
        <w:tc>
          <w:tcPr>
            <w:tcW w:type="dxa" w:w="3408"/>
            <w:vAlign w:val="center"/>
          </w:tcPr>
          <w:p>
            <w:pPr>
              <w:jc w:val="center"/>
            </w:pPr>
            <w:r/>
            <w:r>
              <w:rPr>
                <w:b w:val="0"/>
                <w:sz w:val="16"/>
              </w:rPr>
              <w:t>Large single requests sometimes returned invalid-parameter errors.</w:t>
            </w:r>
          </w:p>
        </w:tc>
        <w:tc>
          <w:tcPr>
            <w:tcW w:type="dxa" w:w="3408"/>
            <w:vAlign w:val="center"/>
          </w:tcPr>
          <w:p>
            <w:pPr>
              <w:jc w:val="center"/>
            </w:pPr>
            <w:r/>
            <w:r>
              <w:rPr>
                <w:b w:val="0"/>
                <w:sz w:val="16"/>
              </w:rPr>
              <w:t>History downloads were changed to chunked copy_rates_from_pos calls.</w:t>
            </w:r>
          </w:p>
        </w:tc>
      </w:tr>
      <w:tr>
        <w:tc>
          <w:tcPr>
            <w:tcW w:type="dxa" w:w="3408"/>
            <w:vAlign w:val="center"/>
          </w:tcPr>
          <w:p>
            <w:pPr>
              <w:jc w:val="center"/>
            </w:pPr>
            <w:r/>
            <w:r>
              <w:rPr>
                <w:b w:val="0"/>
                <w:sz w:val="16"/>
              </w:rPr>
              <w:t>M1 history depth</w:t>
            </w:r>
          </w:p>
        </w:tc>
        <w:tc>
          <w:tcPr>
            <w:tcW w:type="dxa" w:w="3408"/>
            <w:vAlign w:val="center"/>
          </w:tcPr>
          <w:p>
            <w:pPr>
              <w:jc w:val="center"/>
            </w:pPr>
            <w:r/>
            <w:r>
              <w:rPr>
                <w:b w:val="0"/>
                <w:sz w:val="16"/>
              </w:rPr>
              <w:t>The terminal exposed only about 100,000 XAUUSD M1 candles, despite attempts to request older years.</w:t>
            </w:r>
          </w:p>
        </w:tc>
        <w:tc>
          <w:tcPr>
            <w:tcW w:type="dxa" w:w="3408"/>
            <w:vAlign w:val="center"/>
          </w:tcPr>
          <w:p>
            <w:pPr>
              <w:jc w:val="center"/>
            </w:pPr>
            <w:r/>
            <w:r>
              <w:rPr>
                <w:b w:val="0"/>
                <w:sz w:val="16"/>
              </w:rPr>
              <w:t>Older M1 history was not forced; research continued with the reliable history available.</w:t>
            </w:r>
          </w:p>
        </w:tc>
      </w:tr>
      <w:tr>
        <w:tc>
          <w:tcPr>
            <w:tcW w:type="dxa" w:w="3408"/>
            <w:vAlign w:val="center"/>
          </w:tcPr>
          <w:p>
            <w:pPr>
              <w:jc w:val="center"/>
            </w:pPr>
            <w:r/>
            <w:r>
              <w:rPr>
                <w:b w:val="0"/>
                <w:sz w:val="16"/>
              </w:rPr>
              <w:t>Resampled boundaries</w:t>
            </w:r>
          </w:p>
        </w:tc>
        <w:tc>
          <w:tcPr>
            <w:tcW w:type="dxa" w:w="3408"/>
            <w:vAlign w:val="center"/>
          </w:tcPr>
          <w:p>
            <w:pPr>
              <w:jc w:val="center"/>
            </w:pPr>
            <w:r/>
            <w:r>
              <w:rPr>
                <w:b w:val="0"/>
                <w:sz w:val="16"/>
              </w:rPr>
              <w:t>First resampled M3/M15/H1/H4 buckets can be partial.</w:t>
            </w:r>
          </w:p>
        </w:tc>
        <w:tc>
          <w:tcPr>
            <w:tcW w:type="dxa" w:w="3408"/>
            <w:vAlign w:val="center"/>
          </w:tcPr>
          <w:p>
            <w:pPr>
              <w:jc w:val="center"/>
            </w:pPr>
            <w:r/>
            <w:r>
              <w:rPr>
                <w:b w:val="0"/>
                <w:sz w:val="16"/>
              </w:rPr>
              <w:t>Recognized as a boundary issue; final validators should consistently use completed candles.</w:t>
            </w:r>
          </w:p>
        </w:tc>
      </w:tr>
      <w:tr>
        <w:tc>
          <w:tcPr>
            <w:tcW w:type="dxa" w:w="3408"/>
            <w:vAlign w:val="center"/>
          </w:tcPr>
          <w:p>
            <w:pPr>
              <w:jc w:val="center"/>
            </w:pPr>
            <w:r/>
            <w:r>
              <w:rPr>
                <w:b w:val="0"/>
                <w:sz w:val="16"/>
              </w:rPr>
              <w:t>Look-ahead risk</w:t>
            </w:r>
          </w:p>
        </w:tc>
        <w:tc>
          <w:tcPr>
            <w:tcW w:type="dxa" w:w="3408"/>
            <w:vAlign w:val="center"/>
          </w:tcPr>
          <w:p>
            <w:pPr>
              <w:jc w:val="center"/>
            </w:pPr>
            <w:r/>
            <w:r>
              <w:rPr>
                <w:b w:val="0"/>
                <w:sz w:val="16"/>
              </w:rPr>
              <w:t>Higher-timeframe information can accidentally leak into lower-timeframe signals.</w:t>
            </w:r>
          </w:p>
        </w:tc>
        <w:tc>
          <w:tcPr>
            <w:tcW w:type="dxa" w:w="3408"/>
            <w:vAlign w:val="center"/>
          </w:tcPr>
          <w:p>
            <w:pPr>
              <w:jc w:val="center"/>
            </w:pPr>
            <w:r/>
            <w:r>
              <w:rPr>
                <w:b w:val="0"/>
                <w:sz w:val="16"/>
              </w:rPr>
              <w:t>H1 features are shifted before merge_asof in the relevant BUY research.</w:t>
            </w:r>
          </w:p>
        </w:tc>
      </w:tr>
      <w:tr>
        <w:tc>
          <w:tcPr>
            <w:tcW w:type="dxa" w:w="3408"/>
            <w:vAlign w:val="center"/>
          </w:tcPr>
          <w:p>
            <w:pPr>
              <w:jc w:val="center"/>
            </w:pPr>
            <w:r/>
            <w:r>
              <w:rPr>
                <w:b w:val="0"/>
                <w:sz w:val="16"/>
              </w:rPr>
              <w:t>Filter execution bias</w:t>
            </w:r>
          </w:p>
        </w:tc>
        <w:tc>
          <w:tcPr>
            <w:tcW w:type="dxa" w:w="3408"/>
            <w:vAlign w:val="center"/>
          </w:tcPr>
          <w:p>
            <w:pPr>
              <w:jc w:val="center"/>
            </w:pPr>
            <w:r/>
            <w:r>
              <w:rPr>
                <w:b w:val="0"/>
                <w:sz w:val="16"/>
              </w:rPr>
              <w:t>Post-execution subgrouping can make a filter look better than a standalone filtered bot.</w:t>
            </w:r>
          </w:p>
        </w:tc>
        <w:tc>
          <w:tcPr>
            <w:tcW w:type="dxa" w:w="3408"/>
            <w:vAlign w:val="center"/>
          </w:tcPr>
          <w:p>
            <w:pPr>
              <w:jc w:val="center"/>
            </w:pPr>
            <w:r/>
            <w:r>
              <w:rPr>
                <w:b w:val="0"/>
                <w:sz w:val="16"/>
              </w:rPr>
              <w:t>V18C corrected this by filtering candidates before non-overlap simulation.</w:t>
            </w:r>
          </w:p>
        </w:tc>
      </w:tr>
      <w:tr>
        <w:tc>
          <w:tcPr>
            <w:tcW w:type="dxa" w:w="3408"/>
            <w:vAlign w:val="center"/>
          </w:tcPr>
          <w:p>
            <w:pPr>
              <w:jc w:val="center"/>
            </w:pPr>
            <w:r/>
            <w:r>
              <w:rPr>
                <w:b w:val="0"/>
                <w:sz w:val="16"/>
              </w:rPr>
              <w:t>VPS security</w:t>
            </w:r>
          </w:p>
        </w:tc>
        <w:tc>
          <w:tcPr>
            <w:tcW w:type="dxa" w:w="3408"/>
            <w:vAlign w:val="center"/>
          </w:tcPr>
          <w:p>
            <w:pPr>
              <w:jc w:val="center"/>
            </w:pPr>
            <w:r/>
            <w:r>
              <w:rPr>
                <w:b w:val="0"/>
                <w:sz w:val="16"/>
              </w:rPr>
              <w:t>Remote Windows VPS is used for persistent testing.</w:t>
            </w:r>
          </w:p>
        </w:tc>
        <w:tc>
          <w:tcPr>
            <w:tcW w:type="dxa" w:w="3408"/>
            <w:vAlign w:val="center"/>
          </w:tcPr>
          <w:p>
            <w:pPr>
              <w:jc w:val="center"/>
            </w:pPr>
            <w:r/>
            <w:r>
              <w:rPr>
                <w:b w:val="0"/>
                <w:sz w:val="16"/>
              </w:rPr>
              <w:t>Separate credentials/users are preferred; passwords/tokens are not stored in this report.</w:t>
            </w:r>
          </w:p>
        </w:tc>
      </w:tr>
    </w:tbl>
    <w:p>
      <w:pPr>
        <w:pStyle w:val="Heading1"/>
      </w:pPr>
      <w:r>
        <w:t>4. Strategy Development Timeline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jc w:val="center"/>
            </w:pPr>
            <w:r/>
            <w:r>
              <w:rPr>
                <w:b/>
                <w:sz w:val="16"/>
              </w:rPr>
              <w:t>Stage</w:t>
            </w:r>
          </w:p>
        </w:tc>
        <w:tc>
          <w:tcPr>
            <w:tcW w:type="dxa" w:w="3408"/>
            <w:vAlign w:val="center"/>
            <w:shd w:fill="D9EAF7"/>
          </w:tcPr>
          <w:p>
            <w:pPr>
              <w:jc w:val="center"/>
            </w:pPr>
            <w:r/>
            <w:r>
              <w:rPr>
                <w:b/>
                <w:sz w:val="16"/>
              </w:rPr>
              <w:t>Research Question</w:t>
            </w:r>
          </w:p>
        </w:tc>
        <w:tc>
          <w:tcPr>
            <w:tcW w:type="dxa" w:w="3408"/>
            <w:vAlign w:val="center"/>
            <w:shd w:fill="D9EAF7"/>
          </w:tcPr>
          <w:p>
            <w:pPr>
              <w:jc w:val="center"/>
            </w:pPr>
            <w:r/>
            <w:r>
              <w:rPr>
                <w:b/>
                <w:sz w:val="16"/>
              </w:rPr>
              <w:t>Outcome</w:t>
            </w:r>
          </w:p>
        </w:tc>
      </w:tr>
      <w:tr>
        <w:tc>
          <w:tcPr>
            <w:tcW w:type="dxa" w:w="3408"/>
            <w:vAlign w:val="center"/>
          </w:tcPr>
          <w:p>
            <w:pPr>
              <w:jc w:val="center"/>
            </w:pPr>
            <w:r/>
            <w:r>
              <w:rPr>
                <w:b w:val="0"/>
                <w:sz w:val="16"/>
              </w:rPr>
              <w:t>V13</w:t>
            </w:r>
          </w:p>
        </w:tc>
        <w:tc>
          <w:tcPr>
            <w:tcW w:type="dxa" w:w="3408"/>
            <w:vAlign w:val="center"/>
          </w:tcPr>
          <w:p>
            <w:pPr>
              <w:jc w:val="center"/>
            </w:pPr>
            <w:r/>
            <w:r>
              <w:rPr>
                <w:b w:val="0"/>
                <w:sz w:val="16"/>
              </w:rPr>
              <w:t>Does the simplified Callisto-style SELL setup have historical edge?</w:t>
            </w:r>
          </w:p>
        </w:tc>
        <w:tc>
          <w:tcPr>
            <w:tcW w:type="dxa" w:w="3408"/>
            <w:vAlign w:val="center"/>
          </w:tcPr>
          <w:p>
            <w:pPr>
              <w:jc w:val="center"/>
            </w:pPr>
            <w:r/>
            <w:r>
              <w:rPr>
                <w:b w:val="0"/>
                <w:sz w:val="16"/>
              </w:rPr>
              <w:t>YES - strong SELL branch.</w:t>
            </w:r>
          </w:p>
        </w:tc>
      </w:tr>
      <w:tr>
        <w:tc>
          <w:tcPr>
            <w:tcW w:type="dxa" w:w="3408"/>
            <w:vAlign w:val="center"/>
          </w:tcPr>
          <w:p>
            <w:pPr>
              <w:jc w:val="center"/>
            </w:pPr>
            <w:r/>
            <w:r>
              <w:rPr>
                <w:b w:val="0"/>
                <w:sz w:val="16"/>
              </w:rPr>
              <w:t>V9 direction split</w:t>
            </w:r>
          </w:p>
        </w:tc>
        <w:tc>
          <w:tcPr>
            <w:tcW w:type="dxa" w:w="3408"/>
            <w:vAlign w:val="center"/>
          </w:tcPr>
          <w:p>
            <w:pPr>
              <w:jc w:val="center"/>
            </w:pPr>
            <w:r/>
            <w:r>
              <w:rPr>
                <w:b w:val="0"/>
                <w:sz w:val="16"/>
              </w:rPr>
              <w:t>Are BUY and SELL equally strong?</w:t>
            </w:r>
          </w:p>
        </w:tc>
        <w:tc>
          <w:tcPr>
            <w:tcW w:type="dxa" w:w="3408"/>
            <w:vAlign w:val="center"/>
          </w:tcPr>
          <w:p>
            <w:pPr>
              <w:jc w:val="center"/>
            </w:pPr>
            <w:r/>
            <w:r>
              <w:rPr>
                <w:b w:val="0"/>
                <w:sz w:val="16"/>
              </w:rPr>
              <w:t>NO - SELL materially stronger; BUY nearly flat.</w:t>
            </w:r>
          </w:p>
        </w:tc>
      </w:tr>
      <w:tr>
        <w:tc>
          <w:tcPr>
            <w:tcW w:type="dxa" w:w="3408"/>
            <w:vAlign w:val="center"/>
          </w:tcPr>
          <w:p>
            <w:pPr>
              <w:jc w:val="center"/>
            </w:pPr>
            <w:r/>
            <w:r>
              <w:rPr>
                <w:b w:val="0"/>
                <w:sz w:val="16"/>
              </w:rPr>
              <w:t>V15/V16</w:t>
            </w:r>
          </w:p>
        </w:tc>
        <w:tc>
          <w:tcPr>
            <w:tcW w:type="dxa" w:w="3408"/>
            <w:vAlign w:val="center"/>
          </w:tcPr>
          <w:p>
            <w:pPr>
              <w:jc w:val="center"/>
            </w:pPr>
            <w:r/>
            <w:r>
              <w:rPr>
                <w:b w:val="0"/>
                <w:sz w:val="16"/>
              </w:rPr>
              <w:t>Can higher-quality SELL setups be isolated and validated?</w:t>
            </w:r>
          </w:p>
        </w:tc>
        <w:tc>
          <w:tcPr>
            <w:tcW w:type="dxa" w:w="3408"/>
            <w:vAlign w:val="center"/>
          </w:tcPr>
          <w:p>
            <w:pPr>
              <w:jc w:val="center"/>
            </w:pPr>
            <w:r/>
            <w:r>
              <w:rPr>
                <w:b w:val="0"/>
                <w:sz w:val="16"/>
              </w:rPr>
              <w:t>YES - created basis for V17.</w:t>
            </w:r>
          </w:p>
        </w:tc>
      </w:tr>
      <w:tr>
        <w:tc>
          <w:tcPr>
            <w:tcW w:type="dxa" w:w="3408"/>
            <w:vAlign w:val="center"/>
          </w:tcPr>
          <w:p>
            <w:pPr>
              <w:jc w:val="center"/>
            </w:pPr>
            <w:r/>
            <w:r>
              <w:rPr>
                <w:b w:val="0"/>
                <w:sz w:val="16"/>
              </w:rPr>
              <w:t>V17</w:t>
            </w:r>
          </w:p>
        </w:tc>
        <w:tc>
          <w:tcPr>
            <w:tcW w:type="dxa" w:w="3408"/>
            <w:vAlign w:val="center"/>
          </w:tcPr>
          <w:p>
            <w:pPr>
              <w:jc w:val="center"/>
            </w:pPr>
            <w:r/>
            <w:r>
              <w:rPr>
                <w:b w:val="0"/>
                <w:sz w:val="16"/>
              </w:rPr>
              <w:t>Can a filtered SELL subset improve trade quality?</w:t>
            </w:r>
          </w:p>
        </w:tc>
        <w:tc>
          <w:tcPr>
            <w:tcW w:type="dxa" w:w="3408"/>
            <w:vAlign w:val="center"/>
          </w:tcPr>
          <w:p>
            <w:pPr>
              <w:jc w:val="center"/>
            </w:pPr>
            <w:r/>
            <w:r>
              <w:rPr>
                <w:b w:val="0"/>
                <w:sz w:val="16"/>
              </w:rPr>
              <w:t>Forward testing now.</w:t>
            </w:r>
          </w:p>
        </w:tc>
      </w:tr>
      <w:tr>
        <w:tc>
          <w:tcPr>
            <w:tcW w:type="dxa" w:w="3408"/>
            <w:vAlign w:val="center"/>
          </w:tcPr>
          <w:p>
            <w:pPr>
              <w:jc w:val="center"/>
            </w:pPr>
            <w:r/>
            <w:r>
              <w:rPr>
                <w:b w:val="0"/>
                <w:sz w:val="16"/>
              </w:rPr>
              <w:t>Old V18 BUY</w:t>
            </w:r>
          </w:p>
        </w:tc>
        <w:tc>
          <w:tcPr>
            <w:tcW w:type="dxa" w:w="3408"/>
            <w:vAlign w:val="center"/>
          </w:tcPr>
          <w:p>
            <w:pPr>
              <w:jc w:val="center"/>
            </w:pPr>
            <w:r/>
            <w:r>
              <w:rPr>
                <w:b w:val="0"/>
                <w:sz w:val="16"/>
              </w:rPr>
              <w:t>Can the ICT BUY side be repaired?</w:t>
            </w:r>
          </w:p>
        </w:tc>
        <w:tc>
          <w:tcPr>
            <w:tcW w:type="dxa" w:w="3408"/>
            <w:vAlign w:val="center"/>
          </w:tcPr>
          <w:p>
            <w:pPr>
              <w:jc w:val="center"/>
            </w:pPr>
            <w:r/>
            <w:r>
              <w:rPr>
                <w:b w:val="0"/>
                <w:sz w:val="16"/>
              </w:rPr>
              <w:t>NO - failed final executable robustness test.</w:t>
            </w:r>
          </w:p>
        </w:tc>
      </w:tr>
      <w:tr>
        <w:tc>
          <w:tcPr>
            <w:tcW w:type="dxa" w:w="3408"/>
            <w:vAlign w:val="center"/>
          </w:tcPr>
          <w:p>
            <w:pPr>
              <w:jc w:val="center"/>
            </w:pPr>
            <w:r/>
            <w:r>
              <w:rPr>
                <w:b w:val="0"/>
                <w:sz w:val="16"/>
              </w:rPr>
              <w:t>V19 BUY</w:t>
            </w:r>
          </w:p>
        </w:tc>
        <w:tc>
          <w:tcPr>
            <w:tcW w:type="dxa" w:w="3408"/>
            <w:vAlign w:val="center"/>
          </w:tcPr>
          <w:p>
            <w:pPr>
              <w:jc w:val="center"/>
            </w:pPr>
            <w:r/>
            <w:r>
              <w:rPr>
                <w:b w:val="0"/>
                <w:sz w:val="16"/>
              </w:rPr>
              <w:t>Can a non-ICT trend/range breakout diversify BUY exposure?</w:t>
            </w:r>
          </w:p>
        </w:tc>
        <w:tc>
          <w:tcPr>
            <w:tcW w:type="dxa" w:w="3408"/>
            <w:vAlign w:val="center"/>
          </w:tcPr>
          <w:p>
            <w:pPr>
              <w:jc w:val="center"/>
            </w:pPr>
            <w:r/>
            <w:r>
              <w:rPr>
                <w:b w:val="0"/>
                <w:sz w:val="16"/>
              </w:rPr>
              <w:t>YES - strong enough for forward test.</w:t>
            </w:r>
          </w:p>
        </w:tc>
      </w:tr>
      <w:tr>
        <w:tc>
          <w:tcPr>
            <w:tcW w:type="dxa" w:w="3408"/>
            <w:vAlign w:val="center"/>
          </w:tcPr>
          <w:p>
            <w:pPr>
              <w:jc w:val="center"/>
            </w:pPr>
            <w:r/>
            <w:r>
              <w:rPr>
                <w:b w:val="0"/>
                <w:sz w:val="16"/>
              </w:rPr>
              <w:t>V18 Update</w:t>
            </w:r>
          </w:p>
        </w:tc>
        <w:tc>
          <w:tcPr>
            <w:tcW w:type="dxa" w:w="3408"/>
            <w:vAlign w:val="center"/>
          </w:tcPr>
          <w:p>
            <w:pPr>
              <w:jc w:val="center"/>
            </w:pPr>
            <w:r/>
            <w:r>
              <w:rPr>
                <w:b w:val="0"/>
                <w:sz w:val="16"/>
              </w:rPr>
              <w:t>Can volatility-compression breakout create another BUY edge?</w:t>
            </w:r>
          </w:p>
        </w:tc>
        <w:tc>
          <w:tcPr>
            <w:tcW w:type="dxa" w:w="3408"/>
            <w:vAlign w:val="center"/>
          </w:tcPr>
          <w:p>
            <w:pPr>
              <w:jc w:val="center"/>
            </w:pPr>
            <w:r/>
            <w:r>
              <w:rPr>
                <w:b w:val="0"/>
                <w:sz w:val="16"/>
              </w:rPr>
              <w:t>Not robust enough; shelved.</w:t>
            </w:r>
          </w:p>
        </w:tc>
      </w:tr>
      <w:tr>
        <w:tc>
          <w:tcPr>
            <w:tcW w:type="dxa" w:w="3408"/>
            <w:vAlign w:val="center"/>
          </w:tcPr>
          <w:p>
            <w:pPr>
              <w:jc w:val="center"/>
            </w:pPr>
            <w:r/>
            <w:r>
              <w:rPr>
                <w:b w:val="0"/>
                <w:sz w:val="16"/>
              </w:rPr>
              <w:t>Mean Reversion BUY</w:t>
            </w:r>
          </w:p>
        </w:tc>
        <w:tc>
          <w:tcPr>
            <w:tcW w:type="dxa" w:w="3408"/>
            <w:vAlign w:val="center"/>
          </w:tcPr>
          <w:p>
            <w:pPr>
              <w:jc w:val="center"/>
            </w:pPr>
            <w:r/>
            <w:r>
              <w:rPr>
                <w:b w:val="0"/>
                <w:sz w:val="16"/>
              </w:rPr>
              <w:t>Can statistical downside extremes create an independent BUY edge?</w:t>
            </w:r>
          </w:p>
        </w:tc>
        <w:tc>
          <w:tcPr>
            <w:tcW w:type="dxa" w:w="3408"/>
            <w:vAlign w:val="center"/>
          </w:tcPr>
          <w:p>
            <w:pPr>
              <w:jc w:val="center"/>
            </w:pPr>
            <w:r/>
            <w:r>
              <w:rPr>
                <w:b w:val="0"/>
                <w:sz w:val="16"/>
              </w:rPr>
              <w:t>Later sample deteriorated; shelved.</w:t>
            </w:r>
          </w:p>
        </w:tc>
      </w:tr>
    </w:tbl>
    <w:p>
      <w:r/>
    </w:p>
    <w:p>
      <w:pPr>
        <w:pStyle w:val="Heading1"/>
      </w:pPr>
      <w:r>
        <w:t>5. SELL Branch - V13 Baseline</w:t>
      </w:r>
    </w:p>
    <w:p>
      <w:r>
        <w:t>Core concept: H1 liquidity sweep → M3 CHOCH → bearish FVG → FVG retest. The implementation is a simplified objective approximation of publicly described Callisto/ICT concepts, not a claim to reproduce proprietary rules exactly.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jc w:val="center"/>
            </w:pPr>
            <w:r/>
            <w:r>
              <w:rPr>
                <w:b/>
                <w:sz w:val="16"/>
              </w:rPr>
              <w:t>Historical Metric</w:t>
            </w:r>
          </w:p>
        </w:tc>
        <w:tc>
          <w:tcPr>
            <w:tcW w:type="dxa" w:w="5112"/>
            <w:vAlign w:val="center"/>
            <w:shd w:fill="D9EAF7"/>
          </w:tcPr>
          <w:p>
            <w:pPr>
              <w:jc w:val="center"/>
            </w:pPr>
            <w:r/>
            <w:r>
              <w:rPr>
                <w:b/>
                <w:sz w:val="16"/>
              </w:rPr>
              <w:t>V13 SELL</w:t>
            </w:r>
          </w:p>
        </w:tc>
      </w:tr>
      <w:tr>
        <w:tc>
          <w:tcPr>
            <w:tcW w:type="dxa" w:w="5112"/>
            <w:vAlign w:val="center"/>
          </w:tcPr>
          <w:p>
            <w:pPr>
              <w:jc w:val="center"/>
            </w:pPr>
            <w:r/>
            <w:r>
              <w:rPr>
                <w:b w:val="0"/>
                <w:sz w:val="16"/>
              </w:rPr>
              <w:t>Trades</w:t>
            </w:r>
          </w:p>
        </w:tc>
        <w:tc>
          <w:tcPr>
            <w:tcW w:type="dxa" w:w="5112"/>
            <w:vAlign w:val="center"/>
          </w:tcPr>
          <w:p>
            <w:pPr>
              <w:jc w:val="center"/>
            </w:pPr>
            <w:r/>
            <w:r>
              <w:rPr>
                <w:b w:val="0"/>
                <w:sz w:val="16"/>
              </w:rPr>
              <w:t>150</w:t>
            </w:r>
          </w:p>
        </w:tc>
      </w:tr>
      <w:tr>
        <w:tc>
          <w:tcPr>
            <w:tcW w:type="dxa" w:w="5112"/>
            <w:vAlign w:val="center"/>
          </w:tcPr>
          <w:p>
            <w:pPr>
              <w:jc w:val="center"/>
            </w:pPr>
            <w:r/>
            <w:r>
              <w:rPr>
                <w:b w:val="0"/>
                <w:sz w:val="16"/>
              </w:rPr>
              <w:t>Wins</w:t>
            </w:r>
          </w:p>
        </w:tc>
        <w:tc>
          <w:tcPr>
            <w:tcW w:type="dxa" w:w="5112"/>
            <w:vAlign w:val="center"/>
          </w:tcPr>
          <w:p>
            <w:pPr>
              <w:jc w:val="center"/>
            </w:pPr>
            <w:r/>
            <w:r>
              <w:rPr>
                <w:b w:val="0"/>
                <w:sz w:val="16"/>
              </w:rPr>
              <w:t>78</w:t>
            </w:r>
          </w:p>
        </w:tc>
      </w:tr>
      <w:tr>
        <w:tc>
          <w:tcPr>
            <w:tcW w:type="dxa" w:w="5112"/>
            <w:vAlign w:val="center"/>
          </w:tcPr>
          <w:p>
            <w:pPr>
              <w:jc w:val="center"/>
            </w:pPr>
            <w:r/>
            <w:r>
              <w:rPr>
                <w:b w:val="0"/>
                <w:sz w:val="16"/>
              </w:rPr>
              <w:t>Win Rate</w:t>
            </w:r>
          </w:p>
        </w:tc>
        <w:tc>
          <w:tcPr>
            <w:tcW w:type="dxa" w:w="5112"/>
            <w:vAlign w:val="center"/>
          </w:tcPr>
          <w:p>
            <w:pPr>
              <w:jc w:val="center"/>
            </w:pPr>
            <w:r/>
            <w:r>
              <w:rPr>
                <w:b w:val="0"/>
                <w:sz w:val="16"/>
              </w:rPr>
              <w:t>52.0%</w:t>
            </w:r>
          </w:p>
        </w:tc>
      </w:tr>
      <w:tr>
        <w:tc>
          <w:tcPr>
            <w:tcW w:type="dxa" w:w="5112"/>
            <w:vAlign w:val="center"/>
          </w:tcPr>
          <w:p>
            <w:pPr>
              <w:jc w:val="center"/>
            </w:pPr>
            <w:r/>
            <w:r>
              <w:rPr>
                <w:b w:val="0"/>
                <w:sz w:val="16"/>
              </w:rPr>
              <w:t>Net R</w:t>
            </w:r>
          </w:p>
        </w:tc>
        <w:tc>
          <w:tcPr>
            <w:tcW w:type="dxa" w:w="5112"/>
            <w:vAlign w:val="center"/>
          </w:tcPr>
          <w:p>
            <w:pPr>
              <w:jc w:val="center"/>
            </w:pPr>
            <w:r/>
            <w:r>
              <w:rPr>
                <w:b w:val="0"/>
                <w:sz w:val="16"/>
              </w:rPr>
              <w:t>+84R</w:t>
            </w:r>
          </w:p>
        </w:tc>
      </w:tr>
      <w:tr>
        <w:tc>
          <w:tcPr>
            <w:tcW w:type="dxa" w:w="5112"/>
            <w:vAlign w:val="center"/>
          </w:tcPr>
          <w:p>
            <w:pPr>
              <w:jc w:val="center"/>
            </w:pPr>
            <w:r/>
            <w:r>
              <w:rPr>
                <w:b w:val="0"/>
                <w:sz w:val="16"/>
              </w:rPr>
              <w:t>Profit Factor</w:t>
            </w:r>
          </w:p>
        </w:tc>
        <w:tc>
          <w:tcPr>
            <w:tcW w:type="dxa" w:w="5112"/>
            <w:vAlign w:val="center"/>
          </w:tcPr>
          <w:p>
            <w:pPr>
              <w:jc w:val="center"/>
            </w:pPr>
            <w:r/>
            <w:r>
              <w:rPr>
                <w:b w:val="0"/>
                <w:sz w:val="16"/>
              </w:rPr>
              <w:t>2.167</w:t>
            </w:r>
          </w:p>
        </w:tc>
      </w:tr>
      <w:tr>
        <w:tc>
          <w:tcPr>
            <w:tcW w:type="dxa" w:w="5112"/>
            <w:vAlign w:val="center"/>
          </w:tcPr>
          <w:p>
            <w:pPr>
              <w:jc w:val="center"/>
            </w:pPr>
            <w:r/>
            <w:r>
              <w:rPr>
                <w:b w:val="0"/>
                <w:sz w:val="16"/>
              </w:rPr>
              <w:t>Expectancy</w:t>
            </w:r>
          </w:p>
        </w:tc>
        <w:tc>
          <w:tcPr>
            <w:tcW w:type="dxa" w:w="5112"/>
            <w:vAlign w:val="center"/>
          </w:tcPr>
          <w:p>
            <w:pPr>
              <w:jc w:val="center"/>
            </w:pPr>
            <w:r/>
            <w:r>
              <w:rPr>
                <w:b w:val="0"/>
                <w:sz w:val="16"/>
              </w:rPr>
              <w:t>+0.560R</w:t>
            </w:r>
          </w:p>
        </w:tc>
      </w:tr>
      <w:tr>
        <w:tc>
          <w:tcPr>
            <w:tcW w:type="dxa" w:w="5112"/>
            <w:vAlign w:val="center"/>
          </w:tcPr>
          <w:p>
            <w:pPr>
              <w:jc w:val="center"/>
            </w:pPr>
            <w:r/>
            <w:r>
              <w:rPr>
                <w:b w:val="0"/>
                <w:sz w:val="16"/>
              </w:rPr>
              <w:t>Max Drawdown</w:t>
            </w:r>
          </w:p>
        </w:tc>
        <w:tc>
          <w:tcPr>
            <w:tcW w:type="dxa" w:w="5112"/>
            <w:vAlign w:val="center"/>
          </w:tcPr>
          <w:p>
            <w:pPr>
              <w:jc w:val="center"/>
            </w:pPr>
            <w:r/>
            <w:r>
              <w:rPr>
                <w:b w:val="0"/>
                <w:sz w:val="16"/>
              </w:rPr>
              <w:t>-8R</w:t>
            </w:r>
          </w:p>
        </w:tc>
      </w:tr>
    </w:tbl>
    <w:p>
      <w:r>
        <w:t>The SELL-only result was dramatically stronger than the BUY side, which is why subsequent ICT research focused on SELL.</w:t>
      </w:r>
    </w:p>
    <w:p>
      <w:pPr>
        <w:pStyle w:val="Heading1"/>
      </w:pPr>
      <w:r>
        <w:t>6. SELL Quality Research - Why V17 Was Created</w:t>
      </w:r>
    </w:p>
    <w:p>
      <w:r>
        <w:t>V17 was not created by randomly adding filters. The research examined characteristics of stronger historical SELL setups, then tested the candidate rules chronologically.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jc w:val="center"/>
            </w:pPr>
            <w:r/>
            <w:r>
              <w:rPr>
                <w:b/>
                <w:sz w:val="16"/>
              </w:rPr>
              <w:t>Additional V17 Rule</w:t>
            </w:r>
          </w:p>
        </w:tc>
        <w:tc>
          <w:tcPr>
            <w:tcW w:type="dxa" w:w="5112"/>
            <w:vAlign w:val="center"/>
            <w:shd w:fill="D9EAF7"/>
          </w:tcPr>
          <w:p>
            <w:pPr>
              <w:jc w:val="center"/>
            </w:pPr>
            <w:r/>
            <w:r>
              <w:rPr>
                <w:b/>
                <w:sz w:val="16"/>
              </w:rPr>
              <w:t>Purpose</w:t>
            </w:r>
          </w:p>
        </w:tc>
      </w:tr>
      <w:tr>
        <w:tc>
          <w:tcPr>
            <w:tcW w:type="dxa" w:w="5112"/>
            <w:vAlign w:val="center"/>
          </w:tcPr>
          <w:p>
            <w:pPr>
              <w:jc w:val="center"/>
            </w:pPr>
            <w:r/>
            <w:r>
              <w:rPr>
                <w:b w:val="0"/>
                <w:sz w:val="16"/>
              </w:rPr>
              <w:t>Bearish FVG ≥ 0.25</w:t>
            </w:r>
          </w:p>
        </w:tc>
        <w:tc>
          <w:tcPr>
            <w:tcW w:type="dxa" w:w="5112"/>
            <w:vAlign w:val="center"/>
          </w:tcPr>
          <w:p>
            <w:pPr>
              <w:jc w:val="center"/>
            </w:pPr>
            <w:r/>
            <w:r>
              <w:rPr>
                <w:b w:val="0"/>
                <w:sz w:val="16"/>
              </w:rPr>
              <w:t>Remove very small imbalances.</w:t>
            </w:r>
          </w:p>
        </w:tc>
      </w:tr>
      <w:tr>
        <w:tc>
          <w:tcPr>
            <w:tcW w:type="dxa" w:w="5112"/>
            <w:vAlign w:val="center"/>
          </w:tcPr>
          <w:p>
            <w:pPr>
              <w:jc w:val="center"/>
            </w:pPr>
            <w:r/>
            <w:r>
              <w:rPr>
                <w:b w:val="0"/>
                <w:sz w:val="16"/>
              </w:rPr>
              <w:t>Sweep → CHOCH ≤ 60 minutes</w:t>
            </w:r>
          </w:p>
        </w:tc>
        <w:tc>
          <w:tcPr>
            <w:tcW w:type="dxa" w:w="5112"/>
            <w:vAlign w:val="center"/>
          </w:tcPr>
          <w:p>
            <w:pPr>
              <w:jc w:val="center"/>
            </w:pPr>
            <w:r/>
            <w:r>
              <w:rPr>
                <w:b w:val="0"/>
                <w:sz w:val="16"/>
              </w:rPr>
              <w:t>Require relatively fast confirmation after the sweep.</w:t>
            </w:r>
          </w:p>
        </w:tc>
      </w:tr>
      <w:tr>
        <w:tc>
          <w:tcPr>
            <w:tcW w:type="dxa" w:w="5112"/>
            <w:vAlign w:val="center"/>
          </w:tcPr>
          <w:p>
            <w:pPr>
              <w:jc w:val="center"/>
            </w:pPr>
            <w:r/>
            <w:r>
              <w:rPr>
                <w:b w:val="0"/>
                <w:sz w:val="16"/>
              </w:rPr>
              <w:t>CHOCH → FVG ≤ 60 minutes</w:t>
            </w:r>
          </w:p>
        </w:tc>
        <w:tc>
          <w:tcPr>
            <w:tcW w:type="dxa" w:w="5112"/>
            <w:vAlign w:val="center"/>
          </w:tcPr>
          <w:p>
            <w:pPr>
              <w:jc w:val="center"/>
            </w:pPr>
            <w:r/>
            <w:r>
              <w:rPr>
                <w:b w:val="0"/>
                <w:sz w:val="16"/>
              </w:rPr>
              <w:t>Require the imbalance to form promptly.</w:t>
            </w:r>
          </w:p>
        </w:tc>
      </w:tr>
      <w:tr>
        <w:tc>
          <w:tcPr>
            <w:tcW w:type="dxa" w:w="5112"/>
            <w:vAlign w:val="center"/>
          </w:tcPr>
          <w:p>
            <w:pPr>
              <w:jc w:val="center"/>
            </w:pPr>
            <w:r/>
            <w:r>
              <w:rPr>
                <w:b w:val="0"/>
                <w:sz w:val="16"/>
              </w:rPr>
              <w:t>FVG → entry ≤ 30 minutes</w:t>
            </w:r>
          </w:p>
        </w:tc>
        <w:tc>
          <w:tcPr>
            <w:tcW w:type="dxa" w:w="5112"/>
            <w:vAlign w:val="center"/>
          </w:tcPr>
          <w:p>
            <w:pPr>
              <w:jc w:val="center"/>
            </w:pPr>
            <w:r/>
            <w:r>
              <w:rPr>
                <w:b w:val="0"/>
                <w:sz w:val="16"/>
              </w:rPr>
              <w:t>Avoid stale retests.</w:t>
            </w:r>
          </w:p>
        </w:tc>
      </w:tr>
      <w:tr>
        <w:tc>
          <w:tcPr>
            <w:tcW w:type="dxa" w:w="5112"/>
            <w:vAlign w:val="center"/>
          </w:tcPr>
          <w:p>
            <w:pPr>
              <w:jc w:val="center"/>
            </w:pPr>
            <w:r/>
            <w:r>
              <w:rPr>
                <w:b w:val="0"/>
                <w:sz w:val="16"/>
              </w:rPr>
              <w:t>Session = OTHER</w:t>
            </w:r>
          </w:p>
        </w:tc>
        <w:tc>
          <w:tcPr>
            <w:tcW w:type="dxa" w:w="5112"/>
            <w:vAlign w:val="center"/>
          </w:tcPr>
          <w:p>
            <w:pPr>
              <w:jc w:val="center"/>
            </w:pPr>
            <w:r/>
            <w:r>
              <w:rPr>
                <w:b w:val="0"/>
                <w:sz w:val="16"/>
              </w:rPr>
              <w:t>Use the historically selected session subset under the raw MT5 timestamp convention.</w:t>
            </w:r>
          </w:p>
        </w:tc>
      </w:tr>
      <w:tr>
        <w:tc>
          <w:tcPr>
            <w:tcW w:type="dxa" w:w="5112"/>
            <w:vAlign w:val="center"/>
          </w:tcPr>
          <w:p>
            <w:pPr>
              <w:jc w:val="center"/>
            </w:pPr>
            <w:r/>
            <w:r>
              <w:rPr>
                <w:b w:val="0"/>
                <w:sz w:val="16"/>
              </w:rPr>
              <w:t>No break-even</w:t>
            </w:r>
          </w:p>
        </w:tc>
        <w:tc>
          <w:tcPr>
            <w:tcW w:type="dxa" w:w="5112"/>
            <w:vAlign w:val="center"/>
          </w:tcPr>
          <w:p>
            <w:pPr>
              <w:jc w:val="center"/>
            </w:pPr>
            <w:r/>
            <w:r>
              <w:rPr>
                <w:b w:val="0"/>
                <w:sz w:val="16"/>
              </w:rPr>
              <w:t>Historical tests showed the original no-BE management was stronger.</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jc w:val="center"/>
            </w:pPr>
            <w:r/>
            <w:r>
              <w:rPr>
                <w:b/>
                <w:sz w:val="16"/>
              </w:rPr>
              <w:t>Rolling OOS Metric</w:t>
            </w:r>
          </w:p>
        </w:tc>
        <w:tc>
          <w:tcPr>
            <w:tcW w:type="dxa" w:w="3408"/>
            <w:vAlign w:val="center"/>
            <w:shd w:fill="D9EAF7"/>
          </w:tcPr>
          <w:p>
            <w:pPr>
              <w:jc w:val="center"/>
            </w:pPr>
            <w:r/>
            <w:r>
              <w:rPr>
                <w:b/>
                <w:sz w:val="16"/>
              </w:rPr>
              <w:t>Baseline SELL</w:t>
            </w:r>
          </w:p>
        </w:tc>
        <w:tc>
          <w:tcPr>
            <w:tcW w:type="dxa" w:w="3408"/>
            <w:vAlign w:val="center"/>
            <w:shd w:fill="D9EAF7"/>
          </w:tcPr>
          <w:p>
            <w:pPr>
              <w:jc w:val="center"/>
            </w:pPr>
            <w:r/>
            <w:r>
              <w:rPr>
                <w:b/>
                <w:sz w:val="16"/>
              </w:rPr>
              <w:t>Filtered SELL</w:t>
            </w:r>
          </w:p>
        </w:tc>
      </w:tr>
      <w:tr>
        <w:tc>
          <w:tcPr>
            <w:tcW w:type="dxa" w:w="3408"/>
            <w:vAlign w:val="center"/>
          </w:tcPr>
          <w:p>
            <w:pPr>
              <w:jc w:val="center"/>
            </w:pPr>
            <w:r/>
            <w:r>
              <w:rPr>
                <w:b w:val="0"/>
                <w:sz w:val="16"/>
              </w:rPr>
              <w:t>Trades</w:t>
            </w:r>
          </w:p>
        </w:tc>
        <w:tc>
          <w:tcPr>
            <w:tcW w:type="dxa" w:w="3408"/>
            <w:vAlign w:val="center"/>
          </w:tcPr>
          <w:p>
            <w:pPr>
              <w:jc w:val="center"/>
            </w:pPr>
            <w:r/>
            <w:r>
              <w:rPr>
                <w:b w:val="0"/>
                <w:sz w:val="16"/>
              </w:rPr>
              <w:t>104</w:t>
            </w:r>
          </w:p>
        </w:tc>
        <w:tc>
          <w:tcPr>
            <w:tcW w:type="dxa" w:w="3408"/>
            <w:vAlign w:val="center"/>
          </w:tcPr>
          <w:p>
            <w:pPr>
              <w:jc w:val="center"/>
            </w:pPr>
            <w:r/>
            <w:r>
              <w:rPr>
                <w:b w:val="0"/>
                <w:sz w:val="16"/>
              </w:rPr>
              <w:t>35</w:t>
            </w:r>
          </w:p>
        </w:tc>
      </w:tr>
      <w:tr>
        <w:tc>
          <w:tcPr>
            <w:tcW w:type="dxa" w:w="3408"/>
            <w:vAlign w:val="center"/>
          </w:tcPr>
          <w:p>
            <w:pPr>
              <w:jc w:val="center"/>
            </w:pPr>
            <w:r/>
            <w:r>
              <w:rPr>
                <w:b w:val="0"/>
                <w:sz w:val="16"/>
              </w:rPr>
              <w:t>Net R</w:t>
            </w:r>
          </w:p>
        </w:tc>
        <w:tc>
          <w:tcPr>
            <w:tcW w:type="dxa" w:w="3408"/>
            <w:vAlign w:val="center"/>
          </w:tcPr>
          <w:p>
            <w:pPr>
              <w:jc w:val="center"/>
            </w:pPr>
            <w:r/>
            <w:r>
              <w:rPr>
                <w:b w:val="0"/>
                <w:sz w:val="16"/>
              </w:rPr>
              <w:t>+67R</w:t>
            </w:r>
          </w:p>
        </w:tc>
        <w:tc>
          <w:tcPr>
            <w:tcW w:type="dxa" w:w="3408"/>
            <w:vAlign w:val="center"/>
          </w:tcPr>
          <w:p>
            <w:pPr>
              <w:jc w:val="center"/>
            </w:pPr>
            <w:r/>
            <w:r>
              <w:rPr>
                <w:b w:val="0"/>
                <w:sz w:val="16"/>
              </w:rPr>
              <w:t>+37R</w:t>
            </w:r>
          </w:p>
        </w:tc>
      </w:tr>
      <w:tr>
        <w:tc>
          <w:tcPr>
            <w:tcW w:type="dxa" w:w="3408"/>
            <w:vAlign w:val="center"/>
          </w:tcPr>
          <w:p>
            <w:pPr>
              <w:jc w:val="center"/>
            </w:pPr>
            <w:r/>
            <w:r>
              <w:rPr>
                <w:b w:val="0"/>
                <w:sz w:val="16"/>
              </w:rPr>
              <w:t>Win Rate</w:t>
            </w:r>
          </w:p>
        </w:tc>
        <w:tc>
          <w:tcPr>
            <w:tcW w:type="dxa" w:w="3408"/>
            <w:vAlign w:val="center"/>
          </w:tcPr>
          <w:p>
            <w:pPr>
              <w:jc w:val="center"/>
            </w:pPr>
            <w:r/>
            <w:r>
              <w:rPr>
                <w:b w:val="0"/>
                <w:sz w:val="16"/>
              </w:rPr>
              <w:t>54.81%</w:t>
            </w:r>
          </w:p>
        </w:tc>
        <w:tc>
          <w:tcPr>
            <w:tcW w:type="dxa" w:w="3408"/>
            <w:vAlign w:val="center"/>
          </w:tcPr>
          <w:p>
            <w:pPr>
              <w:jc w:val="center"/>
            </w:pPr>
            <w:r/>
            <w:r>
              <w:rPr>
                <w:b w:val="0"/>
                <w:sz w:val="16"/>
              </w:rPr>
              <w:t>68.57%</w:t>
            </w:r>
          </w:p>
        </w:tc>
      </w:tr>
      <w:tr>
        <w:tc>
          <w:tcPr>
            <w:tcW w:type="dxa" w:w="3408"/>
            <w:vAlign w:val="center"/>
          </w:tcPr>
          <w:p>
            <w:pPr>
              <w:jc w:val="center"/>
            </w:pPr>
            <w:r/>
            <w:r>
              <w:rPr>
                <w:b w:val="0"/>
                <w:sz w:val="16"/>
              </w:rPr>
              <w:t>Expectancy</w:t>
            </w:r>
          </w:p>
        </w:tc>
        <w:tc>
          <w:tcPr>
            <w:tcW w:type="dxa" w:w="3408"/>
            <w:vAlign w:val="center"/>
          </w:tcPr>
          <w:p>
            <w:pPr>
              <w:jc w:val="center"/>
            </w:pPr>
            <w:r/>
            <w:r>
              <w:rPr>
                <w:b w:val="0"/>
                <w:sz w:val="16"/>
              </w:rPr>
              <w:t>+0.644R</w:t>
            </w:r>
          </w:p>
        </w:tc>
        <w:tc>
          <w:tcPr>
            <w:tcW w:type="dxa" w:w="3408"/>
            <w:vAlign w:val="center"/>
          </w:tcPr>
          <w:p>
            <w:pPr>
              <w:jc w:val="center"/>
            </w:pPr>
            <w:r/>
            <w:r>
              <w:rPr>
                <w:b w:val="0"/>
                <w:sz w:val="16"/>
              </w:rPr>
              <w:t>+1.057R</w:t>
            </w:r>
          </w:p>
        </w:tc>
      </w:tr>
      <w:tr>
        <w:tc>
          <w:tcPr>
            <w:tcW w:type="dxa" w:w="3408"/>
            <w:vAlign w:val="center"/>
          </w:tcPr>
          <w:p>
            <w:pPr>
              <w:jc w:val="center"/>
            </w:pPr>
            <w:r/>
            <w:r>
              <w:rPr>
                <w:b w:val="0"/>
                <w:sz w:val="16"/>
              </w:rPr>
              <w:t>Positive windows</w:t>
            </w:r>
          </w:p>
        </w:tc>
        <w:tc>
          <w:tcPr>
            <w:tcW w:type="dxa" w:w="3408"/>
            <w:vAlign w:val="center"/>
          </w:tcPr>
          <w:p>
            <w:pPr>
              <w:jc w:val="center"/>
            </w:pPr>
            <w:r/>
            <w:r>
              <w:rPr>
                <w:b w:val="0"/>
                <w:sz w:val="16"/>
              </w:rPr>
              <w:t>6/6</w:t>
            </w:r>
          </w:p>
        </w:tc>
        <w:tc>
          <w:tcPr>
            <w:tcW w:type="dxa" w:w="3408"/>
            <w:vAlign w:val="center"/>
          </w:tcPr>
          <w:p>
            <w:pPr>
              <w:jc w:val="center"/>
            </w:pPr>
            <w:r/>
            <w:r>
              <w:rPr>
                <w:b w:val="0"/>
                <w:sz w:val="16"/>
              </w:rPr>
              <w:t>5/6</w:t>
            </w:r>
          </w:p>
        </w:tc>
      </w:tr>
    </w:tbl>
    <w:p>
      <w:r>
        <w:t>The filtered sample was much smaller, so V17 did not replace V13. Both were retained for forward testing so that the real value—or cost—of filtering could be observed on unseen trades.</w:t>
      </w:r>
    </w:p>
    <w:p>
      <w:pPr>
        <w:pStyle w:val="Heading1"/>
      </w:pPr>
      <w:r>
        <w:t>7. Break-Even / Trade Management Research</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pPr>
              <w:jc w:val="center"/>
            </w:pPr>
            <w:r/>
            <w:r>
              <w:rPr>
                <w:b/>
                <w:sz w:val="16"/>
              </w:rPr>
              <w:t>Management</w:t>
            </w:r>
          </w:p>
        </w:tc>
        <w:tc>
          <w:tcPr>
            <w:tcW w:type="dxa" w:w="1704"/>
            <w:vAlign w:val="center"/>
            <w:shd w:fill="D9EAF7"/>
          </w:tcPr>
          <w:p>
            <w:pPr>
              <w:jc w:val="center"/>
            </w:pPr>
            <w:r/>
            <w:r>
              <w:rPr>
                <w:b/>
                <w:sz w:val="16"/>
              </w:rPr>
              <w:t>Trades</w:t>
            </w:r>
          </w:p>
        </w:tc>
        <w:tc>
          <w:tcPr>
            <w:tcW w:type="dxa" w:w="1704"/>
            <w:vAlign w:val="center"/>
            <w:shd w:fill="D9EAF7"/>
          </w:tcPr>
          <w:p>
            <w:pPr>
              <w:jc w:val="center"/>
            </w:pPr>
            <w:r/>
            <w:r>
              <w:rPr>
                <w:b/>
                <w:sz w:val="16"/>
              </w:rPr>
              <w:t>Net R</w:t>
            </w:r>
          </w:p>
        </w:tc>
        <w:tc>
          <w:tcPr>
            <w:tcW w:type="dxa" w:w="1704"/>
            <w:vAlign w:val="center"/>
            <w:shd w:fill="D9EAF7"/>
          </w:tcPr>
          <w:p>
            <w:pPr>
              <w:jc w:val="center"/>
            </w:pPr>
            <w:r/>
            <w:r>
              <w:rPr>
                <w:b/>
                <w:sz w:val="16"/>
              </w:rPr>
              <w:t>PF</w:t>
            </w:r>
          </w:p>
        </w:tc>
        <w:tc>
          <w:tcPr>
            <w:tcW w:type="dxa" w:w="1704"/>
            <w:vAlign w:val="center"/>
            <w:shd w:fill="D9EAF7"/>
          </w:tcPr>
          <w:p>
            <w:pPr>
              <w:jc w:val="center"/>
            </w:pPr>
            <w:r/>
            <w:r>
              <w:rPr>
                <w:b/>
                <w:sz w:val="16"/>
              </w:rPr>
              <w:t>Expectancy</w:t>
            </w:r>
          </w:p>
        </w:tc>
        <w:tc>
          <w:tcPr>
            <w:tcW w:type="dxa" w:w="1704"/>
            <w:vAlign w:val="center"/>
            <w:shd w:fill="D9EAF7"/>
          </w:tcPr>
          <w:p>
            <w:pPr>
              <w:jc w:val="center"/>
            </w:pPr>
            <w:r/>
            <w:r>
              <w:rPr>
                <w:b/>
                <w:sz w:val="16"/>
              </w:rPr>
              <w:t>DD</w:t>
            </w:r>
          </w:p>
        </w:tc>
      </w:tr>
      <w:tr>
        <w:tc>
          <w:tcPr>
            <w:tcW w:type="dxa" w:w="1704"/>
            <w:vAlign w:val="center"/>
          </w:tcPr>
          <w:p>
            <w:pPr>
              <w:jc w:val="center"/>
            </w:pPr>
            <w:r/>
            <w:r>
              <w:rPr>
                <w:b w:val="0"/>
                <w:sz w:val="16"/>
              </w:rPr>
              <w:t>No BE</w:t>
            </w:r>
          </w:p>
        </w:tc>
        <w:tc>
          <w:tcPr>
            <w:tcW w:type="dxa" w:w="1704"/>
            <w:vAlign w:val="center"/>
          </w:tcPr>
          <w:p>
            <w:pPr>
              <w:jc w:val="center"/>
            </w:pPr>
            <w:r/>
            <w:r>
              <w:rPr>
                <w:b w:val="0"/>
                <w:sz w:val="16"/>
              </w:rPr>
              <w:t>150</w:t>
            </w:r>
          </w:p>
        </w:tc>
        <w:tc>
          <w:tcPr>
            <w:tcW w:type="dxa" w:w="1704"/>
            <w:vAlign w:val="center"/>
          </w:tcPr>
          <w:p>
            <w:pPr>
              <w:jc w:val="center"/>
            </w:pPr>
            <w:r/>
            <w:r>
              <w:rPr>
                <w:b w:val="0"/>
                <w:sz w:val="16"/>
              </w:rPr>
              <w:t>+84R</w:t>
            </w:r>
          </w:p>
        </w:tc>
        <w:tc>
          <w:tcPr>
            <w:tcW w:type="dxa" w:w="1704"/>
            <w:vAlign w:val="center"/>
          </w:tcPr>
          <w:p>
            <w:pPr>
              <w:jc w:val="center"/>
            </w:pPr>
            <w:r/>
            <w:r>
              <w:rPr>
                <w:b w:val="0"/>
                <w:sz w:val="16"/>
              </w:rPr>
              <w:t>2.167</w:t>
            </w:r>
          </w:p>
        </w:tc>
        <w:tc>
          <w:tcPr>
            <w:tcW w:type="dxa" w:w="1704"/>
            <w:vAlign w:val="center"/>
          </w:tcPr>
          <w:p>
            <w:pPr>
              <w:jc w:val="center"/>
            </w:pPr>
            <w:r/>
            <w:r>
              <w:rPr>
                <w:b w:val="0"/>
                <w:sz w:val="16"/>
              </w:rPr>
              <w:t>+0.560R</w:t>
            </w:r>
          </w:p>
        </w:tc>
        <w:tc>
          <w:tcPr>
            <w:tcW w:type="dxa" w:w="1704"/>
            <w:vAlign w:val="center"/>
          </w:tcPr>
          <w:p>
            <w:pPr>
              <w:jc w:val="center"/>
            </w:pPr>
            <w:r/>
            <w:r>
              <w:rPr>
                <w:b w:val="0"/>
                <w:sz w:val="16"/>
              </w:rPr>
              <w:t>-8R</w:t>
            </w:r>
          </w:p>
        </w:tc>
      </w:tr>
      <w:tr>
        <w:tc>
          <w:tcPr>
            <w:tcW w:type="dxa" w:w="1704"/>
            <w:vAlign w:val="center"/>
          </w:tcPr>
          <w:p>
            <w:pPr>
              <w:jc w:val="center"/>
            </w:pPr>
            <w:r/>
            <w:r>
              <w:rPr>
                <w:b w:val="0"/>
                <w:sz w:val="16"/>
              </w:rPr>
              <w:t>30p BE</w:t>
            </w:r>
          </w:p>
        </w:tc>
        <w:tc>
          <w:tcPr>
            <w:tcW w:type="dxa" w:w="1704"/>
            <w:vAlign w:val="center"/>
          </w:tcPr>
          <w:p>
            <w:pPr>
              <w:jc w:val="center"/>
            </w:pPr>
            <w:r/>
            <w:r>
              <w:rPr>
                <w:b w:val="0"/>
                <w:sz w:val="16"/>
              </w:rPr>
              <w:t>-</w:t>
            </w:r>
          </w:p>
        </w:tc>
        <w:tc>
          <w:tcPr>
            <w:tcW w:type="dxa" w:w="1704"/>
            <w:vAlign w:val="center"/>
          </w:tcPr>
          <w:p>
            <w:pPr>
              <w:jc w:val="center"/>
            </w:pPr>
            <w:r/>
            <w:r>
              <w:rPr>
                <w:b w:val="0"/>
                <w:sz w:val="16"/>
              </w:rPr>
              <w:t>+60R</w:t>
            </w:r>
          </w:p>
        </w:tc>
        <w:tc>
          <w:tcPr>
            <w:tcW w:type="dxa" w:w="1704"/>
            <w:vAlign w:val="center"/>
          </w:tcPr>
          <w:p>
            <w:pPr>
              <w:jc w:val="center"/>
            </w:pPr>
            <w:r/>
            <w:r>
              <w:rPr>
                <w:b w:val="0"/>
                <w:sz w:val="16"/>
              </w:rPr>
              <w:t>-</w:t>
            </w:r>
          </w:p>
        </w:tc>
        <w:tc>
          <w:tcPr>
            <w:tcW w:type="dxa" w:w="1704"/>
            <w:vAlign w:val="center"/>
          </w:tcPr>
          <w:p>
            <w:pPr>
              <w:jc w:val="center"/>
            </w:pPr>
            <w:r/>
            <w:r>
              <w:rPr>
                <w:b w:val="0"/>
                <w:sz w:val="16"/>
              </w:rPr>
              <w:t>+0.385R</w:t>
            </w:r>
          </w:p>
        </w:tc>
        <w:tc>
          <w:tcPr>
            <w:tcW w:type="dxa" w:w="1704"/>
            <w:vAlign w:val="center"/>
          </w:tcPr>
          <w:p>
            <w:pPr>
              <w:jc w:val="center"/>
            </w:pPr>
            <w:r/>
            <w:r>
              <w:rPr>
                <w:b w:val="0"/>
                <w:sz w:val="16"/>
              </w:rPr>
              <w:t>-3R</w:t>
            </w:r>
          </w:p>
        </w:tc>
      </w:tr>
      <w:tr>
        <w:tc>
          <w:tcPr>
            <w:tcW w:type="dxa" w:w="1704"/>
            <w:vAlign w:val="center"/>
          </w:tcPr>
          <w:p>
            <w:pPr>
              <w:jc w:val="center"/>
            </w:pPr>
            <w:r/>
            <w:r>
              <w:rPr>
                <w:b w:val="0"/>
                <w:sz w:val="16"/>
              </w:rPr>
              <w:t>20p BE</w:t>
            </w:r>
          </w:p>
        </w:tc>
        <w:tc>
          <w:tcPr>
            <w:tcW w:type="dxa" w:w="1704"/>
            <w:vAlign w:val="center"/>
          </w:tcPr>
          <w:p>
            <w:pPr>
              <w:jc w:val="center"/>
            </w:pPr>
            <w:r/>
            <w:r>
              <w:rPr>
                <w:b w:val="0"/>
                <w:sz w:val="16"/>
              </w:rPr>
              <w:t>-</w:t>
            </w:r>
          </w:p>
        </w:tc>
        <w:tc>
          <w:tcPr>
            <w:tcW w:type="dxa" w:w="1704"/>
            <w:vAlign w:val="center"/>
          </w:tcPr>
          <w:p>
            <w:pPr>
              <w:jc w:val="center"/>
            </w:pPr>
            <w:r/>
            <w:r>
              <w:rPr>
                <w:b w:val="0"/>
                <w:sz w:val="16"/>
              </w:rPr>
              <w:t>+47R</w:t>
            </w:r>
          </w:p>
        </w:tc>
        <w:tc>
          <w:tcPr>
            <w:tcW w:type="dxa" w:w="1704"/>
            <w:vAlign w:val="center"/>
          </w:tcPr>
          <w:p>
            <w:pPr>
              <w:jc w:val="center"/>
            </w:pPr>
            <w:r/>
            <w:r>
              <w:rPr>
                <w:b w:val="0"/>
                <w:sz w:val="16"/>
              </w:rPr>
              <w:t>-</w:t>
            </w:r>
          </w:p>
        </w:tc>
        <w:tc>
          <w:tcPr>
            <w:tcW w:type="dxa" w:w="1704"/>
            <w:vAlign w:val="center"/>
          </w:tcPr>
          <w:p>
            <w:pPr>
              <w:jc w:val="center"/>
            </w:pPr>
            <w:r/>
            <w:r>
              <w:rPr>
                <w:b w:val="0"/>
                <w:sz w:val="16"/>
              </w:rPr>
              <w:t>+0.301R</w:t>
            </w:r>
          </w:p>
        </w:tc>
        <w:tc>
          <w:tcPr>
            <w:tcW w:type="dxa" w:w="1704"/>
            <w:vAlign w:val="center"/>
          </w:tcPr>
          <w:p>
            <w:pPr>
              <w:jc w:val="center"/>
            </w:pPr>
            <w:r/>
            <w:r>
              <w:rPr>
                <w:b w:val="0"/>
                <w:sz w:val="16"/>
              </w:rPr>
              <w:t>-2R</w:t>
            </w:r>
          </w:p>
        </w:tc>
      </w:tr>
    </w:tbl>
    <w:p>
      <w:r>
        <w:t>Break-even management reduced drawdown but also reduced expectancy materially. The core SELL bots therefore remained no-BE.</w:t>
      </w:r>
    </w:p>
    <w:p>
      <w:pPr>
        <w:pStyle w:val="Heading1"/>
      </w:pPr>
      <w:r>
        <w:t>8. BUY Research - What Worked and What Failed</w:t>
      </w:r>
    </w:p>
    <w:p>
      <w:pPr>
        <w:pStyle w:val="Heading2"/>
      </w:pPr>
      <w:r>
        <w:t>8.1 Old ICT BUY</w:t>
      </w:r>
    </w:p>
    <w:p>
      <w:r>
        <w:t>The original BUY side was weak historically. A reconstructed BUY baseline and session diagnostics initially suggested a possible London/New York improvement, but a methodological flaw was identified: filtering completed trades after the full strategy had already enforced non-overlap was not the same as running the filtered strategy itself.</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jc w:val="center"/>
            </w:pPr>
            <w:r/>
            <w:r>
              <w:rPr>
                <w:b/>
                <w:sz w:val="16"/>
              </w:rPr>
              <w:t>Final V18C Executable Result</w:t>
            </w:r>
          </w:p>
        </w:tc>
        <w:tc>
          <w:tcPr>
            <w:tcW w:type="dxa" w:w="5112"/>
            <w:vAlign w:val="center"/>
            <w:shd w:fill="D9EAF7"/>
          </w:tcPr>
          <w:p>
            <w:pPr>
              <w:jc w:val="center"/>
            </w:pPr>
            <w:r/>
            <w:r>
              <w:rPr>
                <w:b/>
                <w:sz w:val="16"/>
              </w:rPr>
              <w:t>Value</w:t>
            </w:r>
          </w:p>
        </w:tc>
      </w:tr>
      <w:tr>
        <w:tc>
          <w:tcPr>
            <w:tcW w:type="dxa" w:w="5112"/>
            <w:vAlign w:val="center"/>
          </w:tcPr>
          <w:p>
            <w:pPr>
              <w:jc w:val="center"/>
            </w:pPr>
            <w:r/>
            <w:r>
              <w:rPr>
                <w:b w:val="0"/>
                <w:sz w:val="16"/>
              </w:rPr>
              <w:t>Trades</w:t>
            </w:r>
          </w:p>
        </w:tc>
        <w:tc>
          <w:tcPr>
            <w:tcW w:type="dxa" w:w="5112"/>
            <w:vAlign w:val="center"/>
          </w:tcPr>
          <w:p>
            <w:pPr>
              <w:jc w:val="center"/>
            </w:pPr>
            <w:r/>
            <w:r>
              <w:rPr>
                <w:b w:val="0"/>
                <w:sz w:val="16"/>
              </w:rPr>
              <w:t>93</w:t>
            </w:r>
          </w:p>
        </w:tc>
      </w:tr>
      <w:tr>
        <w:tc>
          <w:tcPr>
            <w:tcW w:type="dxa" w:w="5112"/>
            <w:vAlign w:val="center"/>
          </w:tcPr>
          <w:p>
            <w:pPr>
              <w:jc w:val="center"/>
            </w:pPr>
            <w:r/>
            <w:r>
              <w:rPr>
                <w:b w:val="0"/>
                <w:sz w:val="16"/>
              </w:rPr>
              <w:t>Net R</w:t>
            </w:r>
          </w:p>
        </w:tc>
        <w:tc>
          <w:tcPr>
            <w:tcW w:type="dxa" w:w="5112"/>
            <w:vAlign w:val="center"/>
          </w:tcPr>
          <w:p>
            <w:pPr>
              <w:jc w:val="center"/>
            </w:pPr>
            <w:r/>
            <w:r>
              <w:rPr>
                <w:b w:val="0"/>
                <w:sz w:val="16"/>
              </w:rPr>
              <w:t>+3R</w:t>
            </w:r>
          </w:p>
        </w:tc>
      </w:tr>
      <w:tr>
        <w:tc>
          <w:tcPr>
            <w:tcW w:type="dxa" w:w="5112"/>
            <w:vAlign w:val="center"/>
          </w:tcPr>
          <w:p>
            <w:pPr>
              <w:jc w:val="center"/>
            </w:pPr>
            <w:r/>
            <w:r>
              <w:rPr>
                <w:b w:val="0"/>
                <w:sz w:val="16"/>
              </w:rPr>
              <w:t>PF</w:t>
            </w:r>
          </w:p>
        </w:tc>
        <w:tc>
          <w:tcPr>
            <w:tcW w:type="dxa" w:w="5112"/>
            <w:vAlign w:val="center"/>
          </w:tcPr>
          <w:p>
            <w:pPr>
              <w:jc w:val="center"/>
            </w:pPr>
            <w:r/>
            <w:r>
              <w:rPr>
                <w:b w:val="0"/>
                <w:sz w:val="16"/>
              </w:rPr>
              <w:t>1.049</w:t>
            </w:r>
          </w:p>
        </w:tc>
      </w:tr>
      <w:tr>
        <w:tc>
          <w:tcPr>
            <w:tcW w:type="dxa" w:w="5112"/>
            <w:vAlign w:val="center"/>
          </w:tcPr>
          <w:p>
            <w:pPr>
              <w:jc w:val="center"/>
            </w:pPr>
            <w:r/>
            <w:r>
              <w:rPr>
                <w:b w:val="0"/>
                <w:sz w:val="16"/>
              </w:rPr>
              <w:t>Expectancy</w:t>
            </w:r>
          </w:p>
        </w:tc>
        <w:tc>
          <w:tcPr>
            <w:tcW w:type="dxa" w:w="5112"/>
            <w:vAlign w:val="center"/>
          </w:tcPr>
          <w:p>
            <w:pPr>
              <w:jc w:val="center"/>
            </w:pPr>
            <w:r/>
            <w:r>
              <w:rPr>
                <w:b w:val="0"/>
                <w:sz w:val="16"/>
              </w:rPr>
              <w:t>+0.032R</w:t>
            </w:r>
          </w:p>
        </w:tc>
      </w:tr>
      <w:tr>
        <w:tc>
          <w:tcPr>
            <w:tcW w:type="dxa" w:w="5112"/>
            <w:vAlign w:val="center"/>
          </w:tcPr>
          <w:p>
            <w:pPr>
              <w:jc w:val="center"/>
            </w:pPr>
            <w:r/>
            <w:r>
              <w:rPr>
                <w:b w:val="0"/>
                <w:sz w:val="16"/>
              </w:rPr>
              <w:t>Later 30%</w:t>
            </w:r>
          </w:p>
        </w:tc>
        <w:tc>
          <w:tcPr>
            <w:tcW w:type="dxa" w:w="5112"/>
            <w:vAlign w:val="center"/>
          </w:tcPr>
          <w:p>
            <w:pPr>
              <w:jc w:val="center"/>
            </w:pPr>
            <w:r/>
            <w:r>
              <w:rPr>
                <w:b w:val="0"/>
                <w:sz w:val="16"/>
              </w:rPr>
              <w:t>-7R / PF 0.667 / -0.25R expectancy</w:t>
            </w:r>
          </w:p>
        </w:tc>
      </w:tr>
      <w:tr>
        <w:tc>
          <w:tcPr>
            <w:tcW w:type="dxa" w:w="5112"/>
            <w:vAlign w:val="center"/>
          </w:tcPr>
          <w:p>
            <w:pPr>
              <w:jc w:val="center"/>
            </w:pPr>
            <w:r/>
            <w:r>
              <w:rPr>
                <w:b w:val="0"/>
                <w:sz w:val="16"/>
              </w:rPr>
              <w:t>Positive chronological blocks</w:t>
            </w:r>
          </w:p>
        </w:tc>
        <w:tc>
          <w:tcPr>
            <w:tcW w:type="dxa" w:w="5112"/>
            <w:vAlign w:val="center"/>
          </w:tcPr>
          <w:p>
            <w:pPr>
              <w:jc w:val="center"/>
            </w:pPr>
            <w:r/>
            <w:r>
              <w:rPr>
                <w:b w:val="0"/>
                <w:sz w:val="16"/>
              </w:rPr>
              <w:t>4/8</w:t>
            </w:r>
          </w:p>
        </w:tc>
      </w:tr>
      <w:tr>
        <w:tc>
          <w:tcPr>
            <w:tcW w:type="dxa" w:w="5112"/>
            <w:vAlign w:val="center"/>
          </w:tcPr>
          <w:p>
            <w:pPr>
              <w:jc w:val="center"/>
            </w:pPr>
            <w:r/>
            <w:r>
              <w:rPr>
                <w:b w:val="0"/>
                <w:sz w:val="16"/>
              </w:rPr>
              <w:t>Approx. break-even cost</w:t>
            </w:r>
          </w:p>
        </w:tc>
        <w:tc>
          <w:tcPr>
            <w:tcW w:type="dxa" w:w="5112"/>
            <w:vAlign w:val="center"/>
          </w:tcPr>
          <w:p>
            <w:pPr>
              <w:jc w:val="center"/>
            </w:pPr>
            <w:r/>
            <w:r>
              <w:rPr>
                <w:b w:val="0"/>
                <w:sz w:val="16"/>
              </w:rPr>
              <w:t>0.032R per trade</w:t>
            </w:r>
          </w:p>
        </w:tc>
      </w:tr>
      <w:tr>
        <w:tc>
          <w:tcPr>
            <w:tcW w:type="dxa" w:w="5112"/>
            <w:vAlign w:val="center"/>
          </w:tcPr>
          <w:p>
            <w:pPr>
              <w:jc w:val="center"/>
            </w:pPr>
            <w:r/>
            <w:r>
              <w:rPr>
                <w:b w:val="0"/>
                <w:sz w:val="16"/>
              </w:rPr>
              <w:t>Robustness checks passed</w:t>
            </w:r>
          </w:p>
        </w:tc>
        <w:tc>
          <w:tcPr>
            <w:tcW w:type="dxa" w:w="5112"/>
            <w:vAlign w:val="center"/>
          </w:tcPr>
          <w:p>
            <w:pPr>
              <w:jc w:val="center"/>
            </w:pPr>
            <w:r/>
            <w:r>
              <w:rPr>
                <w:b w:val="0"/>
                <w:sz w:val="16"/>
              </w:rPr>
              <w:t>0/8</w:t>
            </w:r>
          </w:p>
        </w:tc>
      </w:tr>
    </w:tbl>
    <w:p>
      <w:r>
        <w:t>Decision: SHELVED. No forward bot was created from this BUY branch.</w:t>
      </w:r>
    </w:p>
    <w:p>
      <w:pPr>
        <w:pStyle w:val="Heading2"/>
      </w:pPr>
      <w:r>
        <w:t>8.2 V18 Update - Volatility Compression Breakout BUY</w:t>
      </w:r>
    </w:p>
    <w:p>
      <w:r>
        <w:t>This was designed as a new BUY family rather than another ICT repair. It used an H1 bullish regime, M15 volatility compression, and a breakout above the previous 12 completed M15 candles.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jc w:val="center"/>
            </w:pPr>
            <w:r/>
            <w:r>
              <w:rPr>
                <w:b/>
                <w:sz w:val="16"/>
              </w:rPr>
              <w:t>Train-selected 3R Result</w:t>
            </w:r>
          </w:p>
        </w:tc>
        <w:tc>
          <w:tcPr>
            <w:tcW w:type="dxa" w:w="2556"/>
            <w:vAlign w:val="center"/>
            <w:shd w:fill="D9EAF7"/>
          </w:tcPr>
          <w:p>
            <w:pPr>
              <w:jc w:val="center"/>
            </w:pPr>
            <w:r/>
            <w:r>
              <w:rPr>
                <w:b/>
                <w:sz w:val="16"/>
              </w:rPr>
              <w:t>Full</w:t>
            </w:r>
          </w:p>
        </w:tc>
        <w:tc>
          <w:tcPr>
            <w:tcW w:type="dxa" w:w="2556"/>
            <w:vAlign w:val="center"/>
            <w:shd w:fill="D9EAF7"/>
          </w:tcPr>
          <w:p>
            <w:pPr>
              <w:jc w:val="center"/>
            </w:pPr>
            <w:r/>
            <w:r>
              <w:rPr>
                <w:b/>
                <w:sz w:val="16"/>
              </w:rPr>
              <w:t>Train</w:t>
            </w:r>
          </w:p>
        </w:tc>
        <w:tc>
          <w:tcPr>
            <w:tcW w:type="dxa" w:w="2556"/>
            <w:vAlign w:val="center"/>
            <w:shd w:fill="D9EAF7"/>
          </w:tcPr>
          <w:p>
            <w:pPr>
              <w:jc w:val="center"/>
            </w:pPr>
            <w:r/>
            <w:r>
              <w:rPr>
                <w:b/>
                <w:sz w:val="16"/>
              </w:rPr>
              <w:t>Later</w:t>
            </w:r>
          </w:p>
        </w:tc>
      </w:tr>
      <w:tr>
        <w:tc>
          <w:tcPr>
            <w:tcW w:type="dxa" w:w="2556"/>
            <w:vAlign w:val="center"/>
          </w:tcPr>
          <w:p>
            <w:pPr>
              <w:jc w:val="center"/>
            </w:pPr>
            <w:r/>
            <w:r>
              <w:rPr>
                <w:b w:val="0"/>
                <w:sz w:val="16"/>
              </w:rPr>
              <w:t>Trades</w:t>
            </w:r>
          </w:p>
        </w:tc>
        <w:tc>
          <w:tcPr>
            <w:tcW w:type="dxa" w:w="2556"/>
            <w:vAlign w:val="center"/>
          </w:tcPr>
          <w:p>
            <w:pPr>
              <w:jc w:val="center"/>
            </w:pPr>
            <w:r/>
            <w:r>
              <w:rPr>
                <w:b w:val="0"/>
                <w:sz w:val="16"/>
              </w:rPr>
              <w:t>563</w:t>
            </w:r>
          </w:p>
        </w:tc>
        <w:tc>
          <w:tcPr>
            <w:tcW w:type="dxa" w:w="2556"/>
            <w:vAlign w:val="center"/>
          </w:tcPr>
          <w:p>
            <w:pPr>
              <w:jc w:val="center"/>
            </w:pPr>
            <w:r/>
            <w:r>
              <w:rPr>
                <w:b w:val="0"/>
                <w:sz w:val="16"/>
              </w:rPr>
              <w:t>394</w:t>
            </w:r>
          </w:p>
        </w:tc>
        <w:tc>
          <w:tcPr>
            <w:tcW w:type="dxa" w:w="2556"/>
            <w:vAlign w:val="center"/>
          </w:tcPr>
          <w:p>
            <w:pPr>
              <w:jc w:val="center"/>
            </w:pPr>
            <w:r/>
            <w:r>
              <w:rPr>
                <w:b w:val="0"/>
                <w:sz w:val="16"/>
              </w:rPr>
              <w:t>169</w:t>
            </w:r>
          </w:p>
        </w:tc>
      </w:tr>
      <w:tr>
        <w:tc>
          <w:tcPr>
            <w:tcW w:type="dxa" w:w="2556"/>
            <w:vAlign w:val="center"/>
          </w:tcPr>
          <w:p>
            <w:pPr>
              <w:jc w:val="center"/>
            </w:pPr>
            <w:r/>
            <w:r>
              <w:rPr>
                <w:b w:val="0"/>
                <w:sz w:val="16"/>
              </w:rPr>
              <w:t>Net R</w:t>
            </w:r>
          </w:p>
        </w:tc>
        <w:tc>
          <w:tcPr>
            <w:tcW w:type="dxa" w:w="2556"/>
            <w:vAlign w:val="center"/>
          </w:tcPr>
          <w:p>
            <w:pPr>
              <w:jc w:val="center"/>
            </w:pPr>
            <w:r/>
            <w:r>
              <w:rPr>
                <w:b w:val="0"/>
                <w:sz w:val="16"/>
              </w:rPr>
              <w:t>+53R</w:t>
            </w:r>
          </w:p>
        </w:tc>
        <w:tc>
          <w:tcPr>
            <w:tcW w:type="dxa" w:w="2556"/>
            <w:vAlign w:val="center"/>
          </w:tcPr>
          <w:p>
            <w:pPr>
              <w:jc w:val="center"/>
            </w:pPr>
            <w:r/>
            <w:r>
              <w:rPr>
                <w:b w:val="0"/>
                <w:sz w:val="16"/>
              </w:rPr>
              <w:t>+54R</w:t>
            </w:r>
          </w:p>
        </w:tc>
        <w:tc>
          <w:tcPr>
            <w:tcW w:type="dxa" w:w="2556"/>
            <w:vAlign w:val="center"/>
          </w:tcPr>
          <w:p>
            <w:pPr>
              <w:jc w:val="center"/>
            </w:pPr>
            <w:r/>
            <w:r>
              <w:rPr>
                <w:b w:val="0"/>
                <w:sz w:val="16"/>
              </w:rPr>
              <w:t>-1R</w:t>
            </w:r>
          </w:p>
        </w:tc>
      </w:tr>
      <w:tr>
        <w:tc>
          <w:tcPr>
            <w:tcW w:type="dxa" w:w="2556"/>
            <w:vAlign w:val="center"/>
          </w:tcPr>
          <w:p>
            <w:pPr>
              <w:jc w:val="center"/>
            </w:pPr>
            <w:r/>
            <w:r>
              <w:rPr>
                <w:b w:val="0"/>
                <w:sz w:val="16"/>
              </w:rPr>
              <w:t>PF</w:t>
            </w:r>
          </w:p>
        </w:tc>
        <w:tc>
          <w:tcPr>
            <w:tcW w:type="dxa" w:w="2556"/>
            <w:vAlign w:val="center"/>
          </w:tcPr>
          <w:p>
            <w:pPr>
              <w:jc w:val="center"/>
            </w:pPr>
            <w:r/>
            <w:r>
              <w:rPr>
                <w:b w:val="0"/>
                <w:sz w:val="16"/>
              </w:rPr>
              <w:t>1.130</w:t>
            </w:r>
          </w:p>
        </w:tc>
        <w:tc>
          <w:tcPr>
            <w:tcW w:type="dxa" w:w="2556"/>
            <w:vAlign w:val="center"/>
          </w:tcPr>
          <w:p>
            <w:pPr>
              <w:jc w:val="center"/>
            </w:pPr>
            <w:r/>
            <w:r>
              <w:rPr>
                <w:b w:val="0"/>
                <w:sz w:val="16"/>
              </w:rPr>
              <w:t>1.191</w:t>
            </w:r>
          </w:p>
        </w:tc>
        <w:tc>
          <w:tcPr>
            <w:tcW w:type="dxa" w:w="2556"/>
            <w:vAlign w:val="center"/>
          </w:tcPr>
          <w:p>
            <w:pPr>
              <w:jc w:val="center"/>
            </w:pPr>
            <w:r/>
            <w:r>
              <w:rPr>
                <w:b w:val="0"/>
                <w:sz w:val="16"/>
              </w:rPr>
              <w:t>0.992</w:t>
            </w:r>
          </w:p>
        </w:tc>
      </w:tr>
      <w:tr>
        <w:tc>
          <w:tcPr>
            <w:tcW w:type="dxa" w:w="2556"/>
            <w:vAlign w:val="center"/>
          </w:tcPr>
          <w:p>
            <w:pPr>
              <w:jc w:val="center"/>
            </w:pPr>
            <w:r/>
            <w:r>
              <w:rPr>
                <w:b w:val="0"/>
                <w:sz w:val="16"/>
              </w:rPr>
              <w:t>Expectancy</w:t>
            </w:r>
          </w:p>
        </w:tc>
        <w:tc>
          <w:tcPr>
            <w:tcW w:type="dxa" w:w="2556"/>
            <w:vAlign w:val="center"/>
          </w:tcPr>
          <w:p>
            <w:pPr>
              <w:jc w:val="center"/>
            </w:pPr>
            <w:r/>
            <w:r>
              <w:rPr>
                <w:b w:val="0"/>
                <w:sz w:val="16"/>
              </w:rPr>
              <w:t>+0.094R</w:t>
            </w:r>
          </w:p>
        </w:tc>
        <w:tc>
          <w:tcPr>
            <w:tcW w:type="dxa" w:w="2556"/>
            <w:vAlign w:val="center"/>
          </w:tcPr>
          <w:p>
            <w:pPr>
              <w:jc w:val="center"/>
            </w:pPr>
            <w:r/>
            <w:r>
              <w:rPr>
                <w:b w:val="0"/>
                <w:sz w:val="16"/>
              </w:rPr>
              <w:t>+0.137R</w:t>
            </w:r>
          </w:p>
        </w:tc>
        <w:tc>
          <w:tcPr>
            <w:tcW w:type="dxa" w:w="2556"/>
            <w:vAlign w:val="center"/>
          </w:tcPr>
          <w:p>
            <w:pPr>
              <w:jc w:val="center"/>
            </w:pPr>
            <w:r/>
            <w:r>
              <w:rPr>
                <w:b w:val="0"/>
                <w:sz w:val="16"/>
              </w:rPr>
              <w:t>-0.006R</w:t>
            </w:r>
          </w:p>
        </w:tc>
      </w:tr>
    </w:tbl>
    <w:p>
      <w:r>
        <w:t>Exit diagnostics showed that the problem was not simply the 3R target. In 2026, breakout follow-through weakened across nearly all tested R targets. Entry-feature diagnostics also failed to reveal a strong, clean individual feature that could be added without risking parameter mining. Decision: SHELVED.</w:t>
      </w:r>
    </w:p>
    <w:p>
      <w:pPr>
        <w:pStyle w:val="Heading2"/>
      </w:pPr>
      <w:r>
        <w:t>8.3 Statistical Mean-Reversion BUY</w:t>
      </w:r>
    </w:p>
    <w:p>
      <w:r>
        <w:t>The final BUY research experiment tested a genuinely different hypothesis: statistically extreme downside conditions (z-score and RSI) followed by bullish stabilization and a mean-reversion BUY.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pPr>
              <w:jc w:val="center"/>
            </w:pPr>
            <w:r/>
            <w:r>
              <w:rPr>
                <w:b/>
                <w:sz w:val="16"/>
              </w:rPr>
              <w:t>Exit</w:t>
            </w:r>
          </w:p>
        </w:tc>
        <w:tc>
          <w:tcPr>
            <w:tcW w:type="dxa" w:w="1461"/>
            <w:vAlign w:val="center"/>
            <w:shd w:fill="D9EAF7"/>
          </w:tcPr>
          <w:p>
            <w:pPr>
              <w:jc w:val="center"/>
            </w:pPr>
            <w:r/>
            <w:r>
              <w:rPr>
                <w:b/>
                <w:sz w:val="16"/>
              </w:rPr>
              <w:t>Full Net R</w:t>
            </w:r>
          </w:p>
        </w:tc>
        <w:tc>
          <w:tcPr>
            <w:tcW w:type="dxa" w:w="1461"/>
            <w:vAlign w:val="center"/>
            <w:shd w:fill="D9EAF7"/>
          </w:tcPr>
          <w:p>
            <w:pPr>
              <w:jc w:val="center"/>
            </w:pPr>
            <w:r/>
            <w:r>
              <w:rPr>
                <w:b/>
                <w:sz w:val="16"/>
              </w:rPr>
              <w:t>Full PF</w:t>
            </w:r>
          </w:p>
        </w:tc>
        <w:tc>
          <w:tcPr>
            <w:tcW w:type="dxa" w:w="1461"/>
            <w:vAlign w:val="center"/>
            <w:shd w:fill="D9EAF7"/>
          </w:tcPr>
          <w:p>
            <w:pPr>
              <w:jc w:val="center"/>
            </w:pPr>
            <w:r/>
            <w:r>
              <w:rPr>
                <w:b/>
                <w:sz w:val="16"/>
              </w:rPr>
              <w:t>Train Exp</w:t>
            </w:r>
          </w:p>
        </w:tc>
        <w:tc>
          <w:tcPr>
            <w:tcW w:type="dxa" w:w="1461"/>
            <w:vAlign w:val="center"/>
            <w:shd w:fill="D9EAF7"/>
          </w:tcPr>
          <w:p>
            <w:pPr>
              <w:jc w:val="center"/>
            </w:pPr>
            <w:r/>
            <w:r>
              <w:rPr>
                <w:b/>
                <w:sz w:val="16"/>
              </w:rPr>
              <w:t>Later Net R</w:t>
            </w:r>
          </w:p>
        </w:tc>
        <w:tc>
          <w:tcPr>
            <w:tcW w:type="dxa" w:w="1461"/>
            <w:vAlign w:val="center"/>
            <w:shd w:fill="D9EAF7"/>
          </w:tcPr>
          <w:p>
            <w:pPr>
              <w:jc w:val="center"/>
            </w:pPr>
            <w:r/>
            <w:r>
              <w:rPr>
                <w:b/>
                <w:sz w:val="16"/>
              </w:rPr>
              <w:t>Later PF</w:t>
            </w:r>
          </w:p>
        </w:tc>
        <w:tc>
          <w:tcPr>
            <w:tcW w:type="dxa" w:w="1461"/>
            <w:vAlign w:val="center"/>
            <w:shd w:fill="D9EAF7"/>
          </w:tcPr>
          <w:p>
            <w:pPr>
              <w:jc w:val="center"/>
            </w:pPr>
            <w:r/>
            <w:r>
              <w:rPr>
                <w:b/>
                <w:sz w:val="16"/>
              </w:rPr>
              <w:t>Later Exp</w:t>
            </w:r>
          </w:p>
        </w:tc>
      </w:tr>
      <w:tr>
        <w:tc>
          <w:tcPr>
            <w:tcW w:type="dxa" w:w="1461"/>
            <w:vAlign w:val="center"/>
          </w:tcPr>
          <w:p>
            <w:pPr>
              <w:jc w:val="center"/>
            </w:pPr>
            <w:r/>
            <w:r>
              <w:rPr>
                <w:b w:val="0"/>
                <w:sz w:val="16"/>
              </w:rPr>
              <w:t>1.0R</w:t>
            </w:r>
          </w:p>
        </w:tc>
        <w:tc>
          <w:tcPr>
            <w:tcW w:type="dxa" w:w="1461"/>
            <w:vAlign w:val="center"/>
          </w:tcPr>
          <w:p>
            <w:pPr>
              <w:jc w:val="center"/>
            </w:pPr>
            <w:r/>
            <w:r>
              <w:rPr>
                <w:b w:val="0"/>
                <w:sz w:val="16"/>
              </w:rPr>
              <w:t>+29R</w:t>
            </w:r>
          </w:p>
        </w:tc>
        <w:tc>
          <w:tcPr>
            <w:tcW w:type="dxa" w:w="1461"/>
            <w:vAlign w:val="center"/>
          </w:tcPr>
          <w:p>
            <w:pPr>
              <w:jc w:val="center"/>
            </w:pPr>
            <w:r/>
            <w:r>
              <w:rPr>
                <w:b w:val="0"/>
                <w:sz w:val="16"/>
              </w:rPr>
              <w:t>1.079</w:t>
            </w:r>
          </w:p>
        </w:tc>
        <w:tc>
          <w:tcPr>
            <w:tcW w:type="dxa" w:w="1461"/>
            <w:vAlign w:val="center"/>
          </w:tcPr>
          <w:p>
            <w:pPr>
              <w:jc w:val="center"/>
            </w:pPr>
            <w:r/>
            <w:r>
              <w:rPr>
                <w:b w:val="0"/>
                <w:sz w:val="16"/>
              </w:rPr>
              <w:t>+0.048R</w:t>
            </w:r>
          </w:p>
        </w:tc>
        <w:tc>
          <w:tcPr>
            <w:tcW w:type="dxa" w:w="1461"/>
            <w:vAlign w:val="center"/>
          </w:tcPr>
          <w:p>
            <w:pPr>
              <w:jc w:val="center"/>
            </w:pPr>
            <w:r/>
            <w:r>
              <w:rPr>
                <w:b w:val="0"/>
                <w:sz w:val="16"/>
              </w:rPr>
              <w:t>+4R</w:t>
            </w:r>
          </w:p>
        </w:tc>
        <w:tc>
          <w:tcPr>
            <w:tcW w:type="dxa" w:w="1461"/>
            <w:vAlign w:val="center"/>
          </w:tcPr>
          <w:p>
            <w:pPr>
              <w:jc w:val="center"/>
            </w:pPr>
            <w:r/>
            <w:r>
              <w:rPr>
                <w:b w:val="0"/>
                <w:sz w:val="16"/>
              </w:rPr>
              <w:t>1.033</w:t>
            </w:r>
          </w:p>
        </w:tc>
        <w:tc>
          <w:tcPr>
            <w:tcW w:type="dxa" w:w="1461"/>
            <w:vAlign w:val="center"/>
          </w:tcPr>
          <w:p>
            <w:pPr>
              <w:jc w:val="center"/>
            </w:pPr>
            <w:r/>
            <w:r>
              <w:rPr>
                <w:b w:val="0"/>
                <w:sz w:val="16"/>
              </w:rPr>
              <w:t>+0.016R</w:t>
            </w:r>
          </w:p>
        </w:tc>
      </w:tr>
      <w:tr>
        <w:tc>
          <w:tcPr>
            <w:tcW w:type="dxa" w:w="1461"/>
            <w:vAlign w:val="center"/>
          </w:tcPr>
          <w:p>
            <w:pPr>
              <w:jc w:val="center"/>
            </w:pPr>
            <w:r/>
            <w:r>
              <w:rPr>
                <w:b w:val="0"/>
                <w:sz w:val="16"/>
              </w:rPr>
              <w:t>1.5R (train-selected)</w:t>
            </w:r>
          </w:p>
        </w:tc>
        <w:tc>
          <w:tcPr>
            <w:tcW w:type="dxa" w:w="1461"/>
            <w:vAlign w:val="center"/>
          </w:tcPr>
          <w:p>
            <w:pPr>
              <w:jc w:val="center"/>
            </w:pPr>
            <w:r/>
            <w:r>
              <w:rPr>
                <w:b w:val="0"/>
                <w:sz w:val="16"/>
              </w:rPr>
              <w:t>+47.5R</w:t>
            </w:r>
          </w:p>
        </w:tc>
        <w:tc>
          <w:tcPr>
            <w:tcW w:type="dxa" w:w="1461"/>
            <w:vAlign w:val="center"/>
          </w:tcPr>
          <w:p>
            <w:pPr>
              <w:jc w:val="center"/>
            </w:pPr>
            <w:r/>
            <w:r>
              <w:rPr>
                <w:b w:val="0"/>
                <w:sz w:val="16"/>
              </w:rPr>
              <w:t>1.111</w:t>
            </w:r>
          </w:p>
        </w:tc>
        <w:tc>
          <w:tcPr>
            <w:tcW w:type="dxa" w:w="1461"/>
            <w:vAlign w:val="center"/>
          </w:tcPr>
          <w:p>
            <w:pPr>
              <w:jc w:val="center"/>
            </w:pPr>
            <w:r/>
            <w:r>
              <w:rPr>
                <w:b w:val="0"/>
                <w:sz w:val="16"/>
              </w:rPr>
              <w:t>+0.116R</w:t>
            </w:r>
          </w:p>
        </w:tc>
        <w:tc>
          <w:tcPr>
            <w:tcW w:type="dxa" w:w="1461"/>
            <w:vAlign w:val="center"/>
          </w:tcPr>
          <w:p>
            <w:pPr>
              <w:jc w:val="center"/>
            </w:pPr>
            <w:r/>
            <w:r>
              <w:rPr>
                <w:b w:val="0"/>
                <w:sz w:val="16"/>
              </w:rPr>
              <w:t>-11R</w:t>
            </w:r>
          </w:p>
        </w:tc>
        <w:tc>
          <w:tcPr>
            <w:tcW w:type="dxa" w:w="1461"/>
            <w:vAlign w:val="center"/>
          </w:tcPr>
          <w:p>
            <w:pPr>
              <w:jc w:val="center"/>
            </w:pPr>
            <w:r/>
            <w:r>
              <w:rPr>
                <w:b w:val="0"/>
                <w:sz w:val="16"/>
              </w:rPr>
              <w:t>0.926</w:t>
            </w:r>
          </w:p>
        </w:tc>
        <w:tc>
          <w:tcPr>
            <w:tcW w:type="dxa" w:w="1461"/>
            <w:vAlign w:val="center"/>
          </w:tcPr>
          <w:p>
            <w:pPr>
              <w:jc w:val="center"/>
            </w:pPr>
            <w:r/>
            <w:r>
              <w:rPr>
                <w:b w:val="0"/>
                <w:sz w:val="16"/>
              </w:rPr>
              <w:t>-0.046R</w:t>
            </w:r>
          </w:p>
        </w:tc>
      </w:tr>
      <w:tr>
        <w:tc>
          <w:tcPr>
            <w:tcW w:type="dxa" w:w="1461"/>
            <w:vAlign w:val="center"/>
          </w:tcPr>
          <w:p>
            <w:pPr>
              <w:jc w:val="center"/>
            </w:pPr>
            <w:r/>
            <w:r>
              <w:rPr>
                <w:b w:val="0"/>
                <w:sz w:val="16"/>
              </w:rPr>
              <w:t>2.0R</w:t>
            </w:r>
          </w:p>
        </w:tc>
        <w:tc>
          <w:tcPr>
            <w:tcW w:type="dxa" w:w="1461"/>
            <w:vAlign w:val="center"/>
          </w:tcPr>
          <w:p>
            <w:pPr>
              <w:jc w:val="center"/>
            </w:pPr>
            <w:r/>
            <w:r>
              <w:rPr>
                <w:b w:val="0"/>
                <w:sz w:val="16"/>
              </w:rPr>
              <w:t>+38R</w:t>
            </w:r>
          </w:p>
        </w:tc>
        <w:tc>
          <w:tcPr>
            <w:tcW w:type="dxa" w:w="1461"/>
            <w:vAlign w:val="center"/>
          </w:tcPr>
          <w:p>
            <w:pPr>
              <w:jc w:val="center"/>
            </w:pPr>
            <w:r/>
            <w:r>
              <w:rPr>
                <w:b w:val="0"/>
                <w:sz w:val="16"/>
              </w:rPr>
              <w:t>1.080</w:t>
            </w:r>
          </w:p>
        </w:tc>
        <w:tc>
          <w:tcPr>
            <w:tcW w:type="dxa" w:w="1461"/>
            <w:vAlign w:val="center"/>
          </w:tcPr>
          <w:p>
            <w:pPr>
              <w:jc w:val="center"/>
            </w:pPr>
            <w:r/>
            <w:r>
              <w:rPr>
                <w:b w:val="0"/>
                <w:sz w:val="16"/>
              </w:rPr>
              <w:t>+0.098R</w:t>
            </w:r>
          </w:p>
        </w:tc>
        <w:tc>
          <w:tcPr>
            <w:tcW w:type="dxa" w:w="1461"/>
            <w:vAlign w:val="center"/>
          </w:tcPr>
          <w:p>
            <w:pPr>
              <w:jc w:val="center"/>
            </w:pPr>
            <w:r/>
            <w:r>
              <w:rPr>
                <w:b w:val="0"/>
                <w:sz w:val="16"/>
              </w:rPr>
              <w:t>-10R</w:t>
            </w:r>
          </w:p>
        </w:tc>
        <w:tc>
          <w:tcPr>
            <w:tcW w:type="dxa" w:w="1461"/>
            <w:vAlign w:val="center"/>
          </w:tcPr>
          <w:p>
            <w:pPr>
              <w:jc w:val="center"/>
            </w:pPr>
            <w:r/>
            <w:r>
              <w:rPr>
                <w:b w:val="0"/>
                <w:sz w:val="16"/>
              </w:rPr>
              <w:t>0.938</w:t>
            </w:r>
          </w:p>
        </w:tc>
        <w:tc>
          <w:tcPr>
            <w:tcW w:type="dxa" w:w="1461"/>
            <w:vAlign w:val="center"/>
          </w:tcPr>
          <w:p>
            <w:pPr>
              <w:jc w:val="center"/>
            </w:pPr>
            <w:r/>
            <w:r>
              <w:rPr>
                <w:b w:val="0"/>
                <w:sz w:val="16"/>
              </w:rPr>
              <w:t>-0.042R</w:t>
            </w:r>
          </w:p>
        </w:tc>
      </w:tr>
      <w:tr>
        <w:tc>
          <w:tcPr>
            <w:tcW w:type="dxa" w:w="1461"/>
            <w:vAlign w:val="center"/>
          </w:tcPr>
          <w:p>
            <w:pPr>
              <w:jc w:val="center"/>
            </w:pPr>
            <w:r/>
            <w:r>
              <w:rPr>
                <w:b w:val="0"/>
                <w:sz w:val="16"/>
              </w:rPr>
              <w:t>SMA20 mean</w:t>
            </w:r>
          </w:p>
        </w:tc>
        <w:tc>
          <w:tcPr>
            <w:tcW w:type="dxa" w:w="1461"/>
            <w:vAlign w:val="center"/>
          </w:tcPr>
          <w:p>
            <w:pPr>
              <w:jc w:val="center"/>
            </w:pPr>
            <w:r/>
            <w:r>
              <w:rPr>
                <w:b w:val="0"/>
                <w:sz w:val="16"/>
              </w:rPr>
              <w:t>+19.71R</w:t>
            </w:r>
          </w:p>
        </w:tc>
        <w:tc>
          <w:tcPr>
            <w:tcW w:type="dxa" w:w="1461"/>
            <w:vAlign w:val="center"/>
          </w:tcPr>
          <w:p>
            <w:pPr>
              <w:jc w:val="center"/>
            </w:pPr>
            <w:r/>
            <w:r>
              <w:rPr>
                <w:b w:val="0"/>
                <w:sz w:val="16"/>
              </w:rPr>
              <w:t>1.047</w:t>
            </w:r>
          </w:p>
        </w:tc>
        <w:tc>
          <w:tcPr>
            <w:tcW w:type="dxa" w:w="1461"/>
            <w:vAlign w:val="center"/>
          </w:tcPr>
          <w:p>
            <w:pPr>
              <w:jc w:val="center"/>
            </w:pPr>
            <w:r/>
            <w:r>
              <w:rPr>
                <w:b w:val="0"/>
                <w:sz w:val="16"/>
              </w:rPr>
              <w:t>+0.070R</w:t>
            </w:r>
          </w:p>
        </w:tc>
        <w:tc>
          <w:tcPr>
            <w:tcW w:type="dxa" w:w="1461"/>
            <w:vAlign w:val="center"/>
          </w:tcPr>
          <w:p>
            <w:pPr>
              <w:jc w:val="center"/>
            </w:pPr>
            <w:r/>
            <w:r>
              <w:rPr>
                <w:b w:val="0"/>
                <w:sz w:val="16"/>
              </w:rPr>
              <w:t>-14.23R</w:t>
            </w:r>
          </w:p>
        </w:tc>
        <w:tc>
          <w:tcPr>
            <w:tcW w:type="dxa" w:w="1461"/>
            <w:vAlign w:val="center"/>
          </w:tcPr>
          <w:p>
            <w:pPr>
              <w:jc w:val="center"/>
            </w:pPr>
            <w:r/>
            <w:r>
              <w:rPr>
                <w:b w:val="0"/>
                <w:sz w:val="16"/>
              </w:rPr>
              <w:t>0.903</w:t>
            </w:r>
          </w:p>
        </w:tc>
        <w:tc>
          <w:tcPr>
            <w:tcW w:type="dxa" w:w="1461"/>
            <w:vAlign w:val="center"/>
          </w:tcPr>
          <w:p>
            <w:pPr>
              <w:jc w:val="center"/>
            </w:pPr>
            <w:r/>
            <w:r>
              <w:rPr>
                <w:b w:val="0"/>
                <w:sz w:val="16"/>
              </w:rPr>
              <w:t>-0.060R</w:t>
            </w:r>
          </w:p>
        </w:tc>
      </w:tr>
    </w:tbl>
    <w:p>
      <w:r>
        <w:t>The train-selected 1.5R exit deteriorated in the later sample, and 2026 was materially negative. The 1R exit remained only marginally positive later and was not adopted post-hoc. Decision: SHELVED.</w:t>
      </w:r>
    </w:p>
    <w:p>
      <w:r/>
    </w:p>
    <w:p>
      <w:pPr>
        <w:pStyle w:val="Heading1"/>
      </w:pPr>
      <w:r>
        <w:t>9. V19 - Independent Trend / Range-Breakout BUY</w:t>
      </w:r>
    </w:p>
    <w:p>
      <w:r>
        <w:t>V19 is deliberately non-ICT. It combines an H1 trend regime with an M15 breakout above the previous 20 completed bars. The frozen target is 3R, selected using the training sample.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jc w:val="center"/>
            </w:pPr>
            <w:r/>
            <w:r>
              <w:rPr>
                <w:b/>
                <w:sz w:val="16"/>
              </w:rPr>
              <w:t>V19 Metric</w:t>
            </w:r>
          </w:p>
        </w:tc>
        <w:tc>
          <w:tcPr>
            <w:tcW w:type="dxa" w:w="2556"/>
            <w:vAlign w:val="center"/>
            <w:shd w:fill="D9EAF7"/>
          </w:tcPr>
          <w:p>
            <w:pPr>
              <w:jc w:val="center"/>
            </w:pPr>
            <w:r/>
            <w:r>
              <w:rPr>
                <w:b/>
                <w:sz w:val="16"/>
              </w:rPr>
              <w:t>Full</w:t>
            </w:r>
          </w:p>
        </w:tc>
        <w:tc>
          <w:tcPr>
            <w:tcW w:type="dxa" w:w="2556"/>
            <w:vAlign w:val="center"/>
            <w:shd w:fill="D9EAF7"/>
          </w:tcPr>
          <w:p>
            <w:pPr>
              <w:jc w:val="center"/>
            </w:pPr>
            <w:r/>
            <w:r>
              <w:rPr>
                <w:b/>
                <w:sz w:val="16"/>
              </w:rPr>
              <w:t>Train</w:t>
            </w:r>
          </w:p>
        </w:tc>
        <w:tc>
          <w:tcPr>
            <w:tcW w:type="dxa" w:w="2556"/>
            <w:vAlign w:val="center"/>
            <w:shd w:fill="D9EAF7"/>
          </w:tcPr>
          <w:p>
            <w:pPr>
              <w:jc w:val="center"/>
            </w:pPr>
            <w:r/>
            <w:r>
              <w:rPr>
                <w:b/>
                <w:sz w:val="16"/>
              </w:rPr>
              <w:t>Later/OOS</w:t>
            </w:r>
          </w:p>
        </w:tc>
      </w:tr>
      <w:tr>
        <w:tc>
          <w:tcPr>
            <w:tcW w:type="dxa" w:w="2556"/>
            <w:vAlign w:val="center"/>
          </w:tcPr>
          <w:p>
            <w:pPr>
              <w:jc w:val="center"/>
            </w:pPr>
            <w:r/>
            <w:r>
              <w:rPr>
                <w:b w:val="0"/>
                <w:sz w:val="16"/>
              </w:rPr>
              <w:t>Trades</w:t>
            </w:r>
          </w:p>
        </w:tc>
        <w:tc>
          <w:tcPr>
            <w:tcW w:type="dxa" w:w="2556"/>
            <w:vAlign w:val="center"/>
          </w:tcPr>
          <w:p>
            <w:pPr>
              <w:jc w:val="center"/>
            </w:pPr>
            <w:r/>
            <w:r>
              <w:rPr>
                <w:b w:val="0"/>
                <w:sz w:val="16"/>
              </w:rPr>
              <w:t>847</w:t>
            </w:r>
          </w:p>
        </w:tc>
        <w:tc>
          <w:tcPr>
            <w:tcW w:type="dxa" w:w="2556"/>
            <w:vAlign w:val="center"/>
          </w:tcPr>
          <w:p>
            <w:pPr>
              <w:jc w:val="center"/>
            </w:pPr>
            <w:r/>
            <w:r>
              <w:rPr>
                <w:b w:val="0"/>
                <w:sz w:val="16"/>
              </w:rPr>
              <w:t>592</w:t>
            </w:r>
          </w:p>
        </w:tc>
        <w:tc>
          <w:tcPr>
            <w:tcW w:type="dxa" w:w="2556"/>
            <w:vAlign w:val="center"/>
          </w:tcPr>
          <w:p>
            <w:pPr>
              <w:jc w:val="center"/>
            </w:pPr>
            <w:r/>
            <w:r>
              <w:rPr>
                <w:b w:val="0"/>
                <w:sz w:val="16"/>
              </w:rPr>
              <w:t>255</w:t>
            </w:r>
          </w:p>
        </w:tc>
      </w:tr>
      <w:tr>
        <w:tc>
          <w:tcPr>
            <w:tcW w:type="dxa" w:w="2556"/>
            <w:vAlign w:val="center"/>
          </w:tcPr>
          <w:p>
            <w:pPr>
              <w:jc w:val="center"/>
            </w:pPr>
            <w:r/>
            <w:r>
              <w:rPr>
                <w:b w:val="0"/>
                <w:sz w:val="16"/>
              </w:rPr>
              <w:t>Win Rate</w:t>
            </w:r>
          </w:p>
        </w:tc>
        <w:tc>
          <w:tcPr>
            <w:tcW w:type="dxa" w:w="2556"/>
            <w:vAlign w:val="center"/>
          </w:tcPr>
          <w:p>
            <w:pPr>
              <w:jc w:val="center"/>
            </w:pPr>
            <w:r/>
            <w:r>
              <w:rPr>
                <w:b w:val="0"/>
                <w:sz w:val="16"/>
              </w:rPr>
              <w:t>28.57%</w:t>
            </w:r>
          </w:p>
        </w:tc>
        <w:tc>
          <w:tcPr>
            <w:tcW w:type="dxa" w:w="2556"/>
            <w:vAlign w:val="center"/>
          </w:tcPr>
          <w:p>
            <w:pPr>
              <w:jc w:val="center"/>
            </w:pPr>
            <w:r/>
            <w:r>
              <w:rPr>
                <w:b w:val="0"/>
                <w:sz w:val="16"/>
              </w:rPr>
              <w:t>28.55%</w:t>
            </w:r>
          </w:p>
        </w:tc>
        <w:tc>
          <w:tcPr>
            <w:tcW w:type="dxa" w:w="2556"/>
            <w:vAlign w:val="center"/>
          </w:tcPr>
          <w:p>
            <w:pPr>
              <w:jc w:val="center"/>
            </w:pPr>
            <w:r/>
            <w:r>
              <w:rPr>
                <w:b w:val="0"/>
                <w:sz w:val="16"/>
              </w:rPr>
              <w:t>28.63%</w:t>
            </w:r>
          </w:p>
        </w:tc>
      </w:tr>
      <w:tr>
        <w:tc>
          <w:tcPr>
            <w:tcW w:type="dxa" w:w="2556"/>
            <w:vAlign w:val="center"/>
          </w:tcPr>
          <w:p>
            <w:pPr>
              <w:jc w:val="center"/>
            </w:pPr>
            <w:r/>
            <w:r>
              <w:rPr>
                <w:b w:val="0"/>
                <w:sz w:val="16"/>
              </w:rPr>
              <w:t>Net R</w:t>
            </w:r>
          </w:p>
        </w:tc>
        <w:tc>
          <w:tcPr>
            <w:tcW w:type="dxa" w:w="2556"/>
            <w:vAlign w:val="center"/>
          </w:tcPr>
          <w:p>
            <w:pPr>
              <w:jc w:val="center"/>
            </w:pPr>
            <w:r/>
            <w:r>
              <w:rPr>
                <w:b w:val="0"/>
                <w:sz w:val="16"/>
              </w:rPr>
              <w:t>+121R</w:t>
            </w:r>
          </w:p>
        </w:tc>
        <w:tc>
          <w:tcPr>
            <w:tcW w:type="dxa" w:w="2556"/>
            <w:vAlign w:val="center"/>
          </w:tcPr>
          <w:p>
            <w:pPr>
              <w:jc w:val="center"/>
            </w:pPr>
            <w:r/>
            <w:r>
              <w:rPr>
                <w:b w:val="0"/>
                <w:sz w:val="16"/>
              </w:rPr>
              <w:t>+84R</w:t>
            </w:r>
          </w:p>
        </w:tc>
        <w:tc>
          <w:tcPr>
            <w:tcW w:type="dxa" w:w="2556"/>
            <w:vAlign w:val="center"/>
          </w:tcPr>
          <w:p>
            <w:pPr>
              <w:jc w:val="center"/>
            </w:pPr>
            <w:r/>
            <w:r>
              <w:rPr>
                <w:b w:val="0"/>
                <w:sz w:val="16"/>
              </w:rPr>
              <w:t>+37R</w:t>
            </w:r>
          </w:p>
        </w:tc>
      </w:tr>
      <w:tr>
        <w:tc>
          <w:tcPr>
            <w:tcW w:type="dxa" w:w="2556"/>
            <w:vAlign w:val="center"/>
          </w:tcPr>
          <w:p>
            <w:pPr>
              <w:jc w:val="center"/>
            </w:pPr>
            <w:r/>
            <w:r>
              <w:rPr>
                <w:b w:val="0"/>
                <w:sz w:val="16"/>
              </w:rPr>
              <w:t>PF</w:t>
            </w:r>
          </w:p>
        </w:tc>
        <w:tc>
          <w:tcPr>
            <w:tcW w:type="dxa" w:w="2556"/>
            <w:vAlign w:val="center"/>
          </w:tcPr>
          <w:p>
            <w:pPr>
              <w:jc w:val="center"/>
            </w:pPr>
            <w:r/>
            <w:r>
              <w:rPr>
                <w:b w:val="0"/>
                <w:sz w:val="16"/>
              </w:rPr>
              <w:t>1.200</w:t>
            </w:r>
          </w:p>
        </w:tc>
        <w:tc>
          <w:tcPr>
            <w:tcW w:type="dxa" w:w="2556"/>
            <w:vAlign w:val="center"/>
          </w:tcPr>
          <w:p>
            <w:pPr>
              <w:jc w:val="center"/>
            </w:pPr>
            <w:r/>
            <w:r>
              <w:rPr>
                <w:b w:val="0"/>
                <w:sz w:val="16"/>
              </w:rPr>
              <w:t>1.199</w:t>
            </w:r>
          </w:p>
        </w:tc>
        <w:tc>
          <w:tcPr>
            <w:tcW w:type="dxa" w:w="2556"/>
            <w:vAlign w:val="center"/>
          </w:tcPr>
          <w:p>
            <w:pPr>
              <w:jc w:val="center"/>
            </w:pPr>
            <w:r/>
            <w:r>
              <w:rPr>
                <w:b w:val="0"/>
                <w:sz w:val="16"/>
              </w:rPr>
              <w:t>1.203</w:t>
            </w:r>
          </w:p>
        </w:tc>
      </w:tr>
      <w:tr>
        <w:tc>
          <w:tcPr>
            <w:tcW w:type="dxa" w:w="2556"/>
            <w:vAlign w:val="center"/>
          </w:tcPr>
          <w:p>
            <w:pPr>
              <w:jc w:val="center"/>
            </w:pPr>
            <w:r/>
            <w:r>
              <w:rPr>
                <w:b w:val="0"/>
                <w:sz w:val="16"/>
              </w:rPr>
              <w:t>Expectancy</w:t>
            </w:r>
          </w:p>
        </w:tc>
        <w:tc>
          <w:tcPr>
            <w:tcW w:type="dxa" w:w="2556"/>
            <w:vAlign w:val="center"/>
          </w:tcPr>
          <w:p>
            <w:pPr>
              <w:jc w:val="center"/>
            </w:pPr>
            <w:r/>
            <w:r>
              <w:rPr>
                <w:b w:val="0"/>
                <w:sz w:val="16"/>
              </w:rPr>
              <w:t>+0.143R</w:t>
            </w:r>
          </w:p>
        </w:tc>
        <w:tc>
          <w:tcPr>
            <w:tcW w:type="dxa" w:w="2556"/>
            <w:vAlign w:val="center"/>
          </w:tcPr>
          <w:p>
            <w:pPr>
              <w:jc w:val="center"/>
            </w:pPr>
            <w:r/>
            <w:r>
              <w:rPr>
                <w:b w:val="0"/>
                <w:sz w:val="16"/>
              </w:rPr>
              <w:t>+0.142R</w:t>
            </w:r>
          </w:p>
        </w:tc>
        <w:tc>
          <w:tcPr>
            <w:tcW w:type="dxa" w:w="2556"/>
            <w:vAlign w:val="center"/>
          </w:tcPr>
          <w:p>
            <w:pPr>
              <w:jc w:val="center"/>
            </w:pPr>
            <w:r/>
            <w:r>
              <w:rPr>
                <w:b w:val="0"/>
                <w:sz w:val="16"/>
              </w:rPr>
              <w:t>+0.145R</w:t>
            </w:r>
          </w:p>
        </w:tc>
      </w:tr>
      <w:tr>
        <w:tc>
          <w:tcPr>
            <w:tcW w:type="dxa" w:w="2556"/>
            <w:vAlign w:val="center"/>
          </w:tcPr>
          <w:p>
            <w:pPr>
              <w:jc w:val="center"/>
            </w:pPr>
            <w:r/>
            <w:r>
              <w:rPr>
                <w:b w:val="0"/>
                <w:sz w:val="16"/>
              </w:rPr>
              <w:t>Max DD</w:t>
            </w:r>
          </w:p>
        </w:tc>
        <w:tc>
          <w:tcPr>
            <w:tcW w:type="dxa" w:w="2556"/>
            <w:vAlign w:val="center"/>
          </w:tcPr>
          <w:p>
            <w:pPr>
              <w:jc w:val="center"/>
            </w:pPr>
            <w:r/>
            <w:r>
              <w:rPr>
                <w:b w:val="0"/>
                <w:sz w:val="16"/>
              </w:rPr>
              <w:t>-29R</w:t>
            </w:r>
          </w:p>
        </w:tc>
        <w:tc>
          <w:tcPr>
            <w:tcW w:type="dxa" w:w="2556"/>
            <w:vAlign w:val="center"/>
          </w:tcPr>
          <w:p>
            <w:pPr>
              <w:jc w:val="center"/>
            </w:pPr>
            <w:r/>
            <w:r>
              <w:rPr>
                <w:b w:val="0"/>
                <w:sz w:val="16"/>
              </w:rPr>
              <w:t>-22R</w:t>
            </w:r>
          </w:p>
        </w:tc>
        <w:tc>
          <w:tcPr>
            <w:tcW w:type="dxa" w:w="2556"/>
            <w:vAlign w:val="center"/>
          </w:tcPr>
          <w:p>
            <w:pPr>
              <w:jc w:val="center"/>
            </w:pPr>
            <w:r/>
            <w:r>
              <w:rPr>
                <w:b w:val="0"/>
                <w:sz w:val="16"/>
              </w:rPr>
              <w:t>-29R</w:t>
            </w:r>
          </w:p>
        </w:tc>
      </w:tr>
    </w:tbl>
    <w:p>
      <w:pPr>
        <w:spacing w:after="40"/>
      </w:pPr>
      <w:r>
        <w:rPr>
          <w:b/>
        </w:rPr>
        <w:t xml:space="preserve">• </w:t>
      </w:r>
      <w:r>
        <w:t>All 8 chronological equal-trade blocks were profitable.</w:t>
      </w:r>
    </w:p>
    <w:p>
      <w:pPr>
        <w:spacing w:after="40"/>
      </w:pPr>
      <w:r>
        <w:rPr>
          <w:b/>
        </w:rPr>
        <w:t xml:space="preserve">• </w:t>
      </w:r>
      <w:r>
        <w:t>Train and later/OOS performance were unusually similar.</w:t>
      </w:r>
    </w:p>
    <w:p>
      <w:pPr>
        <w:spacing w:after="40"/>
      </w:pPr>
      <w:r>
        <w:rPr>
          <w:b/>
        </w:rPr>
        <w:t xml:space="preserve">• </w:t>
      </w:r>
      <w:r>
        <w:t>Cost stress remained positive through 0.10R per trade and became negative around 0.15R.</w:t>
      </w:r>
    </w:p>
    <w:p>
      <w:pPr>
        <w:spacing w:after="40"/>
      </w:pPr>
      <w:r>
        <w:rPr>
          <w:b/>
        </w:rPr>
        <w:t xml:space="preserve">• </w:t>
      </w:r>
      <w:r>
        <w:t>Monte Carlo sequence test: median max drawdown about -30R; 95th percentile about -47R.</w:t>
      </w:r>
    </w:p>
    <w:p>
      <w:pPr>
        <w:spacing w:after="40"/>
      </w:pPr>
      <w:r>
        <w:rPr>
          <w:b/>
        </w:rPr>
        <w:t xml:space="preserve">• </w:t>
      </w:r>
      <w:r>
        <w:t>The edge is thinner than V13 SELL, so forward execution costs and drawdown behavior matter.</w:t>
      </w:r>
    </w:p>
    <w:p>
      <w:r>
        <w:t>Decision: KEEP FORWARD TESTING UNCHANGED.</w:t>
      </w:r>
    </w:p>
    <w:p>
      <w:pPr>
        <w:pStyle w:val="Heading1"/>
      </w:pPr>
      <w:r>
        <w:t>10. Forward Testing</w:t>
      </w:r>
    </w:p>
    <w:p>
      <w:r>
        <w:t>Forward testing is the current priority. V13, V17, and V19 remain running on the VPS. The BUY bot is intentionally left running: a weak week is not sufficient reason to stop a frozen strategy, and future weeks provide the unseen data needed to judge whether historical behavior persists.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jc w:val="center"/>
            </w:pPr>
            <w:r/>
            <w:r>
              <w:rPr>
                <w:b/>
                <w:sz w:val="16"/>
              </w:rPr>
              <w:t>Week 1 Metric</w:t>
            </w:r>
          </w:p>
        </w:tc>
        <w:tc>
          <w:tcPr>
            <w:tcW w:type="dxa" w:w="2556"/>
            <w:vAlign w:val="center"/>
            <w:shd w:fill="D9EAF7"/>
          </w:tcPr>
          <w:p>
            <w:pPr>
              <w:jc w:val="center"/>
            </w:pPr>
            <w:r/>
            <w:r>
              <w:rPr>
                <w:b/>
                <w:sz w:val="16"/>
              </w:rPr>
              <w:t>V13 SELL</w:t>
            </w:r>
          </w:p>
        </w:tc>
        <w:tc>
          <w:tcPr>
            <w:tcW w:type="dxa" w:w="2556"/>
            <w:vAlign w:val="center"/>
            <w:shd w:fill="D9EAF7"/>
          </w:tcPr>
          <w:p>
            <w:pPr>
              <w:jc w:val="center"/>
            </w:pPr>
            <w:r/>
            <w:r>
              <w:rPr>
                <w:b/>
                <w:sz w:val="16"/>
              </w:rPr>
              <w:t>V17 Filtered SELL</w:t>
            </w:r>
          </w:p>
        </w:tc>
        <w:tc>
          <w:tcPr>
            <w:tcW w:type="dxa" w:w="2556"/>
            <w:vAlign w:val="center"/>
            <w:shd w:fill="D9EAF7"/>
          </w:tcPr>
          <w:p>
            <w:pPr>
              <w:jc w:val="center"/>
            </w:pPr>
            <w:r/>
            <w:r>
              <w:rPr>
                <w:b/>
                <w:sz w:val="16"/>
              </w:rPr>
              <w:t>V19 BUY</w:t>
            </w:r>
          </w:p>
        </w:tc>
      </w:tr>
      <w:tr>
        <w:tc>
          <w:tcPr>
            <w:tcW w:type="dxa" w:w="2556"/>
            <w:vAlign w:val="center"/>
          </w:tcPr>
          <w:p>
            <w:pPr>
              <w:jc w:val="center"/>
            </w:pPr>
            <w:r/>
            <w:r>
              <w:rPr>
                <w:b w:val="0"/>
                <w:sz w:val="16"/>
              </w:rPr>
              <w:t>Trades</w:t>
            </w:r>
          </w:p>
        </w:tc>
        <w:tc>
          <w:tcPr>
            <w:tcW w:type="dxa" w:w="2556"/>
            <w:vAlign w:val="center"/>
          </w:tcPr>
          <w:p>
            <w:pPr>
              <w:jc w:val="center"/>
            </w:pPr>
            <w:r/>
            <w:r>
              <w:rPr>
                <w:b w:val="0"/>
                <w:sz w:val="16"/>
              </w:rPr>
              <w:t>9</w:t>
            </w:r>
          </w:p>
        </w:tc>
        <w:tc>
          <w:tcPr>
            <w:tcW w:type="dxa" w:w="2556"/>
            <w:vAlign w:val="center"/>
          </w:tcPr>
          <w:p>
            <w:pPr>
              <w:jc w:val="center"/>
            </w:pPr>
            <w:r/>
            <w:r>
              <w:rPr>
                <w:b w:val="0"/>
                <w:sz w:val="16"/>
              </w:rPr>
              <w:t>5</w:t>
            </w:r>
          </w:p>
        </w:tc>
        <w:tc>
          <w:tcPr>
            <w:tcW w:type="dxa" w:w="2556"/>
            <w:vAlign w:val="center"/>
          </w:tcPr>
          <w:p>
            <w:pPr>
              <w:jc w:val="center"/>
            </w:pPr>
            <w:r/>
            <w:r>
              <w:rPr>
                <w:b w:val="0"/>
                <w:sz w:val="16"/>
              </w:rPr>
              <w:t>To be updated from CSV</w:t>
            </w:r>
          </w:p>
        </w:tc>
      </w:tr>
      <w:tr>
        <w:tc>
          <w:tcPr>
            <w:tcW w:type="dxa" w:w="2556"/>
            <w:vAlign w:val="center"/>
          </w:tcPr>
          <w:p>
            <w:pPr>
              <w:jc w:val="center"/>
            </w:pPr>
            <w:r/>
            <w:r>
              <w:rPr>
                <w:b w:val="0"/>
                <w:sz w:val="16"/>
              </w:rPr>
              <w:t>Wins / Losses</w:t>
            </w:r>
          </w:p>
        </w:tc>
        <w:tc>
          <w:tcPr>
            <w:tcW w:type="dxa" w:w="2556"/>
            <w:vAlign w:val="center"/>
          </w:tcPr>
          <w:p>
            <w:pPr>
              <w:jc w:val="center"/>
            </w:pPr>
            <w:r/>
            <w:r>
              <w:rPr>
                <w:b w:val="0"/>
                <w:sz w:val="16"/>
              </w:rPr>
              <w:t>8 / 1</w:t>
            </w:r>
          </w:p>
        </w:tc>
        <w:tc>
          <w:tcPr>
            <w:tcW w:type="dxa" w:w="2556"/>
            <w:vAlign w:val="center"/>
          </w:tcPr>
          <w:p>
            <w:pPr>
              <w:jc w:val="center"/>
            </w:pPr>
            <w:r/>
            <w:r>
              <w:rPr>
                <w:b w:val="0"/>
                <w:sz w:val="16"/>
              </w:rPr>
              <w:t>4 / 1</w:t>
            </w:r>
          </w:p>
        </w:tc>
        <w:tc>
          <w:tcPr>
            <w:tcW w:type="dxa" w:w="2556"/>
            <w:vAlign w:val="center"/>
          </w:tcPr>
          <w:p>
            <w:pPr>
              <w:jc w:val="center"/>
            </w:pPr>
            <w:r/>
            <w:r>
              <w:rPr>
                <w:b w:val="0"/>
                <w:sz w:val="16"/>
              </w:rPr>
              <w:t>To be updated</w:t>
            </w:r>
          </w:p>
        </w:tc>
      </w:tr>
      <w:tr>
        <w:tc>
          <w:tcPr>
            <w:tcW w:type="dxa" w:w="2556"/>
            <w:vAlign w:val="center"/>
          </w:tcPr>
          <w:p>
            <w:pPr>
              <w:jc w:val="center"/>
            </w:pPr>
            <w:r/>
            <w:r>
              <w:rPr>
                <w:b w:val="0"/>
                <w:sz w:val="16"/>
              </w:rPr>
              <w:t>Win Rate</w:t>
            </w:r>
          </w:p>
        </w:tc>
        <w:tc>
          <w:tcPr>
            <w:tcW w:type="dxa" w:w="2556"/>
            <w:vAlign w:val="center"/>
          </w:tcPr>
          <w:p>
            <w:pPr>
              <w:jc w:val="center"/>
            </w:pPr>
            <w:r/>
            <w:r>
              <w:rPr>
                <w:b w:val="0"/>
                <w:sz w:val="16"/>
              </w:rPr>
              <w:t>88.9%</w:t>
            </w:r>
          </w:p>
        </w:tc>
        <w:tc>
          <w:tcPr>
            <w:tcW w:type="dxa" w:w="2556"/>
            <w:vAlign w:val="center"/>
          </w:tcPr>
          <w:p>
            <w:pPr>
              <w:jc w:val="center"/>
            </w:pPr>
            <w:r/>
            <w:r>
              <w:rPr>
                <w:b w:val="0"/>
                <w:sz w:val="16"/>
              </w:rPr>
              <w:t>80.0%</w:t>
            </w:r>
          </w:p>
        </w:tc>
        <w:tc>
          <w:tcPr>
            <w:tcW w:type="dxa" w:w="2556"/>
            <w:vAlign w:val="center"/>
          </w:tcPr>
          <w:p>
            <w:pPr>
              <w:jc w:val="center"/>
            </w:pPr>
            <w:r/>
            <w:r>
              <w:rPr>
                <w:b w:val="0"/>
                <w:sz w:val="16"/>
              </w:rPr>
              <w:t>To be updated</w:t>
            </w:r>
          </w:p>
        </w:tc>
      </w:tr>
      <w:tr>
        <w:tc>
          <w:tcPr>
            <w:tcW w:type="dxa" w:w="2556"/>
            <w:vAlign w:val="center"/>
          </w:tcPr>
          <w:p>
            <w:pPr>
              <w:jc w:val="center"/>
            </w:pPr>
            <w:r/>
            <w:r>
              <w:rPr>
                <w:b w:val="0"/>
                <w:sz w:val="16"/>
              </w:rPr>
              <w:t>Net R</w:t>
            </w:r>
          </w:p>
        </w:tc>
        <w:tc>
          <w:tcPr>
            <w:tcW w:type="dxa" w:w="2556"/>
            <w:vAlign w:val="center"/>
          </w:tcPr>
          <w:p>
            <w:pPr>
              <w:jc w:val="center"/>
            </w:pPr>
            <w:r/>
            <w:r>
              <w:rPr>
                <w:b w:val="0"/>
                <w:sz w:val="16"/>
              </w:rPr>
              <w:t>+15R</w:t>
            </w:r>
          </w:p>
        </w:tc>
        <w:tc>
          <w:tcPr>
            <w:tcW w:type="dxa" w:w="2556"/>
            <w:vAlign w:val="center"/>
          </w:tcPr>
          <w:p>
            <w:pPr>
              <w:jc w:val="center"/>
            </w:pPr>
            <w:r/>
            <w:r>
              <w:rPr>
                <w:b w:val="0"/>
                <w:sz w:val="16"/>
              </w:rPr>
              <w:t>+7R</w:t>
            </w:r>
          </w:p>
        </w:tc>
        <w:tc>
          <w:tcPr>
            <w:tcW w:type="dxa" w:w="2556"/>
            <w:vAlign w:val="center"/>
          </w:tcPr>
          <w:p>
            <w:pPr>
              <w:jc w:val="center"/>
            </w:pPr>
            <w:r/>
            <w:r>
              <w:rPr>
                <w:b w:val="0"/>
                <w:sz w:val="16"/>
              </w:rPr>
              <w:t>To be updated</w:t>
            </w:r>
          </w:p>
        </w:tc>
      </w:tr>
      <w:tr>
        <w:tc>
          <w:tcPr>
            <w:tcW w:type="dxa" w:w="2556"/>
            <w:vAlign w:val="center"/>
          </w:tcPr>
          <w:p>
            <w:pPr>
              <w:jc w:val="center"/>
            </w:pPr>
            <w:r/>
            <w:r>
              <w:rPr>
                <w:b w:val="0"/>
                <w:sz w:val="16"/>
              </w:rPr>
              <w:t>Profit Factor</w:t>
            </w:r>
          </w:p>
        </w:tc>
        <w:tc>
          <w:tcPr>
            <w:tcW w:type="dxa" w:w="2556"/>
            <w:vAlign w:val="center"/>
          </w:tcPr>
          <w:p>
            <w:pPr>
              <w:jc w:val="center"/>
            </w:pPr>
            <w:r/>
            <w:r>
              <w:rPr>
                <w:b w:val="0"/>
                <w:sz w:val="16"/>
              </w:rPr>
              <w:t>16.0</w:t>
            </w:r>
          </w:p>
        </w:tc>
        <w:tc>
          <w:tcPr>
            <w:tcW w:type="dxa" w:w="2556"/>
            <w:vAlign w:val="center"/>
          </w:tcPr>
          <w:p>
            <w:pPr>
              <w:jc w:val="center"/>
            </w:pPr>
            <w:r/>
            <w:r>
              <w:rPr>
                <w:b w:val="0"/>
                <w:sz w:val="16"/>
              </w:rPr>
              <w:t>8.0</w:t>
            </w:r>
          </w:p>
        </w:tc>
        <w:tc>
          <w:tcPr>
            <w:tcW w:type="dxa" w:w="2556"/>
            <w:vAlign w:val="center"/>
          </w:tcPr>
          <w:p>
            <w:pPr>
              <w:jc w:val="center"/>
            </w:pPr>
            <w:r/>
            <w:r>
              <w:rPr>
                <w:b w:val="0"/>
                <w:sz w:val="16"/>
              </w:rPr>
              <w:t>To be updated</w:t>
            </w:r>
          </w:p>
        </w:tc>
      </w:tr>
      <w:tr>
        <w:tc>
          <w:tcPr>
            <w:tcW w:type="dxa" w:w="2556"/>
            <w:vAlign w:val="center"/>
          </w:tcPr>
          <w:p>
            <w:pPr>
              <w:jc w:val="center"/>
            </w:pPr>
            <w:r/>
            <w:r>
              <w:rPr>
                <w:b w:val="0"/>
                <w:sz w:val="16"/>
              </w:rPr>
              <w:t>Expectancy</w:t>
            </w:r>
          </w:p>
        </w:tc>
        <w:tc>
          <w:tcPr>
            <w:tcW w:type="dxa" w:w="2556"/>
            <w:vAlign w:val="center"/>
          </w:tcPr>
          <w:p>
            <w:pPr>
              <w:jc w:val="center"/>
            </w:pPr>
            <w:r/>
            <w:r>
              <w:rPr>
                <w:b w:val="0"/>
                <w:sz w:val="16"/>
              </w:rPr>
              <w:t>+1.67R</w:t>
            </w:r>
          </w:p>
        </w:tc>
        <w:tc>
          <w:tcPr>
            <w:tcW w:type="dxa" w:w="2556"/>
            <w:vAlign w:val="center"/>
          </w:tcPr>
          <w:p>
            <w:pPr>
              <w:jc w:val="center"/>
            </w:pPr>
            <w:r/>
            <w:r>
              <w:rPr>
                <w:b w:val="0"/>
                <w:sz w:val="16"/>
              </w:rPr>
              <w:t>+1.40R</w:t>
            </w:r>
          </w:p>
        </w:tc>
        <w:tc>
          <w:tcPr>
            <w:tcW w:type="dxa" w:w="2556"/>
            <w:vAlign w:val="center"/>
          </w:tcPr>
          <w:p>
            <w:pPr>
              <w:jc w:val="center"/>
            </w:pPr>
            <w:r/>
            <w:r>
              <w:rPr>
                <w:b w:val="0"/>
                <w:sz w:val="16"/>
              </w:rPr>
              <w:t>To be updated</w:t>
            </w:r>
          </w:p>
        </w:tc>
      </w:tr>
      <w:tr>
        <w:tc>
          <w:tcPr>
            <w:tcW w:type="dxa" w:w="2556"/>
            <w:vAlign w:val="center"/>
          </w:tcPr>
          <w:p>
            <w:pPr>
              <w:jc w:val="center"/>
            </w:pPr>
            <w:r/>
            <w:r>
              <w:rPr>
                <w:b w:val="0"/>
                <w:sz w:val="16"/>
              </w:rPr>
              <w:t>Max DD</w:t>
            </w:r>
          </w:p>
        </w:tc>
        <w:tc>
          <w:tcPr>
            <w:tcW w:type="dxa" w:w="2556"/>
            <w:vAlign w:val="center"/>
          </w:tcPr>
          <w:p>
            <w:pPr>
              <w:jc w:val="center"/>
            </w:pPr>
            <w:r/>
            <w:r>
              <w:rPr>
                <w:b w:val="0"/>
                <w:sz w:val="16"/>
              </w:rPr>
              <w:t>-1R</w:t>
            </w:r>
          </w:p>
        </w:tc>
        <w:tc>
          <w:tcPr>
            <w:tcW w:type="dxa" w:w="2556"/>
            <w:vAlign w:val="center"/>
          </w:tcPr>
          <w:p>
            <w:pPr>
              <w:jc w:val="center"/>
            </w:pPr>
            <w:r/>
            <w:r>
              <w:rPr>
                <w:b w:val="0"/>
                <w:sz w:val="16"/>
              </w:rPr>
              <w:t>-1R</w:t>
            </w:r>
          </w:p>
        </w:tc>
        <w:tc>
          <w:tcPr>
            <w:tcW w:type="dxa" w:w="2556"/>
            <w:vAlign w:val="center"/>
          </w:tcPr>
          <w:p>
            <w:pPr>
              <w:jc w:val="center"/>
            </w:pPr>
            <w:r/>
            <w:r>
              <w:rPr>
                <w:b w:val="0"/>
                <w:sz w:val="16"/>
              </w:rPr>
              <w:t>To be updated</w:t>
            </w:r>
          </w:p>
        </w:tc>
      </w:tr>
    </w:tbl>
    <w:p>
      <w:r>
        <w:t>Week 1 is encouraging for SELL but is far too small to extrapolate. V13 took four more trades than V17 and those additional trades were profitable overall, making V13 more profitable in Week 1. Future weekly reviews will explicitly measure whether V17's filtering improves quality or simply removes profitable opportunities.</w:t>
      </w:r>
    </w:p>
    <w:p>
      <w:pPr>
        <w:pStyle w:val="Heading1"/>
      </w:pPr>
      <w:r>
        <w:t>11. Live-Pilot Plan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jc w:val="center"/>
            </w:pPr>
            <w:r/>
            <w:r>
              <w:rPr>
                <w:b/>
                <w:sz w:val="16"/>
              </w:rPr>
              <w:t>Parameter</w:t>
            </w:r>
          </w:p>
        </w:tc>
        <w:tc>
          <w:tcPr>
            <w:tcW w:type="dxa" w:w="5112"/>
            <w:vAlign w:val="center"/>
            <w:shd w:fill="D9EAF7"/>
          </w:tcPr>
          <w:p>
            <w:pPr>
              <w:jc w:val="center"/>
            </w:pPr>
            <w:r/>
            <w:r>
              <w:rPr>
                <w:b/>
                <w:sz w:val="16"/>
              </w:rPr>
              <w:t>Current Plan</w:t>
            </w:r>
          </w:p>
        </w:tc>
      </w:tr>
      <w:tr>
        <w:tc>
          <w:tcPr>
            <w:tcW w:type="dxa" w:w="5112"/>
            <w:vAlign w:val="center"/>
          </w:tcPr>
          <w:p>
            <w:pPr>
              <w:jc w:val="center"/>
            </w:pPr>
            <w:r/>
            <w:r>
              <w:rPr>
                <w:b w:val="0"/>
                <w:sz w:val="16"/>
              </w:rPr>
              <w:t>Starting balance</w:t>
            </w:r>
          </w:p>
        </w:tc>
        <w:tc>
          <w:tcPr>
            <w:tcW w:type="dxa" w:w="5112"/>
            <w:vAlign w:val="center"/>
          </w:tcPr>
          <w:p>
            <w:pPr>
              <w:jc w:val="center"/>
            </w:pPr>
            <w:r/>
            <w:r>
              <w:rPr>
                <w:b w:val="0"/>
                <w:sz w:val="16"/>
              </w:rPr>
              <w:t>$300</w:t>
            </w:r>
          </w:p>
        </w:tc>
      </w:tr>
      <w:tr>
        <w:tc>
          <w:tcPr>
            <w:tcW w:type="dxa" w:w="5112"/>
            <w:vAlign w:val="center"/>
          </w:tcPr>
          <w:p>
            <w:pPr>
              <w:jc w:val="center"/>
            </w:pPr>
            <w:r/>
            <w:r>
              <w:rPr>
                <w:b w:val="0"/>
                <w:sz w:val="16"/>
              </w:rPr>
              <w:t>Risk per trade</w:t>
            </w:r>
          </w:p>
        </w:tc>
        <w:tc>
          <w:tcPr>
            <w:tcW w:type="dxa" w:w="5112"/>
            <w:vAlign w:val="center"/>
          </w:tcPr>
          <w:p>
            <w:pPr>
              <w:jc w:val="center"/>
            </w:pPr>
            <w:r/>
            <w:r>
              <w:rPr>
                <w:b w:val="0"/>
                <w:sz w:val="16"/>
              </w:rPr>
              <w:t>1% of account</w:t>
            </w:r>
          </w:p>
        </w:tc>
      </w:tr>
      <w:tr>
        <w:tc>
          <w:tcPr>
            <w:tcW w:type="dxa" w:w="5112"/>
            <w:vAlign w:val="center"/>
          </w:tcPr>
          <w:p>
            <w:pPr>
              <w:jc w:val="center"/>
            </w:pPr>
            <w:r/>
            <w:r>
              <w:rPr>
                <w:b w:val="0"/>
                <w:sz w:val="16"/>
              </w:rPr>
              <w:t>Initial 1R</w:t>
            </w:r>
          </w:p>
        </w:tc>
        <w:tc>
          <w:tcPr>
            <w:tcW w:type="dxa" w:w="5112"/>
            <w:vAlign w:val="center"/>
          </w:tcPr>
          <w:p>
            <w:pPr>
              <w:jc w:val="center"/>
            </w:pPr>
            <w:r/>
            <w:r>
              <w:rPr>
                <w:b w:val="0"/>
                <w:sz w:val="16"/>
              </w:rPr>
              <w:t>$3</w:t>
            </w:r>
          </w:p>
        </w:tc>
      </w:tr>
      <w:tr>
        <w:tc>
          <w:tcPr>
            <w:tcW w:type="dxa" w:w="5112"/>
            <w:vAlign w:val="center"/>
          </w:tcPr>
          <w:p>
            <w:pPr>
              <w:jc w:val="center"/>
            </w:pPr>
            <w:r/>
            <w:r>
              <w:rPr>
                <w:b w:val="0"/>
                <w:sz w:val="16"/>
              </w:rPr>
              <w:t>Initial +2R winner</w:t>
            </w:r>
          </w:p>
        </w:tc>
        <w:tc>
          <w:tcPr>
            <w:tcW w:type="dxa" w:w="5112"/>
            <w:vAlign w:val="center"/>
          </w:tcPr>
          <w:p>
            <w:pPr>
              <w:jc w:val="center"/>
            </w:pPr>
            <w:r/>
            <w:r>
              <w:rPr>
                <w:b w:val="0"/>
                <w:sz w:val="16"/>
              </w:rPr>
              <w:t>+$6</w:t>
            </w:r>
          </w:p>
        </w:tc>
      </w:tr>
      <w:tr>
        <w:tc>
          <w:tcPr>
            <w:tcW w:type="dxa" w:w="5112"/>
            <w:vAlign w:val="center"/>
          </w:tcPr>
          <w:p>
            <w:pPr>
              <w:jc w:val="center"/>
            </w:pPr>
            <w:r/>
            <w:r>
              <w:rPr>
                <w:b w:val="0"/>
                <w:sz w:val="16"/>
              </w:rPr>
              <w:t>Initial -1R loss</w:t>
            </w:r>
          </w:p>
        </w:tc>
        <w:tc>
          <w:tcPr>
            <w:tcW w:type="dxa" w:w="5112"/>
            <w:vAlign w:val="center"/>
          </w:tcPr>
          <w:p>
            <w:pPr>
              <w:jc w:val="center"/>
            </w:pPr>
            <w:r/>
            <w:r>
              <w:rPr>
                <w:b w:val="0"/>
                <w:sz w:val="16"/>
              </w:rPr>
              <w:t>-$3</w:t>
            </w:r>
          </w:p>
        </w:tc>
      </w:tr>
      <w:tr>
        <w:tc>
          <w:tcPr>
            <w:tcW w:type="dxa" w:w="5112"/>
            <w:vAlign w:val="center"/>
          </w:tcPr>
          <w:p>
            <w:pPr>
              <w:jc w:val="center"/>
            </w:pPr>
            <w:r/>
            <w:r>
              <w:rPr>
                <w:b w:val="0"/>
                <w:sz w:val="16"/>
              </w:rPr>
              <w:t>Current deployment</w:t>
            </w:r>
          </w:p>
        </w:tc>
        <w:tc>
          <w:tcPr>
            <w:tcW w:type="dxa" w:w="5112"/>
            <w:vAlign w:val="center"/>
          </w:tcPr>
          <w:p>
            <w:pPr>
              <w:jc w:val="center"/>
            </w:pPr>
            <w:r/>
            <w:r>
              <w:rPr>
                <w:b w:val="0"/>
                <w:sz w:val="16"/>
              </w:rPr>
              <w:t>Demo / forward test</w:t>
            </w:r>
          </w:p>
        </w:tc>
      </w:tr>
      <w:tr>
        <w:tc>
          <w:tcPr>
            <w:tcW w:type="dxa" w:w="5112"/>
            <w:vAlign w:val="center"/>
          </w:tcPr>
          <w:p>
            <w:pPr>
              <w:jc w:val="center"/>
            </w:pPr>
            <w:r/>
            <w:r>
              <w:rPr>
                <w:b w:val="0"/>
                <w:sz w:val="16"/>
              </w:rPr>
              <w:t>Fast-track condition</w:t>
            </w:r>
          </w:p>
        </w:tc>
        <w:tc>
          <w:tcPr>
            <w:tcW w:type="dxa" w:w="5112"/>
            <w:vAlign w:val="center"/>
          </w:tcPr>
          <w:p>
            <w:pPr>
              <w:jc w:val="center"/>
            </w:pPr>
            <w:r/>
            <w:r>
              <w:rPr>
                <w:b w:val="0"/>
                <w:sz w:val="16"/>
              </w:rPr>
              <w:t>Additional healthy unseen forward data before a micro live pilot</w:t>
            </w:r>
          </w:p>
        </w:tc>
      </w:tr>
    </w:tbl>
    <w:p>
      <w:r>
        <w:t>The purpose of a future $300 live pilot would be to measure real spread, slippage, fills, and operational reliability. It would not imply that historical or Week 1 returns are expected to repeat.</w:t>
      </w:r>
    </w:p>
    <w:p>
      <w:r/>
    </w:p>
    <w:p>
      <w:pPr>
        <w:pStyle w:val="Heading1"/>
      </w:pPr>
      <w:r>
        <w:t>12. Living Research Log</w:t>
      </w:r>
    </w:p>
    <w:p>
      <w:r>
        <w:t>This section is designed to be extended every week. New evidence should be added without rewriting old conclusions, so the evolution of the research remains visible.</w:t>
      </w:r>
    </w:p>
    <w:p>
      <w:pPr>
        <w:pStyle w:val="Heading2"/>
      </w:pPr>
      <w:r>
        <w:t>Weekly Update Template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jc w:val="center"/>
            </w:pPr>
            <w:r/>
            <w:r>
              <w:rPr>
                <w:b/>
                <w:sz w:val="16"/>
              </w:rPr>
              <w:t>Metric</w:t>
            </w:r>
          </w:p>
        </w:tc>
        <w:tc>
          <w:tcPr>
            <w:tcW w:type="dxa" w:w="2556"/>
            <w:vAlign w:val="center"/>
            <w:shd w:fill="D9EAF7"/>
          </w:tcPr>
          <w:p>
            <w:pPr>
              <w:jc w:val="center"/>
            </w:pPr>
            <w:r/>
            <w:r>
              <w:rPr>
                <w:b/>
                <w:sz w:val="16"/>
              </w:rPr>
              <w:t>V13 SELL</w:t>
            </w:r>
          </w:p>
        </w:tc>
        <w:tc>
          <w:tcPr>
            <w:tcW w:type="dxa" w:w="2556"/>
            <w:vAlign w:val="center"/>
            <w:shd w:fill="D9EAF7"/>
          </w:tcPr>
          <w:p>
            <w:pPr>
              <w:jc w:val="center"/>
            </w:pPr>
            <w:r/>
            <w:r>
              <w:rPr>
                <w:b/>
                <w:sz w:val="16"/>
              </w:rPr>
              <w:t>V17 Filtered SELL</w:t>
            </w:r>
          </w:p>
        </w:tc>
        <w:tc>
          <w:tcPr>
            <w:tcW w:type="dxa" w:w="2556"/>
            <w:vAlign w:val="center"/>
            <w:shd w:fill="D9EAF7"/>
          </w:tcPr>
          <w:p>
            <w:pPr>
              <w:jc w:val="center"/>
            </w:pPr>
            <w:r/>
            <w:r>
              <w:rPr>
                <w:b/>
                <w:sz w:val="16"/>
              </w:rPr>
              <w:t>V19 BUY</w:t>
            </w:r>
          </w:p>
        </w:tc>
      </w:tr>
      <w:tr>
        <w:tc>
          <w:tcPr>
            <w:tcW w:type="dxa" w:w="2556"/>
            <w:vAlign w:val="center"/>
          </w:tcPr>
          <w:p>
            <w:pPr>
              <w:jc w:val="center"/>
            </w:pPr>
            <w:r/>
            <w:r>
              <w:rPr>
                <w:b w:val="0"/>
                <w:sz w:val="16"/>
              </w:rPr>
              <w:t>Week trades</w:t>
            </w:r>
          </w:p>
        </w:tc>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r>
      <w:tr>
        <w:tc>
          <w:tcPr>
            <w:tcW w:type="dxa" w:w="2556"/>
            <w:vAlign w:val="center"/>
          </w:tcPr>
          <w:p>
            <w:pPr>
              <w:jc w:val="center"/>
            </w:pPr>
            <w:r/>
            <w:r>
              <w:rPr>
                <w:b w:val="0"/>
                <w:sz w:val="16"/>
              </w:rPr>
              <w:t>Wins / Losses</w:t>
            </w:r>
          </w:p>
        </w:tc>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r>
      <w:tr>
        <w:tc>
          <w:tcPr>
            <w:tcW w:type="dxa" w:w="2556"/>
            <w:vAlign w:val="center"/>
          </w:tcPr>
          <w:p>
            <w:pPr>
              <w:jc w:val="center"/>
            </w:pPr>
            <w:r/>
            <w:r>
              <w:rPr>
                <w:b w:val="0"/>
                <w:sz w:val="16"/>
              </w:rPr>
              <w:t>Week Net R</w:t>
            </w:r>
          </w:p>
        </w:tc>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r>
      <w:tr>
        <w:tc>
          <w:tcPr>
            <w:tcW w:type="dxa" w:w="2556"/>
            <w:vAlign w:val="center"/>
          </w:tcPr>
          <w:p>
            <w:pPr>
              <w:jc w:val="center"/>
            </w:pPr>
            <w:r/>
            <w:r>
              <w:rPr>
                <w:b w:val="0"/>
                <w:sz w:val="16"/>
              </w:rPr>
              <w:t>Week PF</w:t>
            </w:r>
          </w:p>
        </w:tc>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r>
      <w:tr>
        <w:tc>
          <w:tcPr>
            <w:tcW w:type="dxa" w:w="2556"/>
            <w:vAlign w:val="center"/>
          </w:tcPr>
          <w:p>
            <w:pPr>
              <w:jc w:val="center"/>
            </w:pPr>
            <w:r/>
            <w:r>
              <w:rPr>
                <w:b w:val="0"/>
                <w:sz w:val="16"/>
              </w:rPr>
              <w:t>Week expectancy</w:t>
            </w:r>
          </w:p>
        </w:tc>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r>
      <w:tr>
        <w:tc>
          <w:tcPr>
            <w:tcW w:type="dxa" w:w="2556"/>
            <w:vAlign w:val="center"/>
          </w:tcPr>
          <w:p>
            <w:pPr>
              <w:jc w:val="center"/>
            </w:pPr>
            <w:r/>
            <w:r>
              <w:rPr>
                <w:b w:val="0"/>
                <w:sz w:val="16"/>
              </w:rPr>
              <w:t>Week max DD</w:t>
            </w:r>
          </w:p>
        </w:tc>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r>
      <w:tr>
        <w:tc>
          <w:tcPr>
            <w:tcW w:type="dxa" w:w="2556"/>
            <w:vAlign w:val="center"/>
          </w:tcPr>
          <w:p>
            <w:pPr>
              <w:jc w:val="center"/>
            </w:pPr>
            <w:r/>
            <w:r>
              <w:rPr>
                <w:b w:val="0"/>
                <w:sz w:val="16"/>
              </w:rPr>
              <w:t>Cumulative trades</w:t>
            </w:r>
          </w:p>
        </w:tc>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r>
      <w:tr>
        <w:tc>
          <w:tcPr>
            <w:tcW w:type="dxa" w:w="2556"/>
            <w:vAlign w:val="center"/>
          </w:tcPr>
          <w:p>
            <w:pPr>
              <w:jc w:val="center"/>
            </w:pPr>
            <w:r/>
            <w:r>
              <w:rPr>
                <w:b w:val="0"/>
                <w:sz w:val="16"/>
              </w:rPr>
              <w:t>Cumulative Net R</w:t>
            </w:r>
          </w:p>
        </w:tc>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r>
      <w:tr>
        <w:tc>
          <w:tcPr>
            <w:tcW w:type="dxa" w:w="2556"/>
            <w:vAlign w:val="center"/>
          </w:tcPr>
          <w:p>
            <w:pPr>
              <w:jc w:val="center"/>
            </w:pPr>
            <w:r/>
            <w:r>
              <w:rPr>
                <w:b w:val="0"/>
                <w:sz w:val="16"/>
              </w:rPr>
              <w:t>Cumulative PF</w:t>
            </w:r>
          </w:p>
        </w:tc>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r>
      <w:tr>
        <w:tc>
          <w:tcPr>
            <w:tcW w:type="dxa" w:w="2556"/>
            <w:vAlign w:val="center"/>
          </w:tcPr>
          <w:p>
            <w:pPr>
              <w:jc w:val="center"/>
            </w:pPr>
            <w:r/>
            <w:r>
              <w:rPr>
                <w:b w:val="0"/>
                <w:sz w:val="16"/>
              </w:rPr>
              <w:t>Cumulative expectancy</w:t>
            </w:r>
          </w:p>
        </w:tc>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r>
      <w:tr>
        <w:tc>
          <w:tcPr>
            <w:tcW w:type="dxa" w:w="2556"/>
            <w:vAlign w:val="center"/>
          </w:tcPr>
          <w:p>
            <w:pPr>
              <w:jc w:val="center"/>
            </w:pPr>
            <w:r/>
            <w:r>
              <w:rPr>
                <w:b w:val="0"/>
                <w:sz w:val="16"/>
              </w:rPr>
              <w:t>Cumulative max DD</w:t>
            </w:r>
          </w:p>
        </w:tc>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r>
    </w:tbl>
    <w:p>
      <w:pPr>
        <w:pStyle w:val="Heading2"/>
      </w:pPr>
      <w:r>
        <w:t>V13 vs V17 Overlap Review</w:t>
      </w:r>
    </w:p>
    <w:p>
      <w:pPr>
        <w:spacing w:after="40"/>
      </w:pPr>
      <w:r>
        <w:rPr>
          <w:b/>
        </w:rPr>
        <w:t xml:space="preserve">• </w:t>
      </w:r>
      <w:r>
        <w:t>How many trades were shared?</w:t>
      </w:r>
    </w:p>
    <w:p>
      <w:pPr>
        <w:spacing w:after="40"/>
      </w:pPr>
      <w:r>
        <w:rPr>
          <w:b/>
        </w:rPr>
        <w:t xml:space="preserve">• </w:t>
      </w:r>
      <w:r>
        <w:t>How many trades were V13-only?</w:t>
      </w:r>
    </w:p>
    <w:p>
      <w:pPr>
        <w:spacing w:after="40"/>
      </w:pPr>
      <w:r>
        <w:rPr>
          <w:b/>
        </w:rPr>
        <w:t xml:space="preserve">• </w:t>
      </w:r>
      <w:r>
        <w:t>What was the Net R of V13-only trades?</w:t>
      </w:r>
    </w:p>
    <w:p>
      <w:pPr>
        <w:spacing w:after="40"/>
      </w:pPr>
      <w:r>
        <w:rPr>
          <w:b/>
        </w:rPr>
        <w:t xml:space="preserve">• </w:t>
      </w:r>
      <w:r>
        <w:t>Which losing V13 trades did V17 successfully avoid?</w:t>
      </w:r>
    </w:p>
    <w:p>
      <w:pPr>
        <w:spacing w:after="40"/>
      </w:pPr>
      <w:r>
        <w:rPr>
          <w:b/>
        </w:rPr>
        <w:t xml:space="preserve">• </w:t>
      </w:r>
      <w:r>
        <w:t>Which winning V13 trades did V17 unnecessarily filter out?</w:t>
      </w:r>
    </w:p>
    <w:p>
      <w:pPr>
        <w:spacing w:after="40"/>
      </w:pPr>
      <w:r>
        <w:rPr>
          <w:b/>
        </w:rPr>
        <w:t xml:space="preserve">• </w:t>
      </w:r>
      <w:r>
        <w:t>Is V17 improving expectancy and drawdown after accounting for reduced frequency?</w:t>
      </w:r>
    </w:p>
    <w:p>
      <w:pPr>
        <w:pStyle w:val="Heading2"/>
      </w:pPr>
      <w:r>
        <w:t>Operational Review</w:t>
      </w:r>
    </w:p>
    <w:p>
      <w:pPr>
        <w:spacing w:after="40"/>
      </w:pPr>
      <w:r>
        <w:rPr>
          <w:b/>
        </w:rPr>
        <w:t xml:space="preserve">• </w:t>
      </w:r>
      <w:r>
        <w:t>VPS uptime / restarts.</w:t>
      </w:r>
    </w:p>
    <w:p>
      <w:pPr>
        <w:spacing w:after="40"/>
      </w:pPr>
      <w:r>
        <w:rPr>
          <w:b/>
        </w:rPr>
        <w:t xml:space="preserve">• </w:t>
      </w:r>
      <w:r>
        <w:t>MT5 disconnections.</w:t>
      </w:r>
    </w:p>
    <w:p>
      <w:pPr>
        <w:spacing w:after="40"/>
      </w:pPr>
      <w:r>
        <w:rPr>
          <w:b/>
        </w:rPr>
        <w:t xml:space="preserve">• </w:t>
      </w:r>
      <w:r>
        <w:t>Missed or duplicate signals.</w:t>
      </w:r>
    </w:p>
    <w:p>
      <w:pPr>
        <w:spacing w:after="40"/>
      </w:pPr>
      <w:r>
        <w:rPr>
          <w:b/>
        </w:rPr>
        <w:t xml:space="preserve">• </w:t>
      </w:r>
      <w:r>
        <w:t>Telegram notification failures.</w:t>
      </w:r>
    </w:p>
    <w:p>
      <w:pPr>
        <w:spacing w:after="40"/>
      </w:pPr>
      <w:r>
        <w:rPr>
          <w:b/>
        </w:rPr>
        <w:t xml:space="preserve">• </w:t>
      </w:r>
      <w:r>
        <w:t>Unexpected candle/history issues.</w:t>
      </w:r>
    </w:p>
    <w:p>
      <w:pPr>
        <w:spacing w:after="40"/>
      </w:pPr>
      <w:r>
        <w:rPr>
          <w:b/>
        </w:rPr>
        <w:t xml:space="preserve">• </w:t>
      </w:r>
      <w:r>
        <w:t>Any difference between theoretical and actual forward entry/exit handling.</w:t>
      </w:r>
    </w:p>
    <w:p>
      <w:pPr>
        <w:pStyle w:val="Heading2"/>
      </w:pPr>
      <w:r>
        <w:t>Decision Record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jc w:val="center"/>
            </w:pPr>
            <w:r/>
            <w:r>
              <w:rPr>
                <w:b/>
                <w:sz w:val="16"/>
              </w:rPr>
              <w:t>Date / Week</w:t>
            </w:r>
          </w:p>
        </w:tc>
        <w:tc>
          <w:tcPr>
            <w:tcW w:type="dxa" w:w="2556"/>
            <w:vAlign w:val="center"/>
            <w:shd w:fill="D9EAF7"/>
          </w:tcPr>
          <w:p>
            <w:pPr>
              <w:jc w:val="center"/>
            </w:pPr>
            <w:r/>
            <w:r>
              <w:rPr>
                <w:b/>
                <w:sz w:val="16"/>
              </w:rPr>
              <w:t>Decision</w:t>
            </w:r>
          </w:p>
        </w:tc>
        <w:tc>
          <w:tcPr>
            <w:tcW w:type="dxa" w:w="2556"/>
            <w:vAlign w:val="center"/>
            <w:shd w:fill="D9EAF7"/>
          </w:tcPr>
          <w:p>
            <w:pPr>
              <w:jc w:val="center"/>
            </w:pPr>
            <w:r/>
            <w:r>
              <w:rPr>
                <w:b/>
                <w:sz w:val="16"/>
              </w:rPr>
              <w:t>Evidence</w:t>
            </w:r>
          </w:p>
        </w:tc>
        <w:tc>
          <w:tcPr>
            <w:tcW w:type="dxa" w:w="2556"/>
            <w:vAlign w:val="center"/>
            <w:shd w:fill="D9EAF7"/>
          </w:tcPr>
          <w:p>
            <w:pPr>
              <w:jc w:val="center"/>
            </w:pPr>
            <w:r/>
            <w:r>
              <w:rPr>
                <w:b/>
                <w:sz w:val="16"/>
              </w:rPr>
              <w:t>Action</w:t>
            </w:r>
          </w:p>
        </w:tc>
      </w:tr>
      <w:tr>
        <w:tc>
          <w:tcPr>
            <w:tcW w:type="dxa" w:w="2556"/>
            <w:vAlign w:val="center"/>
          </w:tcPr>
          <w:p>
            <w:pPr>
              <w:jc w:val="center"/>
            </w:pPr>
            <w:r/>
            <w:r>
              <w:rPr>
                <w:b w:val="0"/>
                <w:sz w:val="16"/>
              </w:rPr>
              <w:t>Week 1</w:t>
            </w:r>
          </w:p>
        </w:tc>
        <w:tc>
          <w:tcPr>
            <w:tcW w:type="dxa" w:w="2556"/>
            <w:vAlign w:val="center"/>
          </w:tcPr>
          <w:p>
            <w:pPr>
              <w:jc w:val="center"/>
            </w:pPr>
            <w:r/>
            <w:r>
              <w:rPr>
                <w:b w:val="0"/>
                <w:sz w:val="16"/>
              </w:rPr>
              <w:t>Keep V13, V17 and V19 running</w:t>
            </w:r>
          </w:p>
        </w:tc>
        <w:tc>
          <w:tcPr>
            <w:tcW w:type="dxa" w:w="2556"/>
            <w:vAlign w:val="center"/>
          </w:tcPr>
          <w:p>
            <w:pPr>
              <w:jc w:val="center"/>
            </w:pPr>
            <w:r/>
            <w:r>
              <w:rPr>
                <w:b w:val="0"/>
                <w:sz w:val="16"/>
              </w:rPr>
              <w:t>SELL strong; V19 remains frozen and needs unseen BUY data</w:t>
            </w:r>
          </w:p>
        </w:tc>
        <w:tc>
          <w:tcPr>
            <w:tcW w:type="dxa" w:w="2556"/>
            <w:vAlign w:val="center"/>
          </w:tcPr>
          <w:p>
            <w:pPr>
              <w:jc w:val="center"/>
            </w:pPr>
            <w:r/>
            <w:r>
              <w:rPr>
                <w:b w:val="0"/>
                <w:sz w:val="16"/>
              </w:rPr>
              <w:t>No rule changes</w:t>
            </w:r>
          </w:p>
        </w:tc>
      </w:tr>
      <w:tr>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r>
      <w:tr>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r>
      <w:tr>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c>
          <w:tcPr>
            <w:tcW w:type="dxa" w:w="2556"/>
            <w:vAlign w:val="center"/>
          </w:tcPr>
          <w:p>
            <w:pPr>
              <w:jc w:val="center"/>
            </w:pPr>
            <w:r/>
            <w:r>
              <w:rPr>
                <w:b w:val="0"/>
                <w:sz w:val="16"/>
              </w:rPr>
            </w:r>
          </w:p>
        </w:tc>
      </w:tr>
    </w:tbl>
    <w:p>
      <w:pPr>
        <w:pStyle w:val="Heading1"/>
      </w:pPr>
      <w:r>
        <w:t>13. Current Research Conclusion</w:t>
      </w:r>
    </w:p>
    <w:p>
      <w:r>
        <w:t>The project has produced one strong SELL family, one filtered SELL variant, and one independent BUY strategy worthy of forward testing. Several BUY hypotheses were rejected after robustness or later-sample deterioration. The correct next step is not more immediate optimization; it is continued collection of unseen forward data from V13, V17, and V19, followed by weekly documented comparison.</w:t>
      </w:r>
    </w:p>
    <w:p>
      <w:r>
        <w:t>Current rule: keep the three forward bots frozen. Update this report weekly with both the new week's performance and cumulative performance. Revisit live deployment only after the forward evidence is sufficiently informative.</w:t>
      </w:r>
    </w:p>
    <w:p>
      <w:r/>
    </w:p>
    <w:p>
      <w:pPr>
        <w:pStyle w:val="Heading1"/>
      </w:pPr>
      <w:r>
        <w:t>13. Week 2 Forward-Test Review — September 2026</w:t>
      </w:r>
    </w:p>
    <w:p>
      <w:r>
        <w:t>Week 2 provides the first materially adverse unseen period after the unusually strong Week 1. The purpose of this checkpoint is not to optimize the frozen strategies, but to record how they behaved when conditions were less favorable and to update cumulative evidence.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Metric</w:t>
            </w:r>
          </w:p>
        </w:tc>
        <w:tc>
          <w:tcPr>
            <w:tcW w:type="dxa" w:w="2556"/>
          </w:tcPr>
          <w:p>
            <w:r>
              <w:t>V13 SELL</w:t>
            </w:r>
          </w:p>
        </w:tc>
        <w:tc>
          <w:tcPr>
            <w:tcW w:type="dxa" w:w="2556"/>
          </w:tcPr>
          <w:p>
            <w:r>
              <w:t>V17 Filtered SELL</w:t>
            </w:r>
          </w:p>
        </w:tc>
        <w:tc>
          <w:tcPr>
            <w:tcW w:type="dxa" w:w="2556"/>
          </w:tcPr>
          <w:p>
            <w:r>
              <w:t>V19 BUY</w:t>
            </w:r>
          </w:p>
        </w:tc>
      </w:tr>
      <w:tr>
        <w:tc>
          <w:tcPr>
            <w:tcW w:type="dxa" w:w="2556"/>
            <w:vAlign w:val="center"/>
          </w:tcPr>
          <w:p>
            <w:r>
              <w:t>Trades</w:t>
            </w:r>
          </w:p>
        </w:tc>
        <w:tc>
          <w:tcPr>
            <w:tcW w:type="dxa" w:w="2556"/>
            <w:vAlign w:val="center"/>
          </w:tcPr>
          <w:p>
            <w:r>
              <w:t>11</w:t>
            </w:r>
          </w:p>
        </w:tc>
        <w:tc>
          <w:tcPr>
            <w:tcW w:type="dxa" w:w="2556"/>
            <w:vAlign w:val="center"/>
          </w:tcPr>
          <w:p>
            <w:r>
              <w:t>3</w:t>
            </w:r>
          </w:p>
        </w:tc>
        <w:tc>
          <w:tcPr>
            <w:tcW w:type="dxa" w:w="2556"/>
            <w:vAlign w:val="center"/>
          </w:tcPr>
          <w:p>
            <w:r>
              <w:t>0</w:t>
            </w:r>
          </w:p>
        </w:tc>
      </w:tr>
      <w:tr>
        <w:tc>
          <w:tcPr>
            <w:tcW w:type="dxa" w:w="2556"/>
            <w:vAlign w:val="center"/>
          </w:tcPr>
          <w:p>
            <w:r>
              <w:t>Wins / Losses</w:t>
            </w:r>
          </w:p>
        </w:tc>
        <w:tc>
          <w:tcPr>
            <w:tcW w:type="dxa" w:w="2556"/>
            <w:vAlign w:val="center"/>
          </w:tcPr>
          <w:p>
            <w:r>
              <w:t>3 / 8</w:t>
            </w:r>
          </w:p>
        </w:tc>
        <w:tc>
          <w:tcPr>
            <w:tcW w:type="dxa" w:w="2556"/>
            <w:vAlign w:val="center"/>
          </w:tcPr>
          <w:p>
            <w:r>
              <w:t>1 / 2</w:t>
            </w:r>
          </w:p>
        </w:tc>
        <w:tc>
          <w:tcPr>
            <w:tcW w:type="dxa" w:w="2556"/>
            <w:vAlign w:val="center"/>
          </w:tcPr>
          <w:p>
            <w:r>
              <w:t>0 / 0</w:t>
            </w:r>
          </w:p>
        </w:tc>
      </w:tr>
      <w:tr>
        <w:tc>
          <w:tcPr>
            <w:tcW w:type="dxa" w:w="2556"/>
            <w:vAlign w:val="center"/>
          </w:tcPr>
          <w:p>
            <w:r>
              <w:t>Win Rate</w:t>
            </w:r>
          </w:p>
        </w:tc>
        <w:tc>
          <w:tcPr>
            <w:tcW w:type="dxa" w:w="2556"/>
            <w:vAlign w:val="center"/>
          </w:tcPr>
          <w:p>
            <w:r>
              <w:t>27.3%</w:t>
            </w:r>
          </w:p>
        </w:tc>
        <w:tc>
          <w:tcPr>
            <w:tcW w:type="dxa" w:w="2556"/>
            <w:vAlign w:val="center"/>
          </w:tcPr>
          <w:p>
            <w:r>
              <w:t>33.3%</w:t>
            </w:r>
          </w:p>
        </w:tc>
        <w:tc>
          <w:tcPr>
            <w:tcW w:type="dxa" w:w="2556"/>
            <w:vAlign w:val="center"/>
          </w:tcPr>
          <w:p>
            <w:r>
              <w:t>—</w:t>
            </w:r>
          </w:p>
        </w:tc>
      </w:tr>
      <w:tr>
        <w:tc>
          <w:tcPr>
            <w:tcW w:type="dxa" w:w="2556"/>
            <w:vAlign w:val="center"/>
          </w:tcPr>
          <w:p>
            <w:r>
              <w:t>Net R</w:t>
            </w:r>
          </w:p>
        </w:tc>
        <w:tc>
          <w:tcPr>
            <w:tcW w:type="dxa" w:w="2556"/>
            <w:vAlign w:val="center"/>
          </w:tcPr>
          <w:p>
            <w:r>
              <w:t>-2R</w:t>
            </w:r>
          </w:p>
        </w:tc>
        <w:tc>
          <w:tcPr>
            <w:tcW w:type="dxa" w:w="2556"/>
            <w:vAlign w:val="center"/>
          </w:tcPr>
          <w:p>
            <w:r>
              <w:t>+0R</w:t>
            </w:r>
          </w:p>
        </w:tc>
        <w:tc>
          <w:tcPr>
            <w:tcW w:type="dxa" w:w="2556"/>
            <w:vAlign w:val="center"/>
          </w:tcPr>
          <w:p>
            <w:r>
              <w:t>0R</w:t>
            </w:r>
          </w:p>
        </w:tc>
      </w:tr>
      <w:tr>
        <w:tc>
          <w:tcPr>
            <w:tcW w:type="dxa" w:w="2556"/>
            <w:vAlign w:val="center"/>
          </w:tcPr>
          <w:p>
            <w:r>
              <w:t>Profit Factor</w:t>
            </w:r>
          </w:p>
        </w:tc>
        <w:tc>
          <w:tcPr>
            <w:tcW w:type="dxa" w:w="2556"/>
            <w:vAlign w:val="center"/>
          </w:tcPr>
          <w:p>
            <w:r>
              <w:t>0.75</w:t>
            </w:r>
          </w:p>
        </w:tc>
        <w:tc>
          <w:tcPr>
            <w:tcW w:type="dxa" w:w="2556"/>
            <w:vAlign w:val="center"/>
          </w:tcPr>
          <w:p>
            <w:r>
              <w:t>1.00</w:t>
            </w:r>
          </w:p>
        </w:tc>
        <w:tc>
          <w:tcPr>
            <w:tcW w:type="dxa" w:w="2556"/>
            <w:vAlign w:val="center"/>
          </w:tcPr>
          <w:p>
            <w:r>
              <w:t>—</w:t>
            </w:r>
          </w:p>
        </w:tc>
      </w:tr>
      <w:tr>
        <w:tc>
          <w:tcPr>
            <w:tcW w:type="dxa" w:w="2556"/>
            <w:vAlign w:val="center"/>
          </w:tcPr>
          <w:p>
            <w:r>
              <w:t>Expectancy</w:t>
            </w:r>
          </w:p>
        </w:tc>
        <w:tc>
          <w:tcPr>
            <w:tcW w:type="dxa" w:w="2556"/>
            <w:vAlign w:val="center"/>
          </w:tcPr>
          <w:p>
            <w:r>
              <w:t>-0.18R</w:t>
            </w:r>
          </w:p>
        </w:tc>
        <w:tc>
          <w:tcPr>
            <w:tcW w:type="dxa" w:w="2556"/>
            <w:vAlign w:val="center"/>
          </w:tcPr>
          <w:p>
            <w:r>
              <w:t>+0.00R</w:t>
            </w:r>
          </w:p>
        </w:tc>
        <w:tc>
          <w:tcPr>
            <w:tcW w:type="dxa" w:w="2556"/>
            <w:vAlign w:val="center"/>
          </w:tcPr>
          <w:p>
            <w:r>
              <w:t>—</w:t>
            </w:r>
          </w:p>
        </w:tc>
      </w:tr>
      <w:tr>
        <w:tc>
          <w:tcPr>
            <w:tcW w:type="dxa" w:w="2556"/>
            <w:vAlign w:val="center"/>
          </w:tcPr>
          <w:p>
            <w:r>
              <w:t>Max Drawdown</w:t>
            </w:r>
          </w:p>
        </w:tc>
        <w:tc>
          <w:tcPr>
            <w:tcW w:type="dxa" w:w="2556"/>
            <w:vAlign w:val="center"/>
          </w:tcPr>
          <w:p>
            <w:r>
              <w:t>-5R</w:t>
            </w:r>
          </w:p>
        </w:tc>
        <w:tc>
          <w:tcPr>
            <w:tcW w:type="dxa" w:w="2556"/>
            <w:vAlign w:val="center"/>
          </w:tcPr>
          <w:p>
            <w:r>
              <w:t>-2R</w:t>
            </w:r>
          </w:p>
        </w:tc>
        <w:tc>
          <w:tcPr>
            <w:tcW w:type="dxa" w:w="2556"/>
            <w:vAlign w:val="center"/>
          </w:tcPr>
          <w:p>
            <w:r>
              <w:t>0R</w:t>
            </w:r>
          </w:p>
        </w:tc>
      </w:tr>
      <w:tr>
        <w:tc>
          <w:tcPr>
            <w:tcW w:type="dxa" w:w="2556"/>
            <w:vAlign w:val="center"/>
          </w:tcPr>
          <w:p>
            <w:r>
              <w:t>Longest Loss Streak</w:t>
            </w:r>
          </w:p>
        </w:tc>
        <w:tc>
          <w:tcPr>
            <w:tcW w:type="dxa" w:w="2556"/>
            <w:vAlign w:val="center"/>
          </w:tcPr>
          <w:p>
            <w:r>
              <w:t>5</w:t>
            </w:r>
          </w:p>
        </w:tc>
        <w:tc>
          <w:tcPr>
            <w:tcW w:type="dxa" w:w="2556"/>
            <w:vAlign w:val="center"/>
          </w:tcPr>
          <w:p>
            <w:r>
              <w:t>2</w:t>
            </w:r>
          </w:p>
        </w:tc>
        <w:tc>
          <w:tcPr>
            <w:tcW w:type="dxa" w:w="2556"/>
            <w:vAlign w:val="center"/>
          </w:tcPr>
          <w:p>
            <w:r>
              <w:t>0</w:t>
            </w:r>
          </w:p>
        </w:tc>
      </w:tr>
    </w:tbl>
    <w:p>
      <w:r>
        <w:t>V13 SELL had 11 Week 2 trades: 3 wins and 8 losses. Because the strategy retains its frozen 2R winner / -1R loser structure, the week finished at only -2R despite a 27.3% win rate. The maximum Week 2 drawdown was -5R and the longest losing streak was five trades. This is an important contrast with Week 1 and is consistent with why the research process evaluates expectancy and drawdown rather than win rate alone.</w:t>
      </w:r>
    </w:p>
    <w:p>
      <w:r>
        <w:t>V17 accepted only three Week 2 trades and finished flat at 0R (1 win, 2 losses). The filter therefore reduced exposure during the weaker V13 week. The sample remains too small to conclude that V17 is superior; the correct action is continued frozen forward testing.</w:t>
      </w:r>
    </w:p>
    <w:p>
      <w:r>
        <w:t>V19 produced no completed forward trades in the supplied CSV. No rule change is justified. Its historical edge was intentionally lower-frequency and the bot remains frozen while waiting for genuinely qualifying setups.</w:t>
      </w:r>
    </w:p>
    <w:p>
      <w:pPr>
        <w:pStyle w:val="Heading2"/>
      </w:pPr>
      <w:r>
        <w:t>13.1 Cumulative Forward Results — Weeks 1–2</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Metric</w:t>
            </w:r>
          </w:p>
        </w:tc>
        <w:tc>
          <w:tcPr>
            <w:tcW w:type="dxa" w:w="2556"/>
          </w:tcPr>
          <w:p>
            <w:r>
              <w:t>V13 SELL</w:t>
            </w:r>
          </w:p>
        </w:tc>
        <w:tc>
          <w:tcPr>
            <w:tcW w:type="dxa" w:w="2556"/>
          </w:tcPr>
          <w:p>
            <w:r>
              <w:t>V17 Filtered SELL</w:t>
            </w:r>
          </w:p>
        </w:tc>
        <w:tc>
          <w:tcPr>
            <w:tcW w:type="dxa" w:w="2556"/>
          </w:tcPr>
          <w:p>
            <w:r>
              <w:t>V19 BUY</w:t>
            </w:r>
          </w:p>
        </w:tc>
      </w:tr>
      <w:tr>
        <w:tc>
          <w:tcPr>
            <w:tcW w:type="dxa" w:w="2556"/>
          </w:tcPr>
          <w:p>
            <w:r>
              <w:t>Trades</w:t>
            </w:r>
          </w:p>
        </w:tc>
        <w:tc>
          <w:tcPr>
            <w:tcW w:type="dxa" w:w="2556"/>
          </w:tcPr>
          <w:p>
            <w:r>
              <w:t>20</w:t>
            </w:r>
          </w:p>
        </w:tc>
        <w:tc>
          <w:tcPr>
            <w:tcW w:type="dxa" w:w="2556"/>
          </w:tcPr>
          <w:p>
            <w:r>
              <w:t>8</w:t>
            </w:r>
          </w:p>
        </w:tc>
        <w:tc>
          <w:tcPr>
            <w:tcW w:type="dxa" w:w="2556"/>
          </w:tcPr>
          <w:p>
            <w:r>
              <w:t>0</w:t>
            </w:r>
          </w:p>
        </w:tc>
      </w:tr>
      <w:tr>
        <w:tc>
          <w:tcPr>
            <w:tcW w:type="dxa" w:w="2556"/>
          </w:tcPr>
          <w:p>
            <w:r>
              <w:t>Wins / Losses</w:t>
            </w:r>
          </w:p>
        </w:tc>
        <w:tc>
          <w:tcPr>
            <w:tcW w:type="dxa" w:w="2556"/>
          </w:tcPr>
          <w:p>
            <w:r>
              <w:t>11 / 9</w:t>
            </w:r>
          </w:p>
        </w:tc>
        <w:tc>
          <w:tcPr>
            <w:tcW w:type="dxa" w:w="2556"/>
          </w:tcPr>
          <w:p>
            <w:r>
              <w:t>5 / 3</w:t>
            </w:r>
          </w:p>
        </w:tc>
        <w:tc>
          <w:tcPr>
            <w:tcW w:type="dxa" w:w="2556"/>
          </w:tcPr>
          <w:p>
            <w:r>
              <w:t>0 / 0</w:t>
            </w:r>
          </w:p>
        </w:tc>
      </w:tr>
      <w:tr>
        <w:tc>
          <w:tcPr>
            <w:tcW w:type="dxa" w:w="2556"/>
          </w:tcPr>
          <w:p>
            <w:r>
              <w:t>Win Rate</w:t>
            </w:r>
          </w:p>
        </w:tc>
        <w:tc>
          <w:tcPr>
            <w:tcW w:type="dxa" w:w="2556"/>
          </w:tcPr>
          <w:p>
            <w:r>
              <w:t>55.0%</w:t>
            </w:r>
          </w:p>
        </w:tc>
        <w:tc>
          <w:tcPr>
            <w:tcW w:type="dxa" w:w="2556"/>
          </w:tcPr>
          <w:p>
            <w:r>
              <w:t>62.5%</w:t>
            </w:r>
          </w:p>
        </w:tc>
        <w:tc>
          <w:tcPr>
            <w:tcW w:type="dxa" w:w="2556"/>
          </w:tcPr>
          <w:p>
            <w:r>
              <w:t>—</w:t>
            </w:r>
          </w:p>
        </w:tc>
      </w:tr>
      <w:tr>
        <w:tc>
          <w:tcPr>
            <w:tcW w:type="dxa" w:w="2556"/>
          </w:tcPr>
          <w:p>
            <w:r>
              <w:t>Net R</w:t>
            </w:r>
          </w:p>
        </w:tc>
        <w:tc>
          <w:tcPr>
            <w:tcW w:type="dxa" w:w="2556"/>
          </w:tcPr>
          <w:p>
            <w:r>
              <w:t>+13R</w:t>
            </w:r>
          </w:p>
        </w:tc>
        <w:tc>
          <w:tcPr>
            <w:tcW w:type="dxa" w:w="2556"/>
          </w:tcPr>
          <w:p>
            <w:r>
              <w:t>+7R</w:t>
            </w:r>
          </w:p>
        </w:tc>
        <w:tc>
          <w:tcPr>
            <w:tcW w:type="dxa" w:w="2556"/>
          </w:tcPr>
          <w:p>
            <w:r>
              <w:t>0R</w:t>
            </w:r>
          </w:p>
        </w:tc>
      </w:tr>
      <w:tr>
        <w:tc>
          <w:tcPr>
            <w:tcW w:type="dxa" w:w="2556"/>
          </w:tcPr>
          <w:p>
            <w:r>
              <w:t>Profit Factor</w:t>
            </w:r>
          </w:p>
        </w:tc>
        <w:tc>
          <w:tcPr>
            <w:tcW w:type="dxa" w:w="2556"/>
          </w:tcPr>
          <w:p>
            <w:r>
              <w:t>2.44</w:t>
            </w:r>
          </w:p>
        </w:tc>
        <w:tc>
          <w:tcPr>
            <w:tcW w:type="dxa" w:w="2556"/>
          </w:tcPr>
          <w:p>
            <w:r>
              <w:t>3.33</w:t>
            </w:r>
          </w:p>
        </w:tc>
        <w:tc>
          <w:tcPr>
            <w:tcW w:type="dxa" w:w="2556"/>
          </w:tcPr>
          <w:p>
            <w:r>
              <w:t>—</w:t>
            </w:r>
          </w:p>
        </w:tc>
      </w:tr>
      <w:tr>
        <w:tc>
          <w:tcPr>
            <w:tcW w:type="dxa" w:w="2556"/>
          </w:tcPr>
          <w:p>
            <w:r>
              <w:t>Expectancy</w:t>
            </w:r>
          </w:p>
        </w:tc>
        <w:tc>
          <w:tcPr>
            <w:tcW w:type="dxa" w:w="2556"/>
          </w:tcPr>
          <w:p>
            <w:r>
              <w:t>+0.65R</w:t>
            </w:r>
          </w:p>
        </w:tc>
        <w:tc>
          <w:tcPr>
            <w:tcW w:type="dxa" w:w="2556"/>
          </w:tcPr>
          <w:p>
            <w:r>
              <w:t>+0.88R</w:t>
            </w:r>
          </w:p>
        </w:tc>
        <w:tc>
          <w:tcPr>
            <w:tcW w:type="dxa" w:w="2556"/>
          </w:tcPr>
          <w:p>
            <w:r>
              <w:t>—</w:t>
            </w:r>
          </w:p>
        </w:tc>
      </w:tr>
      <w:tr>
        <w:tc>
          <w:tcPr>
            <w:tcW w:type="dxa" w:w="2556"/>
          </w:tcPr>
          <w:p>
            <w:r>
              <w:t>Max Drawdown</w:t>
            </w:r>
          </w:p>
        </w:tc>
        <w:tc>
          <w:tcPr>
            <w:tcW w:type="dxa" w:w="2556"/>
          </w:tcPr>
          <w:p>
            <w:r>
              <w:t>-5R</w:t>
            </w:r>
          </w:p>
        </w:tc>
        <w:tc>
          <w:tcPr>
            <w:tcW w:type="dxa" w:w="2556"/>
          </w:tcPr>
          <w:p>
            <w:r>
              <w:t>-2R</w:t>
            </w:r>
          </w:p>
        </w:tc>
        <w:tc>
          <w:tcPr>
            <w:tcW w:type="dxa" w:w="2556"/>
          </w:tcPr>
          <w:p>
            <w:r>
              <w:t>0R</w:t>
            </w:r>
          </w:p>
        </w:tc>
      </w:tr>
      <w:tr>
        <w:tc>
          <w:tcPr>
            <w:tcW w:type="dxa" w:w="2556"/>
          </w:tcPr>
          <w:p>
            <w:r>
              <w:t>Longest Loss Streak</w:t>
            </w:r>
          </w:p>
        </w:tc>
        <w:tc>
          <w:tcPr>
            <w:tcW w:type="dxa" w:w="2556"/>
          </w:tcPr>
          <w:p>
            <w:r>
              <w:t>5</w:t>
            </w:r>
          </w:p>
        </w:tc>
        <w:tc>
          <w:tcPr>
            <w:tcW w:type="dxa" w:w="2556"/>
          </w:tcPr>
          <w:p>
            <w:r>
              <w:t>2</w:t>
            </w:r>
          </w:p>
        </w:tc>
        <w:tc>
          <w:tcPr>
            <w:tcW w:type="dxa" w:w="2556"/>
          </w:tcPr>
          <w:p>
            <w:r>
              <w:t>0</w:t>
            </w:r>
          </w:p>
        </w:tc>
      </w:tr>
    </w:tbl>
    <w:p>
      <w:r>
        <w:t>After two forward weeks, V13 SELL stands at 20 trades, 11 wins / 9 losses, 55.0% win rate, +13R, PF 2.44, and expectancy +0.65R per trade. V17 stands at 8 trades, +7R, PF 3.33, and expectancy +0.875R. Both remain positive, but neither forward sample is large enough to establish future profitability.</w:t>
      </w:r>
    </w:p>
    <w:p>
      <w:pPr>
        <w:pStyle w:val="Heading2"/>
      </w:pPr>
      <w:r>
        <w:t>13.2 Directional Control — V13 BOTH</w:t>
      </w:r>
    </w:p>
    <w:p>
      <w:r>
        <w:t>The experimental BOTH-direction log continues to show a large directional asymmetry. SELL has 20 trades and +13R, while BUY has 19 trades and -7R (4 wins / 15 losses). This reinforces the existing decision not to promote the ICT BUY branch. The BOTH bot may remain useful as a research control, but the BUY component is not a live candidate.</w:t>
      </w:r>
    </w:p>
    <w:p>
      <w:pPr>
        <w:pStyle w:val="Heading2"/>
      </w:pPr>
      <w:r>
        <w:t>13.3 Week 2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Strategy</w:t>
            </w:r>
          </w:p>
        </w:tc>
        <w:tc>
          <w:tcPr>
            <w:tcW w:type="dxa" w:w="3408"/>
          </w:tcPr>
          <w:p>
            <w:r>
              <w:t>Decision</w:t>
            </w:r>
          </w:p>
        </w:tc>
        <w:tc>
          <w:tcPr>
            <w:tcW w:type="dxa" w:w="3408"/>
          </w:tcPr>
          <w:p>
            <w:r>
              <w:t>Reason</w:t>
            </w:r>
          </w:p>
        </w:tc>
      </w:tr>
      <w:tr>
        <w:tc>
          <w:tcPr>
            <w:tcW w:type="dxa" w:w="3408"/>
          </w:tcPr>
          <w:p>
            <w:r>
              <w:t>V13 SELL</w:t>
            </w:r>
          </w:p>
        </w:tc>
        <w:tc>
          <w:tcPr>
            <w:tcW w:type="dxa" w:w="3408"/>
          </w:tcPr>
          <w:p>
            <w:r>
              <w:t>PASS / CONTINUE</w:t>
            </w:r>
          </w:p>
        </w:tc>
        <w:tc>
          <w:tcPr>
            <w:tcW w:type="dxa" w:w="3408"/>
          </w:tcPr>
          <w:p>
            <w:r>
              <w:t>Negative Week 2 (-2R), but cumulative forward result remains positive; no evidence justifies changing frozen rules.</w:t>
            </w:r>
          </w:p>
        </w:tc>
      </w:tr>
      <w:tr>
        <w:tc>
          <w:tcPr>
            <w:tcW w:type="dxa" w:w="3408"/>
          </w:tcPr>
          <w:p>
            <w:r>
              <w:t>V17 Filtered SELL</w:t>
            </w:r>
          </w:p>
        </w:tc>
        <w:tc>
          <w:tcPr>
            <w:tcW w:type="dxa" w:w="3408"/>
          </w:tcPr>
          <w:p>
            <w:r>
              <w:t>PASS / CONTINUE</w:t>
            </w:r>
          </w:p>
        </w:tc>
        <w:tc>
          <w:tcPr>
            <w:tcW w:type="dxa" w:w="3408"/>
          </w:tcPr>
          <w:p>
            <w:r>
              <w:t>Flat Week 2 with reduced exposure; cumulative sample remains positive but small.</w:t>
            </w:r>
          </w:p>
        </w:tc>
      </w:tr>
      <w:tr>
        <w:tc>
          <w:tcPr>
            <w:tcW w:type="dxa" w:w="3408"/>
          </w:tcPr>
          <w:p>
            <w:r>
              <w:t>V19 BUY</w:t>
            </w:r>
          </w:p>
        </w:tc>
        <w:tc>
          <w:tcPr>
            <w:tcW w:type="dxa" w:w="3408"/>
          </w:tcPr>
          <w:p>
            <w:r>
              <w:t>WATCH / CONTINUE</w:t>
            </w:r>
          </w:p>
        </w:tc>
        <w:tc>
          <w:tcPr>
            <w:tcW w:type="dxa" w:w="3408"/>
          </w:tcPr>
          <w:p>
            <w:r>
              <w:t>No forward trades yet; inactivity alone is not a failure condition.</w:t>
            </w:r>
          </w:p>
        </w:tc>
      </w:tr>
      <w:tr>
        <w:tc>
          <w:tcPr>
            <w:tcW w:type="dxa" w:w="3408"/>
          </w:tcPr>
          <w:p>
            <w:r>
              <w:t>ICT BUY / BOTH BUY side</w:t>
            </w:r>
          </w:p>
        </w:tc>
        <w:tc>
          <w:tcPr>
            <w:tcW w:type="dxa" w:w="3408"/>
          </w:tcPr>
          <w:p>
            <w:r>
              <w:t>SHELVED / RESEARCH-ONLY</w:t>
            </w:r>
          </w:p>
        </w:tc>
        <w:tc>
          <w:tcPr>
            <w:tcW w:type="dxa" w:w="3408"/>
          </w:tcPr>
          <w:p>
            <w:r>
              <w:t>Directional forward evidence remains materially weaker than SELL.</w:t>
            </w:r>
          </w:p>
        </w:tc>
      </w:tr>
    </w:tbl>
    <w:p>
      <w:pPr>
        <w:pStyle w:val="Heading1"/>
      </w:pPr>
      <w:r>
        <w:t>14. Live / Shadow-Live Risk Plan — Revised</w:t>
      </w:r>
    </w:p>
    <w:p>
      <w:r>
        <w:t>The original Version 1.0 live-pilot concept assumed a $300 account risking 1% ($3) per trade. Subsequent review of actual V13 forward stop distances and PU Prime XAUUSD.s contract constraints showed that this was not operationally feasible at the broker's 0.01 minimum lot for most observed V13 setups.</w:t>
      </w:r>
    </w:p>
    <w:p>
      <w:r>
        <w:t>The current experimental plan uses a $150 reference balance, 0.01 lot maximum, and a $4 maximum estimated loss on any eligible setup. A setup whose strategy-defined stop would exceed $4 at 0.01 lot is skipped; the stop is never altered merely to fit the account. The weekly loss kill switch is -$12. These limits are risk controls for an experiment, not evidence that the account size is sufficient for unrestricted V13 execution.</w:t>
      </w:r>
    </w:p>
    <w:p>
      <w:r>
        <w:t>A separate PU Prime shadow-live bot is being used to test unattended signal detection, broker-aware risk calculation, TAKE/SKIP decisions, spread/fill assumptions, logging, and weekly-stop behavior without sending real-money orders.</w:t>
      </w:r>
    </w:p>
    <w:p>
      <w:pPr>
        <w:pStyle w:val="Heading1"/>
      </w:pPr>
      <w:r>
        <w:t>15. New Independent Research Branch — Futures Order Flow</w:t>
      </w:r>
    </w:p>
    <w:p>
      <w:r>
        <w:t>A new diversification branch has been opened based on studying Christopher Creamer / Thraxx Trades and futures order-flow methodology. This branch is not a modification of V13 and will not alter any frozen Callisto strategy.</w:t>
      </w:r>
    </w:p>
    <w:p>
      <w:r>
        <w:t>Research focus: centralized futures execution data, footprint charts, bid/ask imbalance, delta, absorption, volume clusters, and key volume/liquidity zones. Candidate instruments are MNQ/NQ and potentially MES/ES. The central design objective is to convert discretionary order-flow observations into explicit, testable rules.</w:t>
      </w:r>
    </w:p>
    <w:p>
      <w:r>
        <w:t>Provisional architecture: Location → Order-flow event → Confirmation → Entry → Invalidation → Target. No final thresholds are frozen yet. Generic footprint conventions will not be attributed to Creamer unless they are supported by his actual published material.</w:t>
      </w:r>
    </w:p>
    <w:p>
      <w:r>
        <w:t>Before coding the first strategy prototype, the project must establish a suitable historical tick/bid-ask data source and a bot-ready rulebook. Ordinary MT5 OHLC candles are not treated as a substitute for true centralized futures order-flow data.</w:t>
      </w:r>
    </w:p>
    <w:p>
      <w:pPr>
        <w:pStyle w:val="Heading1"/>
      </w:pPr>
      <w:r>
        <w:t>16. Decision Record — Week 2 Close</w:t>
      </w:r>
    </w:p>
    <w:p>
      <w:pPr>
        <w:pStyle w:val="ListBullet"/>
      </w:pPr>
      <w:r>
        <w:t>Keep V13 SELL frozen and running.</w:t>
      </w:r>
    </w:p>
    <w:p>
      <w:pPr>
        <w:pStyle w:val="ListBullet"/>
      </w:pPr>
      <w:r>
        <w:t>Keep V17 Filtered SELL frozen and running.</w:t>
      </w:r>
    </w:p>
    <w:p>
      <w:pPr>
        <w:pStyle w:val="ListBullet"/>
      </w:pPr>
      <w:r>
        <w:t>Keep V19 BUY frozen and running despite zero trades.</w:t>
      </w:r>
    </w:p>
    <w:p>
      <w:pPr>
        <w:pStyle w:val="ListBullet"/>
      </w:pPr>
      <w:r>
        <w:t>Do not revive or optimize the weak ICT BUY branch.</w:t>
      </w:r>
    </w:p>
    <w:p>
      <w:pPr>
        <w:pStyle w:val="ListBullet"/>
      </w:pPr>
      <w:r>
        <w:t>Do not optimize V13 in response to one negative week.</w:t>
      </w:r>
    </w:p>
    <w:p>
      <w:pPr>
        <w:pStyle w:val="ListBullet"/>
      </w:pPr>
      <w:r>
        <w:t>Continue collecting unseen forward data toward the next meaningful V13 sample milestone.</w:t>
      </w:r>
    </w:p>
    <w:p>
      <w:pPr>
        <w:pStyle w:val="ListBullet"/>
      </w:pPr>
      <w:r>
        <w:t>Develop the futures order-flow branch independently so diversification comes from a different information set rather than another FVG variation.</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The Forge • Systematic Trading Research Chronicle • Living document • Version 1.1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