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  <w:jc w:val="center"/>
      </w:pPr>
      <w:r>
        <w:rPr>
          <w:rFonts w:ascii="Hiragino Sans GB" w:hAnsi="Hiragino Sans GB" w:eastAsia="Hiragino Sans GB"/>
          <w:b/>
          <w:color w:val="000000"/>
          <w:sz w:val="46"/>
        </w:rPr>
        <w:t>Agent Teaching Lab</w:t>
      </w:r>
    </w:p>
    <w:p>
      <w:pPr>
        <w:spacing w:after="280"/>
        <w:jc w:val="center"/>
      </w:pPr>
      <w:r>
        <w:rPr>
          <w:rFonts w:ascii="Hiragino Sans GB" w:hAnsi="Hiragino Sans GB" w:eastAsia="Hiragino Sans GB"/>
          <w:b w:val="0"/>
          <w:color w:val="000000"/>
          <w:sz w:val="30"/>
        </w:rPr>
        <w:t>四天公共服务智能体实践课程方案</w:t>
      </w:r>
    </w:p>
    <w:p>
      <w:pPr>
        <w:spacing w:before="0" w:after="200" w:line="269" w:lineRule="auto"/>
      </w:pPr>
      <w:r>
        <w:rPr>
          <w:rFonts w:ascii="Hiragino Sans GB" w:hAnsi="Hiragino Sans GB" w:eastAsia="Hiragino Sans GB"/>
          <w:b w:val="0"/>
          <w:color w:val="000000"/>
          <w:sz w:val="21"/>
        </w:rPr>
        <w:t>本方案面向本科生或研究生，前三天学习常用 Agent 技术，第四天完成公共服务主题综合项目。每个教学日约 3 小时，采用“教师讲解与 Lab、小组实践、分享讨论”的结构。</w:t>
      </w:r>
    </w:p>
    <w:p>
      <w:pPr>
        <w:keepNext/>
        <w:spacing w:before="240" w:after="100"/>
      </w:pPr>
      <w:r>
        <w:rPr>
          <w:rFonts w:ascii="Hiragino Sans GB" w:hAnsi="Hiragino Sans GB" w:eastAsia="Hiragino Sans GB"/>
          <w:b/>
          <w:color w:val="000000"/>
          <w:sz w:val="30"/>
        </w:rPr>
        <w:t>一、课程总览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1440"/>
            <w:shd w:fill="1F4E7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课程日</w:t>
            </w:r>
          </w:p>
        </w:tc>
        <w:tc>
          <w:tcPr>
            <w:tcW w:type="dxa" w:w="2880"/>
            <w:shd w:fill="1F4E7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主题</w:t>
            </w:r>
          </w:p>
        </w:tc>
        <w:tc>
          <w:tcPr>
            <w:tcW w:type="dxa" w:w="5904"/>
            <w:shd w:fill="1F4E7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课堂结构</w:t>
            </w:r>
          </w:p>
        </w:tc>
      </w:tr>
      <w:tr>
        <w:tc>
          <w:tcPr>
            <w:tcW w:type="dxa" w:w="1440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第一天</w:t>
            </w:r>
          </w:p>
        </w:tc>
        <w:tc>
          <w:tcPr>
            <w:tcW w:type="dxa" w:w="2880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Agent 基础与工具调用</w:t>
            </w:r>
          </w:p>
        </w:tc>
        <w:tc>
          <w:tcPr>
            <w:tcW w:type="dxa" w:w="5904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1 小时教学与 Lab；1.5 小时小组实践；0.5 小时分享讨论</w:t>
            </w:r>
          </w:p>
        </w:tc>
      </w:tr>
      <w:tr>
        <w:tc>
          <w:tcPr>
            <w:tcW w:type="dxa" w:w="1440"/>
            <w:shd w:fill="EAF2F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第二天</w:t>
            </w:r>
          </w:p>
        </w:tc>
        <w:tc>
          <w:tcPr>
            <w:tcW w:type="dxa" w:w="2880"/>
            <w:shd w:fill="EAF2F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RAG、知识库与 Agent 记忆</w:t>
            </w:r>
          </w:p>
        </w:tc>
        <w:tc>
          <w:tcPr>
            <w:tcW w:type="dxa" w:w="5904"/>
            <w:shd w:fill="EAF2F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1 小时教学与 Lab；1.5 小时小组实践；0.5 小时分享讨论</w:t>
            </w:r>
          </w:p>
        </w:tc>
      </w:tr>
      <w:tr>
        <w:tc>
          <w:tcPr>
            <w:tcW w:type="dxa" w:w="1440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第三天</w:t>
            </w:r>
          </w:p>
        </w:tc>
        <w:tc>
          <w:tcPr>
            <w:tcW w:type="dxa" w:w="2880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任务规划、工作流与多 Agent</w:t>
            </w:r>
          </w:p>
        </w:tc>
        <w:tc>
          <w:tcPr>
            <w:tcW w:type="dxa" w:w="5904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1 小时教学与 Lab；1.5 小时小组实践；0.5 小时分享讨论</w:t>
            </w:r>
          </w:p>
        </w:tc>
      </w:tr>
      <w:tr>
        <w:tc>
          <w:tcPr>
            <w:tcW w:type="dxa" w:w="1440"/>
            <w:shd w:fill="EAF2F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第四天</w:t>
            </w:r>
          </w:p>
        </w:tc>
        <w:tc>
          <w:tcPr>
            <w:tcW w:type="dxa" w:w="2880"/>
            <w:shd w:fill="EAF2F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公共服务 Agent 综合项目</w:t>
            </w:r>
          </w:p>
        </w:tc>
        <w:tc>
          <w:tcPr>
            <w:tcW w:type="dxa" w:w="5904"/>
            <w:shd w:fill="EAF2F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约 0.25 小时项目说明；2 小时项目开发；约 0.75 小时报告与问答</w:t>
            </w:r>
          </w:p>
        </w:tc>
      </w:tr>
    </w:tbl>
    <w:p>
      <w:pPr>
        <w:spacing w:after="40"/>
      </w:pPr>
    </w:p>
    <w:p>
      <w:pPr>
        <w:keepNext/>
        <w:spacing w:before="160" w:after="100"/>
      </w:pPr>
      <w:r>
        <w:rPr>
          <w:rFonts w:ascii="Hiragino Sans GB" w:hAnsi="Hiragino Sans GB" w:eastAsia="Hiragino Sans GB"/>
          <w:b/>
          <w:color w:val="000000"/>
          <w:sz w:val="25"/>
        </w:rPr>
        <w:t>建议技术环境</w:t>
      </w:r>
    </w:p>
    <w:p>
      <w:pPr>
        <w:pStyle w:val="ListBullet"/>
        <w:spacing w:after="40" w:line="252" w:lineRule="auto"/>
      </w:pPr>
      <w:r>
        <w:rPr>
          <w:rFonts w:ascii="Hiragino Sans GB" w:hAnsi="Hiragino Sans GB" w:eastAsia="Hiragino Sans GB"/>
          <w:b w:val="0"/>
          <w:color w:val="000000"/>
          <w:sz w:val="20"/>
        </w:rPr>
        <w:t>Python 与 Jupyter Notebook；统一使用课程提供的 API wrapper。</w:t>
      </w:r>
    </w:p>
    <w:p>
      <w:pPr>
        <w:pStyle w:val="ListBullet"/>
        <w:spacing w:after="40" w:line="252" w:lineRule="auto"/>
      </w:pPr>
      <w:r>
        <w:rPr>
          <w:rFonts w:ascii="Hiragino Sans GB" w:hAnsi="Hiragino Sans GB" w:eastAsia="Hiragino Sans GB"/>
          <w:b w:val="0"/>
          <w:color w:val="000000"/>
          <w:sz w:val="20"/>
        </w:rPr>
        <w:t>一个支持 Function Calling 或 Structured Output 的 LLM API。</w:t>
      </w:r>
    </w:p>
    <w:p>
      <w:pPr>
        <w:pStyle w:val="ListBullet"/>
        <w:spacing w:after="40" w:line="252" w:lineRule="auto"/>
      </w:pPr>
      <w:r>
        <w:rPr>
          <w:rFonts w:ascii="Hiragino Sans GB" w:hAnsi="Hiragino Sans GB" w:eastAsia="Hiragino Sans GB"/>
          <w:b w:val="0"/>
          <w:color w:val="000000"/>
          <w:sz w:val="20"/>
        </w:rPr>
        <w:t>FAISS 或 Chroma，用于向量检索。</w:t>
      </w:r>
    </w:p>
    <w:p>
      <w:pPr>
        <w:pStyle w:val="ListBullet"/>
        <w:spacing w:after="40" w:line="252" w:lineRule="auto"/>
      </w:pPr>
      <w:r>
        <w:rPr>
          <w:rFonts w:ascii="Hiragino Sans GB" w:hAnsi="Hiragino Sans GB" w:eastAsia="Hiragino Sans GB"/>
          <w:b w:val="0"/>
          <w:color w:val="000000"/>
          <w:sz w:val="20"/>
        </w:rPr>
        <w:t>LangGraph（可选）用于第三天工作流实现。</w:t>
      </w:r>
    </w:p>
    <w:p>
      <w:pPr>
        <w:pStyle w:val="ListBullet"/>
        <w:spacing w:after="40" w:line="252" w:lineRule="auto"/>
      </w:pPr>
      <w:r>
        <w:rPr>
          <w:rFonts w:ascii="Hiragino Sans GB" w:hAnsi="Hiragino Sans GB" w:eastAsia="Hiragino Sans GB"/>
          <w:b w:val="0"/>
          <w:color w:val="000000"/>
          <w:sz w:val="20"/>
        </w:rPr>
        <w:t>Streamlit（可选）用于第四天制作交互界面。</w:t>
      </w:r>
    </w:p>
    <w:p>
      <w:pPr>
        <w:keepNext/>
        <w:spacing w:before="240" w:after="100"/>
      </w:pPr>
      <w:r>
        <w:rPr>
          <w:rFonts w:ascii="Hiragino Sans GB" w:hAnsi="Hiragino Sans GB" w:eastAsia="Hiragino Sans GB"/>
          <w:b/>
          <w:color w:val="000000"/>
          <w:sz w:val="30"/>
        </w:rPr>
        <w:t>二、第一天：Agent 基础与工具调用</w:t>
      </w:r>
    </w:p>
    <w:p>
      <w:pPr>
        <w:spacing w:before="0" w:after="100" w:line="269" w:lineRule="auto"/>
      </w:pPr>
      <w:r>
        <w:rPr>
          <w:rFonts w:ascii="Hiragino Sans GB" w:hAnsi="Hiragino Sans GB" w:eastAsia="Hiragino Sans GB"/>
          <w:b w:val="0"/>
          <w:color w:val="000000"/>
          <w:sz w:val="21"/>
        </w:rPr>
        <w:t>主题：From LLM Chatbot to Tool-Using Agent。第一天重点是让学生理解 Agent 如何从生成文本扩展为调用工具并完成任务。</w:t>
      </w:r>
    </w:p>
    <w:p>
      <w:pPr>
        <w:keepNext/>
        <w:spacing w:before="160" w:after="100"/>
      </w:pPr>
      <w:r>
        <w:rPr>
          <w:rFonts w:ascii="Hiragino Sans GB" w:hAnsi="Hiragino Sans GB" w:eastAsia="Hiragino Sans GB"/>
          <w:b/>
          <w:color w:val="000000"/>
          <w:sz w:val="25"/>
        </w:rPr>
        <w:t>学习目标</w:t>
      </w:r>
    </w:p>
    <w:p>
      <w:pPr>
        <w:pStyle w:val="ListBullet"/>
        <w:spacing w:after="40" w:line="252" w:lineRule="auto"/>
      </w:pPr>
      <w:r>
        <w:rPr>
          <w:rFonts w:ascii="Hiragino Sans GB" w:hAnsi="Hiragino Sans GB" w:eastAsia="Hiragino Sans GB"/>
          <w:b w:val="0"/>
          <w:color w:val="000000"/>
          <w:sz w:val="20"/>
        </w:rPr>
        <w:t>理解 LLM、Chatbot 和 Agent 的区别。</w:t>
      </w:r>
    </w:p>
    <w:p>
      <w:pPr>
        <w:pStyle w:val="ListBullet"/>
        <w:spacing w:after="40" w:line="252" w:lineRule="auto"/>
      </w:pPr>
      <w:r>
        <w:rPr>
          <w:rFonts w:ascii="Hiragino Sans GB" w:hAnsi="Hiragino Sans GB" w:eastAsia="Hiragino Sans GB"/>
          <w:b w:val="0"/>
          <w:color w:val="000000"/>
          <w:sz w:val="20"/>
        </w:rPr>
        <w:t>理解基本 Agent Loop：Observe → Think → Act → Observe。</w:t>
      </w:r>
    </w:p>
    <w:p>
      <w:pPr>
        <w:pStyle w:val="ListBullet"/>
        <w:spacing w:after="40" w:line="252" w:lineRule="auto"/>
      </w:pPr>
      <w:r>
        <w:rPr>
          <w:rFonts w:ascii="Hiragino Sans GB" w:hAnsi="Hiragino Sans GB" w:eastAsia="Hiragino Sans GB"/>
          <w:b w:val="0"/>
          <w:color w:val="000000"/>
          <w:sz w:val="20"/>
        </w:rPr>
        <w:t>设计系统提示词、任务提示词和结构化输出。</w:t>
      </w:r>
    </w:p>
    <w:p>
      <w:pPr>
        <w:pStyle w:val="ListBullet"/>
        <w:spacing w:after="40" w:line="252" w:lineRule="auto"/>
      </w:pPr>
      <w:r>
        <w:rPr>
          <w:rFonts w:ascii="Hiragino Sans GB" w:hAnsi="Hiragino Sans GB" w:eastAsia="Hiragino Sans GB"/>
          <w:b w:val="0"/>
          <w:color w:val="000000"/>
          <w:sz w:val="20"/>
        </w:rPr>
        <w:t>使用 Function Calling 调用外部工具，并处理工具调用失败。</w:t>
      </w:r>
    </w:p>
    <w:p>
      <w:pPr>
        <w:keepNext/>
        <w:spacing w:before="160" w:after="100"/>
      </w:pPr>
      <w:r>
        <w:rPr>
          <w:rFonts w:ascii="Hiragino Sans GB" w:hAnsi="Hiragino Sans GB" w:eastAsia="Hiragino Sans GB"/>
          <w:b/>
          <w:color w:val="000000"/>
          <w:sz w:val="25"/>
        </w:rPr>
        <w:t>课堂安排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872"/>
            <w:shd w:fill="1F4E7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8352"/>
            <w:shd w:fill="1F4E7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872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0:00–0:15</w:t>
            </w:r>
          </w:p>
        </w:tc>
        <w:tc>
          <w:tcPr>
            <w:tcW w:type="dxa" w:w="8352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Agent 概念、基本架构与典型应用</w:t>
            </w:r>
          </w:p>
        </w:tc>
      </w:tr>
      <w:tr>
        <w:tc>
          <w:tcPr>
            <w:tcW w:type="dxa" w:w="1872"/>
            <w:shd w:fill="EAF2F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0:15–0:35</w:t>
            </w:r>
          </w:p>
        </w:tc>
        <w:tc>
          <w:tcPr>
            <w:tcW w:type="dxa" w:w="8352"/>
            <w:shd w:fill="EAF2F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Prompt 设计：角色、任务约束与输出格式</w:t>
            </w:r>
          </w:p>
        </w:tc>
      </w:tr>
      <w:tr>
        <w:tc>
          <w:tcPr>
            <w:tcW w:type="dxa" w:w="1872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0:35–0:55</w:t>
            </w:r>
          </w:p>
        </w:tc>
        <w:tc>
          <w:tcPr>
            <w:tcW w:type="dxa" w:w="8352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Function Calling、工具参数与错误处理</w:t>
            </w:r>
          </w:p>
        </w:tc>
      </w:tr>
      <w:tr>
        <w:tc>
          <w:tcPr>
            <w:tcW w:type="dxa" w:w="1872"/>
            <w:shd w:fill="EAF2F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0:55–1:00</w:t>
            </w:r>
          </w:p>
        </w:tc>
        <w:tc>
          <w:tcPr>
            <w:tcW w:type="dxa" w:w="8352"/>
            <w:shd w:fill="EAF2F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演示：公共服务信息查询 Agent</w:t>
            </w:r>
          </w:p>
        </w:tc>
      </w:tr>
      <w:tr>
        <w:tc>
          <w:tcPr>
            <w:tcW w:type="dxa" w:w="1872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1:00–2:30</w:t>
            </w:r>
          </w:p>
        </w:tc>
        <w:tc>
          <w:tcPr>
            <w:tcW w:type="dxa" w:w="8352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小组实践</w:t>
            </w:r>
          </w:p>
        </w:tc>
      </w:tr>
      <w:tr>
        <w:tc>
          <w:tcPr>
            <w:tcW w:type="dxa" w:w="1872"/>
            <w:shd w:fill="EAF2F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2:30–3:00</w:t>
            </w:r>
          </w:p>
        </w:tc>
        <w:tc>
          <w:tcPr>
            <w:tcW w:type="dxa" w:w="8352"/>
            <w:shd w:fill="EAF2F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小组分享与讨论</w:t>
            </w:r>
          </w:p>
        </w:tc>
      </w:tr>
    </w:tbl>
    <w:p>
      <w:pPr>
        <w:spacing w:after="40"/>
      </w:pPr>
    </w:p>
    <w:p>
      <w:pPr>
        <w:keepNext/>
        <w:spacing w:before="160" w:after="100"/>
      </w:pPr>
      <w:r>
        <w:rPr>
          <w:rFonts w:ascii="Hiragino Sans GB" w:hAnsi="Hiragino Sans GB" w:eastAsia="Hiragino Sans GB"/>
          <w:b/>
          <w:color w:val="000000"/>
          <w:sz w:val="25"/>
        </w:rPr>
        <w:t>Lab 教学内容</w:t>
      </w:r>
    </w:p>
    <w:p>
      <w:pPr>
        <w:spacing w:before="0" w:after="100" w:line="269" w:lineRule="auto"/>
      </w:pPr>
      <w:r>
        <w:rPr>
          <w:rFonts w:ascii="Hiragino Sans GB" w:hAnsi="Hiragino Sans GB" w:eastAsia="Hiragino Sans GB"/>
          <w:b w:val="0"/>
          <w:color w:val="000000"/>
          <w:sz w:val="21"/>
        </w:rPr>
        <w:t>实现一个简单的“公共服务助手”，为 Agent 提供以下工具：</w:t>
      </w:r>
    </w:p>
    <w:p>
      <w:pPr>
        <w:pStyle w:val="ListBullet"/>
        <w:spacing w:after="40" w:line="252" w:lineRule="auto"/>
      </w:pPr>
      <w:r>
        <w:rPr>
          <w:rFonts w:ascii="Hiragino Sans GB" w:hAnsi="Hiragino Sans GB" w:eastAsia="Hiragino Sans GB"/>
          <w:b w:val="0"/>
          <w:color w:val="000000"/>
          <w:sz w:val="20"/>
        </w:rPr>
        <w:t>get_weather(city)：查询天气。</w:t>
      </w:r>
    </w:p>
    <w:p>
      <w:pPr>
        <w:pStyle w:val="ListBullet"/>
        <w:spacing w:after="40" w:line="252" w:lineRule="auto"/>
      </w:pPr>
      <w:r>
        <w:rPr>
          <w:rFonts w:ascii="Hiragino Sans GB" w:hAnsi="Hiragino Sans GB" w:eastAsia="Hiragino Sans GB"/>
          <w:b w:val="0"/>
          <w:color w:val="000000"/>
          <w:sz w:val="20"/>
        </w:rPr>
        <w:t>calculate(expression)：执行计算。</w:t>
      </w:r>
    </w:p>
    <w:p>
      <w:pPr>
        <w:pStyle w:val="ListBullet"/>
        <w:spacing w:after="40" w:line="252" w:lineRule="auto"/>
      </w:pPr>
      <w:r>
        <w:rPr>
          <w:rFonts w:ascii="Hiragino Sans GB" w:hAnsi="Hiragino Sans GB" w:eastAsia="Hiragino Sans GB"/>
          <w:b w:val="0"/>
          <w:color w:val="000000"/>
          <w:sz w:val="20"/>
        </w:rPr>
        <w:t>search_service(name, location)：查询公共服务。</w:t>
      </w:r>
    </w:p>
    <w:p>
      <w:pPr>
        <w:pStyle w:val="ListBullet"/>
        <w:spacing w:after="40" w:line="252" w:lineRule="auto"/>
      </w:pPr>
      <w:r>
        <w:rPr>
          <w:rFonts w:ascii="Hiragino Sans GB" w:hAnsi="Hiragino Sans GB" w:eastAsia="Hiragino Sans GB"/>
          <w:b w:val="0"/>
          <w:color w:val="000000"/>
          <w:sz w:val="20"/>
        </w:rPr>
        <w:t>check_opening_hours(office)：查询办事地点开放时间。</w:t>
      </w:r>
    </w:p>
    <w:p>
      <w:pPr>
        <w:pStyle w:val="ListBullet"/>
        <w:spacing w:after="40" w:line="252" w:lineRule="auto"/>
      </w:pPr>
      <w:r>
        <w:rPr>
          <w:rFonts w:ascii="Hiragino Sans GB" w:hAnsi="Hiragino Sans GB" w:eastAsia="Hiragino Sans GB"/>
          <w:b w:val="0"/>
          <w:color w:val="000000"/>
          <w:sz w:val="20"/>
        </w:rPr>
        <w:t>create_appointment(service, date)：模拟创建预约。</w:t>
      </w:r>
    </w:p>
    <w:p>
      <w:pPr>
        <w:keepNext/>
        <w:spacing w:before="160" w:after="100"/>
      </w:pPr>
      <w:r>
        <w:rPr>
          <w:rFonts w:ascii="Hiragino Sans GB" w:hAnsi="Hiragino Sans GB" w:eastAsia="Hiragino Sans GB"/>
          <w:b/>
          <w:color w:val="000000"/>
          <w:sz w:val="25"/>
        </w:rPr>
        <w:t>小组实践任务</w:t>
      </w:r>
    </w:p>
    <w:p>
      <w:pPr>
        <w:spacing w:before="0" w:after="100" w:line="269" w:lineRule="auto"/>
      </w:pPr>
      <w:r>
        <w:rPr>
          <w:rFonts w:ascii="Hiragino Sans GB" w:hAnsi="Hiragino Sans GB" w:eastAsia="Hiragino Sans GB"/>
          <w:b w:val="0"/>
          <w:color w:val="000000"/>
          <w:sz w:val="21"/>
        </w:rPr>
        <w:t>实现一个“城市公共服务查询 Agent”，能够理解用户问题、判断是否需要调用工具、查询公共服务信息、给出清晰的结果和下一步建议，并对无法确认的信息明确说明。可选场景包括医疗服务、政务办事、交通信息、社区活动和公共设施。</w:t>
      </w:r>
    </w:p>
    <w:p>
      <w:pPr>
        <w:keepNext/>
        <w:spacing w:before="160" w:after="100"/>
      </w:pPr>
      <w:r>
        <w:rPr>
          <w:rFonts w:ascii="Hiragino Sans GB" w:hAnsi="Hiragino Sans GB" w:eastAsia="Hiragino Sans GB"/>
          <w:b/>
          <w:color w:val="000000"/>
          <w:sz w:val="25"/>
        </w:rPr>
        <w:t>分享与讨论</w:t>
      </w:r>
    </w:p>
    <w:p>
      <w:pPr>
        <w:spacing w:before="0" w:after="100" w:line="269" w:lineRule="auto"/>
      </w:pPr>
      <w:r>
        <w:rPr>
          <w:rFonts w:ascii="Hiragino Sans GB" w:hAnsi="Hiragino Sans GB" w:eastAsia="Hiragino Sans GB"/>
          <w:b w:val="0"/>
          <w:color w:val="000000"/>
          <w:sz w:val="21"/>
        </w:rPr>
        <w:t>每组展示任务定义、工具清单、一个成功案例和一个失败案例，并说明如何改进 Prompt 或工具设计。</w:t>
      </w:r>
    </w:p>
    <w:p>
      <w:pPr>
        <w:keepNext/>
        <w:spacing w:before="240" w:after="100"/>
      </w:pPr>
      <w:r>
        <w:rPr>
          <w:rFonts w:ascii="Hiragino Sans GB" w:hAnsi="Hiragino Sans GB" w:eastAsia="Hiragino Sans GB"/>
          <w:b/>
          <w:color w:val="000000"/>
          <w:sz w:val="30"/>
        </w:rPr>
        <w:t>三、第二天：RAG、知识库与 Agent 记忆</w:t>
      </w:r>
    </w:p>
    <w:p>
      <w:pPr>
        <w:spacing w:before="0" w:after="100" w:line="269" w:lineRule="auto"/>
      </w:pPr>
      <w:r>
        <w:rPr>
          <w:rFonts w:ascii="Hiragino Sans GB" w:hAnsi="Hiragino Sans GB" w:eastAsia="Hiragino Sans GB"/>
          <w:b w:val="0"/>
          <w:color w:val="000000"/>
          <w:sz w:val="21"/>
        </w:rPr>
        <w:t>主题：Knowledge-Augmented Agents。第二天让学生将 Agent 连接到可追溯的公共服务资料，并练习处理“知识库中没有答案”的情况。</w:t>
      </w:r>
    </w:p>
    <w:p>
      <w:pPr>
        <w:keepNext/>
        <w:spacing w:before="160" w:after="100"/>
      </w:pPr>
      <w:r>
        <w:rPr>
          <w:rFonts w:ascii="Hiragino Sans GB" w:hAnsi="Hiragino Sans GB" w:eastAsia="Hiragino Sans GB"/>
          <w:b/>
          <w:color w:val="000000"/>
          <w:sz w:val="25"/>
        </w:rPr>
        <w:t>学习目标</w:t>
      </w:r>
    </w:p>
    <w:p>
      <w:pPr>
        <w:pStyle w:val="ListBullet"/>
        <w:spacing w:after="40" w:line="252" w:lineRule="auto"/>
      </w:pPr>
      <w:r>
        <w:rPr>
          <w:rFonts w:ascii="Hiragino Sans GB" w:hAnsi="Hiragino Sans GB" w:eastAsia="Hiragino Sans GB"/>
          <w:b w:val="0"/>
          <w:color w:val="000000"/>
          <w:sz w:val="20"/>
        </w:rPr>
        <w:t>理解短期记忆、长期记忆和外部知识库的区别。</w:t>
      </w:r>
    </w:p>
    <w:p>
      <w:pPr>
        <w:pStyle w:val="ListBullet"/>
        <w:spacing w:after="40" w:line="252" w:lineRule="auto"/>
      </w:pPr>
      <w:r>
        <w:rPr>
          <w:rFonts w:ascii="Hiragino Sans GB" w:hAnsi="Hiragino Sans GB" w:eastAsia="Hiragino Sans GB"/>
          <w:b w:val="0"/>
          <w:color w:val="000000"/>
          <w:sz w:val="20"/>
        </w:rPr>
        <w:t>掌握 RAG 流程：Document Loading → Chunking → Embedding → Retrieval → Generation。</w:t>
      </w:r>
    </w:p>
    <w:p>
      <w:pPr>
        <w:pStyle w:val="ListBullet"/>
        <w:spacing w:after="40" w:line="252" w:lineRule="auto"/>
      </w:pPr>
      <w:r>
        <w:rPr>
          <w:rFonts w:ascii="Hiragino Sans GB" w:hAnsi="Hiragino Sans GB" w:eastAsia="Hiragino Sans GB"/>
          <w:b w:val="0"/>
          <w:color w:val="000000"/>
          <w:sz w:val="20"/>
        </w:rPr>
        <w:t>让 Agent 基于指定资料回答问题并提供来源。</w:t>
      </w:r>
    </w:p>
    <w:p>
      <w:pPr>
        <w:pStyle w:val="ListBullet"/>
        <w:spacing w:after="40" w:line="252" w:lineRule="auto"/>
      </w:pPr>
      <w:r>
        <w:rPr>
          <w:rFonts w:ascii="Hiragino Sans GB" w:hAnsi="Hiragino Sans GB" w:eastAsia="Hiragino Sans GB"/>
          <w:b w:val="0"/>
          <w:color w:val="000000"/>
          <w:sz w:val="20"/>
        </w:rPr>
        <w:t>识别资料不足的情况，避免生成没有依据的答案。</w:t>
      </w:r>
    </w:p>
    <w:p>
      <w:pPr>
        <w:keepNext/>
        <w:spacing w:before="160" w:after="100"/>
      </w:pPr>
      <w:r>
        <w:rPr>
          <w:rFonts w:ascii="Hiragino Sans GB" w:hAnsi="Hiragino Sans GB" w:eastAsia="Hiragino Sans GB"/>
          <w:b/>
          <w:color w:val="000000"/>
          <w:sz w:val="25"/>
        </w:rPr>
        <w:t>课堂安排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872"/>
            <w:shd w:fill="1F4E7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8352"/>
            <w:shd w:fill="1F4E7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872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0:00–0:15</w:t>
            </w:r>
          </w:p>
        </w:tc>
        <w:tc>
          <w:tcPr>
            <w:tcW w:type="dxa" w:w="8352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为什么 Agent 需要外部知识和记忆</w:t>
            </w:r>
          </w:p>
        </w:tc>
      </w:tr>
      <w:tr>
        <w:tc>
          <w:tcPr>
            <w:tcW w:type="dxa" w:w="1872"/>
            <w:shd w:fill="EAF2F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0:15–0:35</w:t>
            </w:r>
          </w:p>
        </w:tc>
        <w:tc>
          <w:tcPr>
            <w:tcW w:type="dxa" w:w="8352"/>
            <w:shd w:fill="EAF2F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Embedding、向量检索与 RAG 流程</w:t>
            </w:r>
          </w:p>
        </w:tc>
      </w:tr>
      <w:tr>
        <w:tc>
          <w:tcPr>
            <w:tcW w:type="dxa" w:w="1872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0:35–0:50</w:t>
            </w:r>
          </w:p>
        </w:tc>
        <w:tc>
          <w:tcPr>
            <w:tcW w:type="dxa" w:w="8352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文档切分、检索数量与相似度</w:t>
            </w:r>
          </w:p>
        </w:tc>
      </w:tr>
      <w:tr>
        <w:tc>
          <w:tcPr>
            <w:tcW w:type="dxa" w:w="1872"/>
            <w:shd w:fill="EAF2F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0:50–1:00</w:t>
            </w:r>
          </w:p>
        </w:tc>
        <w:tc>
          <w:tcPr>
            <w:tcW w:type="dxa" w:w="8352"/>
            <w:shd w:fill="EAF2F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演示：公共服务政策问答 Agent</w:t>
            </w:r>
          </w:p>
        </w:tc>
      </w:tr>
      <w:tr>
        <w:tc>
          <w:tcPr>
            <w:tcW w:type="dxa" w:w="1872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1:00–2:30</w:t>
            </w:r>
          </w:p>
        </w:tc>
        <w:tc>
          <w:tcPr>
            <w:tcW w:type="dxa" w:w="8352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小组实践</w:t>
            </w:r>
          </w:p>
        </w:tc>
      </w:tr>
      <w:tr>
        <w:tc>
          <w:tcPr>
            <w:tcW w:type="dxa" w:w="1872"/>
            <w:shd w:fill="EAF2F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2:30–3:00</w:t>
            </w:r>
          </w:p>
        </w:tc>
        <w:tc>
          <w:tcPr>
            <w:tcW w:type="dxa" w:w="8352"/>
            <w:shd w:fill="EAF2F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小组分享与讨论</w:t>
            </w:r>
          </w:p>
        </w:tc>
      </w:tr>
    </w:tbl>
    <w:p>
      <w:pPr>
        <w:spacing w:after="40"/>
      </w:pPr>
    </w:p>
    <w:p>
      <w:pPr>
        <w:keepNext/>
        <w:spacing w:before="160" w:after="100"/>
      </w:pPr>
      <w:r>
        <w:rPr>
          <w:rFonts w:ascii="Hiragino Sans GB" w:hAnsi="Hiragino Sans GB" w:eastAsia="Hiragino Sans GB"/>
          <w:b/>
          <w:color w:val="000000"/>
          <w:sz w:val="25"/>
        </w:rPr>
        <w:t>Lab 教学内容</w:t>
      </w:r>
    </w:p>
    <w:p>
      <w:pPr>
        <w:spacing w:before="0" w:after="100" w:line="269" w:lineRule="auto"/>
      </w:pPr>
      <w:r>
        <w:rPr>
          <w:rFonts w:ascii="Hiragino Sans GB" w:hAnsi="Hiragino Sans GB" w:eastAsia="Hiragino Sans GB"/>
          <w:b w:val="0"/>
          <w:color w:val="000000"/>
          <w:sz w:val="21"/>
        </w:rPr>
        <w:t>教师可提供社会福利申请指南、学生资助政策、公共医疗服务说明、垃圾分类规定、社区设施使用规则和紧急援助流程等资料。学生读取 PDF、网页或 Markdown 文件，切分文本块，建立向量索引，并生成带有资料来源的回答。</w:t>
      </w:r>
    </w:p>
    <w:p>
      <w:pPr>
        <w:keepNext/>
        <w:spacing w:before="160" w:after="100"/>
      </w:pPr>
      <w:r>
        <w:rPr>
          <w:rFonts w:ascii="Hiragino Sans GB" w:hAnsi="Hiragino Sans GB" w:eastAsia="Hiragino Sans GB"/>
          <w:b/>
          <w:color w:val="000000"/>
          <w:sz w:val="25"/>
        </w:rPr>
        <w:t>小组实践任务</w:t>
      </w:r>
    </w:p>
    <w:p>
      <w:pPr>
        <w:pStyle w:val="ListBullet"/>
        <w:spacing w:after="40" w:line="252" w:lineRule="auto"/>
      </w:pPr>
      <w:r>
        <w:rPr>
          <w:rFonts w:ascii="Hiragino Sans GB" w:hAnsi="Hiragino Sans GB" w:eastAsia="Hiragino Sans GB"/>
          <w:b w:val="0"/>
          <w:color w:val="000000"/>
          <w:sz w:val="20"/>
        </w:rPr>
        <w:t>实现一个只能根据指定知识库回答问题的“公共政策问答 Agent”。</w:t>
      </w:r>
    </w:p>
    <w:p>
      <w:pPr>
        <w:pStyle w:val="ListBullet"/>
        <w:spacing w:after="40" w:line="252" w:lineRule="auto"/>
      </w:pPr>
      <w:r>
        <w:rPr>
          <w:rFonts w:ascii="Hiragino Sans GB" w:hAnsi="Hiragino Sans GB" w:eastAsia="Hiragino Sans GB"/>
          <w:b w:val="0"/>
          <w:color w:val="000000"/>
          <w:sz w:val="20"/>
        </w:rPr>
        <w:t>回答中显示资料来源，并区分确定信息和推测信息。</w:t>
      </w:r>
    </w:p>
    <w:p>
      <w:pPr>
        <w:pStyle w:val="ListBullet"/>
        <w:spacing w:after="40" w:line="252" w:lineRule="auto"/>
      </w:pPr>
      <w:r>
        <w:rPr>
          <w:rFonts w:ascii="Hiragino Sans GB" w:hAnsi="Hiragino Sans GB" w:eastAsia="Hiragino Sans GB"/>
          <w:b w:val="0"/>
          <w:color w:val="000000"/>
          <w:sz w:val="20"/>
        </w:rPr>
        <w:t>支持连续追问，记住当前对话中的地区、身份或申请类型。</w:t>
      </w:r>
    </w:p>
    <w:p>
      <w:pPr>
        <w:pStyle w:val="ListBullet"/>
        <w:spacing w:after="40" w:line="252" w:lineRule="auto"/>
      </w:pPr>
      <w:r>
        <w:rPr>
          <w:rFonts w:ascii="Hiragino Sans GB" w:hAnsi="Hiragino Sans GB" w:eastAsia="Hiragino Sans GB"/>
          <w:b w:val="0"/>
          <w:color w:val="000000"/>
          <w:sz w:val="20"/>
        </w:rPr>
        <w:t>当资料不足时，明确建议用户联系相关官方机构。</w:t>
      </w:r>
    </w:p>
    <w:p>
      <w:pPr>
        <w:keepNext/>
        <w:spacing w:before="160" w:after="100"/>
      </w:pPr>
      <w:r>
        <w:rPr>
          <w:rFonts w:ascii="Hiragino Sans GB" w:hAnsi="Hiragino Sans GB" w:eastAsia="Hiragino Sans GB"/>
          <w:b/>
          <w:color w:val="000000"/>
          <w:sz w:val="25"/>
        </w:rPr>
        <w:t>分享与讨论</w:t>
      </w:r>
    </w:p>
    <w:p>
      <w:pPr>
        <w:spacing w:before="0" w:after="100" w:line="269" w:lineRule="auto"/>
      </w:pPr>
      <w:r>
        <w:rPr>
          <w:rFonts w:ascii="Hiragino Sans GB" w:hAnsi="Hiragino Sans GB" w:eastAsia="Hiragino Sans GB"/>
          <w:b w:val="0"/>
          <w:color w:val="000000"/>
          <w:sz w:val="21"/>
        </w:rPr>
        <w:t>各组比较检索效果，讨论文档切分对结果的影响、哪些信息适合长期记忆，以及哪些个人信息不应保存。</w:t>
      </w:r>
    </w:p>
    <w:p>
      <w:pPr>
        <w:keepNext/>
        <w:spacing w:before="240" w:after="100"/>
      </w:pPr>
      <w:r>
        <w:rPr>
          <w:rFonts w:ascii="Hiragino Sans GB" w:hAnsi="Hiragino Sans GB" w:eastAsia="Hiragino Sans GB"/>
          <w:b/>
          <w:color w:val="000000"/>
          <w:sz w:val="30"/>
        </w:rPr>
        <w:t>四、第三天：任务规划、工作流与多 Agent</w:t>
      </w:r>
    </w:p>
    <w:p>
      <w:pPr>
        <w:spacing w:before="0" w:after="100" w:line="269" w:lineRule="auto"/>
      </w:pPr>
      <w:r>
        <w:rPr>
          <w:rFonts w:ascii="Hiragino Sans GB" w:hAnsi="Hiragino Sans GB" w:eastAsia="Hiragino Sans GB"/>
          <w:b w:val="0"/>
          <w:color w:val="000000"/>
          <w:sz w:val="21"/>
        </w:rPr>
        <w:t>主题：Planning, Workflow and Multi-Agent Collaboration。第三天将多个基础模块组织成可检查的任务流程，让学生体验 Planner、Executor、Reviewer 与人工确认的协作方式。</w:t>
      </w:r>
    </w:p>
    <w:p>
      <w:pPr>
        <w:keepNext/>
        <w:spacing w:before="160" w:after="100"/>
      </w:pPr>
      <w:r>
        <w:rPr>
          <w:rFonts w:ascii="Hiragino Sans GB" w:hAnsi="Hiragino Sans GB" w:eastAsia="Hiragino Sans GB"/>
          <w:b/>
          <w:color w:val="000000"/>
          <w:sz w:val="25"/>
        </w:rPr>
        <w:t>学习目标</w:t>
      </w:r>
    </w:p>
    <w:p>
      <w:pPr>
        <w:pStyle w:val="ListBullet"/>
        <w:spacing w:after="40" w:line="252" w:lineRule="auto"/>
      </w:pPr>
      <w:r>
        <w:rPr>
          <w:rFonts w:ascii="Hiragino Sans GB" w:hAnsi="Hiragino Sans GB" w:eastAsia="Hiragino Sans GB"/>
          <w:b w:val="0"/>
          <w:color w:val="000000"/>
          <w:sz w:val="20"/>
        </w:rPr>
        <w:t>将复杂任务拆分为多个步骤，并设计顺序、分支和循环。</w:t>
      </w:r>
    </w:p>
    <w:p>
      <w:pPr>
        <w:pStyle w:val="ListBullet"/>
        <w:spacing w:after="40" w:line="252" w:lineRule="auto"/>
      </w:pPr>
      <w:r>
        <w:rPr>
          <w:rFonts w:ascii="Hiragino Sans GB" w:hAnsi="Hiragino Sans GB" w:eastAsia="Hiragino Sans GB"/>
          <w:b w:val="0"/>
          <w:color w:val="000000"/>
          <w:sz w:val="20"/>
        </w:rPr>
        <w:t>理解 Planner、Executor、Reviewer 等角色及其职责。</w:t>
      </w:r>
    </w:p>
    <w:p>
      <w:pPr>
        <w:pStyle w:val="ListBullet"/>
        <w:spacing w:after="40" w:line="252" w:lineRule="auto"/>
      </w:pPr>
      <w:r>
        <w:rPr>
          <w:rFonts w:ascii="Hiragino Sans GB" w:hAnsi="Hiragino Sans GB" w:eastAsia="Hiragino Sans GB"/>
          <w:b w:val="0"/>
          <w:color w:val="000000"/>
          <w:sz w:val="20"/>
        </w:rPr>
        <w:t>管理任务状态，加入结果检查、反思和 Human-in-the-loop。</w:t>
      </w:r>
    </w:p>
    <w:p>
      <w:pPr>
        <w:keepNext/>
        <w:spacing w:before="160" w:after="100"/>
      </w:pPr>
      <w:r>
        <w:rPr>
          <w:rFonts w:ascii="Hiragino Sans GB" w:hAnsi="Hiragino Sans GB" w:eastAsia="Hiragino Sans GB"/>
          <w:b/>
          <w:color w:val="000000"/>
          <w:sz w:val="25"/>
        </w:rPr>
        <w:t>课堂安排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872"/>
            <w:shd w:fill="1F4E7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8352"/>
            <w:shd w:fill="1F4E7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872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0:00–0:15</w:t>
            </w:r>
          </w:p>
        </w:tc>
        <w:tc>
          <w:tcPr>
            <w:tcW w:type="dxa" w:w="8352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复杂任务为什么需要规划</w:t>
            </w:r>
          </w:p>
        </w:tc>
      </w:tr>
      <w:tr>
        <w:tc>
          <w:tcPr>
            <w:tcW w:type="dxa" w:w="1872"/>
            <w:shd w:fill="EAF2F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0:15–0:35</w:t>
            </w:r>
          </w:p>
        </w:tc>
        <w:tc>
          <w:tcPr>
            <w:tcW w:type="dxa" w:w="8352"/>
            <w:shd w:fill="EAF2F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Task Decomposition、Workflow 与状态管理</w:t>
            </w:r>
          </w:p>
        </w:tc>
      </w:tr>
      <w:tr>
        <w:tc>
          <w:tcPr>
            <w:tcW w:type="dxa" w:w="1872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0:35–0:50</w:t>
            </w:r>
          </w:p>
        </w:tc>
        <w:tc>
          <w:tcPr>
            <w:tcW w:type="dxa" w:w="8352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多 Agent 角色：Planner、Executor、Reviewer</w:t>
            </w:r>
          </w:p>
        </w:tc>
      </w:tr>
      <w:tr>
        <w:tc>
          <w:tcPr>
            <w:tcW w:type="dxa" w:w="1872"/>
            <w:shd w:fill="EAF2F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0:50–1:00</w:t>
            </w:r>
          </w:p>
        </w:tc>
        <w:tc>
          <w:tcPr>
            <w:tcW w:type="dxa" w:w="8352"/>
            <w:shd w:fill="EAF2F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演示：公共服务申请流程 Agent</w:t>
            </w:r>
          </w:p>
        </w:tc>
      </w:tr>
      <w:tr>
        <w:tc>
          <w:tcPr>
            <w:tcW w:type="dxa" w:w="1872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1:00–2:30</w:t>
            </w:r>
          </w:p>
        </w:tc>
        <w:tc>
          <w:tcPr>
            <w:tcW w:type="dxa" w:w="8352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小组实践</w:t>
            </w:r>
          </w:p>
        </w:tc>
      </w:tr>
      <w:tr>
        <w:tc>
          <w:tcPr>
            <w:tcW w:type="dxa" w:w="1872"/>
            <w:shd w:fill="EAF2F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2:30–3:00</w:t>
            </w:r>
          </w:p>
        </w:tc>
        <w:tc>
          <w:tcPr>
            <w:tcW w:type="dxa" w:w="8352"/>
            <w:shd w:fill="EAF2F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小组分享与讨论</w:t>
            </w:r>
          </w:p>
        </w:tc>
      </w:tr>
    </w:tbl>
    <w:p>
      <w:pPr>
        <w:spacing w:after="40"/>
      </w:pPr>
    </w:p>
    <w:p>
      <w:pPr>
        <w:keepNext/>
        <w:spacing w:before="160" w:after="100"/>
      </w:pPr>
      <w:r>
        <w:rPr>
          <w:rFonts w:ascii="Hiragino Sans GB" w:hAnsi="Hiragino Sans GB" w:eastAsia="Hiragino Sans GB"/>
          <w:b/>
          <w:color w:val="000000"/>
          <w:sz w:val="25"/>
        </w:rPr>
        <w:t>Lab 教学内容</w:t>
      </w:r>
    </w:p>
    <w:p>
      <w:pPr>
        <w:spacing w:before="0" w:after="100" w:line="269" w:lineRule="auto"/>
      </w:pPr>
      <w:r>
        <w:rPr>
          <w:rFonts w:ascii="Hiragino Sans GB" w:hAnsi="Hiragino Sans GB" w:eastAsia="Hiragino Sans GB"/>
          <w:b w:val="0"/>
          <w:color w:val="000000"/>
          <w:sz w:val="21"/>
        </w:rPr>
        <w:t>以公共服务申请处理为例：用户描述需求后，Agent 识别服务类别、检查基本条件、列出需要准备的材料、生成办理步骤，并由 Reviewer 检查回答是否完整、准确和合规。可介绍顺序工作流、条件工作流和 Human-in-the-loop 三种模式。</w:t>
      </w:r>
    </w:p>
    <w:p>
      <w:pPr>
        <w:keepNext/>
        <w:spacing w:before="160" w:after="100"/>
      </w:pPr>
      <w:r>
        <w:rPr>
          <w:rFonts w:ascii="Hiragino Sans GB" w:hAnsi="Hiragino Sans GB" w:eastAsia="Hiragino Sans GB"/>
          <w:b/>
          <w:color w:val="000000"/>
          <w:sz w:val="25"/>
        </w:rPr>
        <w:t>小组实践任务</w:t>
      </w:r>
    </w:p>
    <w:p>
      <w:pPr>
        <w:pStyle w:val="ListBullet"/>
        <w:spacing w:after="40" w:line="252" w:lineRule="auto"/>
      </w:pPr>
      <w:r>
        <w:rPr>
          <w:rFonts w:ascii="Hiragino Sans GB" w:hAnsi="Hiragino Sans GB" w:eastAsia="Hiragino Sans GB"/>
          <w:b w:val="0"/>
          <w:color w:val="000000"/>
          <w:sz w:val="20"/>
        </w:rPr>
        <w:t>Intent Classifier：识别用户要办理的服务。</w:t>
      </w:r>
    </w:p>
    <w:p>
      <w:pPr>
        <w:pStyle w:val="ListBullet"/>
        <w:spacing w:after="40" w:line="252" w:lineRule="auto"/>
      </w:pPr>
      <w:r>
        <w:rPr>
          <w:rFonts w:ascii="Hiragino Sans GB" w:hAnsi="Hiragino Sans GB" w:eastAsia="Hiragino Sans GB"/>
          <w:b w:val="0"/>
          <w:color w:val="000000"/>
          <w:sz w:val="20"/>
        </w:rPr>
        <w:t>Planner：生成办理计划。</w:t>
      </w:r>
    </w:p>
    <w:p>
      <w:pPr>
        <w:pStyle w:val="ListBullet"/>
        <w:spacing w:after="40" w:line="252" w:lineRule="auto"/>
      </w:pPr>
      <w:r>
        <w:rPr>
          <w:rFonts w:ascii="Hiragino Sans GB" w:hAnsi="Hiragino Sans GB" w:eastAsia="Hiragino Sans GB"/>
          <w:b w:val="0"/>
          <w:color w:val="000000"/>
          <w:sz w:val="20"/>
        </w:rPr>
        <w:t>Knowledge Retriever：查询相关政策。</w:t>
      </w:r>
    </w:p>
    <w:p>
      <w:pPr>
        <w:pStyle w:val="ListBullet"/>
        <w:spacing w:after="40" w:line="252" w:lineRule="auto"/>
      </w:pPr>
      <w:r>
        <w:rPr>
          <w:rFonts w:ascii="Hiragino Sans GB" w:hAnsi="Hiragino Sans GB" w:eastAsia="Hiragino Sans GB"/>
          <w:b w:val="0"/>
          <w:color w:val="000000"/>
          <w:sz w:val="20"/>
        </w:rPr>
        <w:t>Action Agent：生成申请步骤或表格内容。</w:t>
      </w:r>
    </w:p>
    <w:p>
      <w:pPr>
        <w:pStyle w:val="ListBullet"/>
        <w:spacing w:after="40" w:line="252" w:lineRule="auto"/>
      </w:pPr>
      <w:r>
        <w:rPr>
          <w:rFonts w:ascii="Hiragino Sans GB" w:hAnsi="Hiragino Sans GB" w:eastAsia="Hiragino Sans GB"/>
          <w:b w:val="0"/>
          <w:color w:val="000000"/>
          <w:sz w:val="20"/>
        </w:rPr>
        <w:t>Reviewer：检查事实、遗漏和风险。</w:t>
      </w:r>
    </w:p>
    <w:p>
      <w:pPr>
        <w:spacing w:before="0" w:after="100" w:line="269" w:lineRule="auto"/>
      </w:pPr>
      <w:r>
        <w:rPr>
          <w:rFonts w:ascii="Hiragino Sans GB" w:hAnsi="Hiragino Sans GB" w:eastAsia="Hiragino Sans GB"/>
          <w:b w:val="0"/>
          <w:color w:val="000000"/>
          <w:sz w:val="21"/>
        </w:rPr>
        <w:t>示例问题：“我刚搬到这个城市，想申请住房补贴，但不知道是否符合条件。”Agent 应提取用户需求、询问必要信息、查询相关政策、判断是否缺少关键信息、生成申请步骤，并提醒用户哪些结论需要官方确认。</w:t>
      </w:r>
    </w:p>
    <w:p>
      <w:pPr>
        <w:keepNext/>
        <w:spacing w:before="160" w:after="100"/>
      </w:pPr>
      <w:r>
        <w:rPr>
          <w:rFonts w:ascii="Hiragino Sans GB" w:hAnsi="Hiragino Sans GB" w:eastAsia="Hiragino Sans GB"/>
          <w:b/>
          <w:color w:val="000000"/>
          <w:sz w:val="25"/>
        </w:rPr>
        <w:t>分享与讨论</w:t>
      </w:r>
    </w:p>
    <w:p>
      <w:pPr>
        <w:spacing w:before="0" w:after="100" w:line="269" w:lineRule="auto"/>
      </w:pPr>
      <w:r>
        <w:rPr>
          <w:rFonts w:ascii="Hiragino Sans GB" w:hAnsi="Hiragino Sans GB" w:eastAsia="Hiragino Sans GB"/>
          <w:b w:val="0"/>
          <w:color w:val="000000"/>
          <w:sz w:val="21"/>
        </w:rPr>
        <w:t>每组展示任务流程图、Agent 角色分工、一个正常流程和一个异常流程，并说明 Reviewer 如何发现问题、哪些步骤需要人工介入。</w:t>
      </w:r>
    </w:p>
    <w:p>
      <w:pPr>
        <w:keepNext/>
        <w:spacing w:before="240" w:after="100"/>
      </w:pPr>
      <w:r>
        <w:rPr>
          <w:rFonts w:ascii="Hiragino Sans GB" w:hAnsi="Hiragino Sans GB" w:eastAsia="Hiragino Sans GB"/>
          <w:b/>
          <w:color w:val="000000"/>
          <w:sz w:val="30"/>
        </w:rPr>
        <w:t>五、第四天：公共服务 Agent 综合项目</w:t>
      </w:r>
    </w:p>
    <w:p>
      <w:pPr>
        <w:spacing w:before="0" w:after="100" w:line="269" w:lineRule="auto"/>
      </w:pPr>
      <w:r>
        <w:rPr>
          <w:rFonts w:ascii="Hiragino Sans GB" w:hAnsi="Hiragino Sans GB" w:eastAsia="Hiragino Sans GB"/>
          <w:b w:val="0"/>
          <w:color w:val="000000"/>
          <w:sz w:val="21"/>
        </w:rPr>
        <w:t>前三天的技术在第四天综合使用。学生以 3–4 人为一组，在约两小时内完成一个小型 Agent 系统，并用最后一小时进行报告与问答。</w:t>
      </w:r>
    </w:p>
    <w:p>
      <w:pPr>
        <w:keepNext/>
        <w:spacing w:before="160" w:after="100"/>
      </w:pPr>
      <w:r>
        <w:rPr>
          <w:rFonts w:ascii="Hiragino Sans GB" w:hAnsi="Hiragino Sans GB" w:eastAsia="Hiragino Sans GB"/>
          <w:b/>
          <w:color w:val="000000"/>
          <w:sz w:val="25"/>
        </w:rPr>
        <w:t>时间安排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1872"/>
            <w:shd w:fill="1F4E7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时间</w:t>
            </w:r>
          </w:p>
        </w:tc>
        <w:tc>
          <w:tcPr>
            <w:tcW w:type="dxa" w:w="8352"/>
            <w:shd w:fill="1F4E7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872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0:00–0:15</w:t>
            </w:r>
          </w:p>
        </w:tc>
        <w:tc>
          <w:tcPr>
            <w:tcW w:type="dxa" w:w="8352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项目说明、评分标准与角色分工</w:t>
            </w:r>
          </w:p>
        </w:tc>
      </w:tr>
      <w:tr>
        <w:tc>
          <w:tcPr>
            <w:tcW w:type="dxa" w:w="1872"/>
            <w:shd w:fill="EAF2F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0:15–2:15</w:t>
            </w:r>
          </w:p>
        </w:tc>
        <w:tc>
          <w:tcPr>
            <w:tcW w:type="dxa" w:w="8352"/>
            <w:shd w:fill="EAF2F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小组项目开发</w:t>
            </w:r>
          </w:p>
        </w:tc>
      </w:tr>
      <w:tr>
        <w:tc>
          <w:tcPr>
            <w:tcW w:type="dxa" w:w="1872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2:15–2:25</w:t>
            </w:r>
          </w:p>
        </w:tc>
        <w:tc>
          <w:tcPr>
            <w:tcW w:type="dxa" w:w="8352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整理项目并准备演示</w:t>
            </w:r>
          </w:p>
        </w:tc>
      </w:tr>
      <w:tr>
        <w:tc>
          <w:tcPr>
            <w:tcW w:type="dxa" w:w="1872"/>
            <w:shd w:fill="EAF2F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2:25–3:00</w:t>
            </w:r>
          </w:p>
        </w:tc>
        <w:tc>
          <w:tcPr>
            <w:tcW w:type="dxa" w:w="8352"/>
            <w:shd w:fill="EAF2F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小组报告与问答</w:t>
            </w:r>
          </w:p>
        </w:tc>
      </w:tr>
    </w:tbl>
    <w:p>
      <w:pPr>
        <w:spacing w:after="40"/>
      </w:pPr>
    </w:p>
    <w:p>
      <w:pPr>
        <w:keepNext/>
        <w:spacing w:before="160" w:after="100"/>
      </w:pPr>
      <w:r>
        <w:rPr>
          <w:rFonts w:ascii="Hiragino Sans GB" w:hAnsi="Hiragino Sans GB" w:eastAsia="Hiragino Sans GB"/>
          <w:b/>
          <w:color w:val="000000"/>
          <w:sz w:val="25"/>
        </w:rPr>
        <w:t>项目最低要求</w:t>
      </w:r>
    </w:p>
    <w:p>
      <w:pPr>
        <w:pStyle w:val="ListBullet"/>
        <w:spacing w:after="40" w:line="252" w:lineRule="auto"/>
      </w:pPr>
      <w:r>
        <w:rPr>
          <w:rFonts w:ascii="Hiragino Sans GB" w:hAnsi="Hiragino Sans GB" w:eastAsia="Hiragino Sans GB"/>
          <w:b w:val="0"/>
          <w:color w:val="000000"/>
          <w:sz w:val="20"/>
        </w:rPr>
        <w:t>明确的公共服务场景和目标用户。</w:t>
      </w:r>
    </w:p>
    <w:p>
      <w:pPr>
        <w:pStyle w:val="ListBullet"/>
        <w:spacing w:after="40" w:line="252" w:lineRule="auto"/>
      </w:pPr>
      <w:r>
        <w:rPr>
          <w:rFonts w:ascii="Hiragino Sans GB" w:hAnsi="Hiragino Sans GB" w:eastAsia="Hiragino Sans GB"/>
          <w:b w:val="0"/>
          <w:color w:val="000000"/>
          <w:sz w:val="20"/>
        </w:rPr>
        <w:t>一个可交互的 Agent。</w:t>
      </w:r>
    </w:p>
    <w:p>
      <w:pPr>
        <w:pStyle w:val="ListBullet"/>
        <w:spacing w:after="40" w:line="252" w:lineRule="auto"/>
      </w:pPr>
      <w:r>
        <w:rPr>
          <w:rFonts w:ascii="Hiragino Sans GB" w:hAnsi="Hiragino Sans GB" w:eastAsia="Hiragino Sans GB"/>
          <w:b w:val="0"/>
          <w:color w:val="000000"/>
          <w:sz w:val="20"/>
        </w:rPr>
        <w:t>至少两个工具或外部数据源。</w:t>
      </w:r>
    </w:p>
    <w:p>
      <w:pPr>
        <w:pStyle w:val="ListBullet"/>
        <w:spacing w:after="40" w:line="252" w:lineRule="auto"/>
      </w:pPr>
      <w:r>
        <w:rPr>
          <w:rFonts w:ascii="Hiragino Sans GB" w:hAnsi="Hiragino Sans GB" w:eastAsia="Hiragino Sans GB"/>
          <w:b w:val="0"/>
          <w:color w:val="000000"/>
          <w:sz w:val="20"/>
        </w:rPr>
        <w:t>一个知识库或检索模块。</w:t>
      </w:r>
    </w:p>
    <w:p>
      <w:pPr>
        <w:pStyle w:val="ListBullet"/>
        <w:spacing w:after="40" w:line="252" w:lineRule="auto"/>
      </w:pPr>
      <w:r>
        <w:rPr>
          <w:rFonts w:ascii="Hiragino Sans GB" w:hAnsi="Hiragino Sans GB" w:eastAsia="Hiragino Sans GB"/>
          <w:b w:val="0"/>
          <w:color w:val="000000"/>
          <w:sz w:val="20"/>
        </w:rPr>
        <w:t>基本的任务规划或工作流。</w:t>
      </w:r>
    </w:p>
    <w:p>
      <w:pPr>
        <w:pStyle w:val="ListBullet"/>
        <w:spacing w:after="40" w:line="252" w:lineRule="auto"/>
      </w:pPr>
      <w:r>
        <w:rPr>
          <w:rFonts w:ascii="Hiragino Sans GB" w:hAnsi="Hiragino Sans GB" w:eastAsia="Hiragino Sans GB"/>
          <w:b w:val="0"/>
          <w:color w:val="000000"/>
          <w:sz w:val="20"/>
        </w:rPr>
        <w:t>错误处理、不确定性说明和至少一个测试案例。</w:t>
      </w:r>
    </w:p>
    <w:p>
      <w:pPr>
        <w:pStyle w:val="ListBullet"/>
        <w:spacing w:after="40" w:line="252" w:lineRule="auto"/>
      </w:pPr>
      <w:r>
        <w:rPr>
          <w:rFonts w:ascii="Hiragino Sans GB" w:hAnsi="Hiragino Sans GB" w:eastAsia="Hiragino Sans GB"/>
          <w:b w:val="0"/>
          <w:color w:val="000000"/>
          <w:sz w:val="20"/>
        </w:rPr>
        <w:t>对隐私、安全和人工审核的说明。</w:t>
      </w:r>
    </w:p>
    <w:p>
      <w:pPr>
        <w:keepNext/>
        <w:spacing w:before="160" w:after="100"/>
      </w:pPr>
      <w:r>
        <w:rPr>
          <w:rFonts w:ascii="Hiragino Sans GB" w:hAnsi="Hiragino Sans GB" w:eastAsia="Hiragino Sans GB"/>
          <w:b/>
          <w:color w:val="000000"/>
          <w:sz w:val="25"/>
        </w:rPr>
        <w:t>五个项目题目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20"/>
            <w:shd w:fill="1F4E7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题目</w:t>
            </w:r>
          </w:p>
        </w:tc>
        <w:tc>
          <w:tcPr>
            <w:tcW w:type="dxa" w:w="4608"/>
            <w:shd w:fill="1F4E7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主要功能</w:t>
            </w:r>
          </w:p>
        </w:tc>
        <w:tc>
          <w:tcPr>
            <w:tcW w:type="dxa" w:w="3096"/>
            <w:shd w:fill="1F4E7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技术重点</w:t>
            </w:r>
          </w:p>
        </w:tc>
      </w:tr>
      <w:tr>
        <w:tc>
          <w:tcPr>
            <w:tcW w:type="dxa" w:w="2520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公共福利资格咨询 Agent</w:t>
            </w:r>
          </w:p>
        </w:tc>
        <w:tc>
          <w:tcPr>
            <w:tcW w:type="dxa" w:w="460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查询可能符合的福利项目；询问缺少信息；解释条件、材料和步骤。</w:t>
            </w:r>
          </w:p>
        </w:tc>
        <w:tc>
          <w:tcPr>
            <w:tcW w:type="dxa" w:w="3096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RAG、多轮对话、条件判断、用户信息记忆</w:t>
            </w:r>
          </w:p>
        </w:tc>
      </w:tr>
      <w:tr>
        <w:tc>
          <w:tcPr>
            <w:tcW w:type="dxa" w:w="2520"/>
            <w:shd w:fill="EAF2F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公共医疗服务导航 Agent</w:t>
            </w:r>
          </w:p>
        </w:tc>
        <w:tc>
          <w:tcPr>
            <w:tcW w:type="dxa" w:w="4608"/>
            <w:shd w:fill="EAF2F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根据需求推荐服务入口；区分普通咨询与紧急情况；提供预约和地点信息。</w:t>
            </w:r>
          </w:p>
        </w:tc>
        <w:tc>
          <w:tcPr>
            <w:tcW w:type="dxa" w:w="3096"/>
            <w:shd w:fill="EAF2F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工具调用、意图识别、条件工作流、安全边界</w:t>
            </w:r>
          </w:p>
        </w:tc>
      </w:tr>
      <w:tr>
        <w:tc>
          <w:tcPr>
            <w:tcW w:type="dxa" w:w="2520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城市交通与无障碍出行 Agent</w:t>
            </w:r>
          </w:p>
        </w:tc>
        <w:tc>
          <w:tcPr>
            <w:tcW w:type="dxa" w:w="460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查询路线与时间；按轮椅、老人、儿童等需求筛选；处理中断和替代路线。</w:t>
            </w:r>
          </w:p>
        </w:tc>
        <w:tc>
          <w:tcPr>
            <w:tcW w:type="dxa" w:w="3096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外部 API、多条件规划、个性化记忆、多模态扩展</w:t>
            </w:r>
          </w:p>
        </w:tc>
      </w:tr>
      <w:tr>
        <w:tc>
          <w:tcPr>
            <w:tcW w:type="dxa" w:w="2520"/>
            <w:shd w:fill="EAF2F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公共投诉与服务工单 Agent</w:t>
            </w:r>
          </w:p>
        </w:tc>
        <w:tc>
          <w:tcPr>
            <w:tcW w:type="dxa" w:w="4608"/>
            <w:shd w:fill="EAF2F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提取事件、地点、时间和类型；路由到部门；生成结构化工单。</w:t>
            </w:r>
          </w:p>
        </w:tc>
        <w:tc>
          <w:tcPr>
            <w:tcW w:type="dxa" w:w="3096"/>
            <w:shd w:fill="EAF2F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结构化输出、信息抽取、分类路由、Human-in-the-loop</w:t>
            </w:r>
          </w:p>
        </w:tc>
      </w:tr>
      <w:tr>
        <w:tc>
          <w:tcPr>
            <w:tcW w:type="dxa" w:w="2520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社区资源与志愿服务匹配 Agent</w:t>
            </w:r>
          </w:p>
        </w:tc>
        <w:tc>
          <w:tcPr>
            <w:tcW w:type="dxa" w:w="460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按需求、时间、地点和技能匹配资源与志愿活动；支持报名或预约。</w:t>
            </w:r>
          </w:p>
        </w:tc>
        <w:tc>
          <w:tcPr>
            <w:tcW w:type="dxa" w:w="3096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检索、规划、推荐、多 Agent 协作</w:t>
            </w:r>
          </w:p>
        </w:tc>
      </w:tr>
    </w:tbl>
    <w:p>
      <w:pPr>
        <w:spacing w:after="40"/>
      </w:pPr>
    </w:p>
    <w:p>
      <w:pPr>
        <w:keepNext/>
        <w:spacing w:before="160" w:after="100"/>
      </w:pPr>
      <w:r>
        <w:rPr>
          <w:rFonts w:ascii="Hiragino Sans GB" w:hAnsi="Hiragino Sans GB" w:eastAsia="Hiragino Sans GB"/>
          <w:b/>
          <w:color w:val="000000"/>
          <w:sz w:val="25"/>
        </w:rPr>
        <w:t>小组角色建议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024"/>
            <w:shd w:fill="1F4E7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7200"/>
            <w:shd w:fill="1F4E7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主要职责</w:t>
            </w:r>
          </w:p>
        </w:tc>
      </w:tr>
      <w:tr>
        <w:tc>
          <w:tcPr>
            <w:tcW w:type="dxa" w:w="3024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Agent Designer</w:t>
            </w:r>
          </w:p>
        </w:tc>
        <w:tc>
          <w:tcPr>
            <w:tcW w:type="dxa" w:w="7200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设计 Prompt、角色和对话流程。</w:t>
            </w:r>
          </w:p>
        </w:tc>
      </w:tr>
      <w:tr>
        <w:tc>
          <w:tcPr>
            <w:tcW w:type="dxa" w:w="3024"/>
            <w:shd w:fill="EAF2F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Tool / RAG Engineer</w:t>
            </w:r>
          </w:p>
        </w:tc>
        <w:tc>
          <w:tcPr>
            <w:tcW w:type="dxa" w:w="7200"/>
            <w:shd w:fill="EAF2F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实现工具调用、数据处理和知识库。</w:t>
            </w:r>
          </w:p>
        </w:tc>
      </w:tr>
      <w:tr>
        <w:tc>
          <w:tcPr>
            <w:tcW w:type="dxa" w:w="3024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Workflow Engineer</w:t>
            </w:r>
          </w:p>
        </w:tc>
        <w:tc>
          <w:tcPr>
            <w:tcW w:type="dxa" w:w="7200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设计任务规划、状态管理和模块协作。</w:t>
            </w:r>
          </w:p>
        </w:tc>
      </w:tr>
      <w:tr>
        <w:tc>
          <w:tcPr>
            <w:tcW w:type="dxa" w:w="3024"/>
            <w:shd w:fill="EAF2F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Evaluator / Presenter</w:t>
            </w:r>
          </w:p>
        </w:tc>
        <w:tc>
          <w:tcPr>
            <w:tcW w:type="dxa" w:w="7200"/>
            <w:shd w:fill="EAF2F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设计测试案例、风险检查并负责展示。</w:t>
            </w:r>
          </w:p>
        </w:tc>
      </w:tr>
    </w:tbl>
    <w:p>
      <w:pPr>
        <w:spacing w:after="40"/>
      </w:pPr>
    </w:p>
    <w:p>
      <w:pPr>
        <w:spacing w:before="0" w:after="100" w:line="269" w:lineRule="auto"/>
      </w:pPr>
      <w:r>
        <w:rPr>
          <w:rFonts w:ascii="Hiragino Sans GB" w:hAnsi="Hiragino Sans GB" w:eastAsia="Hiragino Sans GB"/>
          <w:b w:val="0"/>
          <w:color w:val="000000"/>
          <w:sz w:val="21"/>
        </w:rPr>
        <w:t>如果每组只有 3 人，可以将 Workflow Engineer 与 Evaluator / Presenter 合并。</w:t>
      </w:r>
    </w:p>
    <w:p>
      <w:pPr>
        <w:keepNext/>
        <w:spacing w:before="160" w:after="100"/>
      </w:pPr>
      <w:r>
        <w:rPr>
          <w:rFonts w:ascii="Hiragino Sans GB" w:hAnsi="Hiragino Sans GB" w:eastAsia="Hiragino Sans GB"/>
          <w:b/>
          <w:color w:val="000000"/>
          <w:sz w:val="25"/>
        </w:rPr>
        <w:t>项目评分标准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456"/>
            <w:shd w:fill="1F4E7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评价维度</w:t>
            </w:r>
          </w:p>
        </w:tc>
        <w:tc>
          <w:tcPr>
            <w:tcW w:type="dxa" w:w="1152"/>
            <w:shd w:fill="1F4E7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比例</w:t>
            </w:r>
          </w:p>
        </w:tc>
        <w:tc>
          <w:tcPr>
            <w:tcW w:type="dxa" w:w="5616"/>
            <w:shd w:fill="1F4E7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/>
                <w:color w:val="FFFFFF"/>
                <w:sz w:val="18"/>
              </w:rPr>
              <w:t>评价关注点</w:t>
            </w:r>
          </w:p>
        </w:tc>
      </w:tr>
      <w:tr>
        <w:tc>
          <w:tcPr>
            <w:tcW w:type="dxa" w:w="3456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问题定义与公共服务价值</w:t>
            </w:r>
          </w:p>
        </w:tc>
        <w:tc>
          <w:tcPr>
            <w:tcW w:type="dxa" w:w="1152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15%</w:t>
            </w:r>
          </w:p>
        </w:tc>
        <w:tc>
          <w:tcPr>
            <w:tcW w:type="dxa" w:w="5616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目标是否清晰，是否回应真实需求。</w:t>
            </w:r>
          </w:p>
        </w:tc>
      </w:tr>
      <w:tr>
        <w:tc>
          <w:tcPr>
            <w:tcW w:type="dxa" w:w="3456"/>
            <w:shd w:fill="EAF2F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Agent 功能完整性</w:t>
            </w:r>
          </w:p>
        </w:tc>
        <w:tc>
          <w:tcPr>
            <w:tcW w:type="dxa" w:w="1152"/>
            <w:shd w:fill="EAF2F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25%</w:t>
            </w:r>
          </w:p>
        </w:tc>
        <w:tc>
          <w:tcPr>
            <w:tcW w:type="dxa" w:w="5616"/>
            <w:shd w:fill="EAF2F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交互流程是否完整，功能是否可演示。</w:t>
            </w:r>
          </w:p>
        </w:tc>
      </w:tr>
      <w:tr>
        <w:tc>
          <w:tcPr>
            <w:tcW w:type="dxa" w:w="3456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工具调用、RAG 或规划技术使用</w:t>
            </w:r>
          </w:p>
        </w:tc>
        <w:tc>
          <w:tcPr>
            <w:tcW w:type="dxa" w:w="1152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25%</w:t>
            </w:r>
          </w:p>
        </w:tc>
        <w:tc>
          <w:tcPr>
            <w:tcW w:type="dxa" w:w="5616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是否恰当使用课程所学技术。</w:t>
            </w:r>
          </w:p>
        </w:tc>
      </w:tr>
      <w:tr>
        <w:tc>
          <w:tcPr>
            <w:tcW w:type="dxa" w:w="3456"/>
            <w:shd w:fill="EAF2F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准确性、鲁棒性与错误处理</w:t>
            </w:r>
          </w:p>
        </w:tc>
        <w:tc>
          <w:tcPr>
            <w:tcW w:type="dxa" w:w="1152"/>
            <w:shd w:fill="EAF2F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15%</w:t>
            </w:r>
          </w:p>
        </w:tc>
        <w:tc>
          <w:tcPr>
            <w:tcW w:type="dxa" w:w="5616"/>
            <w:shd w:fill="EAF2F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是否有测试、错误处理和不确定性说明。</w:t>
            </w:r>
          </w:p>
        </w:tc>
      </w:tr>
      <w:tr>
        <w:tc>
          <w:tcPr>
            <w:tcW w:type="dxa" w:w="3456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用户体验与演示效果</w:t>
            </w:r>
          </w:p>
        </w:tc>
        <w:tc>
          <w:tcPr>
            <w:tcW w:type="dxa" w:w="1152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10%</w:t>
            </w:r>
          </w:p>
        </w:tc>
        <w:tc>
          <w:tcPr>
            <w:tcW w:type="dxa" w:w="5616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是否易于理解，演示是否清楚。</w:t>
            </w:r>
          </w:p>
        </w:tc>
      </w:tr>
      <w:tr>
        <w:tc>
          <w:tcPr>
            <w:tcW w:type="dxa" w:w="3456"/>
            <w:shd w:fill="EAF2F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  <w:jc w:val="center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隐私、安全与社会影响考虑</w:t>
            </w:r>
          </w:p>
        </w:tc>
        <w:tc>
          <w:tcPr>
            <w:tcW w:type="dxa" w:w="1152"/>
            <w:shd w:fill="EAF2F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10%</w:t>
            </w:r>
          </w:p>
        </w:tc>
        <w:tc>
          <w:tcPr>
            <w:tcW w:type="dxa" w:w="5616"/>
            <w:shd w:fill="EAF2F8"/>
            <w:tcBorders>
              <w:top w:val="single" w:sz="5" w:color="B7C9D6"/>
              <w:left w:val="single" w:sz="5" w:color="B7C9D6"/>
              <w:bottom w:val="single" w:sz="5" w:color="B7C9D6"/>
              <w:right w:val="single" w:sz="5" w:color="B7C9D6"/>
              <w:insideH w:val="single" w:sz="5" w:color="B7C9D6"/>
              <w:insideV w:val="single" w:sz="5" w:color="B7C9D6"/>
            </w:tcBorders>
            <w:tcMar>
              <w:top w:w="90" w:type="dxa"/>
              <w:start w:w="100" w:type="dxa"/>
              <w:bottom w:w="90" w:type="dxa"/>
              <w:end w:w="10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Hiragino Sans GB" w:hAnsi="Hiragino Sans GB" w:eastAsia="Hiragino Sans GB"/>
                <w:b w:val="0"/>
                <w:color w:val="000000"/>
                <w:sz w:val="18"/>
              </w:rPr>
              <w:t>是否考虑敏感信息、风险边界和人工审核。</w:t>
            </w:r>
          </w:p>
        </w:tc>
      </w:tr>
    </w:tbl>
    <w:p>
      <w:pPr>
        <w:spacing w:after="40"/>
      </w:pPr>
    </w:p>
    <w:p>
      <w:pPr>
        <w:keepNext/>
        <w:spacing w:before="240" w:after="100"/>
      </w:pPr>
      <w:r>
        <w:rPr>
          <w:rFonts w:ascii="Hiragino Sans GB" w:hAnsi="Hiragino Sans GB" w:eastAsia="Hiragino Sans GB"/>
          <w:b/>
          <w:color w:val="000000"/>
          <w:sz w:val="30"/>
        </w:rPr>
        <w:t>六、课前准备清单</w:t>
      </w:r>
    </w:p>
    <w:p>
      <w:pPr>
        <w:pStyle w:val="ListBullet"/>
        <w:spacing w:after="40" w:line="252" w:lineRule="auto"/>
      </w:pPr>
      <w:r>
        <w:rPr>
          <w:rFonts w:ascii="Hiragino Sans GB" w:hAnsi="Hiragino Sans GB" w:eastAsia="Hiragino Sans GB"/>
          <w:b w:val="0"/>
          <w:color w:val="000000"/>
          <w:sz w:val="20"/>
        </w:rPr>
        <w:t>准备可直接运行的 Python starter code 和统一 API wrapper。</w:t>
      </w:r>
    </w:p>
    <w:p>
      <w:pPr>
        <w:pStyle w:val="ListBullet"/>
        <w:spacing w:after="40" w:line="252" w:lineRule="auto"/>
      </w:pPr>
      <w:r>
        <w:rPr>
          <w:rFonts w:ascii="Hiragino Sans GB" w:hAnsi="Hiragino Sans GB" w:eastAsia="Hiragino Sans GB"/>
          <w:b w:val="0"/>
          <w:color w:val="000000"/>
          <w:sz w:val="20"/>
        </w:rPr>
        <w:t>准备公共服务 PDF、JSON、CSV 或 Markdown 数据。</w:t>
      </w:r>
    </w:p>
    <w:p>
      <w:pPr>
        <w:pStyle w:val="ListBullet"/>
        <w:spacing w:after="40" w:line="252" w:lineRule="auto"/>
      </w:pPr>
      <w:r>
        <w:rPr>
          <w:rFonts w:ascii="Hiragino Sans GB" w:hAnsi="Hiragino Sans GB" w:eastAsia="Hiragino Sans GB"/>
          <w:b w:val="0"/>
          <w:color w:val="000000"/>
          <w:sz w:val="20"/>
        </w:rPr>
        <w:t>准备模拟 API，降低学生配置外部服务的时间成本。</w:t>
      </w:r>
    </w:p>
    <w:p>
      <w:pPr>
        <w:pStyle w:val="ListBullet"/>
        <w:spacing w:after="40" w:line="252" w:lineRule="auto"/>
      </w:pPr>
      <w:r>
        <w:rPr>
          <w:rFonts w:ascii="Hiragino Sans GB" w:hAnsi="Hiragino Sans GB" w:eastAsia="Hiragino Sans GB"/>
          <w:b w:val="0"/>
          <w:color w:val="000000"/>
          <w:sz w:val="20"/>
        </w:rPr>
        <w:t>准备工具定义模板、RAG 示例和工作流模板。</w:t>
      </w:r>
    </w:p>
    <w:p>
      <w:pPr>
        <w:pStyle w:val="ListBullet"/>
        <w:spacing w:after="40" w:line="252" w:lineRule="auto"/>
      </w:pPr>
      <w:r>
        <w:rPr>
          <w:rFonts w:ascii="Hiragino Sans GB" w:hAnsi="Hiragino Sans GB" w:eastAsia="Hiragino Sans GB"/>
          <w:b w:val="0"/>
          <w:color w:val="000000"/>
          <w:sz w:val="20"/>
        </w:rPr>
        <w:t>为第四天每个题目准备数据、用户故事和至少三个测试问题。</w:t>
      </w:r>
    </w:p>
    <w:p>
      <w:pPr>
        <w:pStyle w:val="ListBullet"/>
        <w:spacing w:after="40" w:line="252" w:lineRule="auto"/>
      </w:pPr>
      <w:r>
        <w:rPr>
          <w:rFonts w:ascii="Hiragino Sans GB" w:hAnsi="Hiragino Sans GB" w:eastAsia="Hiragino Sans GB"/>
          <w:b w:val="0"/>
          <w:color w:val="000000"/>
          <w:sz w:val="20"/>
        </w:rPr>
        <w:t>提前配置 Jupyter Notebook 或 Codespace，并提供故障排查说明。</w:t>
      </w:r>
    </w:p>
    <w:p>
      <w:pPr>
        <w:pStyle w:val="ListBullet"/>
        <w:spacing w:after="40" w:line="252" w:lineRule="auto"/>
      </w:pPr>
      <w:r>
        <w:rPr>
          <w:rFonts w:ascii="Hiragino Sans GB" w:hAnsi="Hiragino Sans GB" w:eastAsia="Hiragino Sans GB"/>
          <w:b w:val="0"/>
          <w:color w:val="000000"/>
          <w:sz w:val="20"/>
        </w:rPr>
        <w:t>准备项目模板、评分表和小组报告要求。</w:t>
      </w:r>
    </w:p>
    <w:p>
      <w:pPr>
        <w:keepNext/>
        <w:spacing w:before="240" w:after="100"/>
      </w:pPr>
      <w:r>
        <w:rPr>
          <w:rFonts w:ascii="Hiragino Sans GB" w:hAnsi="Hiragino Sans GB" w:eastAsia="Hiragino Sans GB"/>
          <w:b/>
          <w:color w:val="000000"/>
          <w:sz w:val="30"/>
        </w:rPr>
        <w:t>课程预期成果</w:t>
      </w:r>
    </w:p>
    <w:p>
      <w:pPr>
        <w:spacing w:before="0" w:after="100" w:line="269" w:lineRule="auto"/>
      </w:pPr>
      <w:r>
        <w:rPr>
          <w:rFonts w:ascii="Hiragino Sans GB" w:hAnsi="Hiragino Sans GB" w:eastAsia="Hiragino Sans GB"/>
          <w:b w:val="0"/>
          <w:color w:val="000000"/>
          <w:sz w:val="21"/>
        </w:rPr>
        <w:t>课程结束时，学生应能从零构建一个具有工具调用、知识检索、记忆、任务规划和基本评估能力的公共服务 Agent，并能够解释其设计选择、局限、错误模式和安全风险。</w:t>
      </w:r>
    </w:p>
    <w:sectPr w:rsidR="00FC693F" w:rsidRPr="0006063C" w:rsidSect="00034616">
      <w:footerReference w:type="default" r:id="rId9"/>
      <w:pgSz w:w="12240" w:h="15840"/>
      <w:pgMar w:top="1008" w:right="1152" w:bottom="936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</w:pPr>
    <w:r>
      <w:rPr>
        <w:rFonts w:ascii="Hiragino Sans GB" w:hAnsi="Hiragino Sans GB" w:eastAsia="Hiragino Sans GB"/>
        <w:b w:val="0"/>
        <w:color w:val="777777"/>
        <w:sz w:val="17"/>
      </w:rPr>
      <w:t>Agent Teaching Lab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Hiragino Sans GB" w:hAnsi="Hiragino Sans GB" w:eastAsia="Hiragino Sans G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Agent Teaching Lab 四天公共服务智能体实践课程方案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