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Analyse des concepts pour la simulation de la boucle thermohydraulique</w:t>
      </w:r>
    </w:p>
    <w:p>
      <w:r>
        <w:t>IMP2 · Partie de Ibrahima Diallo · Préparation de la comparaison en équipe</w:t>
      </w:r>
    </w:p>
    <w:p>
      <w:pPr>
        <w:pStyle w:val="Heading1"/>
      </w:pPr>
      <w:r>
        <w:t>Fonction étudiée</w:t>
      </w:r>
    </w:p>
    <w:p>
      <w:r>
        <w:t>SS-1 (L4) — Simuler le comportement physique de la boucle, en fonctionnement normal comme en défaillance.</w:t>
      </w:r>
    </w:p>
    <w:p>
      <w:r>
        <w:t>Cette partie présente trois façons de réaliser la simulation et une grille commune pour les comparer. Les poids totalisent 100 % pour cette fonction uniquement. Le classement reste à établir par l’équipe à partir des justifications et des vérifications disponibles.</w:t>
      </w:r>
    </w:p>
    <w:tbl>
      <w:tblPr>
        <w:tblW w:type="auto" w:w="0"/>
        <w:jc w:val="center"/>
        <w:tblLayout w:type="fixed"/>
        <w:tblLook w:firstColumn="1" w:firstRow="1" w:lastColumn="0" w:lastRow="0" w:noHBand="0" w:noVBand="1" w:val="04A0"/>
      </w:tblPr>
      <w:tblGrid>
        <w:gridCol w:w="3744"/>
        <w:gridCol w:w="864"/>
        <w:gridCol w:w="5616"/>
      </w:tblGrid>
      <w:tr>
        <w:trPr>
          <w:tblHeader/>
          <w:cantSplit/>
        </w:trPr>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pPr>
            <w:r>
              <w:rPr>
                <w:b/>
                <w:sz w:val="19"/>
              </w:rPr>
              <w:t>Fonctionnalité</w:t>
            </w:r>
          </w:p>
        </w:tc>
        <w:tc>
          <w:tcPr>
            <w:tcW w:type="dxa" w:w="8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jc w:val="center"/>
            </w:pPr>
            <w:r>
              <w:rPr>
                <w:b/>
                <w:sz w:val="19"/>
              </w:rPr>
              <w:t>Poids</w:t>
            </w:r>
          </w:p>
        </w:tc>
        <w:tc>
          <w:tcPr>
            <w:tcW w:type="dxa" w:w="56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pPr>
            <w:r>
              <w:rPr>
                <w:b/>
                <w:sz w:val="19"/>
              </w:rPr>
              <w:t>Résultat attendu</w:t>
            </w:r>
          </w:p>
        </w:tc>
      </w:tr>
      <w:tr>
        <w:trPr>
          <w:cantSplit/>
        </w:trPr>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F1 Reproduire le fonctionnement normal</w:t>
            </w:r>
          </w:p>
        </w:tc>
        <w:tc>
          <w:tcPr>
            <w:tcW w:type="dxa" w:w="8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40 %</w:t>
            </w:r>
          </w:p>
        </w:tc>
        <w:tc>
          <w:tcPr>
            <w:tcW w:type="dxa" w:w="56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Températures, pressions et débits cohérents en régime établi et pendant les transitions normales.</w:t>
            </w:r>
          </w:p>
        </w:tc>
      </w:tr>
      <w:tr>
        <w:trPr>
          <w:cantSplit/>
        </w:trPr>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F2 Reproduire les défaillances physiques retenues</w:t>
            </w:r>
          </w:p>
        </w:tc>
        <w:tc>
          <w:tcPr>
            <w:tcW w:type="dxa" w:w="8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40 %</w:t>
            </w:r>
          </w:p>
        </w:tc>
        <w:tc>
          <w:tcPr>
            <w:tcW w:type="dxa" w:w="56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Effets du défaut représentés sur les grandeurs physiques, avec un instant et une sévérité définis.</w:t>
            </w:r>
          </w:p>
        </w:tc>
      </w:tr>
      <w:tr>
        <w:trPr>
          <w:cantSplit/>
        </w:trPr>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F3 Exécuter des scénarios configurables et reproductibles</w:t>
            </w:r>
          </w:p>
        </w:tc>
        <w:tc>
          <w:tcPr>
            <w:tcW w:type="dxa" w:w="8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20 %</w:t>
            </w:r>
          </w:p>
        </w:tc>
        <w:tc>
          <w:tcPr>
            <w:tcW w:type="dxa" w:w="56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Configuration maîtrisée et résultats répétables pour les mêmes conditions.</w:t>
            </w:r>
          </w:p>
        </w:tc>
      </w:tr>
      <w:tr>
        <w:trPr>
          <w:cantSplit/>
        </w:trPr>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Total</w:t>
            </w:r>
          </w:p>
        </w:tc>
        <w:tc>
          <w:tcPr>
            <w:tcW w:type="dxa" w:w="8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100 %</w:t>
            </w:r>
          </w:p>
        </w:tc>
        <w:tc>
          <w:tcPr>
            <w:tcW w:type="dxa" w:w="56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Évaluation locale de la fonction SS-1.</w:t>
            </w:r>
          </w:p>
        </w:tc>
      </w:tr>
    </w:tbl>
    <w:p/>
    <w:p>
      <w:pPr>
        <w:pStyle w:val="Heading2"/>
      </w:pPr>
      <w:r>
        <w:t>Périmètre et hypothèses de départ</w:t>
      </w:r>
    </w:p>
    <w:p>
      <w:r>
        <w:t>Le prototype fonctionne entièrement en simulation. La production des erreurs de capteurs, la détection et la journalisation relèvent des autres fonctions. Le modèle physique fournit les valeurs calculées qui alimenteront les mesures simulées.</w:t>
      </w:r>
    </w:p>
    <w:p>
      <w:r>
        <w:t>Pour rendre les concepts comparables, les schémas utilisent une boucle indicative avec circulation forcée, apport thermique, refroidissement et pertes de charge. Ces éléments sont des propositions à faire correspondre à la boucle retenue par l’équipe. L’écoulement est supposé monophasique dans un domaine à définir. La pression absolue nécessite une référence ou un modèle de pressurisation explicite.</w:t>
      </w:r>
    </w:p>
    <w:p>
      <w:pPr>
        <w:pStyle w:val="Heading2"/>
      </w:pPr>
      <w:r>
        <w:t>Points à arrêter pendant la réunion</w:t>
      </w:r>
    </w:p>
    <w:p>
      <w:r>
        <w:t>Confirmer la topologie de la boucle, les scénarios physiques exigés, les plages de fonctionnement et les références de comparaison. Les cibles de 5 %, 10 % et 1 % proposées plus loin sont provisoires. Elles ne sont pas des seuils prescrits par la NRC ou le GPP.</w:t>
      </w:r>
    </w:p>
    <w:p>
      <w:r>
        <w:br w:type="page"/>
      </w:r>
    </w:p>
    <w:p>
      <w:pPr>
        <w:pStyle w:val="Heading1"/>
      </w:pPr>
      <w:r>
        <w:t>Étape 2 Concept A Modèle à paramètres concentrés 0D</w:t>
      </w:r>
    </w:p>
    <w:p>
      <w:pPr>
        <w:pStyle w:val="Heading2"/>
      </w:pPr>
      <w:r>
        <w:t>Présentation et réponse au besoin</w:t>
      </w:r>
    </w:p>
    <w:p>
      <w:r>
        <w:t>La boucle est représentée par un petit ensemble de volumes homogènes reliés entre eux. Chaque volume possède une température moyenne. Les bilans d’énergie décrivent son évolution ; les relations hydrauliques relient le débit, la pompe et les pertes de charge. Ce concept vise à reproduire les interactions dominantes sans décrire le profil spatial interne de chaque volume.</w:t>
      </w:r>
    </w:p>
    <w:p>
      <w:r>
        <w:drawing>
          <wp:inline xmlns:a="http://schemas.openxmlformats.org/drawingml/2006/main" xmlns:pic="http://schemas.openxmlformats.org/drawingml/2006/picture">
            <wp:extent cx="6400800" cy="1188720"/>
            <wp:docPr id="1" name="Picture 1"/>
            <wp:cNvGraphicFramePr>
              <a:graphicFrameLocks noChangeAspect="1"/>
            </wp:cNvGraphicFramePr>
            <a:graphic>
              <a:graphicData uri="http://schemas.openxmlformats.org/drawingml/2006/picture">
                <pic:pic>
                  <pic:nvPicPr>
                    <pic:cNvPr id="0" name="schema-A.png"/>
                    <pic:cNvPicPr/>
                  </pic:nvPicPr>
                  <pic:blipFill>
                    <a:blip r:embed="rId9"/>
                    <a:stretch>
                      <a:fillRect/>
                    </a:stretch>
                  </pic:blipFill>
                  <pic:spPr>
                    <a:xfrm>
                      <a:off x="0" y="0"/>
                      <a:ext cx="6400800" cy="1188720"/>
                    </a:xfrm>
                    <a:prstGeom prst="rect"/>
                  </pic:spPr>
                </pic:pic>
              </a:graphicData>
            </a:graphic>
          </wp:inline>
        </w:drawing>
      </w:r>
    </w:p>
    <w:p>
      <w:r>
        <w:t>Figure A — Organisation fonctionnelle proposée. Le calcul thermique et le calcul hydraulique échangent les grandeurs nécessaires à chaque pas de simulation.</w:t>
      </w:r>
    </w:p>
    <w:p>
      <w:pPr>
        <w:pStyle w:val="Heading2"/>
      </w:pPr>
      <w:r>
        <w:t>Composants et fonctionnement</w:t>
      </w:r>
    </w:p>
    <w:p>
      <w:r>
        <w:t>Les volumes représentent les parties chauffées, refroidies et de liaison. Des relations propres à la pompe et aux résistances hydrauliques complètent les bilans. Le gestionnaire de scénario fournit les entrées et les paramètres du défaut. Un solveur fait évoluer les températures et, si son inertie est représentée, le débit. Dans une approche hydraulique quasi stationnaire, le débit résulte plutôt d’un équilibre algébrique à chaque instant.</w:t>
      </w:r>
    </w:p>
    <w:p>
      <w:r>
        <w:t>La simulation part d’un état initial cohérent. À chaque pas, elle calcule les échanges et les pertes de charge, résout les relations couplées, puis fournit les valeurs physiques. Les pressions aux points retenus se déduisent de la référence de pression et des relations hydrauliques.</w:t>
      </w:r>
    </w:p>
    <w:p>
      <w:pPr>
        <w:pStyle w:val="Heading2"/>
      </w:pPr>
      <w:r>
        <w:t>Défaillances et limites</w:t>
      </w:r>
    </w:p>
    <w:p>
      <w:r>
        <w:t>Une obstruction peut être représentée par une augmentation de résistance hydraulique ; une baisse de refroidissement par une diminution de la capacité d’échange, si ces défauts sont retenus. L’effet observé doit résulter du modèle. Le mélange parfait peut lisser les fronts thermiques ; plusieurs volumes peuvent reproduire une partie de la dynamique de transport, sans résoudre un profil continu.</w:t>
      </w:r>
    </w:p>
    <w:p>
      <w:pPr>
        <w:pStyle w:val="Heading2"/>
      </w:pPr>
      <w:r>
        <w:t>Vérification de faisabilité proposée</w:t>
      </w:r>
    </w:p>
    <w:p>
      <w:r>
        <w:t>Commencer par un bilan énergétique stationnaire, puis une variation d’apport thermique et un changement de résistance hydraulique. Vérifier les bilans, la cohérence des pressions et débits, et la sensibilité au pas de temps. Le nombre de volumes reste à déterminer.</w:t>
      </w:r>
    </w:p>
    <w:p>
      <w:r>
        <w:br w:type="page"/>
      </w:r>
    </w:p>
    <w:p>
      <w:pPr>
        <w:pStyle w:val="Heading1"/>
      </w:pPr>
      <w:r>
        <w:t>Étape 2 Concept B Modèle unidimensionnel à mailles</w:t>
      </w:r>
    </w:p>
    <w:p>
      <w:pPr>
        <w:pStyle w:val="Heading2"/>
      </w:pPr>
      <w:r>
        <w:t>Présentation et réponse au besoin</w:t>
      </w:r>
    </w:p>
    <w:p>
      <w:r>
        <w:t>Les tronçons de la boucle sont divisés en mailles le long du sens de circulation. Les équations retenues décrivent les échanges et le transport entre cellules voisines. La température peut ainsi varier selon la position et une perturbation peut se propager le long de la boucle. Le niveau de détail doit rester compatible avec les scénarios et le temps disponible.</w:t>
      </w:r>
    </w:p>
    <w:p>
      <w:r>
        <w:drawing>
          <wp:inline xmlns:a="http://schemas.openxmlformats.org/drawingml/2006/main" xmlns:pic="http://schemas.openxmlformats.org/drawingml/2006/picture">
            <wp:extent cx="6400800" cy="1188720"/>
            <wp:docPr id="2" name="Picture 2"/>
            <wp:cNvGraphicFramePr>
              <a:graphicFrameLocks noChangeAspect="1"/>
            </wp:cNvGraphicFramePr>
            <a:graphic>
              <a:graphicData uri="http://schemas.openxmlformats.org/drawingml/2006/picture">
                <pic:pic>
                  <pic:nvPicPr>
                    <pic:cNvPr id="0" name="schema-B.png"/>
                    <pic:cNvPicPr/>
                  </pic:nvPicPr>
                  <pic:blipFill>
                    <a:blip r:embed="rId10"/>
                    <a:stretch>
                      <a:fillRect/>
                    </a:stretch>
                  </pic:blipFill>
                  <pic:spPr>
                    <a:xfrm>
                      <a:off x="0" y="0"/>
                      <a:ext cx="6400800" cy="1188720"/>
                    </a:xfrm>
                    <a:prstGeom prst="rect"/>
                  </pic:spPr>
                </pic:pic>
              </a:graphicData>
            </a:graphic>
          </wp:inline>
        </w:drawing>
      </w:r>
    </w:p>
    <w:p>
      <w:r>
        <w:t>Figure B — Organisation fonctionnelle proposée. Les échanges entre mailles décrivent la propagation des grandeurs le long des tronçons.</w:t>
      </w:r>
    </w:p>
    <w:p>
      <w:pPr>
        <w:pStyle w:val="Heading2"/>
      </w:pPr>
      <w:r>
        <w:t>Composants et fonctionnement</w:t>
      </w:r>
    </w:p>
    <w:p>
      <w:r>
        <w:t>Le concept comprend un maillage, les propriétés du fluide, les relations des composants et un solveur numérique. Les bilans de masse, d’énergie et les relations de quantité de mouvement sont simplifiés selon les hypothèses retenues. L’équipe doit préciser si le calcul hydraulique est dynamique ou quasi stationnaire et comment les échanges avec les parois sont représentés.</w:t>
      </w:r>
    </w:p>
    <w:p>
      <w:r>
        <w:t>Après initialisation, le solveur évalue les flux entre cellules et les sources ou pertes locales. Il actualise les variables puis produit les trajectoires aux positions retenues. Le nombre d’états dépend du nombre de mailles et des variables calculées ; il ne peut pas être fixé avant ces choix.</w:t>
      </w:r>
    </w:p>
    <w:p>
      <w:pPr>
        <w:pStyle w:val="Heading2"/>
      </w:pPr>
      <w:r>
        <w:t>Défaillances et limites</w:t>
      </w:r>
    </w:p>
    <w:p>
      <w:r>
        <w:t>Un défaut localisé peut modifier les paramètres d’une cellule ou d’un composant, par exemple une résistance hydraulique. La localisation n’est pertinente que si le maillage et les équations en décrivent effectivement les effets. Les paramètres de géométrie et de transfert sont plus nombreux qu’en 0D. Le maillage peut introduire une diffusion numérique ou un coût de calcul important.</w:t>
      </w:r>
    </w:p>
    <w:p>
      <w:pPr>
        <w:pStyle w:val="Heading2"/>
      </w:pPr>
      <w:r>
        <w:t>Vérification de faisabilité proposée</w:t>
      </w:r>
    </w:p>
    <w:p>
      <w:r>
        <w:t>Tester d’abord un tronçon avec transport thermique, puis une boucle simplifiée. Comparer les résultats sur au moins deux maillages et plusieurs pas de temps ; si la différence reste importante, affiner encore. Vérifier les bilans et le temps de calcul avant de retenir le niveau de détail.</w:t>
      </w:r>
    </w:p>
    <w:p>
      <w:r>
        <w:br w:type="page"/>
      </w:r>
    </w:p>
    <w:p>
      <w:pPr>
        <w:pStyle w:val="Heading1"/>
      </w:pPr>
      <w:r>
        <w:t>Étape 2 Concept C Modèle de comportement entrée sortie</w:t>
      </w:r>
    </w:p>
    <w:p>
      <w:pPr>
        <w:pStyle w:val="Heading2"/>
      </w:pPr>
      <w:r>
        <w:t>Présentation et réponse au besoin</w:t>
      </w:r>
    </w:p>
    <w:p>
      <w:r>
        <w:t>Le modèle représente les liens entre les entrées de la boucle et ses sorties à l’aide de gains, de constantes de temps et de retards. Il vise à reproduire les trajectoires utiles au prototype, sans résoudre explicitement tous les mécanismes internes. Les paramètres doivent être identifiés à partir de données ou de réponses de référence disponibles et adaptées au domaine étudié.</w:t>
      </w:r>
    </w:p>
    <w:p>
      <w:r>
        <w:drawing>
          <wp:inline xmlns:a="http://schemas.openxmlformats.org/drawingml/2006/main" xmlns:pic="http://schemas.openxmlformats.org/drawingml/2006/picture">
            <wp:extent cx="6400800" cy="1188720"/>
            <wp:docPr id="3" name="Picture 3"/>
            <wp:cNvGraphicFramePr>
              <a:graphicFrameLocks noChangeAspect="1"/>
            </wp:cNvGraphicFramePr>
            <a:graphic>
              <a:graphicData uri="http://schemas.openxmlformats.org/drawingml/2006/picture">
                <pic:pic>
                  <pic:nvPicPr>
                    <pic:cNvPr id="0" name="schema-C.png"/>
                    <pic:cNvPicPr/>
                  </pic:nvPicPr>
                  <pic:blipFill>
                    <a:blip r:embed="rId11"/>
                    <a:stretch>
                      <a:fillRect/>
                    </a:stretch>
                  </pic:blipFill>
                  <pic:spPr>
                    <a:xfrm>
                      <a:off x="0" y="0"/>
                      <a:ext cx="6400800" cy="1188720"/>
                    </a:xfrm>
                    <a:prstGeom prst="rect"/>
                  </pic:spPr>
                </pic:pic>
              </a:graphicData>
            </a:graphic>
          </wp:inline>
        </w:drawing>
      </w:r>
    </w:p>
    <w:p>
      <w:r>
        <w:t>Figure C — Organisation fonctionnelle proposée. Le régime et la sévérité du défaut déterminent les paramètres utilisés pour calculer les réponses.</w:t>
      </w:r>
    </w:p>
    <w:p>
      <w:pPr>
        <w:pStyle w:val="Heading2"/>
      </w:pPr>
      <w:r>
        <w:t>Composants et fonctionnement</w:t>
      </w:r>
    </w:p>
    <w:p>
      <w:r>
        <w:t>Le concept comprend un ensemble de relations dynamiques entre entrées et sorties, un jeu de paramètres et une procédure de simulation. Les couplages nécessaires entre température, pression et débit doivent être représentés. Un modèle linéaire peut convenir près d’un point de fonctionnement ; plusieurs régimes ou une formulation non linéaire peuvent être nécessaires sur un domaine plus large.</w:t>
      </w:r>
    </w:p>
    <w:p>
      <w:r>
        <w:t>Le scénario fournit les entrées et les conditions initiales. Le modèle calcule les réponses à partir des paramètres identifiés. Une défaillance modifie les paramètres selon une relation justifiée, plutôt que d’ajouter arbitrairement un écart à une sortie. L’ordre et le nombre de paramètres seront déterminés à partir des comportements à reproduire.</w:t>
      </w:r>
    </w:p>
    <w:p>
      <w:pPr>
        <w:pStyle w:val="Heading2"/>
      </w:pPr>
      <w:r>
        <w:t>Défaillances et limites</w:t>
      </w:r>
    </w:p>
    <w:p>
      <w:r>
        <w:t>La diminution d’un gain ou l’augmentation d’une constante de temps ne représente un défaut physique que si ce lien est établi. Le modèle peut nécessiter des jeux de paramètres propres aux défauts. Son comportement hors du domaine d’identification reste à vérifier. Les bilans ne sont pas forcément imposés par sa structure, mais leur cohérence peut être contrôlée sur les sorties et les grandeurs accessibles.</w:t>
      </w:r>
    </w:p>
    <w:p>
      <w:pPr>
        <w:pStyle w:val="Heading2"/>
      </w:pPr>
      <w:r>
        <w:t>Vérification de faisabilité proposée</w:t>
      </w:r>
    </w:p>
    <w:p>
      <w:r>
        <w:t>Identifier un premier modèle sur une réponse normale documentée, puis le tester sur une entrée différente. Examiner ensuite un défaut retenu avec une référence distincte. Sans données ou calculs suffisants pour identifier les paramètres, la faisabilité de ce concept reste à établir.</w:t>
      </w:r>
    </w:p>
    <w:p>
      <w:r>
        <w:br w:type="page"/>
      </w:r>
    </w:p>
    <w:p>
      <w:pPr>
        <w:pStyle w:val="Heading1"/>
      </w:pPr>
      <w:r>
        <w:t>Étape 3 Spécifications techniques des concepts</w:t>
      </w:r>
    </w:p>
    <w:p>
      <w:r>
        <w:t>Fonction SS-1 (L4) : Simuler le comportement physique de la boucle, en fonctionnement normal comme en défaillance. Ce tableau décrit comment chaque concept réalise les fonctionnalités. Les performances seront évaluées à l’étape 4.</w:t>
      </w:r>
    </w:p>
    <w:tbl>
      <w:tblPr>
        <w:tblW w:type="auto" w:w="0"/>
        <w:jc w:val="center"/>
        <w:tblLayout w:type="fixed"/>
        <w:tblLook w:firstColumn="1" w:firstRow="1" w:lastColumn="0" w:lastRow="0" w:noHBand="0" w:noVBand="1" w:val="04A0"/>
      </w:tblPr>
      <w:tblGrid>
        <w:gridCol w:w="864"/>
        <w:gridCol w:w="1656"/>
        <w:gridCol w:w="2592"/>
        <w:gridCol w:w="2592"/>
        <w:gridCol w:w="2520"/>
      </w:tblGrid>
      <w:tr>
        <w:trPr>
          <w:tblHeader/>
          <w:cantSplit/>
        </w:trPr>
        <w:tc>
          <w:tcPr>
            <w:tcW w:type="dxa" w:w="8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jc w:val="left"/>
            </w:pPr>
            <w:r>
              <w:rPr>
                <w:b/>
                <w:sz w:val="19"/>
              </w:rPr>
              <w:t>Fonction</w:t>
            </w:r>
          </w:p>
        </w:tc>
        <w:tc>
          <w:tcPr>
            <w:tcW w:type="dxa" w:w="165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jc w:val="left"/>
            </w:pPr>
            <w:r>
              <w:rPr>
                <w:b/>
                <w:sz w:val="19"/>
              </w:rPr>
              <w:t>Fonctionnalités</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jc w:val="left"/>
            </w:pPr>
            <w:r>
              <w:rPr>
                <w:b/>
                <w:sz w:val="19"/>
              </w:rPr>
              <w:t>Concept A Modèle 0D</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jc w:val="left"/>
            </w:pPr>
            <w:r>
              <w:rPr>
                <w:b/>
                <w:sz w:val="19"/>
              </w:rPr>
              <w:t>Concept B Modèle 1D</w:t>
            </w:r>
          </w:p>
        </w:tc>
        <w:tc>
          <w:tcPr>
            <w:tcW w:type="dxa" w:w="25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jc w:val="left"/>
            </w:pPr>
            <w:r>
              <w:rPr>
                <w:b/>
                <w:sz w:val="19"/>
              </w:rPr>
              <w:t>Concept C Entrée sortie</w:t>
            </w:r>
          </w:p>
        </w:tc>
      </w:tr>
      <w:tr>
        <w:trPr>
          <w:cantSplit/>
        </w:trPr>
        <w:tc>
          <w:tcPr>
            <w:tcW w:type="dxa" w:w="8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SS-1 (L4)</w:t>
            </w:r>
          </w:p>
        </w:tc>
        <w:tc>
          <w:tcPr>
            <w:tcW w:type="dxa" w:w="165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F1 Reproduire le fonctionnement normal de la boucle</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Calculer les températures moyennes de volumes homogènes à partir des bilans d’énergie. Déterminer le débit et les pressions à partir des relations hydrauliques. Les volumes reliés représentent les transitoires à l’échelle du découpage retenu.</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Calculer les grandeurs dans des mailles réparties le long des tronçons. Représenter le transport du fluide, les échanges thermiques et la propagation des perturbations selon les équations retenues.</w:t>
            </w:r>
          </w:p>
        </w:tc>
        <w:tc>
          <w:tcPr>
            <w:tcW w:type="dxa" w:w="25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Calculer les réponses aux entrées à partir de relations dynamiques couplées : gains, constantes de temps et retards identifiés. Reproduire les régimes et les transitoires dans le domaine couvert par les références.</w:t>
            </w:r>
          </w:p>
        </w:tc>
      </w:tr>
      <w:tr>
        <w:trPr>
          <w:cantSplit/>
        </w:trPr>
        <w:tc>
          <w:tcPr>
            <w:tcW w:type="dxa" w:w="8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SS-1 (L4)</w:t>
            </w:r>
          </w:p>
        </w:tc>
        <w:tc>
          <w:tcPr>
            <w:tcW w:type="dxa" w:w="165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F2 Reproduire les défaillances physiques retenues</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Modifier les paramètres physiques du composant concerné, par exemple une résistance hydraulique ou un coefficient d’échange. Calculer les conséquences sur les températures, pressions et débits.</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Modifier les paramètres d’un composant ou d’une zone du maillage. Calculer les effets locaux et leur propagation, lorsque les équations et le découpage permettent de les représenter.</w:t>
            </w:r>
          </w:p>
        </w:tc>
        <w:tc>
          <w:tcPr>
            <w:tcW w:type="dxa" w:w="25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Modifier les paramètres ou les relations associés au fonctionnement dégradé. Établir le lien entre le défaut et ces modifications à partir de références physiques ou de réponses documentées.</w:t>
            </w:r>
          </w:p>
        </w:tc>
      </w:tr>
      <w:tr>
        <w:trPr>
          <w:cantSplit/>
        </w:trPr>
        <w:tc>
          <w:tcPr>
            <w:tcW w:type="dxa" w:w="8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SS-1 (L4)</w:t>
            </w:r>
          </w:p>
        </w:tc>
        <w:tc>
          <w:tcPr>
            <w:tcW w:type="dxa" w:w="165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F3 Exécuter des scénarios configurables et reproductibles</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Configurer les volumes, les paramètres physiques, les conditions initiales et les entrées. Conserver la configuration et les réglages du solveur pour répéter le scénario.</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Configurer la géométrie, le maillage, les propriétés, les conditions initiales et les entrées. Conserver également la méthode numérique et ses réglages pour répéter le scénario.</w:t>
            </w:r>
          </w:p>
        </w:tc>
        <w:tc>
          <w:tcPr>
            <w:tcW w:type="dxa" w:w="25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left"/>
            </w:pPr>
            <w:r>
              <w:rPr>
                <w:b w:val="0"/>
                <w:sz w:val="19"/>
              </w:rPr>
              <w:t>Configurer les relations dynamiques, leurs paramètres, les conditions initiales et les entrées. Conserver le jeu de paramètres, les règles de changement de régime et les réglages de calcul pour répéter le scénario.</w:t>
            </w:r>
          </w:p>
        </w:tc>
      </w:tr>
    </w:tbl>
    <w:p/>
    <w:p>
      <w:r>
        <w:t>Les plages de fonctionnement, les défauts exigés et les références de comparaison seront communs aux trois concepts. La topologie, le découpage et les paramètres restent à préciser. Les descriptions ci-dessus ne constituent pas des performances déjà démontrées.</w:t>
      </w:r>
    </w:p>
    <w:p>
      <w:r>
        <w:br w:type="page"/>
      </w:r>
    </w:p>
    <w:p>
      <w:pPr>
        <w:pStyle w:val="Heading1"/>
      </w:pPr>
      <w:r>
        <w:t>Étape 4 Définition de l’évaluation des concepts</w:t>
      </w:r>
    </w:p>
    <w:p>
      <w:r>
        <w:t>Simuler le comportement physique de la boucle, en fonctionnement normal comme en défaillance.</w:t>
      </w:r>
    </w:p>
    <w:p>
      <w:r>
        <w:t>Cette grille compare les concepts A (0D), B (1D à mailles) et C (entrée-sortie). Les pondérations totalisent 100 % pour cette fonction. Les seuils numériques sont des propositions à confirmer par l’équipe avant l’évaluation.</w:t>
      </w:r>
    </w:p>
    <w:tbl>
      <w:tblPr>
        <w:tblW w:type="auto" w:w="0"/>
        <w:jc w:val="center"/>
        <w:tblLayout w:type="fixed"/>
        <w:tblLook w:firstColumn="1" w:firstRow="1" w:lastColumn="0" w:lastRow="0" w:noHBand="0" w:noVBand="1" w:val="04A0"/>
      </w:tblPr>
      <w:tblGrid>
        <w:gridCol w:w="2160"/>
        <w:gridCol w:w="720"/>
        <w:gridCol w:w="3888"/>
        <w:gridCol w:w="1728"/>
        <w:gridCol w:w="1728"/>
      </w:tblGrid>
      <w:tr>
        <w:trPr>
          <w:tblHeade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pPr>
            <w:r>
              <w:rPr>
                <w:b/>
                <w:sz w:val="19"/>
              </w:rPr>
              <w:t>Fonctionnalités et critères</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jc w:val="center"/>
            </w:pPr>
            <w:r>
              <w:rPr>
                <w:b/>
                <w:sz w:val="19"/>
              </w:rPr>
              <w:t>Poids</w:t>
            </w:r>
          </w:p>
        </w:tc>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pPr>
            <w:r>
              <w:rPr>
                <w:b/>
                <w:sz w:val="19"/>
              </w:rPr>
              <w:t>Barèmes proposés</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pPr>
            <w:r>
              <w:rPr>
                <w:b/>
                <w:sz w:val="19"/>
              </w:rPr>
              <w:t>Spécification minimale</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pPr>
            <w:r>
              <w:rPr>
                <w:b/>
                <w:sz w:val="19"/>
              </w:rPr>
              <w:t>Spécification maximale</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keepNext/>
              <w:spacing w:after="60" w:before="60"/>
            </w:pPr>
            <w:r>
              <w:rPr>
                <w:b/>
                <w:sz w:val="19"/>
              </w:rPr>
              <w:t>F1 Reproduire le fonctionnement normal</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keepNext/>
              <w:spacing w:after="60" w:before="60"/>
              <w:jc w:val="center"/>
            </w:pPr>
            <w:r>
              <w:rPr>
                <w:b/>
                <w:sz w:val="19"/>
              </w:rPr>
              <w:t>40 %</w:t>
            </w:r>
          </w:p>
        </w:tc>
        <w:tc>
          <w:tcPr>
            <w:tcW w:type="dxa" w:w="7344"/>
            <w:vAlign w:val="center"/>
            <w:gridSpan w:val="3"/>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spacing w:after="60" w:before="60"/>
            </w:pPr>
            <w:r>
              <w:rPr>
                <w:b/>
                <w:sz w:val="19"/>
              </w:rPr>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C1 Concordance en régime établi</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15 %</w:t>
            </w:r>
          </w:p>
        </w:tc>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Écart ≤ 1,25 % : 100 % ; ≤ 2,5 % : 75 % ; ≤ 3,75 % : 50 % ; ≤ 5 % : 25 % ; &gt; 5 % : 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Vérifier trois points de fonctionnement : bas, nominal et haut.</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Écart de 5 % de l’étendue de référence, pour chaque grandeur.</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C2 Concordance des réponses transitoires</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15 %</w:t>
            </w:r>
          </w:p>
        </w:tc>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Rapport écart / tolérance ≤ 0,25 : 100 % ; ≤ 0,50 : 75 % ; ≤ 0,75 : 50 % ; ≤ 1 : 25 % ; &gt; 1 : 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Vérifier deux variations normales d’entrée.</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Écart de trajectoire : 10 % de l’étendue ; écart sur le temps de réponse : 10 %.</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C3 Cohérence des bilans physiques</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10 %</w:t>
            </w:r>
          </w:p>
        </w:tc>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Écart normalisé ≤ 0,25 % : 100 % ; ≤ 0,50 % : 75 % ; ≤ 0,75 % : 50 % ; ≤ 1 % : 25 % ; &gt; 1 % : 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Vérifier les bilans de masse et d’énergie applicables.</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Écart normalisé de fermeture : 1 %.</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keepNext/>
              <w:spacing w:after="60" w:before="60"/>
            </w:pPr>
            <w:r>
              <w:rPr>
                <w:b/>
                <w:sz w:val="19"/>
              </w:rPr>
              <w:t>F2 Reproduire les défaillances physiques retenues</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keepNext/>
              <w:spacing w:after="60" w:before="60"/>
              <w:jc w:val="center"/>
            </w:pPr>
            <w:r>
              <w:rPr>
                <w:b/>
                <w:sz w:val="19"/>
              </w:rPr>
              <w:t>40 %</w:t>
            </w:r>
          </w:p>
        </w:tc>
        <w:tc>
          <w:tcPr>
            <w:tcW w:type="dxa" w:w="7344"/>
            <w:vAlign w:val="center"/>
            <w:gridSpan w:val="3"/>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spacing w:after="60" w:before="60"/>
            </w:pPr>
            <w:r>
              <w:rPr>
                <w:b/>
                <w:sz w:val="19"/>
              </w:rPr>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C4 Couverture des défaillances</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15 %</w:t>
            </w:r>
          </w:p>
        </w:tc>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Note = 100 × nombre de scénarios couverts / nombre de scénarios retenus.</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Couvrir tous les scénarios obligatoires.</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Sans objet.</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C5 Cohérence des effets physiques des défauts</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15 %</w:t>
            </w:r>
          </w:p>
        </w:tc>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Par scénario : effets justifiés et vérifiés quantitativement : 100 % ; tendances justifiées, vérification quantitative incomplète : 50 % ; effets contradictoires ou non justifiés : 0 %. Moyenne des scénarios.</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Effets attendus et référence définis pour chaque défaut.</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Tolérances propres aux défauts à fixer avant les essais.</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C6 Réglage de l’apparition et de la sévérité</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10 %</w:t>
            </w:r>
          </w:p>
        </w:tc>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Instant réglable et sévérité sur une plage définie : 100 % ; instant réglable et au moins trois niveaux : 75 % ; instant réglable et une sévérité : 50 % ; instant fixe et plusieurs sévérités : 25 % ; les deux fixes : 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Permettre les réglages nécessaires aux scénarios obligatoires.</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Bornes de temps et de sévérité à définir.</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keepNext/>
              <w:spacing w:after="60" w:before="60"/>
            </w:pPr>
            <w:r>
              <w:rPr>
                <w:b/>
                <w:sz w:val="19"/>
              </w:rPr>
              <w:t>F3 Exécuter des scénarios configurables et reproductibles</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keepNext/>
              <w:spacing w:after="60" w:before="60"/>
              <w:jc w:val="center"/>
            </w:pPr>
            <w:r>
              <w:rPr>
                <w:b/>
                <w:sz w:val="19"/>
              </w:rPr>
              <w:t>20 %</w:t>
            </w:r>
          </w:p>
        </w:tc>
        <w:tc>
          <w:tcPr>
            <w:tcW w:type="dxa" w:w="7344"/>
            <w:vAlign w:val="center"/>
            <w:gridSpan w:val="3"/>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spacing w:after="60" w:before="60"/>
            </w:pPr>
            <w:r>
              <w:rPr>
                <w:b/>
                <w:sz w:val="19"/>
              </w:rPr>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C7 Configuration générale des scénarios</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10 %</w:t>
            </w:r>
          </w:p>
        </w:tc>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Trois groupes configurables : 100 % ; deux : 67 % ; un : 33 % ; aucun : 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Rendre configurables les conditions initiales, les entrées et la durée nécessaires aux essais.</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Plages à définir selon le domaine étudié.</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C8 Reproductibilité des résultats</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10 %</w:t>
            </w:r>
          </w:p>
        </w:tc>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Toutes les répétitions respectent la tolérance : 100 % ; au moins une la dépasse : 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Trois exécutions par scénario, avec une même configuration.</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Écart entre répétitions inférieur à une tolérance numérique à définir.</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keepNext/>
              <w:spacing w:after="60" w:before="60"/>
            </w:pPr>
            <w:r>
              <w:rPr>
                <w:b/>
                <w:sz w:val="19"/>
              </w:rPr>
              <w:t>TOTAL</w:t>
            </w:r>
          </w:p>
        </w:tc>
        <w:tc>
          <w:tcPr>
            <w:tcW w:type="dxa" w:w="7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keepNext/>
              <w:spacing w:after="60" w:before="60"/>
              <w:jc w:val="center"/>
            </w:pPr>
            <w:r>
              <w:rPr>
                <w:b/>
                <w:sz w:val="19"/>
              </w:rPr>
              <w:t>100 %</w:t>
            </w:r>
          </w:p>
        </w:tc>
        <w:tc>
          <w:tcPr>
            <w:tcW w:type="dxa" w:w="7344"/>
            <w:vAlign w:val="center"/>
            <w:gridSpan w:val="3"/>
            <w:tcBorders>
              <w:top w:val="single" w:sz="5" w:color="D9D9D9"/>
              <w:left w:val="single" w:sz="5" w:color="D9D9D9"/>
              <w:bottom w:val="single" w:sz="5" w:color="D9D9D9"/>
              <w:right w:val="single" w:sz="5" w:color="D9D9D9"/>
            </w:tcBorders>
            <w:tcMar>
              <w:top w:w="75" w:type="dxa"/>
              <w:left w:w="75" w:type="dxa"/>
              <w:bottom w:w="75" w:type="dxa"/>
              <w:right w:w="75" w:type="dxa"/>
            </w:tcMar>
            <w:shd w:fill="E8EEF3"/>
          </w:tcPr>
          <w:p>
            <w:pPr>
              <w:spacing w:after="60" w:before="60"/>
            </w:pPr>
            <w:r>
              <w:rPr>
                <w:b/>
                <w:sz w:val="19"/>
              </w:rPr>
            </w:r>
          </w:p>
        </w:tc>
      </w:tr>
    </w:tbl>
    <w:p/>
    <w:p>
      <w:pPr>
        <w:pStyle w:val="Heading1"/>
      </w:pPr>
      <w:r>
        <w:t>Règles d’application</w:t>
      </w:r>
    </w:p>
    <w:p>
      <w:r>
        <w:t>Les intervalles des barèmes se lisent successivement. Pour C1, une note de 75 % correspond donc à un écart supérieur à 1,25 % et inférieur ou égal à 2,5 %. Les pondérations ne sont pas les notes : elles représentent l’importance des critères.</w:t>
      </w:r>
    </w:p>
    <w:p>
      <w:pPr>
        <w:pStyle w:val="Heading2"/>
      </w:pPr>
      <w:r>
        <w:t>Mesures et références</w:t>
      </w:r>
    </w:p>
    <w:p>
      <w:r>
        <w:t>C1 et C2 : normaliser les écarts de température, de pression et de débit par leurs étendues de référence, fixées avant les essais. Retenir le résultat le plus défavorable. Pour C2, calculer le rapport écart / tolérance pour les trajectoires et les temps de réponse, puis retenir le plus grand.</w:t>
      </w:r>
    </w:p>
    <w:p>
      <w:r>
        <w:t>Écart normalisé sur une grandeur x, en pourcentage : 100 × |x_modèle − x_référence| / (x_max − x_min). Les bornes et les références sont communes aux trois concepts. La référence doit être indépendante des données utilisées pour régler le modèle.</w:t>
      </w:r>
    </w:p>
    <w:p>
      <w:r>
        <w:t>Le temps de réponse est le délai pour entrer et rester dans une bande de ±5 % de la variation finale, autour de la valeur finale. Cette définition suppose une variation finale non nulle et un régime final établi. Pour les autres cas, définir une métrique adaptée avant l’essai.</w:t>
      </w:r>
    </w:p>
    <w:p>
      <w:r>
        <w:t>C3 : inclure les accumulations et les échanges dans les bilans, puis utiliser une échelle de normalisation non nulle. Ne pas diviser par le bilan net théoriquement nul.</w:t>
      </w:r>
    </w:p>
    <w:p>
      <w:pPr>
        <w:pStyle w:val="Heading2"/>
      </w:pPr>
      <w:r>
        <w:t>Interprétation des résultats</w:t>
      </w:r>
    </w:p>
    <w:p>
      <w:r>
        <w:t>C5 : une note de 50 % indique une justification quantitative encore incomplète. Elle ne démontre pas la faisabilité quantitative. C7 : les trois groupes sont les conditions initiales, les entrées et la durée. Un groupe compte si tous ses paramètres nécessaires sont configurables.</w:t>
      </w:r>
    </w:p>
    <w:p>
      <w:r>
        <w:t>Pour tous les critères, inscrire « à vérifier » lorsqu’aucune preuve ne permet encore de noter. Ne pas remplacer une information manquante par zéro et ne pas présenter un total incomplet comme un classement définitif.</w:t>
      </w:r>
    </w:p>
    <w:p>
      <w:pPr>
        <w:pStyle w:val="Heading2"/>
      </w:pPr>
      <w:r>
        <w:t>Calcul de la note pondérée</w:t>
      </w:r>
    </w:p>
    <w:p>
      <w:r>
        <w:t>Contribution d’un critère = pondération × note / 100. La note globale est la somme des contributions, sur 100 points. Exemple : une note de 75 % au critère C1, pondéré à 15 %, apporte 11,25 points sur 100.</w:t>
      </w:r>
    </w:p>
    <w:p>
      <w:pPr>
        <w:pStyle w:val="Heading2"/>
      </w:pPr>
      <w:r>
        <w:t>Points à confirmer en réunion</w:t>
      </w:r>
    </w:p>
    <w:p>
      <w:r>
        <w:t>Confirmer les scénarios obligatoires, les références de comparaison et les spécifications encore ouvertes. Une bonne moyenne ne compense pas le non-respect d’une exigence obligatoire. Les tolérances proposées ne sont pas des seuils prescrits par la NRC ou le GPP.</w:t>
      </w:r>
    </w:p>
    <w:p>
      <w:r>
        <w:br w:type="page"/>
      </w:r>
    </w:p>
    <w:p>
      <w:pPr>
        <w:pStyle w:val="Heading1"/>
      </w:pPr>
      <w:r>
        <w:t>Tableau de comparaison à remplir en équipe</w:t>
      </w:r>
    </w:p>
    <w:p>
      <w:r>
        <w:t>Inscrire une note de 0 à 100 % et sa justification. Utiliser AV lorsque la preuve manque. Une note estimée doit être identifiée comme telle. Les résultats mesurés viendront compléter la comparaison après les calculs ou simulations.</w:t>
      </w:r>
    </w:p>
    <w:tbl>
      <w:tblPr>
        <w:tblW w:type="auto" w:w="0"/>
        <w:jc w:val="center"/>
        <w:tblLayout w:type="fixed"/>
        <w:tblLook w:firstColumn="1" w:firstRow="1" w:lastColumn="0" w:lastRow="0" w:noHBand="0" w:noVBand="1" w:val="04A0"/>
      </w:tblPr>
      <w:tblGrid>
        <w:gridCol w:w="3888"/>
        <w:gridCol w:w="1008"/>
        <w:gridCol w:w="1728"/>
        <w:gridCol w:w="1728"/>
        <w:gridCol w:w="1872"/>
      </w:tblGrid>
      <w:tr>
        <w:trPr>
          <w:tblHeader/>
          <w:cantSplit/>
        </w:trPr>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pPr>
            <w:r>
              <w:rPr>
                <w:b/>
                <w:sz w:val="19"/>
              </w:rPr>
              <w:t>Critère</w:t>
            </w:r>
          </w:p>
        </w:tc>
        <w:tc>
          <w:tcPr>
            <w:tcW w:type="dxa" w:w="100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jc w:val="center"/>
            </w:pPr>
            <w:r>
              <w:rPr>
                <w:b/>
                <w:sz w:val="19"/>
              </w:rPr>
              <w:t>Poids</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pPr>
            <w:r>
              <w:rPr>
                <w:b/>
                <w:sz w:val="19"/>
              </w:rPr>
              <w:t>A 0D</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pPr>
            <w:r>
              <w:rPr>
                <w:b/>
                <w:sz w:val="19"/>
              </w:rPr>
              <w:t>B 1D</w:t>
            </w:r>
          </w:p>
        </w:tc>
        <w:tc>
          <w:tcPr>
            <w:tcW w:type="dxa" w:w="187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DCE6EF"/>
          </w:tcPr>
          <w:p>
            <w:pPr>
              <w:spacing w:after="60" w:before="60"/>
            </w:pPr>
            <w:r>
              <w:rPr>
                <w:b/>
                <w:sz w:val="19"/>
              </w:rPr>
              <w:t>C Entrée sortie</w:t>
            </w:r>
          </w:p>
        </w:tc>
      </w:tr>
      <w:tr>
        <w:trPr>
          <w:cantSplit/>
        </w:trPr>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C1 Régime établi</w:t>
            </w:r>
          </w:p>
        </w:tc>
        <w:tc>
          <w:tcPr>
            <w:tcW w:type="dxa" w:w="100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15 %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87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r>
      <w:tr>
        <w:trPr>
          <w:cantSplit/>
        </w:trPr>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C2 Transitoires</w:t>
            </w:r>
          </w:p>
        </w:tc>
        <w:tc>
          <w:tcPr>
            <w:tcW w:type="dxa" w:w="100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15 %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87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r>
      <w:tr>
        <w:trPr>
          <w:cantSplit/>
        </w:trPr>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C3 Bilans physiques</w:t>
            </w:r>
          </w:p>
        </w:tc>
        <w:tc>
          <w:tcPr>
            <w:tcW w:type="dxa" w:w="100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87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r>
      <w:tr>
        <w:trPr>
          <w:cantSplit/>
        </w:trPr>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C4 Couverture des défauts</w:t>
            </w:r>
          </w:p>
        </w:tc>
        <w:tc>
          <w:tcPr>
            <w:tcW w:type="dxa" w:w="100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15 %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87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r>
      <w:tr>
        <w:trPr>
          <w:cantSplit/>
        </w:trPr>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C5 Effets des défauts</w:t>
            </w:r>
          </w:p>
        </w:tc>
        <w:tc>
          <w:tcPr>
            <w:tcW w:type="dxa" w:w="100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15 %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87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r>
      <w:tr>
        <w:trPr>
          <w:cantSplit/>
        </w:trPr>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C6 Réglage des défauts</w:t>
            </w:r>
          </w:p>
        </w:tc>
        <w:tc>
          <w:tcPr>
            <w:tcW w:type="dxa" w:w="100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87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r>
      <w:tr>
        <w:trPr>
          <w:cantSplit/>
        </w:trPr>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C7 Configuration</w:t>
            </w:r>
          </w:p>
        </w:tc>
        <w:tc>
          <w:tcPr>
            <w:tcW w:type="dxa" w:w="100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87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r>
      <w:tr>
        <w:trPr>
          <w:cantSplit/>
        </w:trPr>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C8 Reproductibilité</w:t>
            </w:r>
          </w:p>
        </w:tc>
        <w:tc>
          <w:tcPr>
            <w:tcW w:type="dxa" w:w="100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c>
          <w:tcPr>
            <w:tcW w:type="dxa" w:w="187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AV</w:t>
            </w:r>
          </w:p>
        </w:tc>
      </w:tr>
      <w:tr>
        <w:trPr>
          <w:cantSplit/>
        </w:trPr>
        <w:tc>
          <w:tcPr>
            <w:tcW w:type="dxa" w:w="388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Total</w:t>
            </w:r>
          </w:p>
        </w:tc>
        <w:tc>
          <w:tcPr>
            <w:tcW w:type="dxa" w:w="100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jc w:val="center"/>
            </w:pPr>
            <w:r>
              <w:rPr>
                <w:b w:val="0"/>
                <w:sz w:val="19"/>
              </w:rPr>
              <w:t>100 %</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À établir</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À établir</w:t>
            </w:r>
          </w:p>
        </w:tc>
        <w:tc>
          <w:tcPr>
            <w:tcW w:type="dxa" w:w="187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À établir</w:t>
            </w:r>
          </w:p>
        </w:tc>
      </w:tr>
    </w:tbl>
    <w:p/>
    <w:p>
      <w:r>
        <w:t>Contribution d’un critère = poids × note / 100. Le total est la somme des contributions sur 100 points. Ne pas remplacer AV par zéro et ne pas présenter un total incomplet comme un classement définitif.</w:t>
      </w:r>
    </w:p>
    <w:p>
      <w:pPr>
        <w:pStyle w:val="Heading2"/>
      </w:pPr>
      <w:r>
        <w:t>Décision et démonstration de faisabilité</w:t>
      </w:r>
    </w:p>
    <w:p>
      <w:r>
        <w:t>Pendant la réunion, confirmer les scénarios, les références, les pondérations et les spécifications encore ouvertes. Examiner les incompatibilités avec les autres fonctions et la charge de réalisation. Si les preuves ne départagent pas les concepts, retenir provisoirement un candidat et les vérifications nécessaires à sa confirmation.</w:t>
      </w:r>
    </w:p>
    <w:p>
      <w:r>
        <w:t>Pour le candidat retenu, réaliser un calcul stationnaire indépendant, une transition normale et un défaut physique représentatif. Ajouter un test propre au concept : sensibilité au découpage pour le 0D, convergence du maillage pour le 1D, ou évaluation sur des données non utilisées pour identifier le modèle entrée-sortie. Vérifier aussi les répétitions et le temps de calcul. Documenter les hypothèses, paramètres, résultats, écarts et décisions.</w:t>
      </w:r>
    </w:p>
    <w:p>
      <w:pPr>
        <w:pStyle w:val="Heading2"/>
      </w:pPr>
      <w:r>
        <w:t>Documents de référence</w:t>
      </w:r>
    </w:p>
    <w:p>
      <w:r>
        <w:t>Martin J.-D. Otis, Atelier 2.2 Analyse des concepts, diapositives 9–15 et 19–26. Structure de description, critères, pondérations et analyse de faisabilité.</w:t>
      </w:r>
    </w:p>
    <w:p>
      <w:r>
        <w:t>GPP de l’OIQ, extrait fourni : mesures, essais et calculs préliminaires ; organisation, analyse et interprétation des résultats.</w:t>
      </w:r>
    </w:p>
    <w:p>
      <w:r>
        <w:t>Chen, Yadav et Agarwal, INL/CON-24-76340, 2024, Digital Twin Enabling Technologies for Online Condition Monitoring of Nuclear Power Plant Components. Contexte de surveillance et de modélisation : https://inldigitallibrary.inl.gov/sites/sti/sti/Sort_89216.pdf</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concepts pour la simulation de la boucle thermohydraulique</dc:title>
  <dc:subject/>
  <dc:creator>Ibrahima Diallo</dc:creator>
  <cp:keywords/>
  <dc:description>generated by python-docx</dc:description>
  <cp:lastModifiedBy/>
  <cp:revision>1</cp:revision>
  <dcterms:created xsi:type="dcterms:W3CDTF">2013-12-23T23:15:00Z</dcterms:created>
  <dcterms:modified xsi:type="dcterms:W3CDTF">2013-12-23T23:15:00Z</dcterms:modified>
  <cp:category/>
</cp:coreProperties>
</file>