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D93E" w14:textId="77777777" w:rsidR="002070F7" w:rsidRPr="003910C7" w:rsidRDefault="00000000">
      <w:pPr>
        <w:spacing w:after="40"/>
        <w:jc w:val="center"/>
        <w:rPr>
          <w:rFonts w:cs="Arial"/>
          <w:bCs/>
          <w:sz w:val="16"/>
          <w:szCs w:val="16"/>
          <w:lang w:val="fr-CA"/>
        </w:rPr>
      </w:pPr>
      <w:r w:rsidRPr="003910C7">
        <w:rPr>
          <w:rFonts w:cs="Arial"/>
          <w:bCs/>
          <w:sz w:val="16"/>
          <w:szCs w:val="16"/>
          <w:lang w:val="fr-CA"/>
        </w:rPr>
        <w:t>SS-3 — Grille finale de pondération et d’évaluation des concepts</w:t>
      </w:r>
    </w:p>
    <w:p w14:paraId="3130E49C" w14:textId="77777777" w:rsidR="002070F7" w:rsidRPr="003910C7" w:rsidRDefault="00000000">
      <w:pPr>
        <w:spacing w:after="20"/>
        <w:jc w:val="center"/>
        <w:rPr>
          <w:rFonts w:cs="Arial"/>
          <w:bCs/>
          <w:sz w:val="16"/>
          <w:szCs w:val="16"/>
          <w:lang w:val="fr-CA"/>
        </w:rPr>
      </w:pPr>
      <w:r w:rsidRPr="003910C7">
        <w:rPr>
          <w:rFonts w:cs="Arial"/>
          <w:bCs/>
          <w:sz w:val="16"/>
          <w:szCs w:val="16"/>
          <w:lang w:val="fr-CA"/>
        </w:rPr>
        <w:t>Fonction : Calculer le comportement attendu et le comparer au comportement observé</w:t>
      </w:r>
    </w:p>
    <w:p w14:paraId="3BBEFA48" w14:textId="463EE3DA" w:rsidR="002070F7" w:rsidRPr="003910C7" w:rsidRDefault="002070F7">
      <w:pPr>
        <w:spacing w:after="80"/>
        <w:jc w:val="center"/>
        <w:rPr>
          <w:rFonts w:cs="Arial"/>
          <w:bCs/>
          <w:sz w:val="16"/>
          <w:szCs w:val="16"/>
          <w:lang w:val="fr-CA"/>
        </w:rPr>
      </w:pPr>
    </w:p>
    <w:tbl>
      <w:tblPr>
        <w:tblStyle w:val="Grilledutableau"/>
        <w:tblW w:w="9569" w:type="dxa"/>
        <w:jc w:val="center"/>
        <w:tblLayout w:type="fixed"/>
        <w:tblLook w:val="04A0" w:firstRow="1" w:lastRow="0" w:firstColumn="1" w:lastColumn="0" w:noHBand="0" w:noVBand="1"/>
      </w:tblPr>
      <w:tblGrid>
        <w:gridCol w:w="1864"/>
        <w:gridCol w:w="1250"/>
        <w:gridCol w:w="2778"/>
        <w:gridCol w:w="1843"/>
        <w:gridCol w:w="1834"/>
      </w:tblGrid>
      <w:tr w:rsidR="002070F7" w:rsidRPr="003910C7" w14:paraId="4014078B" w14:textId="77777777" w:rsidTr="00A51225">
        <w:trPr>
          <w:trHeight w:val="161"/>
          <w:tblHeader/>
          <w:jc w:val="center"/>
        </w:trPr>
        <w:tc>
          <w:tcPr>
            <w:tcW w:w="1864" w:type="dxa"/>
            <w:vMerge w:val="restart"/>
            <w:vAlign w:val="center"/>
          </w:tcPr>
          <w:p w14:paraId="28946C2E" w14:textId="77777777" w:rsidR="002070F7" w:rsidRPr="003910C7" w:rsidRDefault="00000000" w:rsidP="002929B2">
            <w:pPr>
              <w:spacing w:line="360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Critères</w:t>
            </w:r>
            <w:proofErr w:type="spellEnd"/>
          </w:p>
        </w:tc>
        <w:tc>
          <w:tcPr>
            <w:tcW w:w="1250" w:type="dxa"/>
            <w:vMerge w:val="restart"/>
            <w:vAlign w:val="center"/>
          </w:tcPr>
          <w:p w14:paraId="6106FA40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Pondération</w:t>
            </w:r>
            <w:proofErr w:type="spellEnd"/>
          </w:p>
        </w:tc>
        <w:tc>
          <w:tcPr>
            <w:tcW w:w="2778" w:type="dxa"/>
            <w:vMerge w:val="restart"/>
            <w:vAlign w:val="center"/>
          </w:tcPr>
          <w:p w14:paraId="63BB4569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Barème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proposé</w:t>
            </w:r>
            <w:proofErr w:type="spellEnd"/>
          </w:p>
        </w:tc>
        <w:tc>
          <w:tcPr>
            <w:tcW w:w="3677" w:type="dxa"/>
            <w:gridSpan w:val="2"/>
            <w:vAlign w:val="center"/>
          </w:tcPr>
          <w:p w14:paraId="2262B705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Spécification</w:t>
            </w:r>
            <w:proofErr w:type="spellEnd"/>
          </w:p>
        </w:tc>
      </w:tr>
      <w:tr w:rsidR="002070F7" w:rsidRPr="003910C7" w14:paraId="36AA319F" w14:textId="77777777" w:rsidTr="00A51225">
        <w:trPr>
          <w:trHeight w:val="128"/>
          <w:tblHeader/>
          <w:jc w:val="center"/>
        </w:trPr>
        <w:tc>
          <w:tcPr>
            <w:tcW w:w="1864" w:type="dxa"/>
            <w:vMerge/>
          </w:tcPr>
          <w:p w14:paraId="5B723955" w14:textId="77777777" w:rsidR="002070F7" w:rsidRPr="003910C7" w:rsidRDefault="002070F7" w:rsidP="002929B2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50" w:type="dxa"/>
            <w:vMerge/>
          </w:tcPr>
          <w:p w14:paraId="480E69EA" w14:textId="77777777" w:rsidR="002070F7" w:rsidRPr="003910C7" w:rsidRDefault="002070F7" w:rsidP="002929B2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2778" w:type="dxa"/>
            <w:vMerge/>
          </w:tcPr>
          <w:p w14:paraId="6C020F65" w14:textId="77777777" w:rsidR="002070F7" w:rsidRPr="003910C7" w:rsidRDefault="002070F7" w:rsidP="002929B2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26158A48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min.</w:t>
            </w:r>
          </w:p>
        </w:tc>
        <w:tc>
          <w:tcPr>
            <w:tcW w:w="1834" w:type="dxa"/>
            <w:vAlign w:val="center"/>
          </w:tcPr>
          <w:p w14:paraId="2366B7E9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max.</w:t>
            </w:r>
          </w:p>
        </w:tc>
      </w:tr>
      <w:tr w:rsidR="002070F7" w:rsidRPr="003910C7" w14:paraId="2F751EC8" w14:textId="77777777" w:rsidTr="00202518">
        <w:trPr>
          <w:trHeight w:val="161"/>
          <w:jc w:val="center"/>
        </w:trPr>
        <w:tc>
          <w:tcPr>
            <w:tcW w:w="1864" w:type="dxa"/>
            <w:shd w:val="clear" w:color="auto" w:fill="EDEDED"/>
            <w:vAlign w:val="center"/>
          </w:tcPr>
          <w:p w14:paraId="3A3E81A5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Production de la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comparaison</w:t>
            </w:r>
            <w:proofErr w:type="spellEnd"/>
          </w:p>
        </w:tc>
        <w:tc>
          <w:tcPr>
            <w:tcW w:w="1250" w:type="dxa"/>
            <w:shd w:val="clear" w:color="auto" w:fill="EDEDED"/>
            <w:vAlign w:val="center"/>
          </w:tcPr>
          <w:p w14:paraId="0B006B77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30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2A276383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EDEDED"/>
            <w:vAlign w:val="center"/>
          </w:tcPr>
          <w:p w14:paraId="442163AB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34" w:type="dxa"/>
            <w:shd w:val="clear" w:color="auto" w:fill="EDEDED"/>
            <w:vAlign w:val="center"/>
          </w:tcPr>
          <w:p w14:paraId="4FF9711C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2070F7" w:rsidRPr="003910C7" w14:paraId="48AAFF31" w14:textId="77777777" w:rsidTr="00202518">
        <w:trPr>
          <w:trHeight w:val="507"/>
          <w:jc w:val="center"/>
        </w:trPr>
        <w:tc>
          <w:tcPr>
            <w:tcW w:w="1864" w:type="dxa"/>
            <w:vAlign w:val="center"/>
          </w:tcPr>
          <w:p w14:paraId="3B2AAFCE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Couverture de la température, de la pression et du débit</w:t>
            </w:r>
          </w:p>
        </w:tc>
        <w:tc>
          <w:tcPr>
            <w:tcW w:w="1250" w:type="dxa"/>
            <w:vAlign w:val="center"/>
          </w:tcPr>
          <w:p w14:paraId="6FA740CF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15</w:t>
            </w:r>
          </w:p>
        </w:tc>
        <w:tc>
          <w:tcPr>
            <w:tcW w:w="2778" w:type="dxa"/>
            <w:vAlign w:val="center"/>
          </w:tcPr>
          <w:p w14:paraId="04982346" w14:textId="77777777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3 grandeurs couvertes = 100 %;</w:t>
            </w:r>
          </w:p>
          <w:p w14:paraId="6D45E99E" w14:textId="7A836166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2 = 50 %;</w:t>
            </w:r>
          </w:p>
          <w:p w14:paraId="245F05B3" w14:textId="1D3C7939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 = 25 %;</w:t>
            </w:r>
          </w:p>
          <w:p w14:paraId="7E6E3045" w14:textId="2E20335B" w:rsidR="002070F7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aucune = rejet</w:t>
            </w:r>
          </w:p>
        </w:tc>
        <w:tc>
          <w:tcPr>
            <w:tcW w:w="1843" w:type="dxa"/>
            <w:vAlign w:val="center"/>
          </w:tcPr>
          <w:p w14:paraId="643EB6A2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Température, pression et débit couverts selon le périmètre validé</w:t>
            </w:r>
          </w:p>
        </w:tc>
        <w:tc>
          <w:tcPr>
            <w:tcW w:w="1834" w:type="dxa"/>
            <w:vAlign w:val="center"/>
          </w:tcPr>
          <w:p w14:paraId="54F15086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3 grandeurs couvertes</w:t>
            </w:r>
          </w:p>
        </w:tc>
      </w:tr>
      <w:tr w:rsidR="002070F7" w:rsidRPr="003910C7" w14:paraId="3FE060B5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630CE4D3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Disponibilité des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résidus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exploitables</w:t>
            </w:r>
            <w:proofErr w:type="spellEnd"/>
          </w:p>
        </w:tc>
        <w:tc>
          <w:tcPr>
            <w:tcW w:w="1250" w:type="dxa"/>
            <w:vAlign w:val="center"/>
          </w:tcPr>
          <w:p w14:paraId="00B34D52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15</w:t>
            </w:r>
          </w:p>
        </w:tc>
        <w:tc>
          <w:tcPr>
            <w:tcW w:w="2778" w:type="dxa"/>
            <w:vAlign w:val="center"/>
          </w:tcPr>
          <w:p w14:paraId="67075F60" w14:textId="34033A3A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≥99 % = 100 %;</w:t>
            </w:r>
          </w:p>
          <w:p w14:paraId="3800E8B6" w14:textId="6C6A5D1F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≥95 % = 75 %;</w:t>
            </w:r>
          </w:p>
          <w:p w14:paraId="278E2880" w14:textId="220D5180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≥90 % = 50 %;</w:t>
            </w:r>
          </w:p>
          <w:p w14:paraId="0CF33ABE" w14:textId="73FC66A6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≥80 % = 25 %;</w:t>
            </w:r>
          </w:p>
          <w:p w14:paraId="79A9EE05" w14:textId="13B474D8" w:rsidR="002070F7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&lt;80 % = rejet</w:t>
            </w:r>
          </w:p>
        </w:tc>
        <w:tc>
          <w:tcPr>
            <w:tcW w:w="1843" w:type="dxa"/>
            <w:vAlign w:val="center"/>
          </w:tcPr>
          <w:p w14:paraId="071D2E9B" w14:textId="02163C88" w:rsidR="002070F7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80% des cycles valides</w:t>
            </w:r>
          </w:p>
        </w:tc>
        <w:tc>
          <w:tcPr>
            <w:tcW w:w="1834" w:type="dxa"/>
            <w:vAlign w:val="center"/>
          </w:tcPr>
          <w:p w14:paraId="0591A7D6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100 %</w:t>
            </w:r>
          </w:p>
        </w:tc>
      </w:tr>
      <w:tr w:rsidR="002070F7" w:rsidRPr="003910C7" w14:paraId="2B3C1DBE" w14:textId="77777777" w:rsidTr="00202518">
        <w:trPr>
          <w:trHeight w:val="171"/>
          <w:jc w:val="center"/>
        </w:trPr>
        <w:tc>
          <w:tcPr>
            <w:tcW w:w="1864" w:type="dxa"/>
            <w:shd w:val="clear" w:color="auto" w:fill="EDEDED"/>
            <w:vAlign w:val="center"/>
          </w:tcPr>
          <w:p w14:paraId="1DEAE0CA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Qualité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des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résidus</w:t>
            </w:r>
            <w:proofErr w:type="spellEnd"/>
          </w:p>
        </w:tc>
        <w:tc>
          <w:tcPr>
            <w:tcW w:w="1250" w:type="dxa"/>
            <w:shd w:val="clear" w:color="auto" w:fill="EDEDED"/>
            <w:vAlign w:val="center"/>
          </w:tcPr>
          <w:p w14:paraId="56BE6179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30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60AE52B8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EDEDED"/>
            <w:vAlign w:val="center"/>
          </w:tcPr>
          <w:p w14:paraId="1AA84F09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34" w:type="dxa"/>
            <w:shd w:val="clear" w:color="auto" w:fill="EDEDED"/>
            <w:vAlign w:val="center"/>
          </w:tcPr>
          <w:p w14:paraId="45ECDF37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2070F7" w:rsidRPr="003910C7" w14:paraId="41BF8CC7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3C4DD6EB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Capacité à produire des résidus exploitables pour les scénarios de défaillance prévus</w:t>
            </w:r>
          </w:p>
        </w:tc>
        <w:tc>
          <w:tcPr>
            <w:tcW w:w="1250" w:type="dxa"/>
            <w:vAlign w:val="center"/>
          </w:tcPr>
          <w:p w14:paraId="113AC77F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vAlign w:val="center"/>
          </w:tcPr>
          <w:p w14:paraId="1704099D" w14:textId="720A400E" w:rsidR="002070F7" w:rsidRPr="003910C7" w:rsidRDefault="00EF3D0C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3/3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scénarios</w:t>
            </w:r>
            <w:r w:rsidRPr="003910C7">
              <w:rPr>
                <w:rFonts w:cs="Arial"/>
                <w:bCs/>
                <w:sz w:val="16"/>
                <w:szCs w:val="16"/>
              </w:rPr>
              <w:t xml:space="preserve"> de défaillance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>100 %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br/>
            </w:r>
            <w:r w:rsidRPr="003910C7">
              <w:rPr>
                <w:rFonts w:cs="Arial"/>
                <w:bCs/>
                <w:sz w:val="16"/>
                <w:szCs w:val="16"/>
              </w:rPr>
              <w:t>2/3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75 %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br/>
              <w:t>1/</w:t>
            </w:r>
            <w:r w:rsidRPr="003910C7">
              <w:rPr>
                <w:rFonts w:cs="Arial"/>
                <w:bCs/>
                <w:sz w:val="16"/>
                <w:szCs w:val="16"/>
              </w:rPr>
              <w:t>3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25 %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br/>
              <w:t>0/</w:t>
            </w:r>
            <w:r w:rsidRPr="003910C7">
              <w:rPr>
                <w:rFonts w:cs="Arial"/>
                <w:bCs/>
                <w:sz w:val="16"/>
                <w:szCs w:val="16"/>
              </w:rPr>
              <w:t>3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="00000000" w:rsidRPr="003910C7">
              <w:rPr>
                <w:rFonts w:cs="Arial"/>
                <w:bCs/>
                <w:sz w:val="16"/>
                <w:szCs w:val="16"/>
              </w:rPr>
              <w:t xml:space="preserve"> rejet</w:t>
            </w:r>
          </w:p>
        </w:tc>
        <w:tc>
          <w:tcPr>
            <w:tcW w:w="1843" w:type="dxa"/>
            <w:vAlign w:val="center"/>
          </w:tcPr>
          <w:p w14:paraId="10F1818A" w14:textId="0A1FF787" w:rsidR="002070F7" w:rsidRPr="003910C7" w:rsidRDefault="007D505E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Résidu exploitable pour chacun des 3 scénarios de défaillance prévus par EX-F-02</w:t>
            </w:r>
          </w:p>
        </w:tc>
        <w:tc>
          <w:tcPr>
            <w:tcW w:w="1834" w:type="dxa"/>
            <w:vAlign w:val="center"/>
          </w:tcPr>
          <w:p w14:paraId="1C0332C6" w14:textId="4536F202" w:rsidR="002070F7" w:rsidRPr="003910C7" w:rsidRDefault="007D505E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Résidus exploitables pour 100 % des 3 scénarios de défaillance</w:t>
            </w:r>
          </w:p>
        </w:tc>
      </w:tr>
      <w:tr w:rsidR="002070F7" w:rsidRPr="003910C7" w14:paraId="23781A80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6C8886A2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Respect des tolérances en fonctionnement sans défaut</w:t>
            </w:r>
          </w:p>
        </w:tc>
        <w:tc>
          <w:tcPr>
            <w:tcW w:w="1250" w:type="dxa"/>
            <w:vAlign w:val="center"/>
          </w:tcPr>
          <w:p w14:paraId="4CA1D49C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vAlign w:val="center"/>
          </w:tcPr>
          <w:p w14:paraId="776643E7" w14:textId="5CB4FEBD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≥ 99 %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</w:rPr>
              <w:t xml:space="preserve"> 100 %</w:t>
            </w:r>
            <w:r w:rsidRPr="003910C7">
              <w:rPr>
                <w:rFonts w:cs="Arial"/>
                <w:bCs/>
                <w:sz w:val="16"/>
                <w:szCs w:val="16"/>
              </w:rPr>
              <w:br/>
              <w:t xml:space="preserve">≥ 95 %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</w:rPr>
              <w:t xml:space="preserve"> 75 %</w:t>
            </w:r>
            <w:r w:rsidRPr="003910C7">
              <w:rPr>
                <w:rFonts w:cs="Arial"/>
                <w:bCs/>
                <w:sz w:val="16"/>
                <w:szCs w:val="16"/>
              </w:rPr>
              <w:br/>
              <w:t xml:space="preserve">≥ 90 %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</w:rPr>
              <w:t xml:space="preserve"> 50 %</w:t>
            </w:r>
            <w:r w:rsidRPr="003910C7">
              <w:rPr>
                <w:rFonts w:cs="Arial"/>
                <w:bCs/>
                <w:sz w:val="16"/>
                <w:szCs w:val="16"/>
              </w:rPr>
              <w:br/>
              <w:t xml:space="preserve">≥ 80 %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</w:rPr>
              <w:t xml:space="preserve"> 25 %</w:t>
            </w:r>
            <w:r w:rsidRPr="003910C7">
              <w:rPr>
                <w:rFonts w:cs="Arial"/>
                <w:bCs/>
                <w:sz w:val="16"/>
                <w:szCs w:val="16"/>
              </w:rPr>
              <w:br/>
              <w:t xml:space="preserve">&lt; 80 % </w:t>
            </w:r>
            <w:r w:rsidR="002929B2" w:rsidRPr="003910C7">
              <w:rPr>
                <w:rFonts w:cs="Arial"/>
                <w:bCs/>
                <w:sz w:val="16"/>
                <w:szCs w:val="16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</w:rPr>
              <w:t xml:space="preserve"> rejet</w:t>
            </w:r>
          </w:p>
        </w:tc>
        <w:tc>
          <w:tcPr>
            <w:tcW w:w="1843" w:type="dxa"/>
            <w:vAlign w:val="center"/>
          </w:tcPr>
          <w:p w14:paraId="2947EFF4" w14:textId="2A1CD8DE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80 % des comparaisons dans les tolérances prévues</w:t>
            </w:r>
          </w:p>
        </w:tc>
        <w:tc>
          <w:tcPr>
            <w:tcW w:w="1834" w:type="dxa"/>
            <w:vAlign w:val="center"/>
          </w:tcPr>
          <w:p w14:paraId="47CD2102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Tolérances respectées sur tous les essais</w:t>
            </w:r>
          </w:p>
        </w:tc>
      </w:tr>
      <w:tr w:rsidR="002070F7" w:rsidRPr="003910C7" w14:paraId="19003E76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519D72FF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Risque de masquage d’un défaut réel</w:t>
            </w:r>
          </w:p>
        </w:tc>
        <w:tc>
          <w:tcPr>
            <w:tcW w:w="1250" w:type="dxa"/>
            <w:vAlign w:val="center"/>
          </w:tcPr>
          <w:p w14:paraId="205179F4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vAlign w:val="center"/>
          </w:tcPr>
          <w:p w14:paraId="70C04CE5" w14:textId="03AD08C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Aucun masquage identifié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100 %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Faible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75 %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Modéré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50 %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Élevé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25 %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Scénario obligatoire intrinsèquement masqué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rejet</w:t>
            </w:r>
          </w:p>
        </w:tc>
        <w:tc>
          <w:tcPr>
            <w:tcW w:w="1843" w:type="dxa"/>
            <w:vAlign w:val="center"/>
          </w:tcPr>
          <w:p w14:paraId="1C52E36E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Aucun scénario obligatoire intrinsèquement masqué</w:t>
            </w:r>
          </w:p>
        </w:tc>
        <w:tc>
          <w:tcPr>
            <w:tcW w:w="1834" w:type="dxa"/>
            <w:vAlign w:val="center"/>
          </w:tcPr>
          <w:p w14:paraId="32EBBEB7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Aucun mécanisme de masquage significatif identifié</w:t>
            </w:r>
          </w:p>
        </w:tc>
      </w:tr>
      <w:tr w:rsidR="002070F7" w:rsidRPr="003910C7" w14:paraId="677DFF6B" w14:textId="77777777" w:rsidTr="00202518">
        <w:trPr>
          <w:trHeight w:val="161"/>
          <w:jc w:val="center"/>
        </w:trPr>
        <w:tc>
          <w:tcPr>
            <w:tcW w:w="1864" w:type="dxa"/>
            <w:shd w:val="clear" w:color="auto" w:fill="EDEDED"/>
            <w:vAlign w:val="center"/>
          </w:tcPr>
          <w:p w14:paraId="3968EF63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Validité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et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traçabilité</w:t>
            </w:r>
            <w:proofErr w:type="spellEnd"/>
          </w:p>
        </w:tc>
        <w:tc>
          <w:tcPr>
            <w:tcW w:w="1250" w:type="dxa"/>
            <w:shd w:val="clear" w:color="auto" w:fill="EDEDED"/>
            <w:vAlign w:val="center"/>
          </w:tcPr>
          <w:p w14:paraId="09B47D7D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20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6C3ED3B0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EDEDED"/>
            <w:vAlign w:val="center"/>
          </w:tcPr>
          <w:p w14:paraId="414BF861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34" w:type="dxa"/>
            <w:shd w:val="clear" w:color="auto" w:fill="EDEDED"/>
            <w:vAlign w:val="center"/>
          </w:tcPr>
          <w:p w14:paraId="1A847B61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2070F7" w:rsidRPr="003910C7" w14:paraId="530DE57B" w14:textId="77777777" w:rsidTr="00202518">
        <w:trPr>
          <w:trHeight w:val="944"/>
          <w:jc w:val="center"/>
        </w:trPr>
        <w:tc>
          <w:tcPr>
            <w:tcW w:w="1864" w:type="dxa"/>
            <w:vAlign w:val="center"/>
          </w:tcPr>
          <w:p w14:paraId="67BC9B23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Gestion des mesures absentes, invalides ou désynchronisées</w:t>
            </w:r>
          </w:p>
        </w:tc>
        <w:tc>
          <w:tcPr>
            <w:tcW w:w="1250" w:type="dxa"/>
            <w:vAlign w:val="center"/>
          </w:tcPr>
          <w:p w14:paraId="499883CD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vAlign w:val="center"/>
          </w:tcPr>
          <w:p w14:paraId="7B053380" w14:textId="33D7EF32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Tous les cas traités correctement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100 %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Traitement partiel maîtrisé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75 %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Traitement partiel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50 %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Traitement insuffisant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25 %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Donnée invalide utilisée comme valide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rejet</w:t>
            </w:r>
          </w:p>
        </w:tc>
        <w:tc>
          <w:tcPr>
            <w:tcW w:w="1843" w:type="dxa"/>
            <w:vAlign w:val="center"/>
          </w:tcPr>
          <w:p w14:paraId="1195A226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Aucune donnée invalide utilisée comme donnée exploitable</w:t>
            </w:r>
          </w:p>
        </w:tc>
        <w:tc>
          <w:tcPr>
            <w:tcW w:w="1834" w:type="dxa"/>
            <w:vAlign w:val="center"/>
          </w:tcPr>
          <w:p w14:paraId="347A4DF8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Tous les cas traités correctement</w:t>
            </w:r>
          </w:p>
        </w:tc>
      </w:tr>
      <w:tr w:rsidR="002070F7" w:rsidRPr="003910C7" w14:paraId="73C56547" w14:textId="77777777" w:rsidTr="00202518">
        <w:trPr>
          <w:trHeight w:val="785"/>
          <w:jc w:val="center"/>
        </w:trPr>
        <w:tc>
          <w:tcPr>
            <w:tcW w:w="1864" w:type="dxa"/>
            <w:vAlign w:val="center"/>
          </w:tcPr>
          <w:p w14:paraId="572976F9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Traçabilité et contexte des résidus</w:t>
            </w:r>
          </w:p>
        </w:tc>
        <w:tc>
          <w:tcPr>
            <w:tcW w:w="1250" w:type="dxa"/>
            <w:vAlign w:val="center"/>
          </w:tcPr>
          <w:p w14:paraId="6CC61FBF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vAlign w:val="center"/>
          </w:tcPr>
          <w:p w14:paraId="07BCD4CE" w14:textId="01277383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Résidu + variable + unité + horodatage + validité + référence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100 %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1 information secondaire manquante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75 %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Identification + unité + horodatage + validité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50 %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Information partielle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25 %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Résidu non identifiable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rejet</w:t>
            </w:r>
          </w:p>
        </w:tc>
        <w:tc>
          <w:tcPr>
            <w:tcW w:w="1843" w:type="dxa"/>
            <w:vAlign w:val="center"/>
          </w:tcPr>
          <w:p w14:paraId="723CA465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Identification de la variable, unité, horodatage et validité</w:t>
            </w:r>
          </w:p>
        </w:tc>
        <w:tc>
          <w:tcPr>
            <w:tcW w:w="1834" w:type="dxa"/>
            <w:vAlign w:val="center"/>
          </w:tcPr>
          <w:p w14:paraId="1B7BB46C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Contexte complet permettant l’interprétation du résidu</w:t>
            </w:r>
          </w:p>
        </w:tc>
      </w:tr>
      <w:tr w:rsidR="002070F7" w:rsidRPr="003910C7" w14:paraId="2FFF77DF" w14:textId="77777777" w:rsidTr="00202518">
        <w:trPr>
          <w:trHeight w:val="161"/>
          <w:jc w:val="center"/>
        </w:trPr>
        <w:tc>
          <w:tcPr>
            <w:tcW w:w="1864" w:type="dxa"/>
            <w:shd w:val="clear" w:color="auto" w:fill="EDEDED"/>
            <w:vAlign w:val="center"/>
          </w:tcPr>
          <w:p w14:paraId="76CB5105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Indépendance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et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vérification</w:t>
            </w:r>
            <w:proofErr w:type="spellEnd"/>
          </w:p>
        </w:tc>
        <w:tc>
          <w:tcPr>
            <w:tcW w:w="1250" w:type="dxa"/>
            <w:shd w:val="clear" w:color="auto" w:fill="EDEDED"/>
            <w:vAlign w:val="center"/>
          </w:tcPr>
          <w:p w14:paraId="70F0334F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49ED5FB3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EDEDED"/>
            <w:vAlign w:val="center"/>
          </w:tcPr>
          <w:p w14:paraId="327D3590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34" w:type="dxa"/>
            <w:shd w:val="clear" w:color="auto" w:fill="EDEDED"/>
            <w:vAlign w:val="center"/>
          </w:tcPr>
          <w:p w14:paraId="087C9F7F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2070F7" w:rsidRPr="003910C7" w14:paraId="143D77A0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76A66A58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Indépendance vis-à-vis de SS-1</w:t>
            </w:r>
          </w:p>
        </w:tc>
        <w:tc>
          <w:tcPr>
            <w:tcW w:w="1250" w:type="dxa"/>
            <w:vAlign w:val="center"/>
          </w:tcPr>
          <w:p w14:paraId="694AA4FB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2778" w:type="dxa"/>
            <w:vAlign w:val="center"/>
          </w:tcPr>
          <w:p w14:paraId="6FA82A7D" w14:textId="29A8151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Formalisme, code et paramètres indépendants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100 %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Indépendance forte, hypothèses similaires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75 %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Dépendances limitées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50 %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Forte dépendance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25 %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br/>
              <w:t xml:space="preserve">Lecture des états internes de SS-1 </w:t>
            </w:r>
            <w:r w:rsidR="002929B2" w:rsidRPr="003910C7">
              <w:rPr>
                <w:rFonts w:cs="Arial"/>
                <w:bCs/>
                <w:sz w:val="16"/>
                <w:szCs w:val="16"/>
                <w:lang w:val="fr-CA"/>
              </w:rPr>
              <w:t>=</w:t>
            </w: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rejet</w:t>
            </w:r>
          </w:p>
        </w:tc>
        <w:tc>
          <w:tcPr>
            <w:tcW w:w="1843" w:type="dxa"/>
            <w:vAlign w:val="center"/>
          </w:tcPr>
          <w:p w14:paraId="21730089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Aucun accès aux états internes cachés de SS-1</w:t>
            </w:r>
          </w:p>
        </w:tc>
        <w:tc>
          <w:tcPr>
            <w:tcW w:w="1834" w:type="dxa"/>
            <w:vAlign w:val="center"/>
          </w:tcPr>
          <w:p w14:paraId="53E85CD0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Indépendance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complète</w:t>
            </w:r>
            <w:proofErr w:type="spellEnd"/>
            <w:r w:rsidRPr="003910C7">
              <w:rPr>
                <w:rFonts w:cs="Arial"/>
                <w:bCs/>
                <w:sz w:val="16"/>
                <w:szCs w:val="16"/>
              </w:rPr>
              <w:t xml:space="preserve"> et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démontrable</w:t>
            </w:r>
            <w:proofErr w:type="spellEnd"/>
          </w:p>
        </w:tc>
      </w:tr>
      <w:tr w:rsidR="002070F7" w:rsidRPr="003910C7" w14:paraId="667A8203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1522E35C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Vérification indépendante des calculs de résidu</w:t>
            </w:r>
          </w:p>
        </w:tc>
        <w:tc>
          <w:tcPr>
            <w:tcW w:w="1250" w:type="dxa"/>
            <w:vAlign w:val="center"/>
          </w:tcPr>
          <w:p w14:paraId="7678F6AB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2778" w:type="dxa"/>
            <w:vAlign w:val="center"/>
          </w:tcPr>
          <w:p w14:paraId="761B7163" w14:textId="7FD80D27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Tous les calculs vérifiés sur cas indépendants = 100 %;</w:t>
            </w:r>
          </w:p>
          <w:p w14:paraId="617FAAB7" w14:textId="34FAF5A0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≥75 % = 75 % ;</w:t>
            </w:r>
          </w:p>
          <w:p w14:paraId="7EFF3DB7" w14:textId="1AADD6C4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≥50 % = 50 % ;</w:t>
            </w:r>
          </w:p>
          <w:p w14:paraId="233CD898" w14:textId="2C6E0B2F" w:rsidR="002929B2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&gt;0 % = 25 % ;</w:t>
            </w:r>
          </w:p>
          <w:p w14:paraId="199BEB72" w14:textId="20EF9BE8" w:rsidR="002070F7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aucun = rejet</w:t>
            </w:r>
          </w:p>
        </w:tc>
        <w:tc>
          <w:tcPr>
            <w:tcW w:w="1843" w:type="dxa"/>
            <w:vAlign w:val="center"/>
          </w:tcPr>
          <w:p w14:paraId="0DA4287E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Au moins un cas de vérification indépendant</w:t>
            </w:r>
          </w:p>
        </w:tc>
        <w:tc>
          <w:tcPr>
            <w:tcW w:w="1834" w:type="dxa"/>
            <w:vAlign w:val="center"/>
          </w:tcPr>
          <w:p w14:paraId="6DB22677" w14:textId="683FC0C9" w:rsidR="002070F7" w:rsidRPr="003910C7" w:rsidRDefault="002929B2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100% des calculs critiques </w:t>
            </w: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vérifiés</w:t>
            </w:r>
            <w:proofErr w:type="spellEnd"/>
          </w:p>
        </w:tc>
      </w:tr>
      <w:tr w:rsidR="002070F7" w:rsidRPr="003910C7" w14:paraId="0981AC1C" w14:textId="77777777" w:rsidTr="00202518">
        <w:trPr>
          <w:trHeight w:val="161"/>
          <w:jc w:val="center"/>
        </w:trPr>
        <w:tc>
          <w:tcPr>
            <w:tcW w:w="1864" w:type="dxa"/>
            <w:shd w:val="clear" w:color="auto" w:fill="EDEDED"/>
            <w:vAlign w:val="center"/>
          </w:tcPr>
          <w:p w14:paraId="04DAA4C1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proofErr w:type="spellStart"/>
            <w:r w:rsidRPr="003910C7">
              <w:rPr>
                <w:rFonts w:cs="Arial"/>
                <w:bCs/>
                <w:sz w:val="16"/>
                <w:szCs w:val="16"/>
              </w:rPr>
              <w:t>Faisabilité</w:t>
            </w:r>
            <w:proofErr w:type="spellEnd"/>
          </w:p>
        </w:tc>
        <w:tc>
          <w:tcPr>
            <w:tcW w:w="1250" w:type="dxa"/>
            <w:shd w:val="clear" w:color="auto" w:fill="EDEDED"/>
            <w:vAlign w:val="center"/>
          </w:tcPr>
          <w:p w14:paraId="52EF36A9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</w:t>
            </w:r>
          </w:p>
        </w:tc>
        <w:tc>
          <w:tcPr>
            <w:tcW w:w="2778" w:type="dxa"/>
            <w:shd w:val="clear" w:color="auto" w:fill="EDEDED"/>
            <w:vAlign w:val="center"/>
          </w:tcPr>
          <w:p w14:paraId="3E10D43A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EDEDED"/>
            <w:vAlign w:val="center"/>
          </w:tcPr>
          <w:p w14:paraId="26AA7EF4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34" w:type="dxa"/>
            <w:shd w:val="clear" w:color="auto" w:fill="EDEDED"/>
            <w:vAlign w:val="center"/>
          </w:tcPr>
          <w:p w14:paraId="75D50DDC" w14:textId="77777777" w:rsidR="002070F7" w:rsidRPr="003910C7" w:rsidRDefault="002070F7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2070F7" w:rsidRPr="003910C7" w14:paraId="36E253C9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4EB452F6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Effort de développement et d’intégration</w:t>
            </w:r>
          </w:p>
        </w:tc>
        <w:tc>
          <w:tcPr>
            <w:tcW w:w="1250" w:type="dxa"/>
            <w:vAlign w:val="center"/>
          </w:tcPr>
          <w:p w14:paraId="76DF8852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2778" w:type="dxa"/>
            <w:vAlign w:val="center"/>
          </w:tcPr>
          <w:p w14:paraId="5BEC92C9" w14:textId="77777777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≤60 % budget = 100 % ;</w:t>
            </w:r>
          </w:p>
          <w:p w14:paraId="22020B78" w14:textId="77777777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 ≤80 % = 75 % ; </w:t>
            </w:r>
          </w:p>
          <w:p w14:paraId="700521E5" w14:textId="77777777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≤100 % = 50 % ; </w:t>
            </w:r>
          </w:p>
          <w:p w14:paraId="520FF33C" w14:textId="77777777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 xml:space="preserve">dépassement maîtrisable = 25 % ; </w:t>
            </w:r>
          </w:p>
          <w:p w14:paraId="787DB3A3" w14:textId="4D265176" w:rsidR="002070F7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irréalisable = rejet</w:t>
            </w:r>
          </w:p>
        </w:tc>
        <w:tc>
          <w:tcPr>
            <w:tcW w:w="1843" w:type="dxa"/>
            <w:vAlign w:val="center"/>
          </w:tcPr>
          <w:p w14:paraId="09616C2E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Réalisable dans le budget d’heures attribué à SS-3</w:t>
            </w:r>
          </w:p>
        </w:tc>
        <w:tc>
          <w:tcPr>
            <w:tcW w:w="1834" w:type="dxa"/>
            <w:vAlign w:val="center"/>
          </w:tcPr>
          <w:p w14:paraId="797FCCD7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Marge suffisante dans le budget</w:t>
            </w:r>
          </w:p>
        </w:tc>
      </w:tr>
      <w:tr w:rsidR="002070F7" w:rsidRPr="003910C7" w14:paraId="3E2D9CC5" w14:textId="77777777" w:rsidTr="00202518">
        <w:trPr>
          <w:trHeight w:val="636"/>
          <w:jc w:val="center"/>
        </w:trPr>
        <w:tc>
          <w:tcPr>
            <w:tcW w:w="1864" w:type="dxa"/>
            <w:vAlign w:val="center"/>
          </w:tcPr>
          <w:p w14:paraId="23B50D47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Temps de calcul par cycle</w:t>
            </w:r>
          </w:p>
        </w:tc>
        <w:tc>
          <w:tcPr>
            <w:tcW w:w="1250" w:type="dxa"/>
            <w:vAlign w:val="center"/>
          </w:tcPr>
          <w:p w14:paraId="73CB2CAA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2778" w:type="dxa"/>
            <w:vAlign w:val="center"/>
          </w:tcPr>
          <w:p w14:paraId="0C142488" w14:textId="17276569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≤25 % budget SS-3 = 100 %;</w:t>
            </w:r>
          </w:p>
          <w:p w14:paraId="4FAB14CE" w14:textId="41DEE2F2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 ≤50 % = 75 %; </w:t>
            </w:r>
          </w:p>
          <w:p w14:paraId="29D53107" w14:textId="493BE689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≤75 % = 50 %;</w:t>
            </w:r>
          </w:p>
          <w:p w14:paraId="3E37FD11" w14:textId="2C2ED6A0" w:rsidR="007C7838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 ≤100 % = 25 %;</w:t>
            </w:r>
          </w:p>
          <w:p w14:paraId="547D67B9" w14:textId="1A07F468" w:rsidR="002070F7" w:rsidRPr="003910C7" w:rsidRDefault="007C7838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 xml:space="preserve"> dépassement = rejet</w:t>
            </w:r>
          </w:p>
        </w:tc>
        <w:tc>
          <w:tcPr>
            <w:tcW w:w="1843" w:type="dxa"/>
            <w:vAlign w:val="center"/>
          </w:tcPr>
          <w:p w14:paraId="6A0108AF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Respect du budget de temps attribué à SS-3</w:t>
            </w:r>
          </w:p>
        </w:tc>
        <w:tc>
          <w:tcPr>
            <w:tcW w:w="1834" w:type="dxa"/>
            <w:vAlign w:val="center"/>
          </w:tcPr>
          <w:p w14:paraId="44B711AB" w14:textId="77777777" w:rsidR="002070F7" w:rsidRPr="003910C7" w:rsidRDefault="00000000" w:rsidP="002929B2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  <w:lang w:val="fr-CA"/>
              </w:rPr>
            </w:pPr>
            <w:r w:rsidRPr="003910C7">
              <w:rPr>
                <w:rFonts w:cs="Arial"/>
                <w:bCs/>
                <w:sz w:val="16"/>
                <w:szCs w:val="16"/>
                <w:lang w:val="fr-CA"/>
              </w:rPr>
              <w:t>Temps de calcul nettement inférieur au budget attribué</w:t>
            </w:r>
          </w:p>
        </w:tc>
      </w:tr>
      <w:tr w:rsidR="002070F7" w:rsidRPr="003910C7" w14:paraId="3C047177" w14:textId="77777777" w:rsidTr="00A51225">
        <w:trPr>
          <w:trHeight w:val="171"/>
          <w:jc w:val="center"/>
        </w:trPr>
        <w:tc>
          <w:tcPr>
            <w:tcW w:w="1864" w:type="dxa"/>
            <w:vAlign w:val="center"/>
          </w:tcPr>
          <w:p w14:paraId="76E40EA0" w14:textId="77777777" w:rsidR="002070F7" w:rsidRPr="003910C7" w:rsidRDefault="00000000">
            <w:pPr>
              <w:spacing w:line="228" w:lineRule="auto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TOTAL</w:t>
            </w:r>
          </w:p>
        </w:tc>
        <w:tc>
          <w:tcPr>
            <w:tcW w:w="1250" w:type="dxa"/>
            <w:vAlign w:val="center"/>
          </w:tcPr>
          <w:p w14:paraId="261200E5" w14:textId="77777777" w:rsidR="002070F7" w:rsidRPr="003910C7" w:rsidRDefault="00000000">
            <w:pPr>
              <w:spacing w:line="228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3910C7">
              <w:rPr>
                <w:rFonts w:cs="Arial"/>
                <w:bCs/>
                <w:sz w:val="16"/>
                <w:szCs w:val="16"/>
              </w:rPr>
              <w:t>100</w:t>
            </w:r>
          </w:p>
        </w:tc>
        <w:tc>
          <w:tcPr>
            <w:tcW w:w="2778" w:type="dxa"/>
            <w:vAlign w:val="center"/>
          </w:tcPr>
          <w:p w14:paraId="1BB912E8" w14:textId="77777777" w:rsidR="002070F7" w:rsidRPr="003910C7" w:rsidRDefault="002070F7">
            <w:pPr>
              <w:spacing w:line="228" w:lineRule="auto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26170D39" w14:textId="77777777" w:rsidR="002070F7" w:rsidRPr="003910C7" w:rsidRDefault="002070F7">
            <w:pPr>
              <w:spacing w:line="228" w:lineRule="auto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834" w:type="dxa"/>
            <w:vAlign w:val="center"/>
          </w:tcPr>
          <w:p w14:paraId="5D630D5C" w14:textId="77777777" w:rsidR="002070F7" w:rsidRPr="003910C7" w:rsidRDefault="002070F7">
            <w:pPr>
              <w:spacing w:line="228" w:lineRule="auto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1181C36A" w14:textId="77777777" w:rsidR="002070F7" w:rsidRPr="003910C7" w:rsidRDefault="002070F7">
      <w:pPr>
        <w:rPr>
          <w:rFonts w:cs="Arial"/>
          <w:bCs/>
          <w:sz w:val="16"/>
          <w:szCs w:val="16"/>
        </w:rPr>
      </w:pPr>
    </w:p>
    <w:p w14:paraId="15C792EE" w14:textId="369E143E" w:rsidR="00931D09" w:rsidRPr="003910C7" w:rsidRDefault="00931D09">
      <w:pPr>
        <w:rPr>
          <w:rFonts w:cs="Arial"/>
          <w:bCs/>
          <w:sz w:val="16"/>
          <w:szCs w:val="16"/>
          <w:lang w:val="fr-CA"/>
        </w:rPr>
      </w:pPr>
      <w:r w:rsidRPr="003910C7">
        <w:rPr>
          <w:rFonts w:cs="Arial"/>
          <w:bCs/>
          <w:sz w:val="16"/>
          <w:szCs w:val="16"/>
          <w:lang w:val="fr-CA"/>
        </w:rPr>
        <w:t>Tout concept ne respectant pas une spécification minimale est considéré non conforme, indépendamment de son score pondéré.</w:t>
      </w:r>
    </w:p>
    <w:p w14:paraId="3A32838A" w14:textId="77777777" w:rsidR="002070F7" w:rsidRPr="003910C7" w:rsidRDefault="00000000">
      <w:pPr>
        <w:spacing w:after="40"/>
        <w:rPr>
          <w:rFonts w:cs="Arial"/>
          <w:bCs/>
          <w:sz w:val="16"/>
          <w:szCs w:val="16"/>
          <w:lang w:val="fr-CA"/>
        </w:rPr>
      </w:pPr>
      <w:r w:rsidRPr="003910C7">
        <w:rPr>
          <w:rFonts w:cs="Arial"/>
          <w:bCs/>
          <w:sz w:val="16"/>
          <w:szCs w:val="16"/>
          <w:lang w:val="fr-CA"/>
        </w:rPr>
        <w:t>Vérification des pondérations : 30 + 30 + 20 + 10 + 10 = 100. Dans chaque fonctionnalité, la somme des critères correspond exactement au poids de la fonctionnalité.</w:t>
      </w:r>
    </w:p>
    <w:p w14:paraId="3EED0A4B" w14:textId="497B098C" w:rsidR="002070F7" w:rsidRPr="003910C7" w:rsidRDefault="007D505E" w:rsidP="007D505E">
      <w:pPr>
        <w:spacing w:after="0"/>
        <w:rPr>
          <w:rFonts w:cs="Arial"/>
          <w:bCs/>
          <w:sz w:val="16"/>
          <w:szCs w:val="16"/>
          <w:lang w:val="fr-CA"/>
        </w:rPr>
      </w:pPr>
      <w:r w:rsidRPr="003910C7">
        <w:rPr>
          <w:rFonts w:cs="Arial"/>
          <w:bCs/>
          <w:sz w:val="16"/>
          <w:szCs w:val="16"/>
          <w:lang w:val="fr-CA"/>
        </w:rPr>
        <w:t>Note : Les seuils numériques présentés dans cette grille constituent des valeurs proposées pour l’évaluation comparative des concepts et devront être validés par l’équipe. Les budgets de temps et d’heures propres à SS-3 doivent également être fixés collectivement avant l’évaluation finale.</w:t>
      </w:r>
    </w:p>
    <w:sectPr w:rsidR="002070F7" w:rsidRPr="003910C7" w:rsidSect="00BB5FC7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368549">
    <w:abstractNumId w:val="8"/>
  </w:num>
  <w:num w:numId="2" w16cid:durableId="1865633707">
    <w:abstractNumId w:val="6"/>
  </w:num>
  <w:num w:numId="3" w16cid:durableId="1722248130">
    <w:abstractNumId w:val="5"/>
  </w:num>
  <w:num w:numId="4" w16cid:durableId="1389302093">
    <w:abstractNumId w:val="4"/>
  </w:num>
  <w:num w:numId="5" w16cid:durableId="860317493">
    <w:abstractNumId w:val="7"/>
  </w:num>
  <w:num w:numId="6" w16cid:durableId="611476670">
    <w:abstractNumId w:val="3"/>
  </w:num>
  <w:num w:numId="7" w16cid:durableId="792099072">
    <w:abstractNumId w:val="2"/>
  </w:num>
  <w:num w:numId="8" w16cid:durableId="1252859640">
    <w:abstractNumId w:val="1"/>
  </w:num>
  <w:num w:numId="9" w16cid:durableId="58472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C0"/>
    <w:rsid w:val="00034616"/>
    <w:rsid w:val="0006063C"/>
    <w:rsid w:val="000A390B"/>
    <w:rsid w:val="0015074B"/>
    <w:rsid w:val="001748E8"/>
    <w:rsid w:val="00202518"/>
    <w:rsid w:val="002070F7"/>
    <w:rsid w:val="002929B2"/>
    <w:rsid w:val="0029639D"/>
    <w:rsid w:val="00326F90"/>
    <w:rsid w:val="003910C7"/>
    <w:rsid w:val="005C58EE"/>
    <w:rsid w:val="006D1A5C"/>
    <w:rsid w:val="007C7838"/>
    <w:rsid w:val="007D505E"/>
    <w:rsid w:val="007F3283"/>
    <w:rsid w:val="007F7ACD"/>
    <w:rsid w:val="00931D09"/>
    <w:rsid w:val="00953A5A"/>
    <w:rsid w:val="00A51225"/>
    <w:rsid w:val="00AA1D8D"/>
    <w:rsid w:val="00B47730"/>
    <w:rsid w:val="00BB5FC7"/>
    <w:rsid w:val="00BF5135"/>
    <w:rsid w:val="00CA1DF9"/>
    <w:rsid w:val="00CB0664"/>
    <w:rsid w:val="00E248CB"/>
    <w:rsid w:val="00EF3D0C"/>
    <w:rsid w:val="00FA6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613E1"/>
  <w14:defaultImageDpi w14:val="300"/>
  <w15:docId w15:val="{030E8ADE-02AF-4FF9-B8B8-7A3DF715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ABDOUL RAOUF KABRE</cp:lastModifiedBy>
  <cp:revision>21</cp:revision>
  <dcterms:created xsi:type="dcterms:W3CDTF">2013-12-23T23:15:00Z</dcterms:created>
  <dcterms:modified xsi:type="dcterms:W3CDTF">2026-10-22T05:08:00Z</dcterms:modified>
  <cp:category/>
</cp:coreProperties>
</file>