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6427" w14:textId="77777777" w:rsidR="001B394B" w:rsidRPr="004C2012" w:rsidRDefault="00000000">
      <w:pPr>
        <w:pStyle w:val="Titre1"/>
        <w:rPr>
          <w:lang w:val="fr-FR"/>
        </w:rPr>
      </w:pPr>
      <w:r w:rsidRPr="004C2012">
        <w:rPr>
          <w:lang w:val="fr-FR"/>
        </w:rPr>
        <w:t>SS-6 – Analyse qualitative des concepts B et C</w:t>
      </w:r>
    </w:p>
    <w:p w14:paraId="6F885BDC" w14:textId="77777777" w:rsidR="001B394B" w:rsidRPr="004C2012" w:rsidRDefault="00000000">
      <w:pPr>
        <w:rPr>
          <w:lang w:val="fr-FR"/>
        </w:rPr>
      </w:pPr>
      <w:r w:rsidRPr="004C2012">
        <w:rPr>
          <w:lang w:val="fr-FR"/>
        </w:rPr>
        <w:t>Le concept B (journal de données) est la solution préférée pour SS-6 : c'est le seul qui permet de vérifier le diagnostic au lieu de le croire. Il sera complété par le scellement signé du concept C.</w:t>
      </w:r>
    </w:p>
    <w:p w14:paraId="5D38F092" w14:textId="77777777" w:rsidR="001B394B" w:rsidRPr="004C2012" w:rsidRDefault="00000000">
      <w:pPr>
        <w:pStyle w:val="Titre2"/>
        <w:rPr>
          <w:lang w:val="fr-FR"/>
        </w:rPr>
      </w:pPr>
      <w:r w:rsidRPr="004C2012">
        <w:rPr>
          <w:lang w:val="fr-FR"/>
        </w:rPr>
        <w:t>1. Les deux concepts</w:t>
      </w:r>
    </w:p>
    <w:p w14:paraId="6C71EF39" w14:textId="77777777" w:rsidR="001B394B" w:rsidRPr="004C2012" w:rsidRDefault="00000000">
      <w:pPr>
        <w:pStyle w:val="Titre3"/>
        <w:rPr>
          <w:lang w:val="fr-FR"/>
        </w:rPr>
      </w:pPr>
      <w:r w:rsidRPr="004C2012">
        <w:rPr>
          <w:lang w:val="fr-FR"/>
        </w:rPr>
        <w:t>Concept B : journal de données</w:t>
      </w:r>
    </w:p>
    <w:p w14:paraId="69F343E8" w14:textId="77777777" w:rsidR="001B394B" w:rsidRPr="004C2012" w:rsidRDefault="00000000">
      <w:pPr>
        <w:rPr>
          <w:lang w:val="fr-FR"/>
        </w:rPr>
      </w:pPr>
      <w:r w:rsidRPr="004C2012">
        <w:rPr>
          <w:lang w:val="fr-FR"/>
        </w:rPr>
        <w:t>À chaque cycle, toutes les sorties de SS-2 à SS-5 forment une entrée numérotée, horodatée et chaînée par empreinte SHA-256 [1]. Le diagnostic peut être rejoué à l'identique sur toute la campagne.</w:t>
      </w:r>
    </w:p>
    <w:p w14:paraId="34811232" w14:textId="77777777" w:rsidR="001B394B" w:rsidRDefault="00000000">
      <w:r>
        <w:rPr>
          <w:noProof/>
        </w:rPr>
        <w:drawing>
          <wp:inline distT="0" distB="0" distL="0" distR="0" wp14:anchorId="4FC4356D" wp14:editId="35426A4B">
            <wp:extent cx="5486400" cy="2359478"/>
            <wp:effectExtent l="0" t="0" r="0" b="0"/>
            <wp:docPr id="1" name="image1" descr="Schéma du concept B"/>
            <wp:cNvGraphicFramePr/>
            <a:graphic xmlns:a="http://schemas.openxmlformats.org/drawingml/2006/main">
              <a:graphicData uri="http://schemas.openxmlformats.org/drawingml/2006/picture">
                <pic:pic xmlns:pic="http://schemas.openxmlformats.org/drawingml/2006/picture">
                  <pic:nvPicPr>
                    <pic:cNvPr id="1" name="image1" descr="Schéma du concept B"/>
                    <pic:cNvPicPr/>
                  </pic:nvPicPr>
                  <pic:blipFill>
                    <a:blip r:embed="rId5"/>
                    <a:stretch>
                      <a:fillRect/>
                    </a:stretch>
                  </pic:blipFill>
                  <pic:spPr>
                    <a:xfrm>
                      <a:off x="0" y="0"/>
                      <a:ext cx="5486400" cy="2359478"/>
                    </a:xfrm>
                    <a:prstGeom prst="rect">
                      <a:avLst/>
                    </a:prstGeom>
                  </pic:spPr>
                </pic:pic>
              </a:graphicData>
            </a:graphic>
          </wp:inline>
        </w:drawing>
      </w:r>
    </w:p>
    <w:p w14:paraId="56A3C5C1" w14:textId="77777777" w:rsidR="001B394B" w:rsidRPr="004C2012" w:rsidRDefault="00000000">
      <w:pPr>
        <w:rPr>
          <w:lang w:val="fr-FR"/>
        </w:rPr>
      </w:pPr>
      <w:r w:rsidRPr="004C2012">
        <w:rPr>
          <w:lang w:val="fr-FR"/>
        </w:rPr>
        <w:t>Schéma du concept B</w:t>
      </w:r>
    </w:p>
    <w:p w14:paraId="63E662CA" w14:textId="77777777" w:rsidR="001B394B" w:rsidRPr="004C2012" w:rsidRDefault="00000000">
      <w:pPr>
        <w:pStyle w:val="Titre3"/>
        <w:rPr>
          <w:lang w:val="fr-FR"/>
        </w:rPr>
      </w:pPr>
      <w:r w:rsidRPr="004C2012">
        <w:rPr>
          <w:lang w:val="fr-FR"/>
        </w:rPr>
        <w:t>Concept C : journal à deux niveaux</w:t>
      </w:r>
    </w:p>
    <w:p w14:paraId="1868CBE2" w14:textId="77777777" w:rsidR="001B394B" w:rsidRPr="004C2012" w:rsidRDefault="00000000">
      <w:pPr>
        <w:rPr>
          <w:lang w:val="fr-FR"/>
        </w:rPr>
      </w:pPr>
      <w:r w:rsidRPr="004C2012">
        <w:rPr>
          <w:lang w:val="fr-FR"/>
        </w:rPr>
        <w:t>Les données sont gardées 24 h dans un tampon ; les événements (décisions, rejets, confirmations) sont gardés longtemps. À chaque bloc, un rôle distinct scelle et signe l'ensemble (</w:t>
      </w:r>
      <w:proofErr w:type="spellStart"/>
      <w:r w:rsidRPr="004C2012">
        <w:rPr>
          <w:lang w:val="fr-FR"/>
        </w:rPr>
        <w:t>Merkle</w:t>
      </w:r>
      <w:proofErr w:type="spellEnd"/>
      <w:r w:rsidRPr="004C2012">
        <w:rPr>
          <w:lang w:val="fr-FR"/>
        </w:rPr>
        <w:t xml:space="preserve"> [2], ECDSA [3]).</w:t>
      </w:r>
    </w:p>
    <w:p w14:paraId="0762512E" w14:textId="77777777" w:rsidR="001B394B" w:rsidRDefault="00000000">
      <w:r>
        <w:rPr>
          <w:noProof/>
        </w:rPr>
        <w:drawing>
          <wp:inline distT="0" distB="0" distL="0" distR="0" wp14:anchorId="4FF494F7" wp14:editId="750399C6">
            <wp:extent cx="5486400" cy="2163535"/>
            <wp:effectExtent l="0" t="0" r="0" b="0"/>
            <wp:docPr id="2" name="image2" descr="Schéma du concept C"/>
            <wp:cNvGraphicFramePr/>
            <a:graphic xmlns:a="http://schemas.openxmlformats.org/drawingml/2006/main">
              <a:graphicData uri="http://schemas.openxmlformats.org/drawingml/2006/picture">
                <pic:pic xmlns:pic="http://schemas.openxmlformats.org/drawingml/2006/picture">
                  <pic:nvPicPr>
                    <pic:cNvPr id="2" name="image2" descr="Schéma du concept C"/>
                    <pic:cNvPicPr/>
                  </pic:nvPicPr>
                  <pic:blipFill>
                    <a:blip r:embed="rId6"/>
                    <a:stretch>
                      <a:fillRect/>
                    </a:stretch>
                  </pic:blipFill>
                  <pic:spPr>
                    <a:xfrm>
                      <a:off x="0" y="0"/>
                      <a:ext cx="5486400" cy="2163535"/>
                    </a:xfrm>
                    <a:prstGeom prst="rect">
                      <a:avLst/>
                    </a:prstGeom>
                  </pic:spPr>
                </pic:pic>
              </a:graphicData>
            </a:graphic>
          </wp:inline>
        </w:drawing>
      </w:r>
    </w:p>
    <w:p w14:paraId="61D10E67" w14:textId="77777777" w:rsidR="001B394B" w:rsidRPr="004C2012" w:rsidRDefault="00000000">
      <w:pPr>
        <w:rPr>
          <w:lang w:val="fr-FR"/>
        </w:rPr>
      </w:pPr>
      <w:r w:rsidRPr="004C2012">
        <w:rPr>
          <w:lang w:val="fr-FR"/>
        </w:rPr>
        <w:t>Schéma du concept C</w:t>
      </w:r>
    </w:p>
    <w:p w14:paraId="2C226434" w14:textId="77777777" w:rsidR="001B394B" w:rsidRPr="004C2012" w:rsidRDefault="00000000">
      <w:pPr>
        <w:pStyle w:val="Titre2"/>
        <w:rPr>
          <w:lang w:val="fr-FR"/>
        </w:rPr>
      </w:pPr>
      <w:r w:rsidRPr="004C2012">
        <w:rPr>
          <w:lang w:val="fr-FR"/>
        </w:rPr>
        <w:lastRenderedPageBreak/>
        <w:t>2. Avantages et inconvénients</w:t>
      </w:r>
    </w:p>
    <w:tbl>
      <w:tblPr>
        <w:tblStyle w:val="Grilledutableau"/>
        <w:tblW w:w="0" w:type="auto"/>
        <w:tblLayout w:type="fixed"/>
        <w:tblLook w:val="0420" w:firstRow="1" w:lastRow="0" w:firstColumn="0" w:lastColumn="0" w:noHBand="0" w:noVBand="1"/>
      </w:tblPr>
      <w:tblGrid>
        <w:gridCol w:w="1119"/>
        <w:gridCol w:w="4043"/>
        <w:gridCol w:w="3440"/>
        <w:gridCol w:w="758"/>
      </w:tblGrid>
      <w:tr w:rsidR="001B394B" w14:paraId="225BDCF0" w14:textId="77777777">
        <w:trPr>
          <w:tblHeader/>
        </w:trPr>
        <w:tc>
          <w:tcPr>
            <w:tcW w:w="1119" w:type="dxa"/>
            <w:shd w:val="clear" w:color="auto" w:fill="F2F2F2"/>
          </w:tcPr>
          <w:p w14:paraId="3E6AF01D" w14:textId="77777777" w:rsidR="001B394B" w:rsidRDefault="00000000">
            <w:r>
              <w:t>Concept</w:t>
            </w:r>
          </w:p>
        </w:tc>
        <w:tc>
          <w:tcPr>
            <w:tcW w:w="4043" w:type="dxa"/>
            <w:shd w:val="clear" w:color="auto" w:fill="F2F2F2"/>
          </w:tcPr>
          <w:p w14:paraId="278A5E7B" w14:textId="77777777" w:rsidR="001B394B" w:rsidRDefault="00000000">
            <w:proofErr w:type="spellStart"/>
            <w:r>
              <w:t>Avantages</w:t>
            </w:r>
            <w:proofErr w:type="spellEnd"/>
          </w:p>
        </w:tc>
        <w:tc>
          <w:tcPr>
            <w:tcW w:w="3440" w:type="dxa"/>
            <w:shd w:val="clear" w:color="auto" w:fill="F2F2F2"/>
          </w:tcPr>
          <w:p w14:paraId="02575547" w14:textId="77777777" w:rsidR="001B394B" w:rsidRDefault="00000000">
            <w:proofErr w:type="spellStart"/>
            <w:r>
              <w:t>Inconvénients</w:t>
            </w:r>
            <w:proofErr w:type="spellEnd"/>
          </w:p>
        </w:tc>
        <w:tc>
          <w:tcPr>
            <w:tcW w:w="758" w:type="dxa"/>
            <w:shd w:val="clear" w:color="auto" w:fill="F2F2F2"/>
          </w:tcPr>
          <w:p w14:paraId="6B6F27EF" w14:textId="77777777" w:rsidR="001B394B" w:rsidRDefault="00000000">
            <w:r>
              <w:t>Note</w:t>
            </w:r>
          </w:p>
        </w:tc>
      </w:tr>
      <w:tr w:rsidR="001B394B" w14:paraId="5BD66439" w14:textId="77777777">
        <w:tc>
          <w:tcPr>
            <w:tcW w:w="1119" w:type="dxa"/>
          </w:tcPr>
          <w:p w14:paraId="393796D0" w14:textId="77777777" w:rsidR="001B394B" w:rsidRDefault="00000000">
            <w:proofErr w:type="gramStart"/>
            <w:r>
              <w:t>B :</w:t>
            </w:r>
            <w:proofErr w:type="gramEnd"/>
            <w:r>
              <w:t xml:space="preserve"> journal de données</w:t>
            </w:r>
          </w:p>
        </w:tc>
        <w:tc>
          <w:tcPr>
            <w:tcW w:w="4043" w:type="dxa"/>
          </w:tcPr>
          <w:p w14:paraId="24A1892C" w14:textId="77777777" w:rsidR="001B394B" w:rsidRPr="004C2012" w:rsidRDefault="00000000">
            <w:pPr>
              <w:rPr>
                <w:lang w:val="fr-FR"/>
              </w:rPr>
            </w:pPr>
            <w:r w:rsidRPr="004C2012">
              <w:rPr>
                <w:lang w:val="fr-FR"/>
              </w:rPr>
              <w:t>Rejeu complet du diagnostic ; vérification indépendante par recalcul ; complétude prouvée par un seul compte ; conception simple</w:t>
            </w:r>
          </w:p>
        </w:tc>
        <w:tc>
          <w:tcPr>
            <w:tcW w:w="3440" w:type="dxa"/>
          </w:tcPr>
          <w:p w14:paraId="64182E21" w14:textId="77777777" w:rsidR="001B394B" w:rsidRPr="004C2012" w:rsidRDefault="00000000">
            <w:pPr>
              <w:rPr>
                <w:lang w:val="fr-FR"/>
              </w:rPr>
            </w:pPr>
            <w:r w:rsidRPr="004C2012">
              <w:rPr>
                <w:lang w:val="fr-FR"/>
              </w:rPr>
              <w:t xml:space="preserve">Volume qui grandit avec la durée ; coût de </w:t>
            </w:r>
            <w:proofErr w:type="gramStart"/>
            <w:r w:rsidRPr="004C2012">
              <w:rPr>
                <w:lang w:val="fr-FR"/>
              </w:rPr>
              <w:t>vérification croissant</w:t>
            </w:r>
            <w:proofErr w:type="gramEnd"/>
            <w:r w:rsidRPr="004C2012">
              <w:rPr>
                <w:lang w:val="fr-FR"/>
              </w:rPr>
              <w:t xml:space="preserve"> ; le producteur détient la clé</w:t>
            </w:r>
          </w:p>
        </w:tc>
        <w:tc>
          <w:tcPr>
            <w:tcW w:w="758" w:type="dxa"/>
          </w:tcPr>
          <w:p w14:paraId="0EAE9D54" w14:textId="77777777" w:rsidR="001B394B" w:rsidRDefault="00000000">
            <w:r>
              <w:t>89 %</w:t>
            </w:r>
          </w:p>
        </w:tc>
      </w:tr>
      <w:tr w:rsidR="001B394B" w14:paraId="3A3D6EA3" w14:textId="77777777">
        <w:tc>
          <w:tcPr>
            <w:tcW w:w="1119" w:type="dxa"/>
          </w:tcPr>
          <w:p w14:paraId="4ACFCE33" w14:textId="77777777" w:rsidR="001B394B" w:rsidRPr="004C2012" w:rsidRDefault="00000000">
            <w:pPr>
              <w:rPr>
                <w:lang w:val="fr-FR"/>
              </w:rPr>
            </w:pPr>
            <w:r w:rsidRPr="004C2012">
              <w:rPr>
                <w:lang w:val="fr-FR"/>
              </w:rPr>
              <w:t>C : journal à deux niveaux</w:t>
            </w:r>
          </w:p>
        </w:tc>
        <w:tc>
          <w:tcPr>
            <w:tcW w:w="4043" w:type="dxa"/>
          </w:tcPr>
          <w:p w14:paraId="21265F29" w14:textId="77777777" w:rsidR="001B394B" w:rsidRPr="004C2012" w:rsidRDefault="00000000">
            <w:pPr>
              <w:rPr>
                <w:lang w:val="fr-FR"/>
              </w:rPr>
            </w:pPr>
            <w:r w:rsidRPr="004C2012">
              <w:rPr>
                <w:lang w:val="fr-FR"/>
              </w:rPr>
              <w:t>Vérification bornée ; volume limité ; sceau signé par un autre rôle ; journal long lisible par un humain</w:t>
            </w:r>
          </w:p>
        </w:tc>
        <w:tc>
          <w:tcPr>
            <w:tcW w:w="3440" w:type="dxa"/>
          </w:tcPr>
          <w:p w14:paraId="581D5932" w14:textId="77777777" w:rsidR="001B394B" w:rsidRPr="004C2012" w:rsidRDefault="00000000">
            <w:pPr>
              <w:rPr>
                <w:lang w:val="fr-FR"/>
              </w:rPr>
            </w:pPr>
            <w:r w:rsidRPr="004C2012">
              <w:rPr>
                <w:lang w:val="fr-FR"/>
              </w:rPr>
              <w:t>Recalcul limité à 24 h ; deux comptes à réconcilier ; conception plus complexe et clé à protéger</w:t>
            </w:r>
          </w:p>
        </w:tc>
        <w:tc>
          <w:tcPr>
            <w:tcW w:w="758" w:type="dxa"/>
          </w:tcPr>
          <w:p w14:paraId="78F3C0EE" w14:textId="77777777" w:rsidR="001B394B" w:rsidRDefault="00000000">
            <w:r>
              <w:t>83 %</w:t>
            </w:r>
          </w:p>
        </w:tc>
      </w:tr>
    </w:tbl>
    <w:p w14:paraId="61CA2693" w14:textId="77777777" w:rsidR="001B394B" w:rsidRPr="004C2012" w:rsidRDefault="00000000">
      <w:pPr>
        <w:rPr>
          <w:lang w:val="fr-FR"/>
        </w:rPr>
      </w:pPr>
      <w:r w:rsidRPr="004C2012">
        <w:rPr>
          <w:lang w:val="fr-FR"/>
        </w:rPr>
        <w:t>Les notes viennent du document d'analyse quantitative.</w:t>
      </w:r>
    </w:p>
    <w:p w14:paraId="2336BA8F" w14:textId="77777777" w:rsidR="001B394B" w:rsidRDefault="00000000">
      <w:pPr>
        <w:pStyle w:val="Titre2"/>
      </w:pPr>
      <w:r>
        <w:t>3. C</w:t>
      </w:r>
      <w:proofErr w:type="spellStart"/>
      <w:r>
        <w:t>omparaison</w:t>
      </w:r>
      <w:proofErr w:type="spellEnd"/>
      <w:r>
        <w:t xml:space="preserve"> par aspect</w:t>
      </w:r>
    </w:p>
    <w:tbl>
      <w:tblPr>
        <w:tblStyle w:val="Grilledutableau"/>
        <w:tblW w:w="0" w:type="auto"/>
        <w:tblLayout w:type="fixed"/>
        <w:tblLook w:val="0420" w:firstRow="1" w:lastRow="0" w:firstColumn="0" w:lastColumn="0" w:noHBand="0" w:noVBand="1"/>
      </w:tblPr>
      <w:tblGrid>
        <w:gridCol w:w="1777"/>
        <w:gridCol w:w="2609"/>
        <w:gridCol w:w="2825"/>
        <w:gridCol w:w="2149"/>
      </w:tblGrid>
      <w:tr w:rsidR="001B394B" w14:paraId="2E233047" w14:textId="77777777">
        <w:trPr>
          <w:tblHeader/>
        </w:trPr>
        <w:tc>
          <w:tcPr>
            <w:tcW w:w="1777" w:type="dxa"/>
            <w:shd w:val="clear" w:color="auto" w:fill="F2F2F2"/>
          </w:tcPr>
          <w:p w14:paraId="059FBBAC" w14:textId="77777777" w:rsidR="001B394B" w:rsidRDefault="00000000">
            <w:r>
              <w:t>Aspect</w:t>
            </w:r>
          </w:p>
        </w:tc>
        <w:tc>
          <w:tcPr>
            <w:tcW w:w="2609" w:type="dxa"/>
            <w:shd w:val="clear" w:color="auto" w:fill="F2F2F2"/>
          </w:tcPr>
          <w:p w14:paraId="5BEF600B" w14:textId="77777777" w:rsidR="001B394B" w:rsidRDefault="00000000">
            <w:r>
              <w:t>Concept B</w:t>
            </w:r>
          </w:p>
        </w:tc>
        <w:tc>
          <w:tcPr>
            <w:tcW w:w="2825" w:type="dxa"/>
            <w:shd w:val="clear" w:color="auto" w:fill="F2F2F2"/>
          </w:tcPr>
          <w:p w14:paraId="0944666F" w14:textId="77777777" w:rsidR="001B394B" w:rsidRDefault="00000000">
            <w:r>
              <w:t>Concept C</w:t>
            </w:r>
          </w:p>
        </w:tc>
        <w:tc>
          <w:tcPr>
            <w:tcW w:w="2149" w:type="dxa"/>
            <w:shd w:val="clear" w:color="auto" w:fill="F2F2F2"/>
          </w:tcPr>
          <w:p w14:paraId="201A5B09" w14:textId="77777777" w:rsidR="001B394B" w:rsidRDefault="00000000">
            <w:r>
              <w:t xml:space="preserve">Le </w:t>
            </w:r>
            <w:proofErr w:type="spellStart"/>
            <w:r>
              <w:t>meilleur</w:t>
            </w:r>
            <w:proofErr w:type="spellEnd"/>
          </w:p>
        </w:tc>
      </w:tr>
      <w:tr w:rsidR="001B394B" w14:paraId="34828532" w14:textId="77777777">
        <w:tc>
          <w:tcPr>
            <w:tcW w:w="1777" w:type="dxa"/>
          </w:tcPr>
          <w:p w14:paraId="16FFDCA0" w14:textId="77777777" w:rsidR="001B394B" w:rsidRDefault="00000000">
            <w:r>
              <w:t xml:space="preserve">Nature de la </w:t>
            </w:r>
            <w:proofErr w:type="spellStart"/>
            <w:r>
              <w:t>preuve</w:t>
            </w:r>
            <w:proofErr w:type="spellEnd"/>
          </w:p>
        </w:tc>
        <w:tc>
          <w:tcPr>
            <w:tcW w:w="2609" w:type="dxa"/>
          </w:tcPr>
          <w:p w14:paraId="70BFAEE1" w14:textId="77777777" w:rsidR="001B394B" w:rsidRPr="004C2012" w:rsidRDefault="00000000">
            <w:pPr>
              <w:rPr>
                <w:lang w:val="fr-FR"/>
              </w:rPr>
            </w:pPr>
            <w:r w:rsidRPr="004C2012">
              <w:rPr>
                <w:lang w:val="fr-FR"/>
              </w:rPr>
              <w:t>Recalcul : on refait chaque décision</w:t>
            </w:r>
          </w:p>
        </w:tc>
        <w:tc>
          <w:tcPr>
            <w:tcW w:w="2825" w:type="dxa"/>
          </w:tcPr>
          <w:p w14:paraId="04A4D5E4" w14:textId="77777777" w:rsidR="001B394B" w:rsidRPr="004C2012" w:rsidRDefault="00000000">
            <w:pPr>
              <w:rPr>
                <w:lang w:val="fr-FR"/>
              </w:rPr>
            </w:pPr>
            <w:r w:rsidRPr="004C2012">
              <w:rPr>
                <w:lang w:val="fr-FR"/>
              </w:rPr>
              <w:t>Sur 24 h, recalcul ; au-delà, on croit le système</w:t>
            </w:r>
          </w:p>
        </w:tc>
        <w:tc>
          <w:tcPr>
            <w:tcW w:w="2149" w:type="dxa"/>
          </w:tcPr>
          <w:p w14:paraId="42AE51BD" w14:textId="77777777" w:rsidR="001B394B" w:rsidRDefault="00000000">
            <w:r>
              <w:t>B</w:t>
            </w:r>
          </w:p>
        </w:tc>
      </w:tr>
      <w:tr w:rsidR="001B394B" w14:paraId="13BD3CDD" w14:textId="77777777">
        <w:tc>
          <w:tcPr>
            <w:tcW w:w="1777" w:type="dxa"/>
          </w:tcPr>
          <w:p w14:paraId="0E3C9839" w14:textId="77777777" w:rsidR="001B394B" w:rsidRDefault="00000000">
            <w:r>
              <w:t xml:space="preserve">Usage pour la </w:t>
            </w:r>
            <w:proofErr w:type="spellStart"/>
            <w:r>
              <w:t>démonstration</w:t>
            </w:r>
            <w:proofErr w:type="spellEnd"/>
          </w:p>
        </w:tc>
        <w:tc>
          <w:tcPr>
            <w:tcW w:w="2609" w:type="dxa"/>
          </w:tcPr>
          <w:p w14:paraId="45A87A01" w14:textId="77777777" w:rsidR="001B394B" w:rsidRPr="004C2012" w:rsidRDefault="00000000">
            <w:pPr>
              <w:rPr>
                <w:lang w:val="fr-FR"/>
              </w:rPr>
            </w:pPr>
            <w:r w:rsidRPr="004C2012">
              <w:rPr>
                <w:lang w:val="fr-FR"/>
              </w:rPr>
              <w:t>N'importe quel essai peut être rejoué</w:t>
            </w:r>
          </w:p>
        </w:tc>
        <w:tc>
          <w:tcPr>
            <w:tcW w:w="2825" w:type="dxa"/>
          </w:tcPr>
          <w:p w14:paraId="6B5D5426" w14:textId="77777777" w:rsidR="001B394B" w:rsidRPr="004C2012" w:rsidRDefault="00000000">
            <w:pPr>
              <w:rPr>
                <w:lang w:val="fr-FR"/>
              </w:rPr>
            </w:pPr>
            <w:r w:rsidRPr="004C2012">
              <w:rPr>
                <w:lang w:val="fr-FR"/>
              </w:rPr>
              <w:t>Seuls les essais récents peuvent être rejoués</w:t>
            </w:r>
          </w:p>
        </w:tc>
        <w:tc>
          <w:tcPr>
            <w:tcW w:w="2149" w:type="dxa"/>
          </w:tcPr>
          <w:p w14:paraId="76722332" w14:textId="77777777" w:rsidR="001B394B" w:rsidRDefault="00000000">
            <w:r>
              <w:t>B</w:t>
            </w:r>
          </w:p>
        </w:tc>
      </w:tr>
      <w:tr w:rsidR="001B394B" w14:paraId="092E5F0B" w14:textId="77777777">
        <w:tc>
          <w:tcPr>
            <w:tcW w:w="1777" w:type="dxa"/>
          </w:tcPr>
          <w:p w14:paraId="5DD49BF6" w14:textId="77777777" w:rsidR="001B394B" w:rsidRDefault="00000000">
            <w:r>
              <w:t xml:space="preserve">Confiance </w:t>
            </w:r>
            <w:proofErr w:type="spellStart"/>
            <w:r>
              <w:t>contre</w:t>
            </w:r>
            <w:proofErr w:type="spellEnd"/>
            <w:r>
              <w:t xml:space="preserve"> le </w:t>
            </w:r>
            <w:proofErr w:type="spellStart"/>
            <w:r>
              <w:t>producteur</w:t>
            </w:r>
            <w:proofErr w:type="spellEnd"/>
          </w:p>
        </w:tc>
        <w:tc>
          <w:tcPr>
            <w:tcW w:w="2609" w:type="dxa"/>
          </w:tcPr>
          <w:p w14:paraId="4070169E" w14:textId="77777777" w:rsidR="001B394B" w:rsidRPr="004C2012" w:rsidRDefault="00000000">
            <w:pPr>
              <w:rPr>
                <w:lang w:val="fr-FR"/>
              </w:rPr>
            </w:pPr>
            <w:r w:rsidRPr="004C2012">
              <w:rPr>
                <w:lang w:val="fr-FR"/>
              </w:rPr>
              <w:t>Le producteur pourrait réécrire tout le journal</w:t>
            </w:r>
          </w:p>
        </w:tc>
        <w:tc>
          <w:tcPr>
            <w:tcW w:w="2825" w:type="dxa"/>
          </w:tcPr>
          <w:p w14:paraId="2720749B" w14:textId="77777777" w:rsidR="001B394B" w:rsidRPr="004C2012" w:rsidRDefault="00000000">
            <w:pPr>
              <w:rPr>
                <w:lang w:val="fr-FR"/>
              </w:rPr>
            </w:pPr>
            <w:r w:rsidRPr="004C2012">
              <w:rPr>
                <w:lang w:val="fr-FR"/>
              </w:rPr>
              <w:t>Un autre rôle signe : proche de la non-répudiation</w:t>
            </w:r>
          </w:p>
        </w:tc>
        <w:tc>
          <w:tcPr>
            <w:tcW w:w="2149" w:type="dxa"/>
          </w:tcPr>
          <w:p w14:paraId="2326238B" w14:textId="77777777" w:rsidR="001B394B" w:rsidRDefault="00000000">
            <w:r>
              <w:t>C</w:t>
            </w:r>
          </w:p>
        </w:tc>
      </w:tr>
      <w:tr w:rsidR="001B394B" w14:paraId="64A0F97B" w14:textId="77777777">
        <w:tc>
          <w:tcPr>
            <w:tcW w:w="1777" w:type="dxa"/>
          </w:tcPr>
          <w:p w14:paraId="5300F0C7" w14:textId="77777777" w:rsidR="001B394B" w:rsidRDefault="00000000">
            <w:proofErr w:type="spellStart"/>
            <w:r>
              <w:t>Simplicité</w:t>
            </w:r>
            <w:proofErr w:type="spellEnd"/>
            <w:r>
              <w:t xml:space="preserve"> pour </w:t>
            </w:r>
            <w:proofErr w:type="spellStart"/>
            <w:r>
              <w:t>l'équipe</w:t>
            </w:r>
            <w:proofErr w:type="spellEnd"/>
          </w:p>
        </w:tc>
        <w:tc>
          <w:tcPr>
            <w:tcW w:w="2609" w:type="dxa"/>
          </w:tcPr>
          <w:p w14:paraId="6621DC94" w14:textId="77777777" w:rsidR="001B394B" w:rsidRDefault="00000000">
            <w:r>
              <w:t>Une structure, un compte</w:t>
            </w:r>
          </w:p>
        </w:tc>
        <w:tc>
          <w:tcPr>
            <w:tcW w:w="2825" w:type="dxa"/>
          </w:tcPr>
          <w:p w14:paraId="3C18153F" w14:textId="77777777" w:rsidR="001B394B" w:rsidRPr="004C2012" w:rsidRDefault="00000000">
            <w:pPr>
              <w:rPr>
                <w:lang w:val="fr-FR"/>
              </w:rPr>
            </w:pPr>
            <w:r w:rsidRPr="004C2012">
              <w:rPr>
                <w:lang w:val="fr-FR"/>
              </w:rPr>
              <w:t>Deux structures, deux comptes, une clé</w:t>
            </w:r>
          </w:p>
        </w:tc>
        <w:tc>
          <w:tcPr>
            <w:tcW w:w="2149" w:type="dxa"/>
          </w:tcPr>
          <w:p w14:paraId="02F3F8EB" w14:textId="77777777" w:rsidR="001B394B" w:rsidRDefault="00000000">
            <w:r>
              <w:t>B</w:t>
            </w:r>
          </w:p>
        </w:tc>
      </w:tr>
      <w:tr w:rsidR="001B394B" w14:paraId="679676D7" w14:textId="77777777">
        <w:tc>
          <w:tcPr>
            <w:tcW w:w="1777" w:type="dxa"/>
          </w:tcPr>
          <w:p w14:paraId="0E8FC0AD" w14:textId="77777777" w:rsidR="001B394B" w:rsidRDefault="00000000">
            <w:r>
              <w:t>Stockage</w:t>
            </w:r>
          </w:p>
        </w:tc>
        <w:tc>
          <w:tcPr>
            <w:tcW w:w="2609" w:type="dxa"/>
          </w:tcPr>
          <w:p w14:paraId="3BDF60EC" w14:textId="77777777" w:rsidR="001B394B" w:rsidRDefault="00000000">
            <w:proofErr w:type="spellStart"/>
            <w:r>
              <w:t>Grandit</w:t>
            </w:r>
            <w:proofErr w:type="spellEnd"/>
            <w:r>
              <w:t xml:space="preserve">, </w:t>
            </w:r>
            <w:proofErr w:type="spellStart"/>
            <w:r>
              <w:t>mais</w:t>
            </w:r>
            <w:proofErr w:type="spellEnd"/>
            <w:r>
              <w:t xml:space="preserve"> </w:t>
            </w:r>
            <w:proofErr w:type="spellStart"/>
            <w:r>
              <w:t>reste</w:t>
            </w:r>
            <w:proofErr w:type="spellEnd"/>
            <w:r>
              <w:t xml:space="preserve"> </w:t>
            </w:r>
            <w:proofErr w:type="spellStart"/>
            <w:r>
              <w:t>modeste</w:t>
            </w:r>
            <w:proofErr w:type="spellEnd"/>
          </w:p>
        </w:tc>
        <w:tc>
          <w:tcPr>
            <w:tcW w:w="2825" w:type="dxa"/>
          </w:tcPr>
          <w:p w14:paraId="039620CB" w14:textId="77777777" w:rsidR="001B394B" w:rsidRDefault="00000000">
            <w:proofErr w:type="spellStart"/>
            <w:r>
              <w:t>Borné</w:t>
            </w:r>
            <w:proofErr w:type="spellEnd"/>
          </w:p>
        </w:tc>
        <w:tc>
          <w:tcPr>
            <w:tcW w:w="2149" w:type="dxa"/>
          </w:tcPr>
          <w:p w14:paraId="3174C42B" w14:textId="77777777" w:rsidR="001B394B" w:rsidRDefault="00000000">
            <w:r>
              <w:t xml:space="preserve">C, sans </w:t>
            </w:r>
            <w:proofErr w:type="spellStart"/>
            <w:r>
              <w:t>enjeu</w:t>
            </w:r>
            <w:proofErr w:type="spellEnd"/>
            <w:r>
              <w:t xml:space="preserve"> </w:t>
            </w:r>
            <w:proofErr w:type="spellStart"/>
            <w:r>
              <w:t>réel</w:t>
            </w:r>
            <w:proofErr w:type="spellEnd"/>
          </w:p>
        </w:tc>
      </w:tr>
    </w:tbl>
    <w:p w14:paraId="125A126A" w14:textId="77777777" w:rsidR="001B394B" w:rsidRDefault="00000000">
      <w:pPr>
        <w:pStyle w:val="Titre2"/>
      </w:pPr>
      <w:r>
        <w:t xml:space="preserve">4. </w:t>
      </w:r>
      <w:proofErr w:type="spellStart"/>
      <w:r>
        <w:t>Pourquoi</w:t>
      </w:r>
      <w:proofErr w:type="spellEnd"/>
      <w:r>
        <w:t xml:space="preserve"> B est </w:t>
      </w:r>
      <w:proofErr w:type="spellStart"/>
      <w:r>
        <w:t>préféré</w:t>
      </w:r>
      <w:proofErr w:type="spellEnd"/>
    </w:p>
    <w:p w14:paraId="24812D19" w14:textId="77777777" w:rsidR="001B394B" w:rsidRPr="004C2012" w:rsidRDefault="00000000">
      <w:pPr>
        <w:rPr>
          <w:lang w:val="fr-FR"/>
        </w:rPr>
      </w:pPr>
      <w:r w:rsidRPr="004C2012">
        <w:rPr>
          <w:lang w:val="fr-FR"/>
        </w:rPr>
        <w:t>Avec B, un responsable de la sûreté peut reprendre les mesures enregistrées, refaire les calculs et retrouver les mêmes décisions. La preuve repose sur un recalcul, pas sur la parole du système. C'est exactement ce que le projet doit démontrer, notamment pour les scénarios de défaillance.</w:t>
      </w:r>
    </w:p>
    <w:p w14:paraId="0AABE197" w14:textId="77777777" w:rsidR="001B394B" w:rsidRPr="004C2012" w:rsidRDefault="00000000">
      <w:pPr>
        <w:rPr>
          <w:lang w:val="fr-FR"/>
        </w:rPr>
      </w:pPr>
      <w:r w:rsidRPr="004C2012">
        <w:rPr>
          <w:lang w:val="fr-FR"/>
        </w:rPr>
        <w:t>B est aussi plus simple, ce qui réduit le risque d'erreur pour une équipe étudiante sur 15 semaines. Son volume ne pose pas de vrai problème : il reste sous 10 Go jusqu'à environ 700 heures d'essai.</w:t>
      </w:r>
    </w:p>
    <w:p w14:paraId="7EFA1899" w14:textId="77777777" w:rsidR="001B394B" w:rsidRPr="004C2012" w:rsidRDefault="00000000">
      <w:pPr>
        <w:pStyle w:val="Titre2"/>
        <w:rPr>
          <w:lang w:val="fr-FR"/>
        </w:rPr>
      </w:pPr>
      <w:r w:rsidRPr="004C2012">
        <w:rPr>
          <w:lang w:val="fr-FR"/>
        </w:rPr>
        <w:t>5. Ce que C fait mieux</w:t>
      </w:r>
    </w:p>
    <w:p w14:paraId="5B8E8F01" w14:textId="77777777" w:rsidR="001B394B" w:rsidRPr="004C2012" w:rsidRDefault="00000000">
      <w:pPr>
        <w:rPr>
          <w:lang w:val="fr-FR"/>
        </w:rPr>
      </w:pPr>
      <w:r w:rsidRPr="004C2012">
        <w:rPr>
          <w:lang w:val="fr-FR"/>
        </w:rPr>
        <w:t>C a un avantage important : son sceau est signé par un rôle différent de celui qui écrit le journal. Avec B seul, l'intégrité est prouvée contre un tiers, mais pas contre le producteur lui-même. C'est la vraie faiblesse de B.</w:t>
      </w:r>
    </w:p>
    <w:p w14:paraId="07110916" w14:textId="77777777" w:rsidR="001B394B" w:rsidRPr="004C2012" w:rsidRDefault="00000000">
      <w:pPr>
        <w:pStyle w:val="Titre2"/>
        <w:rPr>
          <w:lang w:val="fr-FR"/>
        </w:rPr>
      </w:pPr>
      <w:r w:rsidRPr="004C2012">
        <w:rPr>
          <w:lang w:val="fr-FR"/>
        </w:rPr>
        <w:lastRenderedPageBreak/>
        <w:t>6. Choix retenu</w:t>
      </w:r>
    </w:p>
    <w:p w14:paraId="33963DCD" w14:textId="77777777" w:rsidR="001B394B" w:rsidRPr="004C2012" w:rsidRDefault="00000000">
      <w:pPr>
        <w:rPr>
          <w:lang w:val="fr-FR"/>
        </w:rPr>
      </w:pPr>
      <w:r w:rsidRPr="004C2012">
        <w:rPr>
          <w:lang w:val="fr-FR"/>
        </w:rPr>
        <w:t>Le concept B est retenu, complété par le scellement périodique signé du concept C. On garde le rejeu complet de B et on gagne la séparation des rôles de C, pour environ 20 heures de travail en plus. La limite de la preuve sera écrite clairement dans le rapport.</w:t>
      </w:r>
    </w:p>
    <w:p w14:paraId="25CDACC7" w14:textId="77777777" w:rsidR="001B394B" w:rsidRDefault="00000000">
      <w:pPr>
        <w:pStyle w:val="Titre2"/>
      </w:pPr>
      <w:proofErr w:type="spellStart"/>
      <w:r>
        <w:t>Références</w:t>
      </w:r>
      <w:proofErr w:type="spellEnd"/>
    </w:p>
    <w:p w14:paraId="5E6A16D2" w14:textId="77777777" w:rsidR="001B394B" w:rsidRDefault="00000000">
      <w:r>
        <w:t>[1] NIST, « Secure Hash Standard », FIPS 180-4, 2015.</w:t>
      </w:r>
    </w:p>
    <w:p w14:paraId="26FA6FE6" w14:textId="77777777" w:rsidR="001B394B" w:rsidRDefault="00000000">
      <w:r>
        <w:t>[2] R. C. Merkle, « A Digital Signature Based on a Conventional Encryption Function », CRYPTO '87, 1987.</w:t>
      </w:r>
    </w:p>
    <w:p w14:paraId="70A39CD3" w14:textId="77777777" w:rsidR="001B394B" w:rsidRDefault="00000000">
      <w:r>
        <w:t>[3] NIST, « Digital Signature Standard », FIPS 186-5, 2023.</w:t>
      </w:r>
    </w:p>
    <w:sectPr w:rsidR="001B394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54C8A"/>
    <w:multiLevelType w:val="hybridMultilevel"/>
    <w:tmpl w:val="27123330"/>
    <w:lvl w:ilvl="0" w:tplc="1456AF4E">
      <w:start w:val="1"/>
      <w:numFmt w:val="decimal"/>
      <w:lvlText w:val="%1."/>
      <w:lvlJc w:val="left"/>
      <w:pPr>
        <w:ind w:left="720" w:hanging="360"/>
      </w:pPr>
    </w:lvl>
    <w:lvl w:ilvl="1" w:tplc="E51E514C">
      <w:start w:val="1"/>
      <w:numFmt w:val="lowerLetter"/>
      <w:lvlText w:val="%2."/>
      <w:lvlJc w:val="left"/>
      <w:pPr>
        <w:ind w:left="1440" w:hanging="360"/>
      </w:pPr>
    </w:lvl>
    <w:lvl w:ilvl="2" w:tplc="3158431C">
      <w:start w:val="1"/>
      <w:numFmt w:val="lowerRoman"/>
      <w:lvlText w:val="%3."/>
      <w:lvlJc w:val="left"/>
      <w:pPr>
        <w:ind w:left="2160" w:hanging="360"/>
      </w:pPr>
    </w:lvl>
    <w:lvl w:ilvl="3" w:tplc="0BA63FB4">
      <w:start w:val="1"/>
      <w:numFmt w:val="decimal"/>
      <w:lvlText w:val="%4."/>
      <w:lvlJc w:val="left"/>
      <w:pPr>
        <w:ind w:left="2880" w:hanging="360"/>
      </w:pPr>
    </w:lvl>
    <w:lvl w:ilvl="4" w:tplc="3F12143E">
      <w:start w:val="1"/>
      <w:numFmt w:val="lowerLetter"/>
      <w:lvlText w:val="%5."/>
      <w:lvlJc w:val="left"/>
      <w:pPr>
        <w:ind w:left="3600" w:hanging="360"/>
      </w:pPr>
    </w:lvl>
    <w:lvl w:ilvl="5" w:tplc="E72AF564">
      <w:start w:val="1"/>
      <w:numFmt w:val="lowerRoman"/>
      <w:lvlText w:val="%6."/>
      <w:lvlJc w:val="left"/>
      <w:pPr>
        <w:ind w:left="4320" w:hanging="360"/>
      </w:pPr>
    </w:lvl>
    <w:lvl w:ilvl="6" w:tplc="B262E9C4">
      <w:start w:val="1"/>
      <w:numFmt w:val="decimal"/>
      <w:lvlText w:val="%7."/>
      <w:lvlJc w:val="left"/>
      <w:pPr>
        <w:ind w:left="5040" w:hanging="360"/>
      </w:pPr>
    </w:lvl>
    <w:lvl w:ilvl="7" w:tplc="B9E4069A">
      <w:start w:val="1"/>
      <w:numFmt w:val="lowerLetter"/>
      <w:lvlText w:val="%8."/>
      <w:lvlJc w:val="left"/>
      <w:pPr>
        <w:ind w:left="5760" w:hanging="360"/>
      </w:pPr>
    </w:lvl>
    <w:lvl w:ilvl="8" w:tplc="9C62F0E6">
      <w:start w:val="1"/>
      <w:numFmt w:val="lowerRoman"/>
      <w:lvlText w:val="%9."/>
      <w:lvlJc w:val="left"/>
      <w:pPr>
        <w:ind w:left="6480" w:hanging="360"/>
      </w:pPr>
    </w:lvl>
  </w:abstractNum>
  <w:abstractNum w:abstractNumId="1" w15:restartNumberingAfterBreak="0">
    <w:nsid w:val="4AAD0624"/>
    <w:multiLevelType w:val="hybridMultilevel"/>
    <w:tmpl w:val="A0AEB636"/>
    <w:lvl w:ilvl="0" w:tplc="E7AEA5A4">
      <w:start w:val="1"/>
      <w:numFmt w:val="bullet"/>
      <w:lvlText w:val="•"/>
      <w:lvlJc w:val="left"/>
      <w:pPr>
        <w:ind w:left="720" w:hanging="360"/>
      </w:pPr>
    </w:lvl>
    <w:lvl w:ilvl="1" w:tplc="2998F204">
      <w:start w:val="1"/>
      <w:numFmt w:val="bullet"/>
      <w:lvlText w:val="o"/>
      <w:lvlJc w:val="left"/>
      <w:pPr>
        <w:ind w:left="1440" w:hanging="360"/>
      </w:pPr>
    </w:lvl>
    <w:lvl w:ilvl="2" w:tplc="43F6BED4">
      <w:start w:val="1"/>
      <w:numFmt w:val="bullet"/>
      <w:lvlText w:val="▪"/>
      <w:lvlJc w:val="left"/>
      <w:pPr>
        <w:ind w:left="2160" w:hanging="360"/>
      </w:pPr>
    </w:lvl>
    <w:lvl w:ilvl="3" w:tplc="5FA82E24">
      <w:start w:val="1"/>
      <w:numFmt w:val="bullet"/>
      <w:lvlText w:val="•"/>
      <w:lvlJc w:val="left"/>
      <w:pPr>
        <w:ind w:left="2880" w:hanging="360"/>
      </w:pPr>
    </w:lvl>
    <w:lvl w:ilvl="4" w:tplc="A5760D0E">
      <w:start w:val="1"/>
      <w:numFmt w:val="bullet"/>
      <w:lvlText w:val="o"/>
      <w:lvlJc w:val="left"/>
      <w:pPr>
        <w:ind w:left="3600" w:hanging="360"/>
      </w:pPr>
    </w:lvl>
    <w:lvl w:ilvl="5" w:tplc="2B90BBCE">
      <w:start w:val="1"/>
      <w:numFmt w:val="bullet"/>
      <w:lvlText w:val="▪"/>
      <w:lvlJc w:val="left"/>
      <w:pPr>
        <w:ind w:left="4320" w:hanging="360"/>
      </w:pPr>
    </w:lvl>
    <w:lvl w:ilvl="6" w:tplc="69C89E90">
      <w:start w:val="1"/>
      <w:numFmt w:val="bullet"/>
      <w:lvlText w:val="•"/>
      <w:lvlJc w:val="left"/>
      <w:pPr>
        <w:ind w:left="5040" w:hanging="360"/>
      </w:pPr>
    </w:lvl>
    <w:lvl w:ilvl="7" w:tplc="A1F4AF68">
      <w:start w:val="1"/>
      <w:numFmt w:val="bullet"/>
      <w:lvlText w:val="o"/>
      <w:lvlJc w:val="left"/>
      <w:pPr>
        <w:ind w:left="5760" w:hanging="360"/>
      </w:pPr>
    </w:lvl>
    <w:lvl w:ilvl="8" w:tplc="DF72B0A6">
      <w:start w:val="1"/>
      <w:numFmt w:val="bullet"/>
      <w:lvlText w:val="▪"/>
      <w:lvlJc w:val="left"/>
      <w:pPr>
        <w:ind w:left="6480" w:hanging="360"/>
      </w:pPr>
    </w:lvl>
  </w:abstractNum>
  <w:num w:numId="1" w16cid:durableId="153373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B394B"/>
    <w:rsid w:val="001B394B"/>
    <w:rsid w:val="004C2012"/>
    <w:rsid w:val="00DD6C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8357685"/>
  <w15:docId w15:val="{1A3D1BE7-75B6-E542-9FD7-71C67164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498</Words>
  <Characters>2743</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SS-6 – Analyse qualitative des concepts B et C</dc:title>
  <dc:description>Claude Docs node/458ab86b-1497@37 docx-w7</dc:description>
  <cp:lastModifiedBy>DJASRA WILSON THOROUM</cp:lastModifiedBy>
  <cp:revision>38</cp:revision>
  <dcterms:created xsi:type="dcterms:W3CDTF">2026-10-22T13:08:00Z</dcterms:created>
  <dcterms:modified xsi:type="dcterms:W3CDTF">2026-10-22T13:10:00Z</dcterms:modified>
</cp:coreProperties>
</file>