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A8A5" w14:textId="77777777" w:rsidR="000A2FAB" w:rsidRDefault="00000000">
      <w:pPr>
        <w:spacing w:after="100"/>
        <w:jc w:val="center"/>
      </w:pPr>
      <w:r>
        <w:rPr>
          <w:b/>
          <w:bCs/>
          <w:sz w:val="32"/>
          <w:szCs w:val="32"/>
        </w:rPr>
        <w:t>Revue de l'état de l'art</w:t>
      </w:r>
    </w:p>
    <w:p w14:paraId="2836F5E0" w14:textId="77777777" w:rsidR="000A2FAB" w:rsidRDefault="00000000">
      <w:pPr>
        <w:pStyle w:val="Titre1"/>
        <w:spacing w:before="300" w:after="150"/>
      </w:pPr>
      <w:r>
        <w:rPr>
          <w:b/>
          <w:bCs/>
        </w:rPr>
        <w:t>1. Jumeaux numériques dans le secteur nucléaire</w:t>
      </w:r>
    </w:p>
    <w:p w14:paraId="5F8366D1"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Les jumeaux numériques (DT) sont définis comme des représentations virtuelles synchronisées d'un système physique, intégrant des modèles multi-physiques, des données historiques et des flux de données en temps réel pour refléter l'état opérationnel tout au long du cycle de vie [1].</w:t>
      </w:r>
    </w:p>
    <w:p w14:paraId="4F0C54F7"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Dans le contexte des centrales nucléaires, plusieurs architectures ont été proposées pour structurer les jumeaux numériques et leurs usages. Zhang et al. [2] proposent une architecture technologique de jumeau numérique pour l'exploitation et la maintenance intelligentes des réacteurs nucléaires, organisée autour de l'intégration de l'espace cyber et de l'espace physique afin d'améliorer l'efficacité des équipements. Dans une perspective complémentaire centrée sur l'équipement, Chang et al. [3] proposent un cadre de jumeau numérique en cinq dimensions pour la maintenance des équipements nucléaires (NPE), regroupant l'entité physique, l'entité virtuelle, l'espace de données et de connaissances, le système de service et le système de connexion; ce cadre met l'accent sur la rupture des « silos d'information » et sur une prise de décision de maintenance intelligente à partir de données hétérogènes multi-sources.</w:t>
      </w:r>
    </w:p>
    <w:p w14:paraId="272456EE"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Ces contributions montrent que le jumeau numérique nucléaire n'est plus seulement un outil de formation ou de visualisation, mais un support décisionnel intégré pour l'exploitation, la maintenance et la transformation des centrales [2], [3].</w:t>
      </w:r>
    </w:p>
    <w:p w14:paraId="3827C213" w14:textId="77777777" w:rsidR="000A2FAB" w:rsidRDefault="00000000">
      <w:pPr>
        <w:pStyle w:val="Titre1"/>
        <w:spacing w:before="300" w:after="150"/>
      </w:pPr>
      <w:r>
        <w:rPr>
          <w:b/>
          <w:bCs/>
        </w:rPr>
        <w:t xml:space="preserve">2. Modélisation </w:t>
      </w:r>
      <w:proofErr w:type="spellStart"/>
      <w:r>
        <w:rPr>
          <w:b/>
          <w:bCs/>
        </w:rPr>
        <w:t>thermohydraulique</w:t>
      </w:r>
      <w:proofErr w:type="spellEnd"/>
      <w:r>
        <w:rPr>
          <w:b/>
          <w:bCs/>
        </w:rPr>
        <w:t xml:space="preserve"> des boucles secondaires (CANDU / Gentilly-2)</w:t>
      </w:r>
    </w:p>
    <w:p w14:paraId="684D3608"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La boucle secondaire d'une centrale CANDU-6 comme Gentilly-2 correspond à un cycle de Rankine avec surchauffe et régénération, incluant générateurs de vapeur, </w:t>
      </w:r>
      <w:proofErr w:type="gramStart"/>
      <w:r w:rsidRPr="0084246F">
        <w:rPr>
          <w:rFonts w:ascii="Arial" w:hAnsi="Arial" w:cs="Arial"/>
          <w:sz w:val="22"/>
          <w:szCs w:val="22"/>
        </w:rPr>
        <w:t>turbines haute</w:t>
      </w:r>
      <w:proofErr w:type="gramEnd"/>
      <w:r w:rsidRPr="0084246F">
        <w:rPr>
          <w:rFonts w:ascii="Arial" w:hAnsi="Arial" w:cs="Arial"/>
          <w:sz w:val="22"/>
          <w:szCs w:val="22"/>
        </w:rPr>
        <w:t xml:space="preserve"> et basse pression, séparateur-surchauffeur, dégazeur, réchauffeurs d'eau d'alimentation, condenseur et pompes [4].</w:t>
      </w:r>
    </w:p>
    <w:p w14:paraId="751EB6A8"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Des travaux menés au laboratoire de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de Polytechnique Montréal, sous la direction d'A. Teyssedou, ont développé des modèles thermodynamiques détaillés de cette boucle. Dipama [4] a construit, dans le cadre de sa thèse de doctorat, un modèle complet de la boucle secondaire résolvant les bilans de masse, d'énergie et de quantité de mouvement des différents équipements (réchauffeurs d'eau d'alimentation, séparateur-surchauffeur, dégazeur, condenseur, turbines), implémenté sous Matlab avec la bibliothèque de propriétés </w:t>
      </w:r>
      <w:proofErr w:type="spellStart"/>
      <w:r w:rsidRPr="0084246F">
        <w:rPr>
          <w:rFonts w:ascii="Arial" w:hAnsi="Arial" w:cs="Arial"/>
          <w:sz w:val="22"/>
          <w:szCs w:val="22"/>
        </w:rPr>
        <w:t>thermophysiques</w:t>
      </w:r>
      <w:proofErr w:type="spellEnd"/>
      <w:r w:rsidRPr="0084246F">
        <w:rPr>
          <w:rFonts w:ascii="Arial" w:hAnsi="Arial" w:cs="Arial"/>
          <w:sz w:val="22"/>
          <w:szCs w:val="22"/>
        </w:rPr>
        <w:t xml:space="preserve"> </w:t>
      </w:r>
      <w:proofErr w:type="spellStart"/>
      <w:r w:rsidRPr="0084246F">
        <w:rPr>
          <w:rFonts w:ascii="Arial" w:hAnsi="Arial" w:cs="Arial"/>
          <w:sz w:val="22"/>
          <w:szCs w:val="22"/>
        </w:rPr>
        <w:t>XSteam</w:t>
      </w:r>
      <w:proofErr w:type="spellEnd"/>
      <w:r w:rsidRPr="0084246F">
        <w:rPr>
          <w:rFonts w:ascii="Arial" w:hAnsi="Arial" w:cs="Arial"/>
          <w:sz w:val="22"/>
          <w:szCs w:val="22"/>
        </w:rPr>
        <w:t>. Hounkonnou et al. [5] et Dipama et al. [6] ont ensuite couplé ce modèle à des algorithmes d'optimisation évolutionnaires pour explorer différentes configurations d'extraction de vapeur et conditions d'opération de la boucle secondaire de Gentilly-2, dans le but de maximiser conjointement la puissance nette et le rendement thermique.</w:t>
      </w:r>
    </w:p>
    <w:p w14:paraId="36523E7F" w14:textId="4C29F56A"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Ces modèles thermodynamiques détaillés constituent une base physique pertinente pour un jumeau numérique de boucle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 ils offrent une description fine des dynamiques nominales et de leur sensibilité aux conditions d'exploitation, préalable nécessaire à la détection d'anomalies et à la simulation de scénarios de maintenance. Il convient toutefois de noter que les codes de calcul système spécifiquement validés pour la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des réacteurs CANDU (transitoires de perte de réfrigérant, condensation, etc.) sont CATHENA et TUF; les codes APROS et ASTEC, plus répandus pour les filières PWR/BWR/VVER, ne sont pas </w:t>
      </w:r>
      <w:r w:rsidRPr="0084246F">
        <w:rPr>
          <w:rFonts w:ascii="Arial" w:hAnsi="Arial" w:cs="Arial"/>
          <w:sz w:val="22"/>
          <w:szCs w:val="22"/>
        </w:rPr>
        <w:lastRenderedPageBreak/>
        <w:t>directement applicables à la géométrie et à la physique propres au CANDU sans adaptation substantielle</w:t>
      </w:r>
      <w:r w:rsidR="0084246F">
        <w:rPr>
          <w:rFonts w:ascii="Arial" w:hAnsi="Arial" w:cs="Arial"/>
          <w:sz w:val="22"/>
          <w:szCs w:val="22"/>
        </w:rPr>
        <w:t xml:space="preserve">, </w:t>
      </w:r>
      <w:r w:rsidRPr="0084246F">
        <w:rPr>
          <w:rFonts w:ascii="Arial" w:hAnsi="Arial" w:cs="Arial"/>
          <w:sz w:val="22"/>
          <w:szCs w:val="22"/>
        </w:rPr>
        <w:t xml:space="preserve"> un point de vigilance pour la suite du projet.</w:t>
      </w:r>
    </w:p>
    <w:p w14:paraId="0C346488" w14:textId="77777777" w:rsidR="000A2FAB" w:rsidRDefault="00000000">
      <w:pPr>
        <w:pStyle w:val="Titre1"/>
        <w:spacing w:before="300" w:after="150"/>
      </w:pPr>
      <w:r>
        <w:rPr>
          <w:b/>
          <w:bCs/>
        </w:rPr>
        <w:t>3. Jumeaux numériques pour la maintenance et l'aide à la décision</w:t>
      </w:r>
    </w:p>
    <w:p w14:paraId="51017971"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La littérature récente positionne les jumeaux numériques comme un levier pour passer d'une maintenance basée sur le temps à une maintenance prédictive, en s'appuyant sur l'intégration de données historiques, de simulations physiques et de techniques d'apprentissage automatique [7], [8].</w:t>
      </w:r>
    </w:p>
    <w:p w14:paraId="409CBB31"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Qian et Liu [8] ont mené une étude comparative de plusieurs architectures d'apprentissage profond (réseau de neurones à propagation avant, réseau convolutif, réseau récurrent à porte, réseau convolutif-récurrent) pour le diagnostic de défauts de roulements sur des machines tournantes de centrales nucléaires, montrant que le réseau convolutif-récurrent offre les meilleures performances, y compris en présence de bruit et d'échantillons réduits. Mendoza et al. [7] passent en revue les avancées récentes combinant jumeaux numériques et IA/apprentissage automatique pour la surveillance d'état dans les applications nucléaires, soulignant le rôle croissant de ces techniques dans le diagnostic, le pronostic et le support à la décision opérationnelle.</w:t>
      </w:r>
    </w:p>
    <w:p w14:paraId="57C62A28"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Ces travaux justifient l'objectif d'aide à la maintenance et à la décision du projet considéré : le jumeau doit non seulement reproduire la physique de la boucle, mais aussi produire des diagnostics, pronostics et recommandations exploitables par les mainteneurs et décideurs, dans un cadre cohérent avec les exigences réglementaires de la CCSN en matière de programmes d'entretien des centrales nucléaires [1].</w:t>
      </w:r>
    </w:p>
    <w:p w14:paraId="684C14D3" w14:textId="77777777" w:rsidR="000A2FAB" w:rsidRDefault="00000000">
      <w:pPr>
        <w:pStyle w:val="Titre1"/>
        <w:spacing w:before="300" w:after="150"/>
      </w:pPr>
      <w:r>
        <w:rPr>
          <w:b/>
          <w:bCs/>
        </w:rPr>
        <w:t xml:space="preserve">4. </w:t>
      </w:r>
      <w:proofErr w:type="spellStart"/>
      <w:r>
        <w:rPr>
          <w:b/>
          <w:bCs/>
        </w:rPr>
        <w:t>Cyberrésilience</w:t>
      </w:r>
      <w:proofErr w:type="spellEnd"/>
      <w:r>
        <w:rPr>
          <w:b/>
          <w:bCs/>
        </w:rPr>
        <w:t xml:space="preserve"> des jumeaux numériques pour infrastructures critiques</w:t>
      </w:r>
    </w:p>
    <w:p w14:paraId="49C7C9C1"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La dimension </w:t>
      </w:r>
      <w:proofErr w:type="spellStart"/>
      <w:r w:rsidRPr="0084246F">
        <w:rPr>
          <w:rFonts w:ascii="Arial" w:hAnsi="Arial" w:cs="Arial"/>
          <w:sz w:val="22"/>
          <w:szCs w:val="22"/>
        </w:rPr>
        <w:t>cyberrésiliente</w:t>
      </w:r>
      <w:proofErr w:type="spellEnd"/>
      <w:r w:rsidRPr="0084246F">
        <w:rPr>
          <w:rFonts w:ascii="Arial" w:hAnsi="Arial" w:cs="Arial"/>
          <w:sz w:val="22"/>
          <w:szCs w:val="22"/>
        </w:rPr>
        <w:t xml:space="preserve"> est cruciale dès lors que le jumeau numérique est connecté à des systèmes de contrôle et alimenté par des flux de données sensibles.</w:t>
      </w:r>
    </w:p>
    <w:p w14:paraId="1093C88F"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Khdhir et al. [9] proposent une architecture de sécurité pour jumeaux numériques (Digital </w:t>
      </w:r>
      <w:proofErr w:type="spellStart"/>
      <w:r w:rsidRPr="0084246F">
        <w:rPr>
          <w:rFonts w:ascii="Arial" w:hAnsi="Arial" w:cs="Arial"/>
          <w:sz w:val="22"/>
          <w:szCs w:val="22"/>
        </w:rPr>
        <w:t>Twin</w:t>
      </w:r>
      <w:proofErr w:type="spellEnd"/>
      <w:r w:rsidRPr="0084246F">
        <w:rPr>
          <w:rFonts w:ascii="Arial" w:hAnsi="Arial" w:cs="Arial"/>
          <w:sz w:val="22"/>
          <w:szCs w:val="22"/>
        </w:rPr>
        <w:t xml:space="preserve"> Security Framework Architecture, DTSFA) intégrant simulation par jumeau numérique, chaîne de blocs, un classifieur adaptatif et un concept de « Grey Team » simulant des scénarios d'attaques internes réalistes; leurs résultats expérimentaux rapportent une précision de détection de 92,14 %, une latence de 1,47 s, ainsi qu'une réduction de délai de 14,06 % et une amélioration de 13,03 % du temps de réponse en sécurité. </w:t>
      </w:r>
      <w:proofErr w:type="spellStart"/>
      <w:r w:rsidRPr="0084246F">
        <w:rPr>
          <w:rFonts w:ascii="Arial" w:hAnsi="Arial" w:cs="Arial"/>
          <w:sz w:val="22"/>
          <w:szCs w:val="22"/>
        </w:rPr>
        <w:t>Itäpelto</w:t>
      </w:r>
      <w:proofErr w:type="spellEnd"/>
      <w:r w:rsidRPr="0084246F">
        <w:rPr>
          <w:rFonts w:ascii="Arial" w:hAnsi="Arial" w:cs="Arial"/>
          <w:sz w:val="22"/>
          <w:szCs w:val="22"/>
        </w:rPr>
        <w:t xml:space="preserve"> et al. [10], dans une revue systématique portant sur 43 articles publiés entre 2013 et 2024, classifient les cas d'usage de cybersécurité rendus possibles par les jumeaux numériques tout au long du cycle de vie des infrastructures critiques, confirmant leur rôle d</w:t>
      </w:r>
      <w:proofErr w:type="gramStart"/>
      <w:r w:rsidRPr="0084246F">
        <w:rPr>
          <w:rFonts w:ascii="Arial" w:hAnsi="Arial" w:cs="Arial"/>
          <w:sz w:val="22"/>
          <w:szCs w:val="22"/>
        </w:rPr>
        <w:t>'«</w:t>
      </w:r>
      <w:proofErr w:type="gramEnd"/>
      <w:r w:rsidRPr="0084246F">
        <w:rPr>
          <w:rFonts w:ascii="Arial" w:hAnsi="Arial" w:cs="Arial"/>
          <w:sz w:val="22"/>
          <w:szCs w:val="22"/>
        </w:rPr>
        <w:t xml:space="preserve"> </w:t>
      </w:r>
      <w:proofErr w:type="spellStart"/>
      <w:r w:rsidRPr="0084246F">
        <w:rPr>
          <w:rFonts w:ascii="Arial" w:hAnsi="Arial" w:cs="Arial"/>
          <w:sz w:val="22"/>
          <w:szCs w:val="22"/>
        </w:rPr>
        <w:t>enhanceurs</w:t>
      </w:r>
      <w:proofErr w:type="spellEnd"/>
      <w:r w:rsidRPr="0084246F">
        <w:rPr>
          <w:rFonts w:ascii="Arial" w:hAnsi="Arial" w:cs="Arial"/>
          <w:sz w:val="22"/>
          <w:szCs w:val="22"/>
        </w:rPr>
        <w:t xml:space="preserve"> » de cybersécurité à long terme.</w:t>
      </w:r>
    </w:p>
    <w:p w14:paraId="1081C874" w14:textId="77777777" w:rsidR="000A2FAB" w:rsidRPr="0084246F" w:rsidRDefault="00000000" w:rsidP="0084246F">
      <w:pPr>
        <w:spacing w:after="200"/>
        <w:jc w:val="both"/>
        <w:rPr>
          <w:rFonts w:ascii="Arial" w:hAnsi="Arial" w:cs="Arial"/>
          <w:sz w:val="22"/>
          <w:szCs w:val="22"/>
        </w:rPr>
      </w:pPr>
      <w:proofErr w:type="spellStart"/>
      <w:r w:rsidRPr="0084246F">
        <w:rPr>
          <w:rFonts w:ascii="Arial" w:hAnsi="Arial" w:cs="Arial"/>
          <w:sz w:val="22"/>
          <w:szCs w:val="22"/>
        </w:rPr>
        <w:t>Homaei</w:t>
      </w:r>
      <w:proofErr w:type="spellEnd"/>
      <w:r w:rsidRPr="0084246F">
        <w:rPr>
          <w:rFonts w:ascii="Arial" w:hAnsi="Arial" w:cs="Arial"/>
          <w:sz w:val="22"/>
          <w:szCs w:val="22"/>
        </w:rPr>
        <w:t xml:space="preserve"> et al. [11] proposent un jumeau numérique intelligent et auto-défendant (i-SDT), combinant une modélisation prédictive régularisée par des contraintes hydrauliques (conservation de masse et d'énergie) au moyen de réseaux de convolution temporelle (TCN), une discrimination multi-classes d'attaques dans l'espace latent via un encodeur résiduel récurrent avec Maximum Mean </w:t>
      </w:r>
      <w:proofErr w:type="spellStart"/>
      <w:r w:rsidRPr="0084246F">
        <w:rPr>
          <w:rFonts w:ascii="Arial" w:hAnsi="Arial" w:cs="Arial"/>
          <w:sz w:val="22"/>
          <w:szCs w:val="22"/>
        </w:rPr>
        <w:t>Discrepancy</w:t>
      </w:r>
      <w:proofErr w:type="spellEnd"/>
      <w:r w:rsidRPr="0084246F">
        <w:rPr>
          <w:rFonts w:ascii="Arial" w:hAnsi="Arial" w:cs="Arial"/>
          <w:sz w:val="22"/>
          <w:szCs w:val="22"/>
        </w:rPr>
        <w:t xml:space="preserve"> (MMD), et un contrôle résilient adaptatif par commande prédictive (MPC) permettant de maintenir l'opération en sécurité sans arrêt complet. Évalué sur les jeux de données </w:t>
      </w:r>
      <w:proofErr w:type="spellStart"/>
      <w:r w:rsidRPr="0084246F">
        <w:rPr>
          <w:rFonts w:ascii="Arial" w:hAnsi="Arial" w:cs="Arial"/>
          <w:sz w:val="22"/>
          <w:szCs w:val="22"/>
        </w:rPr>
        <w:t>SWaT</w:t>
      </w:r>
      <w:proofErr w:type="spellEnd"/>
      <w:r w:rsidRPr="0084246F">
        <w:rPr>
          <w:rFonts w:ascii="Arial" w:hAnsi="Arial" w:cs="Arial"/>
          <w:sz w:val="22"/>
          <w:szCs w:val="22"/>
        </w:rPr>
        <w:t xml:space="preserve"> et WADI, ce cadre montre une réduction de 44,1 % des fausses alarmes et de 56,3 % des coûts opérationnels par rapport à un arrêt complet du système.</w:t>
      </w:r>
    </w:p>
    <w:p w14:paraId="5DF3CDF3"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lastRenderedPageBreak/>
        <w:t xml:space="preserve">Dans le domaine nucléaire, Yockey et al. [12] proposent une évaluation des menaces cyber sur des systèmes de contrôle autonomes pilotés par apprentissage automatique et jumeaux numériques pour réacteurs avancés, à l'aide d'un banc d'essai cyber-physique émulant les systèmes d'instrumentation et de contrôle numériques. L'Idaho National </w:t>
      </w:r>
      <w:proofErr w:type="spellStart"/>
      <w:r w:rsidRPr="0084246F">
        <w:rPr>
          <w:rFonts w:ascii="Arial" w:hAnsi="Arial" w:cs="Arial"/>
          <w:sz w:val="22"/>
          <w:szCs w:val="22"/>
        </w:rPr>
        <w:t>Laboratory</w:t>
      </w:r>
      <w:proofErr w:type="spellEnd"/>
      <w:r w:rsidRPr="0084246F">
        <w:rPr>
          <w:rFonts w:ascii="Arial" w:hAnsi="Arial" w:cs="Arial"/>
          <w:sz w:val="22"/>
          <w:szCs w:val="22"/>
        </w:rPr>
        <w:t xml:space="preserve"> [13] a par ailleurs publié une analyse de surface d'attaque de jumeaux numériques couplés à des réacteurs avancés, documentant un scénario d'attaque où des données de capteurs falsifiées sont injectées dans le jumeau numérique afin de créer une fausse base de référence exploitée par les algorithmes de contrôle autonome.</w:t>
      </w:r>
    </w:p>
    <w:p w14:paraId="6D30CBE0"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Ces résultats montrent qu'un jumeau numérique </w:t>
      </w:r>
      <w:proofErr w:type="spellStart"/>
      <w:r w:rsidRPr="0084246F">
        <w:rPr>
          <w:rFonts w:ascii="Arial" w:hAnsi="Arial" w:cs="Arial"/>
          <w:sz w:val="22"/>
          <w:szCs w:val="22"/>
        </w:rPr>
        <w:t>cyberrésilient</w:t>
      </w:r>
      <w:proofErr w:type="spellEnd"/>
      <w:r w:rsidRPr="0084246F">
        <w:rPr>
          <w:rFonts w:ascii="Arial" w:hAnsi="Arial" w:cs="Arial"/>
          <w:sz w:val="22"/>
          <w:szCs w:val="22"/>
        </w:rPr>
        <w:t xml:space="preserve"> doit intégrer dès la conception : une modélisation physique contrainte par les lois de conservation pour détecter les incohérences induites par des attaques; des mécanismes de discrimination d'attaques dans l'espace latent des données; et des stratégies de contrôle résilient permettant de maintenir un fonctionnement sûr même sous attaque [9], [11], [12], [13].</w:t>
      </w:r>
    </w:p>
    <w:p w14:paraId="040A4019" w14:textId="77777777" w:rsidR="000A2FAB" w:rsidRDefault="00000000">
      <w:pPr>
        <w:pStyle w:val="Titre1"/>
        <w:spacing w:before="300" w:after="150"/>
      </w:pPr>
      <w:r>
        <w:rPr>
          <w:b/>
          <w:bCs/>
        </w:rPr>
        <w:t>5. Synthèse et positionnement du projet</w:t>
      </w:r>
    </w:p>
    <w:p w14:paraId="1849ABF8"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En croisant ces quatre axes, on peut positionner le projet « Conception et validation d'un jumeau numérique </w:t>
      </w:r>
      <w:proofErr w:type="spellStart"/>
      <w:r w:rsidRPr="0084246F">
        <w:rPr>
          <w:rFonts w:ascii="Arial" w:hAnsi="Arial" w:cs="Arial"/>
          <w:sz w:val="22"/>
          <w:szCs w:val="22"/>
        </w:rPr>
        <w:t>cyberrésilient</w:t>
      </w:r>
      <w:proofErr w:type="spellEnd"/>
      <w:r w:rsidRPr="0084246F">
        <w:rPr>
          <w:rFonts w:ascii="Arial" w:hAnsi="Arial" w:cs="Arial"/>
          <w:sz w:val="22"/>
          <w:szCs w:val="22"/>
        </w:rPr>
        <w:t xml:space="preserve"> d'une boucle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simulée de Gentilly-2 pour l'aide à la maintenance et à la décision » comme suit.</w:t>
      </w:r>
    </w:p>
    <w:p w14:paraId="5D56F500"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Sur le plan physique, peu de travaux publiquement documentés portent spécifiquement sur un jumeau numérique d'une boucle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de type Gentilly-2 avec un modèle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détaillé et validé; les modèles existants [</w:t>
      </w:r>
      <w:proofErr w:type="gramStart"/>
      <w:r w:rsidRPr="0084246F">
        <w:rPr>
          <w:rFonts w:ascii="Arial" w:hAnsi="Arial" w:cs="Arial"/>
          <w:sz w:val="22"/>
          <w:szCs w:val="22"/>
        </w:rPr>
        <w:t>4]–</w:t>
      </w:r>
      <w:proofErr w:type="gramEnd"/>
      <w:r w:rsidRPr="0084246F">
        <w:rPr>
          <w:rFonts w:ascii="Arial" w:hAnsi="Arial" w:cs="Arial"/>
          <w:sz w:val="22"/>
          <w:szCs w:val="22"/>
        </w:rPr>
        <w:t xml:space="preserve">[6] portent sur l'optimisation thermodynamique hors ligne plutôt que sur un jumeau numérique synchronisé en temps réel. La plupart des jumeaux numériques nucléaires recensés sont soit génériques [2], [3], soit centrés sur la surveillance d'état et le diagnostic [7], [8], sans intégration d'un modèle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fin de boucle secondaire.</w:t>
      </w:r>
    </w:p>
    <w:p w14:paraId="6C01EBC5"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Sur le plan </w:t>
      </w:r>
      <w:proofErr w:type="spellStart"/>
      <w:r w:rsidRPr="0084246F">
        <w:rPr>
          <w:rFonts w:ascii="Arial" w:hAnsi="Arial" w:cs="Arial"/>
          <w:sz w:val="22"/>
          <w:szCs w:val="22"/>
        </w:rPr>
        <w:t>cyberrésilient</w:t>
      </w:r>
      <w:proofErr w:type="spellEnd"/>
      <w:r w:rsidRPr="0084246F">
        <w:rPr>
          <w:rFonts w:ascii="Arial" w:hAnsi="Arial" w:cs="Arial"/>
          <w:sz w:val="22"/>
          <w:szCs w:val="22"/>
        </w:rPr>
        <w:t xml:space="preserve">, les jumeaux numériques </w:t>
      </w:r>
      <w:proofErr w:type="spellStart"/>
      <w:r w:rsidRPr="0084246F">
        <w:rPr>
          <w:rFonts w:ascii="Arial" w:hAnsi="Arial" w:cs="Arial"/>
          <w:sz w:val="22"/>
          <w:szCs w:val="22"/>
        </w:rPr>
        <w:t>auto-défendants</w:t>
      </w:r>
      <w:proofErr w:type="spellEnd"/>
      <w:r w:rsidRPr="0084246F">
        <w:rPr>
          <w:rFonts w:ascii="Arial" w:hAnsi="Arial" w:cs="Arial"/>
          <w:sz w:val="22"/>
          <w:szCs w:val="22"/>
        </w:rPr>
        <w:t xml:space="preserve"> et résilients sont principalement illustrés sur des bancs d'essai génériques de type </w:t>
      </w:r>
      <w:proofErr w:type="spellStart"/>
      <w:r w:rsidRPr="0084246F">
        <w:rPr>
          <w:rFonts w:ascii="Arial" w:hAnsi="Arial" w:cs="Arial"/>
          <w:sz w:val="22"/>
          <w:szCs w:val="22"/>
        </w:rPr>
        <w:t>SWaT</w:t>
      </w:r>
      <w:proofErr w:type="spellEnd"/>
      <w:r w:rsidRPr="0084246F">
        <w:rPr>
          <w:rFonts w:ascii="Arial" w:hAnsi="Arial" w:cs="Arial"/>
          <w:sz w:val="22"/>
          <w:szCs w:val="22"/>
        </w:rPr>
        <w:t xml:space="preserve">/WADI [11] ou sur des concepts de réacteurs avancés [12], [13]. Les appliquer à une boucle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CANDU, avec des contraintes de conservation spécifiques à cette géométrie et une discrimination d'attaques adaptée, constituerait une contribution nouvelle dans le contexte nucléaire canadien.</w:t>
      </w:r>
    </w:p>
    <w:p w14:paraId="20BEDE8D" w14:textId="77777777" w:rsidR="000A2FAB" w:rsidRPr="0084246F" w:rsidRDefault="00000000" w:rsidP="0084246F">
      <w:pPr>
        <w:spacing w:after="200"/>
        <w:jc w:val="both"/>
        <w:rPr>
          <w:rFonts w:ascii="Arial" w:hAnsi="Arial" w:cs="Arial"/>
          <w:sz w:val="22"/>
          <w:szCs w:val="22"/>
        </w:rPr>
      </w:pPr>
      <w:r w:rsidRPr="0084246F">
        <w:rPr>
          <w:rFonts w:ascii="Arial" w:hAnsi="Arial" w:cs="Arial"/>
          <w:sz w:val="22"/>
          <w:szCs w:val="22"/>
        </w:rPr>
        <w:t xml:space="preserve">Enfin, en combinant un modèle </w:t>
      </w:r>
      <w:proofErr w:type="spellStart"/>
      <w:r w:rsidRPr="0084246F">
        <w:rPr>
          <w:rFonts w:ascii="Arial" w:hAnsi="Arial" w:cs="Arial"/>
          <w:sz w:val="22"/>
          <w:szCs w:val="22"/>
        </w:rPr>
        <w:t>thermohydraulique</w:t>
      </w:r>
      <w:proofErr w:type="spellEnd"/>
      <w:r w:rsidRPr="0084246F">
        <w:rPr>
          <w:rFonts w:ascii="Arial" w:hAnsi="Arial" w:cs="Arial"/>
          <w:sz w:val="22"/>
          <w:szCs w:val="22"/>
        </w:rPr>
        <w:t xml:space="preserve"> validé, des fonctions de diagnostic et de pronostic, et un module de décision, le projet s'inscrit dans la tendance des systèmes de maintenance intelligente pour équipements nucléaires, tout en s'ancrant dans le cadre réglementaire canadien des programmes d'entretien des centrales nucléaires [1].</w:t>
      </w:r>
    </w:p>
    <w:p w14:paraId="556C95F9" w14:textId="77777777" w:rsidR="000A2FAB" w:rsidRDefault="00000000">
      <w:pPr>
        <w:pStyle w:val="Titre1"/>
        <w:spacing w:before="300" w:after="150"/>
      </w:pPr>
      <w:r>
        <w:rPr>
          <w:b/>
          <w:bCs/>
        </w:rPr>
        <w:t>Références</w:t>
      </w:r>
    </w:p>
    <w:p w14:paraId="41C247A0" w14:textId="77777777" w:rsidR="000A2FAB" w:rsidRDefault="00000000">
      <w:pPr>
        <w:spacing w:after="120"/>
        <w:ind w:left="400" w:hanging="400"/>
      </w:pPr>
      <w:r>
        <w:rPr>
          <w:sz w:val="22"/>
          <w:szCs w:val="22"/>
        </w:rPr>
        <w:t xml:space="preserve">[1] </w:t>
      </w:r>
      <w:r w:rsidRPr="0084246F">
        <w:rPr>
          <w:rFonts w:ascii="Arial" w:hAnsi="Arial" w:cs="Arial"/>
          <w:sz w:val="22"/>
          <w:szCs w:val="22"/>
        </w:rPr>
        <w:t xml:space="preserve">Commission canadienne de sûreté nucléaire (CCSN), RD/GD-210 : Programmes d'entretien des centrales nucléaires, 2012. [En ligne]. Disponible </w:t>
      </w:r>
      <w:r>
        <w:rPr>
          <w:sz w:val="22"/>
          <w:szCs w:val="22"/>
        </w:rPr>
        <w:t xml:space="preserve">: </w:t>
      </w:r>
      <w:hyperlink r:id="rId5" w:history="1">
        <w:r>
          <w:rPr>
            <w:rStyle w:val="Lienhypertexte"/>
            <w:sz w:val="22"/>
            <w:szCs w:val="22"/>
          </w:rPr>
          <w:t>https://www.cnsc-ccsn.gc.ca/fra/acts-and-regulations/regulatory-documents/published/html/rdgd210/</w:t>
        </w:r>
      </w:hyperlink>
    </w:p>
    <w:p w14:paraId="55429A9E" w14:textId="77777777" w:rsidR="000A2FAB" w:rsidRPr="0084246F" w:rsidRDefault="00000000">
      <w:pPr>
        <w:spacing w:after="120"/>
        <w:ind w:left="400" w:hanging="400"/>
        <w:rPr>
          <w:lang w:val="en-CA"/>
        </w:rPr>
      </w:pPr>
      <w:r w:rsidRPr="0084246F">
        <w:rPr>
          <w:sz w:val="22"/>
          <w:szCs w:val="22"/>
          <w:lang w:val="en-CA"/>
        </w:rPr>
        <w:t xml:space="preserve">[2] </w:t>
      </w:r>
      <w:r w:rsidRPr="0084246F">
        <w:rPr>
          <w:rFonts w:ascii="Arial" w:hAnsi="Arial" w:cs="Arial"/>
          <w:sz w:val="22"/>
          <w:szCs w:val="22"/>
          <w:lang w:val="en-CA"/>
        </w:rPr>
        <w:t xml:space="preserve">Z. Zhang, J. Liu, W. Zeng, Q. Huang, et X. Liu, « Digital Twin Technology Architecture and Application for Nuclear Reactor Intelligent Operation and Maintenance », IEEE Access, vol. 13, pp. 91494-91504, 2025,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10.1109/ACCESS.2025.3570182. [En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 xml:space="preserve">]. </w:t>
      </w:r>
      <w:proofErr w:type="gramStart"/>
      <w:r w:rsidRPr="0084246F">
        <w:rPr>
          <w:rFonts w:ascii="Arial" w:hAnsi="Arial" w:cs="Arial"/>
          <w:sz w:val="22"/>
          <w:szCs w:val="22"/>
          <w:lang w:val="en-CA"/>
        </w:rPr>
        <w:t>Disponible :</w:t>
      </w:r>
      <w:proofErr w:type="gramEnd"/>
      <w:r w:rsidRPr="0084246F">
        <w:rPr>
          <w:rFonts w:ascii="Arial" w:hAnsi="Arial" w:cs="Arial"/>
          <w:sz w:val="22"/>
          <w:szCs w:val="22"/>
          <w:lang w:val="en-CA"/>
        </w:rPr>
        <w:t xml:space="preserve"> </w:t>
      </w:r>
      <w:hyperlink r:id="rId6" w:history="1">
        <w:r w:rsidRPr="0084246F">
          <w:rPr>
            <w:rStyle w:val="Lienhypertexte"/>
            <w:sz w:val="22"/>
            <w:szCs w:val="22"/>
            <w:lang w:val="en-CA"/>
          </w:rPr>
          <w:t>https://ieeexplore.ieee.org/document/11004015/</w:t>
        </w:r>
      </w:hyperlink>
    </w:p>
    <w:p w14:paraId="773282E6" w14:textId="77777777" w:rsidR="000A2FAB" w:rsidRDefault="00000000">
      <w:pPr>
        <w:spacing w:after="120"/>
        <w:ind w:left="400" w:hanging="400"/>
      </w:pPr>
      <w:r w:rsidRPr="0084246F">
        <w:rPr>
          <w:sz w:val="22"/>
          <w:szCs w:val="22"/>
          <w:lang w:val="en-CA"/>
        </w:rPr>
        <w:lastRenderedPageBreak/>
        <w:t xml:space="preserve">[3] </w:t>
      </w:r>
      <w:r w:rsidRPr="0084246F">
        <w:rPr>
          <w:rFonts w:ascii="Arial" w:hAnsi="Arial" w:cs="Arial"/>
          <w:sz w:val="22"/>
          <w:szCs w:val="22"/>
          <w:lang w:val="en-CA"/>
        </w:rPr>
        <w:t xml:space="preserve">F. Chang, Q. Huang, M. Zhang, et Y. Zhi, « A Digital Twin Framework for Nuclear Power Equipment Maintenance: Design, Prototyping, and Preliminary Validation », Digital Twin, vol. 2, art. 1, 2025,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10.12688/digitaltwin.17695.2. </w:t>
      </w:r>
      <w:r w:rsidRPr="0084246F">
        <w:rPr>
          <w:rFonts w:ascii="Arial" w:hAnsi="Arial" w:cs="Arial"/>
          <w:sz w:val="22"/>
          <w:szCs w:val="22"/>
        </w:rPr>
        <w:t>[En ligne]. Disponible</w:t>
      </w:r>
      <w:r>
        <w:rPr>
          <w:sz w:val="22"/>
          <w:szCs w:val="22"/>
        </w:rPr>
        <w:t xml:space="preserve"> : </w:t>
      </w:r>
      <w:hyperlink r:id="rId7" w:history="1">
        <w:r>
          <w:rPr>
            <w:rStyle w:val="Lienhypertexte"/>
            <w:sz w:val="22"/>
            <w:szCs w:val="22"/>
          </w:rPr>
          <w:t>https://www.tandfonline.com/doi/full/10.12688/digitaltwin.17695.2</w:t>
        </w:r>
      </w:hyperlink>
    </w:p>
    <w:p w14:paraId="67D4BA26" w14:textId="77777777" w:rsidR="000A2FAB" w:rsidRPr="0084246F" w:rsidRDefault="00000000">
      <w:pPr>
        <w:spacing w:after="120"/>
        <w:ind w:left="400" w:hanging="400"/>
        <w:rPr>
          <w:lang w:val="en-CA"/>
        </w:rPr>
      </w:pPr>
      <w:r>
        <w:rPr>
          <w:sz w:val="22"/>
          <w:szCs w:val="22"/>
        </w:rPr>
        <w:t xml:space="preserve">[4] </w:t>
      </w:r>
      <w:r w:rsidRPr="0084246F">
        <w:rPr>
          <w:rFonts w:ascii="Arial" w:hAnsi="Arial" w:cs="Arial"/>
          <w:sz w:val="22"/>
          <w:szCs w:val="22"/>
        </w:rPr>
        <w:t xml:space="preserve">J. Dipama, « Optimisation multi-objectif des systèmes énergétiques », thèse de doctorat, École Polytechnique de Montréal, Montréal, QC, Canada, 2010. </w:t>
      </w:r>
      <w:r w:rsidRPr="0084246F">
        <w:rPr>
          <w:rFonts w:ascii="Arial" w:hAnsi="Arial" w:cs="Arial"/>
          <w:sz w:val="22"/>
          <w:szCs w:val="22"/>
          <w:lang w:val="en-CA"/>
        </w:rPr>
        <w:t xml:space="preserve">[En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 xml:space="preserve">]. </w:t>
      </w:r>
      <w:proofErr w:type="gramStart"/>
      <w:r w:rsidRPr="0084246F">
        <w:rPr>
          <w:rFonts w:ascii="Arial" w:hAnsi="Arial" w:cs="Arial"/>
          <w:sz w:val="22"/>
          <w:szCs w:val="22"/>
          <w:lang w:val="en-CA"/>
        </w:rPr>
        <w:t>Disponible :</w:t>
      </w:r>
      <w:proofErr w:type="gramEnd"/>
      <w:r w:rsidRPr="0084246F">
        <w:rPr>
          <w:rFonts w:ascii="Arial" w:hAnsi="Arial" w:cs="Arial"/>
          <w:sz w:val="22"/>
          <w:szCs w:val="22"/>
          <w:lang w:val="en-CA"/>
        </w:rPr>
        <w:t xml:space="preserve"> </w:t>
      </w:r>
      <w:hyperlink r:id="rId8" w:history="1">
        <w:r w:rsidRPr="0084246F">
          <w:rPr>
            <w:rStyle w:val="Lienhypertexte"/>
            <w:sz w:val="22"/>
            <w:szCs w:val="22"/>
            <w:lang w:val="en-CA"/>
          </w:rPr>
          <w:t>https://publications.polymtl.ca/298/</w:t>
        </w:r>
      </w:hyperlink>
    </w:p>
    <w:p w14:paraId="66F622BD" w14:textId="77777777" w:rsidR="000A2FAB" w:rsidRDefault="00000000">
      <w:pPr>
        <w:spacing w:after="120"/>
        <w:ind w:left="400" w:hanging="400"/>
      </w:pPr>
      <w:r w:rsidRPr="0084246F">
        <w:rPr>
          <w:sz w:val="22"/>
          <w:szCs w:val="22"/>
          <w:lang w:val="en-CA"/>
        </w:rPr>
        <w:t>[5]</w:t>
      </w:r>
      <w:r w:rsidRPr="0084246F">
        <w:rPr>
          <w:rFonts w:ascii="Arial" w:hAnsi="Arial" w:cs="Arial"/>
          <w:sz w:val="22"/>
          <w:szCs w:val="22"/>
          <w:lang w:val="en-CA"/>
        </w:rPr>
        <w:t xml:space="preserve"> W. </w:t>
      </w:r>
      <w:proofErr w:type="spellStart"/>
      <w:r w:rsidRPr="0084246F">
        <w:rPr>
          <w:rFonts w:ascii="Arial" w:hAnsi="Arial" w:cs="Arial"/>
          <w:sz w:val="22"/>
          <w:szCs w:val="22"/>
          <w:lang w:val="en-CA"/>
        </w:rPr>
        <w:t>Hounkonnou</w:t>
      </w:r>
      <w:proofErr w:type="spellEnd"/>
      <w:r w:rsidRPr="0084246F">
        <w:rPr>
          <w:rFonts w:ascii="Arial" w:hAnsi="Arial" w:cs="Arial"/>
          <w:sz w:val="22"/>
          <w:szCs w:val="22"/>
          <w:lang w:val="en-CA"/>
        </w:rPr>
        <w:t xml:space="preserve">, J. Dipama, F. </w:t>
      </w:r>
      <w:proofErr w:type="spellStart"/>
      <w:r w:rsidRPr="0084246F">
        <w:rPr>
          <w:rFonts w:ascii="Arial" w:hAnsi="Arial" w:cs="Arial"/>
          <w:sz w:val="22"/>
          <w:szCs w:val="22"/>
          <w:lang w:val="en-CA"/>
        </w:rPr>
        <w:t>Aubé</w:t>
      </w:r>
      <w:proofErr w:type="spellEnd"/>
      <w:r w:rsidRPr="0084246F">
        <w:rPr>
          <w:rFonts w:ascii="Arial" w:hAnsi="Arial" w:cs="Arial"/>
          <w:sz w:val="22"/>
          <w:szCs w:val="22"/>
          <w:lang w:val="en-CA"/>
        </w:rPr>
        <w:t xml:space="preserve">, et A. </w:t>
      </w:r>
      <w:proofErr w:type="spellStart"/>
      <w:r w:rsidRPr="0084246F">
        <w:rPr>
          <w:rFonts w:ascii="Arial" w:hAnsi="Arial" w:cs="Arial"/>
          <w:sz w:val="22"/>
          <w:szCs w:val="22"/>
          <w:lang w:val="en-CA"/>
        </w:rPr>
        <w:t>Teyssedou</w:t>
      </w:r>
      <w:proofErr w:type="spellEnd"/>
      <w:r w:rsidRPr="0084246F">
        <w:rPr>
          <w:rFonts w:ascii="Arial" w:hAnsi="Arial" w:cs="Arial"/>
          <w:sz w:val="22"/>
          <w:szCs w:val="22"/>
          <w:lang w:val="en-CA"/>
        </w:rPr>
        <w:t xml:space="preserve">, « Multi-Objective Optimization of Thermodynamic Power Cycles Using an Evolutionary Algorithm », dans 29th Annual Conference of the Canadian Nuclear Society, Toronto, ON, Canada, </w:t>
      </w:r>
      <w:proofErr w:type="spellStart"/>
      <w:r w:rsidRPr="0084246F">
        <w:rPr>
          <w:rFonts w:ascii="Arial" w:hAnsi="Arial" w:cs="Arial"/>
          <w:sz w:val="22"/>
          <w:szCs w:val="22"/>
          <w:lang w:val="en-CA"/>
        </w:rPr>
        <w:t>juin</w:t>
      </w:r>
      <w:proofErr w:type="spellEnd"/>
      <w:r w:rsidRPr="0084246F">
        <w:rPr>
          <w:rFonts w:ascii="Arial" w:hAnsi="Arial" w:cs="Arial"/>
          <w:sz w:val="22"/>
          <w:szCs w:val="22"/>
          <w:lang w:val="en-CA"/>
        </w:rPr>
        <w:t xml:space="preserve"> 2008, 12 p. [En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 xml:space="preserve">]. </w:t>
      </w:r>
      <w:r w:rsidRPr="0084246F">
        <w:rPr>
          <w:rFonts w:ascii="Arial" w:hAnsi="Arial" w:cs="Arial"/>
          <w:sz w:val="22"/>
          <w:szCs w:val="22"/>
        </w:rPr>
        <w:t xml:space="preserve">Disponible : </w:t>
      </w:r>
      <w:hyperlink r:id="rId9" w:history="1">
        <w:r>
          <w:rPr>
            <w:rStyle w:val="Lienhypertexte"/>
            <w:sz w:val="22"/>
            <w:szCs w:val="22"/>
          </w:rPr>
          <w:t>https://proceedings.cns-snc.ca/index.php/pcns/article/view/6104</w:t>
        </w:r>
      </w:hyperlink>
    </w:p>
    <w:p w14:paraId="0B9F8BD3" w14:textId="77777777" w:rsidR="000A2FAB" w:rsidRDefault="00000000">
      <w:pPr>
        <w:spacing w:after="120"/>
        <w:ind w:left="400" w:hanging="400"/>
      </w:pPr>
      <w:r w:rsidRPr="0084246F">
        <w:rPr>
          <w:sz w:val="22"/>
          <w:szCs w:val="22"/>
          <w:lang w:val="en-CA"/>
        </w:rPr>
        <w:t xml:space="preserve">[6] </w:t>
      </w:r>
      <w:r w:rsidRPr="0084246F">
        <w:rPr>
          <w:rFonts w:ascii="Arial" w:hAnsi="Arial" w:cs="Arial"/>
          <w:sz w:val="22"/>
          <w:szCs w:val="22"/>
          <w:lang w:val="en-CA"/>
        </w:rPr>
        <w:t xml:space="preserve">J. Dipama, W. </w:t>
      </w:r>
      <w:proofErr w:type="spellStart"/>
      <w:r w:rsidRPr="0084246F">
        <w:rPr>
          <w:rFonts w:ascii="Arial" w:hAnsi="Arial" w:cs="Arial"/>
          <w:sz w:val="22"/>
          <w:szCs w:val="22"/>
          <w:lang w:val="en-CA"/>
        </w:rPr>
        <w:t>Hounkonnou</w:t>
      </w:r>
      <w:proofErr w:type="spellEnd"/>
      <w:r w:rsidRPr="0084246F">
        <w:rPr>
          <w:rFonts w:ascii="Arial" w:hAnsi="Arial" w:cs="Arial"/>
          <w:sz w:val="22"/>
          <w:szCs w:val="22"/>
          <w:lang w:val="en-CA"/>
        </w:rPr>
        <w:t xml:space="preserve">, A. </w:t>
      </w:r>
      <w:proofErr w:type="spellStart"/>
      <w:r w:rsidRPr="0084246F">
        <w:rPr>
          <w:rFonts w:ascii="Arial" w:hAnsi="Arial" w:cs="Arial"/>
          <w:sz w:val="22"/>
          <w:szCs w:val="22"/>
          <w:lang w:val="en-CA"/>
        </w:rPr>
        <w:t>Teyssedou</w:t>
      </w:r>
      <w:proofErr w:type="spellEnd"/>
      <w:r w:rsidRPr="0084246F">
        <w:rPr>
          <w:rFonts w:ascii="Arial" w:hAnsi="Arial" w:cs="Arial"/>
          <w:sz w:val="22"/>
          <w:szCs w:val="22"/>
          <w:lang w:val="en-CA"/>
        </w:rPr>
        <w:t xml:space="preserve">, et F. </w:t>
      </w:r>
      <w:proofErr w:type="spellStart"/>
      <w:r w:rsidRPr="0084246F">
        <w:rPr>
          <w:rFonts w:ascii="Arial" w:hAnsi="Arial" w:cs="Arial"/>
          <w:sz w:val="22"/>
          <w:szCs w:val="22"/>
          <w:lang w:val="en-CA"/>
        </w:rPr>
        <w:t>Aubé</w:t>
      </w:r>
      <w:proofErr w:type="spellEnd"/>
      <w:r w:rsidRPr="0084246F">
        <w:rPr>
          <w:rFonts w:ascii="Arial" w:hAnsi="Arial" w:cs="Arial"/>
          <w:sz w:val="22"/>
          <w:szCs w:val="22"/>
          <w:lang w:val="en-CA"/>
        </w:rPr>
        <w:t xml:space="preserve">, « A Simulation-Based Optimization of The Secondary Loop of Gentilly-2 Nuclear Power Plant », dans 30th Annual Conference of the Canadian Nuclear Society, Calgary, AB, Canada, </w:t>
      </w:r>
      <w:proofErr w:type="spellStart"/>
      <w:r w:rsidRPr="0084246F">
        <w:rPr>
          <w:rFonts w:ascii="Arial" w:hAnsi="Arial" w:cs="Arial"/>
          <w:sz w:val="22"/>
          <w:szCs w:val="22"/>
          <w:lang w:val="en-CA"/>
        </w:rPr>
        <w:t>mai</w:t>
      </w:r>
      <w:proofErr w:type="spellEnd"/>
      <w:r w:rsidRPr="0084246F">
        <w:rPr>
          <w:rFonts w:ascii="Arial" w:hAnsi="Arial" w:cs="Arial"/>
          <w:sz w:val="22"/>
          <w:szCs w:val="22"/>
          <w:lang w:val="en-CA"/>
        </w:rPr>
        <w:t xml:space="preserve"> 2009, 15 p. [En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 xml:space="preserve">]. </w:t>
      </w:r>
      <w:r w:rsidRPr="0084246F">
        <w:rPr>
          <w:rFonts w:ascii="Arial" w:hAnsi="Arial" w:cs="Arial"/>
          <w:sz w:val="22"/>
          <w:szCs w:val="22"/>
        </w:rPr>
        <w:t xml:space="preserve">Disponible : </w:t>
      </w:r>
      <w:hyperlink r:id="rId10" w:history="1">
        <w:r>
          <w:rPr>
            <w:rStyle w:val="Lienhypertexte"/>
            <w:sz w:val="22"/>
            <w:szCs w:val="22"/>
          </w:rPr>
          <w:t>https://proceedings.cns-snc.ca/index.php/pcns/article/view/6168</w:t>
        </w:r>
      </w:hyperlink>
    </w:p>
    <w:p w14:paraId="02C3C4FE" w14:textId="77777777" w:rsidR="000A2FAB" w:rsidRDefault="00000000">
      <w:pPr>
        <w:spacing w:after="120"/>
        <w:ind w:left="400" w:hanging="400"/>
      </w:pPr>
      <w:r w:rsidRPr="0084246F">
        <w:rPr>
          <w:sz w:val="22"/>
          <w:szCs w:val="22"/>
          <w:lang w:val="en-CA"/>
        </w:rPr>
        <w:t>[7]</w:t>
      </w:r>
      <w:r w:rsidRPr="0084246F">
        <w:rPr>
          <w:rFonts w:ascii="Arial" w:hAnsi="Arial" w:cs="Arial"/>
          <w:sz w:val="22"/>
          <w:szCs w:val="22"/>
          <w:lang w:val="en-CA"/>
        </w:rPr>
        <w:t xml:space="preserve"> H. Mendoza, V. Yadav, S. B. Alam, D. Eskins, et R. Iyengar, « Advances in digital twins and AI/ML for condition monitoring in nuclear applications », Frontiers in Energy Research, vol. 14, art. 1716514, 2026,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10.3389/fenrg.2026.1716514. </w:t>
      </w:r>
      <w:r w:rsidRPr="0084246F">
        <w:rPr>
          <w:rFonts w:ascii="Arial" w:hAnsi="Arial" w:cs="Arial"/>
          <w:sz w:val="22"/>
          <w:szCs w:val="22"/>
        </w:rPr>
        <w:t xml:space="preserve">[En ligne]. Disponible : </w:t>
      </w:r>
      <w:hyperlink r:id="rId11" w:history="1">
        <w:r>
          <w:rPr>
            <w:rStyle w:val="Lienhypertexte"/>
            <w:sz w:val="22"/>
            <w:szCs w:val="22"/>
          </w:rPr>
          <w:t>https://www.frontiersin.org/journals/energy-research/articles/10.3389/fenrg.2026.1716514/full</w:t>
        </w:r>
      </w:hyperlink>
    </w:p>
    <w:p w14:paraId="2B69059D" w14:textId="77777777" w:rsidR="000A2FAB" w:rsidRDefault="00000000">
      <w:pPr>
        <w:spacing w:after="120"/>
        <w:ind w:left="400" w:hanging="400"/>
      </w:pPr>
      <w:r w:rsidRPr="0084246F">
        <w:rPr>
          <w:sz w:val="22"/>
          <w:szCs w:val="22"/>
          <w:lang w:val="en-CA"/>
        </w:rPr>
        <w:t xml:space="preserve">[8] </w:t>
      </w:r>
      <w:r w:rsidRPr="0084246F">
        <w:rPr>
          <w:rFonts w:ascii="Arial" w:hAnsi="Arial" w:cs="Arial"/>
          <w:sz w:val="22"/>
          <w:szCs w:val="22"/>
          <w:lang w:val="en-CA"/>
        </w:rPr>
        <w:t xml:space="preserve">G. Qian et J. Liu, « A comparative study of deep learning-based fault diagnosis methods for rotating machines in nuclear power plants », Annals of Nuclear Energy, 2022,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10.1016/j.anucene.2022.109334. </w:t>
      </w:r>
      <w:r w:rsidRPr="0084246F">
        <w:rPr>
          <w:rFonts w:ascii="Arial" w:hAnsi="Arial" w:cs="Arial"/>
          <w:sz w:val="22"/>
          <w:szCs w:val="22"/>
        </w:rPr>
        <w:t xml:space="preserve">[En ligne]. Disponible : </w:t>
      </w:r>
      <w:hyperlink r:id="rId12" w:history="1">
        <w:r>
          <w:rPr>
            <w:rStyle w:val="Lienhypertexte"/>
            <w:sz w:val="22"/>
            <w:szCs w:val="22"/>
          </w:rPr>
          <w:t>https://www.sciencedirect.com/science/article/abs/pii/S0306454922003693</w:t>
        </w:r>
      </w:hyperlink>
    </w:p>
    <w:p w14:paraId="77091A7F" w14:textId="77777777" w:rsidR="000A2FAB" w:rsidRPr="0084246F" w:rsidRDefault="00000000">
      <w:pPr>
        <w:spacing w:after="120"/>
        <w:ind w:left="400" w:hanging="400"/>
        <w:rPr>
          <w:lang w:val="en-CA"/>
        </w:rPr>
      </w:pPr>
      <w:r w:rsidRPr="0084246F">
        <w:rPr>
          <w:sz w:val="22"/>
          <w:szCs w:val="22"/>
          <w:lang w:val="en-CA"/>
        </w:rPr>
        <w:t>[9]</w:t>
      </w:r>
      <w:r w:rsidRPr="0084246F">
        <w:rPr>
          <w:rFonts w:ascii="Arial" w:hAnsi="Arial" w:cs="Arial"/>
          <w:sz w:val="22"/>
          <w:szCs w:val="22"/>
          <w:lang w:val="en-CA"/>
        </w:rPr>
        <w:t xml:space="preserve"> R. </w:t>
      </w:r>
      <w:proofErr w:type="spellStart"/>
      <w:r w:rsidRPr="0084246F">
        <w:rPr>
          <w:rFonts w:ascii="Arial" w:hAnsi="Arial" w:cs="Arial"/>
          <w:sz w:val="22"/>
          <w:szCs w:val="22"/>
          <w:lang w:val="en-CA"/>
        </w:rPr>
        <w:t>Khdhir</w:t>
      </w:r>
      <w:proofErr w:type="spellEnd"/>
      <w:r w:rsidRPr="0084246F">
        <w:rPr>
          <w:rFonts w:ascii="Arial" w:hAnsi="Arial" w:cs="Arial"/>
          <w:sz w:val="22"/>
          <w:szCs w:val="22"/>
          <w:lang w:val="en-CA"/>
        </w:rPr>
        <w:t xml:space="preserve">, A. Magdich, M. Elloumi, S. </w:t>
      </w:r>
      <w:proofErr w:type="spellStart"/>
      <w:r w:rsidRPr="0084246F">
        <w:rPr>
          <w:rFonts w:ascii="Arial" w:hAnsi="Arial" w:cs="Arial"/>
          <w:sz w:val="22"/>
          <w:szCs w:val="22"/>
          <w:lang w:val="en-CA"/>
        </w:rPr>
        <w:t>Asklany</w:t>
      </w:r>
      <w:proofErr w:type="spellEnd"/>
      <w:r w:rsidRPr="0084246F">
        <w:rPr>
          <w:rFonts w:ascii="Arial" w:hAnsi="Arial" w:cs="Arial"/>
          <w:sz w:val="22"/>
          <w:szCs w:val="22"/>
          <w:lang w:val="en-CA"/>
        </w:rPr>
        <w:t xml:space="preserve">, et R. Hamdaoui, « Building resilient national critical infrastructure: A digital twin-based framework for comprehensive insider and external threat detection », Journal of King Saud University – Computer and Information Sciences, 2026,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10.1007/s44443-026-00464-5. [En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 xml:space="preserve">]. </w:t>
      </w:r>
      <w:proofErr w:type="gramStart"/>
      <w:r w:rsidRPr="0084246F">
        <w:rPr>
          <w:rFonts w:ascii="Arial" w:hAnsi="Arial" w:cs="Arial"/>
          <w:sz w:val="22"/>
          <w:szCs w:val="22"/>
          <w:lang w:val="en-CA"/>
        </w:rPr>
        <w:t>Disponible :</w:t>
      </w:r>
      <w:proofErr w:type="gramEnd"/>
      <w:r w:rsidRPr="0084246F">
        <w:rPr>
          <w:rFonts w:ascii="Arial" w:hAnsi="Arial" w:cs="Arial"/>
          <w:sz w:val="22"/>
          <w:szCs w:val="22"/>
          <w:lang w:val="en-CA"/>
        </w:rPr>
        <w:t xml:space="preserve"> </w:t>
      </w:r>
      <w:hyperlink r:id="rId13" w:history="1">
        <w:r w:rsidRPr="0084246F">
          <w:rPr>
            <w:rStyle w:val="Lienhypertexte"/>
            <w:sz w:val="22"/>
            <w:szCs w:val="22"/>
            <w:lang w:val="en-CA"/>
          </w:rPr>
          <w:t>https://link.springer.com/article/10.1007/s44443-026-00464-5</w:t>
        </w:r>
      </w:hyperlink>
    </w:p>
    <w:p w14:paraId="334A6F67" w14:textId="77777777" w:rsidR="000A2FAB" w:rsidRDefault="00000000">
      <w:pPr>
        <w:spacing w:after="120"/>
        <w:ind w:left="400" w:hanging="400"/>
      </w:pPr>
      <w:r w:rsidRPr="0084246F">
        <w:rPr>
          <w:sz w:val="22"/>
          <w:szCs w:val="22"/>
          <w:lang w:val="en-CA"/>
        </w:rPr>
        <w:t xml:space="preserve">[10] </w:t>
      </w:r>
      <w:r w:rsidRPr="0084246F">
        <w:rPr>
          <w:rFonts w:ascii="Arial" w:hAnsi="Arial" w:cs="Arial"/>
          <w:sz w:val="22"/>
          <w:szCs w:val="22"/>
          <w:lang w:val="en-CA"/>
        </w:rPr>
        <w:t xml:space="preserve">T. </w:t>
      </w:r>
      <w:proofErr w:type="spellStart"/>
      <w:r w:rsidRPr="0084246F">
        <w:rPr>
          <w:rFonts w:ascii="Arial" w:hAnsi="Arial" w:cs="Arial"/>
          <w:sz w:val="22"/>
          <w:szCs w:val="22"/>
          <w:lang w:val="en-CA"/>
        </w:rPr>
        <w:t>Itäpelto</w:t>
      </w:r>
      <w:proofErr w:type="spellEnd"/>
      <w:r w:rsidRPr="0084246F">
        <w:rPr>
          <w:rFonts w:ascii="Arial" w:hAnsi="Arial" w:cs="Arial"/>
          <w:sz w:val="22"/>
          <w:szCs w:val="22"/>
          <w:lang w:val="en-CA"/>
        </w:rPr>
        <w:t xml:space="preserve">, M. Elhajj, et M. van </w:t>
      </w:r>
      <w:proofErr w:type="spellStart"/>
      <w:r w:rsidRPr="0084246F">
        <w:rPr>
          <w:rFonts w:ascii="Arial" w:hAnsi="Arial" w:cs="Arial"/>
          <w:sz w:val="22"/>
          <w:szCs w:val="22"/>
          <w:lang w:val="en-CA"/>
        </w:rPr>
        <w:t>Sinderen</w:t>
      </w:r>
      <w:proofErr w:type="spellEnd"/>
      <w:r w:rsidRPr="0084246F">
        <w:rPr>
          <w:rFonts w:ascii="Arial" w:hAnsi="Arial" w:cs="Arial"/>
          <w:sz w:val="22"/>
          <w:szCs w:val="22"/>
          <w:lang w:val="en-CA"/>
        </w:rPr>
        <w:t xml:space="preserve">, « Digital twin application in lifecycle security of critical infrastructures: A systematic literature review », International Journal of Critical Infrastructure Protection, vol. 50, 2025,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10.1016/j.ijcip.2025.100783. </w:t>
      </w:r>
      <w:r w:rsidRPr="0084246F">
        <w:rPr>
          <w:rFonts w:ascii="Arial" w:hAnsi="Arial" w:cs="Arial"/>
          <w:sz w:val="22"/>
          <w:szCs w:val="22"/>
        </w:rPr>
        <w:t xml:space="preserve">[En ligne]. Disponible : </w:t>
      </w:r>
      <w:hyperlink r:id="rId14" w:history="1">
        <w:r>
          <w:rPr>
            <w:rStyle w:val="Lienhypertexte"/>
            <w:sz w:val="22"/>
            <w:szCs w:val="22"/>
          </w:rPr>
          <w:t>https://www.sciencedirect.com/science/article/pii/S1874548225000447</w:t>
        </w:r>
      </w:hyperlink>
    </w:p>
    <w:p w14:paraId="49A0803C" w14:textId="77777777" w:rsidR="000A2FAB" w:rsidRPr="0084246F" w:rsidRDefault="00000000">
      <w:pPr>
        <w:spacing w:after="120"/>
        <w:ind w:left="400" w:hanging="400"/>
        <w:rPr>
          <w:lang w:val="en-CA"/>
        </w:rPr>
      </w:pPr>
      <w:r>
        <w:rPr>
          <w:sz w:val="22"/>
          <w:szCs w:val="22"/>
        </w:rPr>
        <w:t>[11</w:t>
      </w:r>
      <w:r w:rsidRPr="0084246F">
        <w:rPr>
          <w:rFonts w:ascii="Arial" w:hAnsi="Arial" w:cs="Arial"/>
          <w:sz w:val="22"/>
          <w:szCs w:val="22"/>
        </w:rPr>
        <w:t xml:space="preserve">] M. </w:t>
      </w:r>
      <w:proofErr w:type="spellStart"/>
      <w:r w:rsidRPr="0084246F">
        <w:rPr>
          <w:rFonts w:ascii="Arial" w:hAnsi="Arial" w:cs="Arial"/>
          <w:sz w:val="22"/>
          <w:szCs w:val="22"/>
        </w:rPr>
        <w:t>Homaei</w:t>
      </w:r>
      <w:proofErr w:type="spellEnd"/>
      <w:r w:rsidRPr="0084246F">
        <w:rPr>
          <w:rFonts w:ascii="Arial" w:hAnsi="Arial" w:cs="Arial"/>
          <w:sz w:val="22"/>
          <w:szCs w:val="22"/>
        </w:rPr>
        <w:t xml:space="preserve">, I. </w:t>
      </w:r>
      <w:proofErr w:type="spellStart"/>
      <w:r w:rsidRPr="0084246F">
        <w:rPr>
          <w:rFonts w:ascii="Arial" w:hAnsi="Arial" w:cs="Arial"/>
          <w:sz w:val="22"/>
          <w:szCs w:val="22"/>
        </w:rPr>
        <w:t>Khazrak</w:t>
      </w:r>
      <w:proofErr w:type="spellEnd"/>
      <w:r w:rsidRPr="0084246F">
        <w:rPr>
          <w:rFonts w:ascii="Arial" w:hAnsi="Arial" w:cs="Arial"/>
          <w:sz w:val="22"/>
          <w:szCs w:val="22"/>
        </w:rPr>
        <w:t>, R. Molano, A. Caro, et M. Ávila, « Cyber-</w:t>
      </w:r>
      <w:proofErr w:type="spellStart"/>
      <w:r w:rsidRPr="0084246F">
        <w:rPr>
          <w:rFonts w:ascii="Arial" w:hAnsi="Arial" w:cs="Arial"/>
          <w:sz w:val="22"/>
          <w:szCs w:val="22"/>
        </w:rPr>
        <w:t>Resilient</w:t>
      </w:r>
      <w:proofErr w:type="spellEnd"/>
      <w:r w:rsidRPr="0084246F">
        <w:rPr>
          <w:rFonts w:ascii="Arial" w:hAnsi="Arial" w:cs="Arial"/>
          <w:sz w:val="22"/>
          <w:szCs w:val="22"/>
        </w:rPr>
        <w:t xml:space="preserve"> Digital Twins: </w:t>
      </w:r>
      <w:proofErr w:type="spellStart"/>
      <w:r w:rsidRPr="0084246F">
        <w:rPr>
          <w:rFonts w:ascii="Arial" w:hAnsi="Arial" w:cs="Arial"/>
          <w:sz w:val="22"/>
          <w:szCs w:val="22"/>
        </w:rPr>
        <w:t>Discriminating</w:t>
      </w:r>
      <w:proofErr w:type="spellEnd"/>
      <w:r w:rsidRPr="0084246F">
        <w:rPr>
          <w:rFonts w:ascii="Arial" w:hAnsi="Arial" w:cs="Arial"/>
          <w:sz w:val="22"/>
          <w:szCs w:val="22"/>
        </w:rPr>
        <w:t xml:space="preserve"> </w:t>
      </w:r>
      <w:proofErr w:type="spellStart"/>
      <w:r w:rsidRPr="0084246F">
        <w:rPr>
          <w:rFonts w:ascii="Arial" w:hAnsi="Arial" w:cs="Arial"/>
          <w:sz w:val="22"/>
          <w:szCs w:val="22"/>
        </w:rPr>
        <w:t>Attacks</w:t>
      </w:r>
      <w:proofErr w:type="spellEnd"/>
      <w:r w:rsidRPr="0084246F">
        <w:rPr>
          <w:rFonts w:ascii="Arial" w:hAnsi="Arial" w:cs="Arial"/>
          <w:sz w:val="22"/>
          <w:szCs w:val="22"/>
        </w:rPr>
        <w:t xml:space="preserve"> for Safe Critical Infrastructure Control », arXiv:2603.18613, 2026. </w:t>
      </w:r>
      <w:r w:rsidRPr="0084246F">
        <w:rPr>
          <w:rFonts w:ascii="Arial" w:hAnsi="Arial" w:cs="Arial"/>
          <w:sz w:val="22"/>
          <w:szCs w:val="22"/>
          <w:lang w:val="en-CA"/>
        </w:rPr>
        <w:t xml:space="preserve">[En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w:t>
      </w:r>
      <w:r w:rsidRPr="0084246F">
        <w:rPr>
          <w:sz w:val="22"/>
          <w:szCs w:val="22"/>
          <w:lang w:val="en-CA"/>
        </w:rPr>
        <w:t xml:space="preserve"> </w:t>
      </w:r>
      <w:proofErr w:type="gramStart"/>
      <w:r w:rsidRPr="0084246F">
        <w:rPr>
          <w:sz w:val="22"/>
          <w:szCs w:val="22"/>
          <w:lang w:val="en-CA"/>
        </w:rPr>
        <w:t>Disponible :</w:t>
      </w:r>
      <w:proofErr w:type="gramEnd"/>
      <w:r w:rsidRPr="0084246F">
        <w:rPr>
          <w:sz w:val="22"/>
          <w:szCs w:val="22"/>
          <w:lang w:val="en-CA"/>
        </w:rPr>
        <w:t xml:space="preserve"> </w:t>
      </w:r>
      <w:hyperlink r:id="rId15" w:history="1">
        <w:r w:rsidRPr="0084246F">
          <w:rPr>
            <w:rStyle w:val="Lienhypertexte"/>
            <w:sz w:val="22"/>
            <w:szCs w:val="22"/>
            <w:lang w:val="en-CA"/>
          </w:rPr>
          <w:t>https://arxiv.org/abs/2603.18613</w:t>
        </w:r>
      </w:hyperlink>
    </w:p>
    <w:p w14:paraId="2D645205" w14:textId="77777777" w:rsidR="000A2FAB" w:rsidRPr="0084246F" w:rsidRDefault="00000000">
      <w:pPr>
        <w:spacing w:after="120"/>
        <w:ind w:left="400" w:hanging="400"/>
        <w:rPr>
          <w:lang w:val="en-CA"/>
        </w:rPr>
      </w:pPr>
      <w:r w:rsidRPr="0084246F">
        <w:rPr>
          <w:sz w:val="22"/>
          <w:szCs w:val="22"/>
          <w:lang w:val="en-CA"/>
        </w:rPr>
        <w:t>[12</w:t>
      </w:r>
      <w:r w:rsidRPr="0084246F">
        <w:rPr>
          <w:rFonts w:ascii="Arial" w:hAnsi="Arial" w:cs="Arial"/>
          <w:sz w:val="22"/>
          <w:szCs w:val="22"/>
          <w:lang w:val="en-CA"/>
        </w:rPr>
        <w:t xml:space="preserve">] P. Yockey, A. Erickson, et C. Spirito, « Cyber threat assessment of machine learning driven autonomous control systems of nuclear power plants », Progress in Nuclear Energy, vol. 166, 104960, 2023, </w:t>
      </w:r>
      <w:proofErr w:type="spellStart"/>
      <w:r w:rsidRPr="0084246F">
        <w:rPr>
          <w:rFonts w:ascii="Arial" w:hAnsi="Arial" w:cs="Arial"/>
          <w:sz w:val="22"/>
          <w:szCs w:val="22"/>
          <w:lang w:val="en-CA"/>
        </w:rPr>
        <w:t>doi</w:t>
      </w:r>
      <w:proofErr w:type="spellEnd"/>
      <w:r w:rsidRPr="0084246F">
        <w:rPr>
          <w:rFonts w:ascii="Arial" w:hAnsi="Arial" w:cs="Arial"/>
          <w:sz w:val="22"/>
          <w:szCs w:val="22"/>
          <w:lang w:val="en-CA"/>
        </w:rPr>
        <w:t xml:space="preserve">: 10.1016/j.pnucene.2023.104960. [En </w:t>
      </w:r>
      <w:proofErr w:type="spellStart"/>
      <w:r w:rsidRPr="0084246F">
        <w:rPr>
          <w:rFonts w:ascii="Arial" w:hAnsi="Arial" w:cs="Arial"/>
          <w:sz w:val="22"/>
          <w:szCs w:val="22"/>
          <w:lang w:val="en-CA"/>
        </w:rPr>
        <w:t>ligne</w:t>
      </w:r>
      <w:proofErr w:type="spellEnd"/>
      <w:r w:rsidRPr="0084246F">
        <w:rPr>
          <w:rFonts w:ascii="Arial" w:hAnsi="Arial" w:cs="Arial"/>
          <w:sz w:val="22"/>
          <w:szCs w:val="22"/>
          <w:lang w:val="en-CA"/>
        </w:rPr>
        <w:t xml:space="preserve">]. </w:t>
      </w:r>
      <w:proofErr w:type="gramStart"/>
      <w:r w:rsidRPr="0084246F">
        <w:rPr>
          <w:rFonts w:ascii="Arial" w:hAnsi="Arial" w:cs="Arial"/>
          <w:sz w:val="22"/>
          <w:szCs w:val="22"/>
          <w:lang w:val="en-CA"/>
        </w:rPr>
        <w:t>Disponible :</w:t>
      </w:r>
      <w:proofErr w:type="gramEnd"/>
      <w:r w:rsidRPr="0084246F">
        <w:rPr>
          <w:sz w:val="22"/>
          <w:szCs w:val="22"/>
          <w:lang w:val="en-CA"/>
        </w:rPr>
        <w:t xml:space="preserve"> </w:t>
      </w:r>
      <w:hyperlink r:id="rId16" w:history="1">
        <w:r w:rsidRPr="0084246F">
          <w:rPr>
            <w:rStyle w:val="Lienhypertexte"/>
            <w:sz w:val="22"/>
            <w:szCs w:val="22"/>
            <w:lang w:val="en-CA"/>
          </w:rPr>
          <w:t>https://doi.org/10.1016/j.pnucene.2023.104960</w:t>
        </w:r>
      </w:hyperlink>
    </w:p>
    <w:p w14:paraId="7CAB4395" w14:textId="77777777" w:rsidR="000A2FAB" w:rsidRDefault="00000000">
      <w:pPr>
        <w:spacing w:after="120"/>
        <w:ind w:left="400" w:hanging="400"/>
      </w:pPr>
      <w:r w:rsidRPr="0084246F">
        <w:rPr>
          <w:sz w:val="22"/>
          <w:szCs w:val="22"/>
          <w:lang w:val="en-CA"/>
        </w:rPr>
        <w:t>[13]</w:t>
      </w:r>
      <w:r w:rsidRPr="0084246F">
        <w:rPr>
          <w:rFonts w:ascii="Arial" w:hAnsi="Arial" w:cs="Arial"/>
          <w:sz w:val="22"/>
          <w:szCs w:val="22"/>
          <w:lang w:val="en-CA"/>
        </w:rPr>
        <w:t xml:space="preserve"> C. Spirito, J. Ly, et M. Veretennikov, « Attack Surface Analysis of the Digital Twin and Advanced Sensor and Instrumentation Interfaces: Cyber Threat Assessment and Attack Demonstration for Digital Twins in Advanced Reactor Architectures », INL/RPT-23-75113, Rev. 000, Idaho National Laboratory, Idaho Falls, ID, États-Unis, sept. 2023. </w:t>
      </w:r>
      <w:r w:rsidRPr="0084246F">
        <w:rPr>
          <w:rFonts w:ascii="Arial" w:hAnsi="Arial" w:cs="Arial"/>
          <w:sz w:val="22"/>
          <w:szCs w:val="22"/>
        </w:rPr>
        <w:t xml:space="preserve">[En ligne]. Disponible : </w:t>
      </w:r>
      <w:hyperlink r:id="rId17" w:history="1">
        <w:r>
          <w:rPr>
            <w:rStyle w:val="Lienhypertexte"/>
            <w:sz w:val="22"/>
            <w:szCs w:val="22"/>
          </w:rPr>
          <w:t>https://inldigitallibrary.inl.gov/content/uploads/50/2026/04/Sort_74726.pdf</w:t>
        </w:r>
      </w:hyperlink>
    </w:p>
    <w:sectPr w:rsidR="000A2F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B5794"/>
    <w:multiLevelType w:val="hybridMultilevel"/>
    <w:tmpl w:val="3490D5C6"/>
    <w:lvl w:ilvl="0" w:tplc="938E4396">
      <w:start w:val="1"/>
      <w:numFmt w:val="bullet"/>
      <w:lvlText w:val="●"/>
      <w:lvlJc w:val="left"/>
      <w:pPr>
        <w:ind w:left="720" w:hanging="360"/>
      </w:pPr>
    </w:lvl>
    <w:lvl w:ilvl="1" w:tplc="1C4C110C">
      <w:start w:val="1"/>
      <w:numFmt w:val="bullet"/>
      <w:lvlText w:val="○"/>
      <w:lvlJc w:val="left"/>
      <w:pPr>
        <w:ind w:left="1440" w:hanging="360"/>
      </w:pPr>
    </w:lvl>
    <w:lvl w:ilvl="2" w:tplc="3B64E074">
      <w:start w:val="1"/>
      <w:numFmt w:val="bullet"/>
      <w:lvlText w:val="■"/>
      <w:lvlJc w:val="left"/>
      <w:pPr>
        <w:ind w:left="2160" w:hanging="360"/>
      </w:pPr>
    </w:lvl>
    <w:lvl w:ilvl="3" w:tplc="696A611C">
      <w:start w:val="1"/>
      <w:numFmt w:val="bullet"/>
      <w:lvlText w:val="●"/>
      <w:lvlJc w:val="left"/>
      <w:pPr>
        <w:ind w:left="2880" w:hanging="360"/>
      </w:pPr>
    </w:lvl>
    <w:lvl w:ilvl="4" w:tplc="D8CC8F4E">
      <w:start w:val="1"/>
      <w:numFmt w:val="bullet"/>
      <w:lvlText w:val="○"/>
      <w:lvlJc w:val="left"/>
      <w:pPr>
        <w:ind w:left="3600" w:hanging="360"/>
      </w:pPr>
    </w:lvl>
    <w:lvl w:ilvl="5" w:tplc="27A44B28">
      <w:start w:val="1"/>
      <w:numFmt w:val="bullet"/>
      <w:lvlText w:val="■"/>
      <w:lvlJc w:val="left"/>
      <w:pPr>
        <w:ind w:left="4320" w:hanging="360"/>
      </w:pPr>
    </w:lvl>
    <w:lvl w:ilvl="6" w:tplc="D006EED0">
      <w:start w:val="1"/>
      <w:numFmt w:val="bullet"/>
      <w:lvlText w:val="●"/>
      <w:lvlJc w:val="left"/>
      <w:pPr>
        <w:ind w:left="5040" w:hanging="360"/>
      </w:pPr>
    </w:lvl>
    <w:lvl w:ilvl="7" w:tplc="240AEBC2">
      <w:start w:val="1"/>
      <w:numFmt w:val="bullet"/>
      <w:lvlText w:val="●"/>
      <w:lvlJc w:val="left"/>
      <w:pPr>
        <w:ind w:left="5760" w:hanging="360"/>
      </w:pPr>
    </w:lvl>
    <w:lvl w:ilvl="8" w:tplc="2F2C0F58">
      <w:start w:val="1"/>
      <w:numFmt w:val="bullet"/>
      <w:lvlText w:val="●"/>
      <w:lvlJc w:val="left"/>
      <w:pPr>
        <w:ind w:left="6480" w:hanging="360"/>
      </w:pPr>
    </w:lvl>
  </w:abstractNum>
  <w:num w:numId="1" w16cid:durableId="78018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AB"/>
    <w:rsid w:val="000A2FAB"/>
    <w:rsid w:val="003A16A2"/>
    <w:rsid w:val="0084246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B049"/>
  <w15:docId w15:val="{9C8CA4D7-4F92-4DBE-8791-022CC511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ations.polymtl.ca/298/" TargetMode="External"/><Relationship Id="rId13" Type="http://schemas.openxmlformats.org/officeDocument/2006/relationships/hyperlink" Target="https://link.springer.com/article/10.1007/s44443-026-00464-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dfonline.com/doi/full/10.12688/digitaltwin.17695.2" TargetMode="External"/><Relationship Id="rId12" Type="http://schemas.openxmlformats.org/officeDocument/2006/relationships/hyperlink" Target="https://www.sciencedirect.com/science/article/abs/pii/S0306454922003693" TargetMode="External"/><Relationship Id="rId17" Type="http://schemas.openxmlformats.org/officeDocument/2006/relationships/hyperlink" Target="https://inldigitallibrary.inl.gov/content/uploads/50/2026/04/Sort_74726.pdf" TargetMode="External"/><Relationship Id="rId2" Type="http://schemas.openxmlformats.org/officeDocument/2006/relationships/styles" Target="styles.xml"/><Relationship Id="rId16" Type="http://schemas.openxmlformats.org/officeDocument/2006/relationships/hyperlink" Target="https://doi.org/10.1016/j.pnucene.2023.104960" TargetMode="External"/><Relationship Id="rId1" Type="http://schemas.openxmlformats.org/officeDocument/2006/relationships/numbering" Target="numbering.xml"/><Relationship Id="rId6" Type="http://schemas.openxmlformats.org/officeDocument/2006/relationships/hyperlink" Target="https://ieeexplore.ieee.org/document/11004015/" TargetMode="External"/><Relationship Id="rId11" Type="http://schemas.openxmlformats.org/officeDocument/2006/relationships/hyperlink" Target="https://www.frontiersin.org/journals/energy-research/articles/10.3389/fenrg.2026.1716514/full" TargetMode="External"/><Relationship Id="rId5" Type="http://schemas.openxmlformats.org/officeDocument/2006/relationships/hyperlink" Target="https://www.cnsc-ccsn.gc.ca/fra/acts-and-regulations/regulatory-documents/published/html/rdgd210/" TargetMode="External"/><Relationship Id="rId15" Type="http://schemas.openxmlformats.org/officeDocument/2006/relationships/hyperlink" Target="https://arxiv.org/abs/2603.18613" TargetMode="External"/><Relationship Id="rId10" Type="http://schemas.openxmlformats.org/officeDocument/2006/relationships/hyperlink" Target="https://proceedings.cns-snc.ca/index.php/pcns/article/view/616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roceedings.cns-snc.ca/index.php/pcns/article/view/6104" TargetMode="External"/><Relationship Id="rId14" Type="http://schemas.openxmlformats.org/officeDocument/2006/relationships/hyperlink" Target="https://www.sciencedirect.com/science/article/pii/S187454822500044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2290</Words>
  <Characters>12595</Characters>
  <Application>Microsoft Office Word</Application>
  <DocSecurity>0</DocSecurity>
  <Lines>104</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JEREMIE ARNO SOPPEWE TCHAWOU</cp:lastModifiedBy>
  <cp:revision>2</cp:revision>
  <dcterms:created xsi:type="dcterms:W3CDTF">2026-09-09T18:43:00Z</dcterms:created>
  <dcterms:modified xsi:type="dcterms:W3CDTF">2026-09-09T18:43:00Z</dcterms:modified>
</cp:coreProperties>
</file>