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A0E21" w14:textId="398E5AF7" w:rsidR="00F50D70" w:rsidRPr="00BE4F47" w:rsidRDefault="002A1CE1" w:rsidP="008E113B">
      <w:pPr>
        <w:spacing w:line="360" w:lineRule="auto"/>
        <w:ind w:left="0"/>
        <w:outlineLvl w:val="9"/>
        <w:rPr>
          <w:rFonts w:ascii="Aptos" w:hAnsi="Aptos" w:cs="Arial"/>
          <w:b/>
          <w:sz w:val="40"/>
        </w:rPr>
      </w:pPr>
      <w:r>
        <w:rPr>
          <w:rFonts w:ascii="Aptos" w:hAnsi="Aptos"/>
          <w:noProof/>
        </w:rPr>
        <w:drawing>
          <wp:inline distT="0" distB="0" distL="0" distR="0" wp14:anchorId="29CEB848" wp14:editId="28EA24B1">
            <wp:extent cx="2225040" cy="133350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7">
                      <a:extLst>
                        <a:ext uri="{28A0092B-C50C-407E-A947-70E740481C1C}">
                          <a14:useLocalDpi xmlns:a14="http://schemas.microsoft.com/office/drawing/2010/main" val="0"/>
                        </a:ext>
                      </a:extLst>
                    </a:blip>
                    <a:srcRect l="-11" t="-18" r="-11" b="-18"/>
                    <a:stretch>
                      <a:fillRect/>
                    </a:stretch>
                  </pic:blipFill>
                  <pic:spPr bwMode="auto">
                    <a:xfrm>
                      <a:off x="0" y="0"/>
                      <a:ext cx="2225040" cy="1333500"/>
                    </a:xfrm>
                    <a:prstGeom prst="rect">
                      <a:avLst/>
                    </a:prstGeom>
                    <a:noFill/>
                    <a:ln>
                      <a:noFill/>
                    </a:ln>
                  </pic:spPr>
                </pic:pic>
              </a:graphicData>
            </a:graphic>
          </wp:inline>
        </w:drawing>
      </w:r>
      <w:r w:rsidR="00273A91" w:rsidRPr="00BE4F47">
        <w:rPr>
          <w:rFonts w:ascii="Aptos" w:eastAsia="Times" w:hAnsi="Aptos"/>
          <w:b/>
          <w:sz w:val="40"/>
        </w:rPr>
        <w:t xml:space="preserve"> </w:t>
      </w:r>
    </w:p>
    <w:p w14:paraId="2ACCE593" w14:textId="77777777" w:rsidR="00F50D70" w:rsidRPr="00BE4F47" w:rsidRDefault="00F50D70" w:rsidP="008E113B">
      <w:pPr>
        <w:spacing w:line="360" w:lineRule="auto"/>
        <w:ind w:left="0"/>
        <w:outlineLvl w:val="9"/>
        <w:rPr>
          <w:rFonts w:ascii="Aptos" w:hAnsi="Aptos" w:cs="Arial"/>
          <w:b/>
          <w:sz w:val="40"/>
        </w:rPr>
      </w:pPr>
    </w:p>
    <w:p w14:paraId="11900D39" w14:textId="77777777" w:rsidR="00F50D70" w:rsidRPr="00BE4F47" w:rsidRDefault="00000000" w:rsidP="008E113B">
      <w:pPr>
        <w:pBdr>
          <w:bottom w:val="single" w:sz="6" w:space="1" w:color="000000"/>
        </w:pBdr>
        <w:spacing w:line="360" w:lineRule="auto"/>
        <w:ind w:left="0" w:right="-77"/>
        <w:jc w:val="right"/>
        <w:outlineLvl w:val="9"/>
        <w:rPr>
          <w:rFonts w:ascii="Aptos" w:hAnsi="Aptos" w:cs="Arial"/>
          <w:b/>
          <w:sz w:val="24"/>
          <w:szCs w:val="24"/>
        </w:rPr>
      </w:pPr>
      <w:r w:rsidRPr="00BE4F47">
        <w:rPr>
          <w:rFonts w:ascii="Aptos" w:eastAsia="Calibri" w:hAnsi="Aptos" w:cs="Calibri"/>
          <w:b/>
          <w:color w:val="1A1A19"/>
          <w:sz w:val="20"/>
          <w:szCs w:val="20"/>
        </w:rPr>
        <w:t>MODULE D’INGÉNIERIE</w:t>
      </w:r>
    </w:p>
    <w:p w14:paraId="5E580EDC" w14:textId="77777777" w:rsidR="00F50D70" w:rsidRPr="00BE4F47" w:rsidRDefault="00000000" w:rsidP="008E113B">
      <w:pPr>
        <w:pBdr>
          <w:bottom w:val="single" w:sz="6" w:space="1" w:color="000000"/>
        </w:pBdr>
        <w:spacing w:line="360" w:lineRule="auto"/>
        <w:ind w:left="0" w:right="-77"/>
        <w:jc w:val="right"/>
        <w:outlineLvl w:val="9"/>
        <w:rPr>
          <w:rFonts w:ascii="Aptos" w:hAnsi="Aptos" w:cs="Arial"/>
          <w:b/>
          <w:sz w:val="24"/>
          <w:szCs w:val="24"/>
        </w:rPr>
      </w:pPr>
      <w:r w:rsidRPr="00BE4F47">
        <w:rPr>
          <w:rFonts w:ascii="Aptos" w:eastAsia="Calibri" w:hAnsi="Aptos" w:cs="Calibri"/>
          <w:b/>
          <w:color w:val="1A1A19"/>
          <w:sz w:val="20"/>
          <w:szCs w:val="20"/>
        </w:rPr>
        <w:t>GÉNIE INFORMATIQUE</w:t>
      </w:r>
    </w:p>
    <w:p w14:paraId="733EEEE0" w14:textId="77777777" w:rsidR="00F50D70" w:rsidRPr="00BE4F47" w:rsidRDefault="00000000" w:rsidP="008E113B">
      <w:pPr>
        <w:pBdr>
          <w:bottom w:val="single" w:sz="6" w:space="1" w:color="000000"/>
        </w:pBdr>
        <w:spacing w:line="360" w:lineRule="auto"/>
        <w:ind w:left="0" w:right="-77"/>
        <w:jc w:val="right"/>
        <w:outlineLvl w:val="9"/>
        <w:rPr>
          <w:rFonts w:ascii="Aptos" w:hAnsi="Aptos" w:cs="Arial"/>
        </w:rPr>
      </w:pPr>
      <w:r w:rsidRPr="00BE4F47">
        <w:rPr>
          <w:rFonts w:ascii="Aptos" w:eastAsia="Calibri" w:hAnsi="Aptos" w:cs="Calibri"/>
          <w:b/>
          <w:color w:val="1A1A19"/>
          <w:sz w:val="20"/>
          <w:szCs w:val="20"/>
        </w:rPr>
        <w:t>6GEN135  ·  INGÉNIERIE : MÉTHODES ET PRATIQUE II</w:t>
      </w:r>
    </w:p>
    <w:p w14:paraId="505F093A" w14:textId="77777777" w:rsidR="00F50D70" w:rsidRPr="00BE4F47" w:rsidRDefault="00F50D70" w:rsidP="008E113B">
      <w:pPr>
        <w:spacing w:line="360" w:lineRule="auto"/>
        <w:outlineLvl w:val="9"/>
        <w:rPr>
          <w:rFonts w:ascii="Aptos" w:hAnsi="Aptos" w:cs="Arial"/>
        </w:rPr>
      </w:pPr>
    </w:p>
    <w:p w14:paraId="68F1C7AA" w14:textId="77777777" w:rsidR="00F50D70" w:rsidRPr="00BE4F47" w:rsidRDefault="00000000" w:rsidP="008E113B">
      <w:pPr>
        <w:pStyle w:val="Heading"/>
        <w:pBdr>
          <w:bottom w:val="single" w:sz="4" w:space="24" w:color="000000"/>
        </w:pBdr>
        <w:spacing w:after="0" w:line="360" w:lineRule="auto"/>
        <w:jc w:val="right"/>
        <w:rPr>
          <w:rFonts w:ascii="Aptos" w:hAnsi="Aptos"/>
        </w:rPr>
      </w:pPr>
      <w:r w:rsidRPr="00BE4F47">
        <w:rPr>
          <w:rFonts w:ascii="Aptos" w:hAnsi="Aptos"/>
        </w:rPr>
        <w:t>Plan de projet</w:t>
      </w:r>
    </w:p>
    <w:p w14:paraId="1E85BD8B" w14:textId="77777777" w:rsidR="00F50D70" w:rsidRPr="00BE4F47" w:rsidRDefault="00F50D70" w:rsidP="008E113B">
      <w:pPr>
        <w:spacing w:line="360" w:lineRule="auto"/>
        <w:outlineLvl w:val="9"/>
        <w:rPr>
          <w:rFonts w:ascii="Aptos" w:hAnsi="Aptos"/>
        </w:rPr>
      </w:pPr>
    </w:p>
    <w:p w14:paraId="0BC54FD9" w14:textId="77777777" w:rsidR="00F50D70" w:rsidRPr="00BE4F47" w:rsidRDefault="00F50D70" w:rsidP="008E113B">
      <w:pPr>
        <w:spacing w:line="360" w:lineRule="auto"/>
        <w:ind w:left="0"/>
        <w:outlineLvl w:val="9"/>
        <w:rPr>
          <w:rFonts w:ascii="Aptos" w:hAnsi="Aptos"/>
        </w:rPr>
      </w:pPr>
    </w:p>
    <w:p w14:paraId="2B94DCD9" w14:textId="1AE730AD" w:rsidR="00F50D70" w:rsidRPr="00BE4F47" w:rsidRDefault="00000000" w:rsidP="008E113B">
      <w:pPr>
        <w:pStyle w:val="Heading"/>
        <w:spacing w:after="0" w:line="360" w:lineRule="auto"/>
        <w:jc w:val="center"/>
        <w:rPr>
          <w:rFonts w:ascii="Aptos" w:hAnsi="Aptos" w:cs="Arial"/>
          <w:b/>
          <w:sz w:val="28"/>
          <w:szCs w:val="28"/>
        </w:rPr>
      </w:pPr>
      <w:r w:rsidRPr="00BE4F47">
        <w:rPr>
          <w:rFonts w:ascii="Aptos" w:hAnsi="Aptos" w:cs="Arial"/>
          <w:b/>
          <w:sz w:val="28"/>
          <w:szCs w:val="28"/>
        </w:rPr>
        <w:t xml:space="preserve">Projet : </w:t>
      </w:r>
    </w:p>
    <w:p w14:paraId="08E94056" w14:textId="77777777" w:rsidR="00F50D70" w:rsidRPr="00BE4F47" w:rsidRDefault="00000000" w:rsidP="008E113B">
      <w:pPr>
        <w:pStyle w:val="Heading"/>
        <w:spacing w:after="0" w:line="360" w:lineRule="auto"/>
        <w:jc w:val="center"/>
        <w:rPr>
          <w:rFonts w:ascii="Aptos" w:hAnsi="Aptos" w:cs="Arial"/>
          <w:b/>
          <w:sz w:val="28"/>
          <w:szCs w:val="28"/>
        </w:rPr>
      </w:pPr>
      <w:r w:rsidRPr="00BE4F47">
        <w:rPr>
          <w:rFonts w:ascii="Aptos" w:hAnsi="Aptos" w:cs="Arial"/>
          <w:b/>
          <w:sz w:val="28"/>
          <w:szCs w:val="28"/>
        </w:rPr>
        <w:t>Jumeau numérique de surveillance d’une boucle thermohydraulique</w:t>
      </w:r>
    </w:p>
    <w:p w14:paraId="7755CC00" w14:textId="77777777" w:rsidR="00F50D70" w:rsidRPr="00BE4F47" w:rsidRDefault="00F50D70" w:rsidP="008E113B">
      <w:pPr>
        <w:spacing w:line="360" w:lineRule="auto"/>
        <w:outlineLvl w:val="9"/>
        <w:rPr>
          <w:rFonts w:ascii="Aptos" w:hAnsi="Aptos" w:cs="Arial"/>
          <w:b/>
          <w:sz w:val="28"/>
          <w:szCs w:val="28"/>
        </w:rPr>
      </w:pPr>
    </w:p>
    <w:p w14:paraId="31801503" w14:textId="77777777" w:rsidR="00F50D70" w:rsidRPr="00BE4F47" w:rsidRDefault="00F50D70" w:rsidP="008E113B">
      <w:pPr>
        <w:spacing w:line="360" w:lineRule="auto"/>
        <w:outlineLvl w:val="9"/>
        <w:rPr>
          <w:rFonts w:ascii="Aptos" w:hAnsi="Aptos"/>
        </w:rPr>
      </w:pPr>
    </w:p>
    <w:p w14:paraId="19B2D50E" w14:textId="77777777" w:rsidR="00F50D70" w:rsidRPr="00BE4F47" w:rsidRDefault="00F50D70" w:rsidP="008E113B">
      <w:pPr>
        <w:spacing w:line="360" w:lineRule="auto"/>
        <w:outlineLvl w:val="9"/>
        <w:rPr>
          <w:rFonts w:ascii="Aptos" w:hAnsi="Aptos"/>
        </w:rPr>
      </w:pPr>
    </w:p>
    <w:p w14:paraId="7CA44011" w14:textId="77777777" w:rsidR="00F50D70" w:rsidRPr="00BE4F47" w:rsidRDefault="00000000" w:rsidP="008E113B">
      <w:pPr>
        <w:spacing w:line="360" w:lineRule="auto"/>
        <w:ind w:left="0"/>
        <w:jc w:val="center"/>
        <w:outlineLvl w:val="9"/>
        <w:rPr>
          <w:rFonts w:ascii="Aptos" w:hAnsi="Aptos"/>
          <w:sz w:val="24"/>
          <w:szCs w:val="24"/>
        </w:rPr>
      </w:pPr>
      <w:r w:rsidRPr="00BE4F47">
        <w:rPr>
          <w:rFonts w:ascii="Aptos" w:eastAsia="Calibri" w:hAnsi="Aptos" w:cs="Calibri"/>
          <w:color w:val="1A1A19"/>
          <w:sz w:val="20"/>
          <w:szCs w:val="20"/>
        </w:rPr>
        <w:t>Préparé par</w:t>
      </w:r>
    </w:p>
    <w:p w14:paraId="443ABF0A" w14:textId="77777777" w:rsidR="00F50D70" w:rsidRPr="00BE4F47" w:rsidRDefault="00F50D70" w:rsidP="008E113B">
      <w:pPr>
        <w:spacing w:line="360" w:lineRule="auto"/>
        <w:ind w:left="0"/>
        <w:outlineLvl w:val="9"/>
        <w:rPr>
          <w:rFonts w:ascii="Aptos" w:hAnsi="Aptos"/>
          <w:sz w:val="24"/>
          <w:szCs w:val="24"/>
        </w:rPr>
      </w:pPr>
    </w:p>
    <w:p w14:paraId="1CBFCE02" w14:textId="249770BF"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 xml:space="preserve">Christian Kévin </w:t>
      </w:r>
      <w:r w:rsidR="00170BF3" w:rsidRPr="00BE4F47">
        <w:rPr>
          <w:rFonts w:ascii="Aptos" w:eastAsia="Calibri" w:hAnsi="Aptos" w:cs="Calibri"/>
          <w:color w:val="1A1A19"/>
          <w:sz w:val="20"/>
          <w:szCs w:val="20"/>
        </w:rPr>
        <w:t>Sawadogo , Abdoul</w:t>
      </w:r>
      <w:r w:rsidRPr="00BE4F47">
        <w:rPr>
          <w:rFonts w:ascii="Aptos" w:eastAsia="Calibri" w:hAnsi="Aptos" w:cs="Calibri"/>
          <w:color w:val="1A1A19"/>
          <w:sz w:val="20"/>
          <w:szCs w:val="20"/>
        </w:rPr>
        <w:t xml:space="preserve"> Raouf Kabré</w:t>
      </w:r>
      <w:r w:rsidR="00170BF3" w:rsidRPr="00BE4F47">
        <w:rPr>
          <w:rFonts w:ascii="Aptos" w:eastAsia="Calibri" w:hAnsi="Aptos" w:cs="Calibri"/>
          <w:color w:val="1A1A19"/>
          <w:sz w:val="20"/>
          <w:szCs w:val="20"/>
        </w:rPr>
        <w:t>,</w:t>
      </w:r>
      <w:r w:rsidRPr="00BE4F47">
        <w:rPr>
          <w:rFonts w:ascii="Aptos" w:eastAsia="Calibri" w:hAnsi="Aptos" w:cs="Calibri"/>
          <w:color w:val="1A1A19"/>
          <w:sz w:val="20"/>
          <w:szCs w:val="20"/>
        </w:rPr>
        <w:t xml:space="preserve">  Rayane Arèmou Akorede Alimi </w:t>
      </w:r>
      <w:r w:rsidR="00170BF3" w:rsidRPr="00BE4F47">
        <w:rPr>
          <w:rFonts w:ascii="Aptos" w:eastAsia="Calibri" w:hAnsi="Aptos" w:cs="Calibri"/>
          <w:color w:val="1A1A19"/>
          <w:sz w:val="20"/>
          <w:szCs w:val="20"/>
        </w:rPr>
        <w:t xml:space="preserve">, </w:t>
      </w:r>
      <w:r w:rsidRPr="00BE4F47">
        <w:rPr>
          <w:rFonts w:ascii="Aptos" w:eastAsia="Calibri" w:hAnsi="Aptos" w:cs="Calibri"/>
          <w:color w:val="1A1A19"/>
          <w:sz w:val="20"/>
          <w:szCs w:val="20"/>
        </w:rPr>
        <w:t xml:space="preserve">Ibrahim Diallo </w:t>
      </w:r>
      <w:r w:rsidR="00170BF3" w:rsidRPr="00BE4F47">
        <w:rPr>
          <w:rFonts w:ascii="Aptos" w:eastAsia="Calibri" w:hAnsi="Aptos" w:cs="Calibri"/>
          <w:color w:val="1A1A19"/>
          <w:sz w:val="20"/>
          <w:szCs w:val="20"/>
        </w:rPr>
        <w:t>,</w:t>
      </w:r>
      <w:r w:rsidRPr="00BE4F47">
        <w:rPr>
          <w:rFonts w:ascii="Aptos" w:eastAsia="Calibri" w:hAnsi="Aptos" w:cs="Calibri"/>
          <w:color w:val="1A1A19"/>
          <w:sz w:val="20"/>
          <w:szCs w:val="20"/>
        </w:rPr>
        <w:t xml:space="preserve"> Aboubacar Sidiki Yansané</w:t>
      </w:r>
      <w:r w:rsidR="00170BF3" w:rsidRPr="00BE4F47">
        <w:rPr>
          <w:rFonts w:ascii="Aptos" w:eastAsia="Calibri" w:hAnsi="Aptos" w:cs="Calibri"/>
          <w:color w:val="1A1A19"/>
          <w:sz w:val="20"/>
          <w:szCs w:val="20"/>
        </w:rPr>
        <w:t xml:space="preserve">, </w:t>
      </w:r>
      <w:r w:rsidRPr="00BE4F47">
        <w:rPr>
          <w:rFonts w:ascii="Aptos" w:eastAsia="Calibri" w:hAnsi="Aptos" w:cs="Calibri"/>
          <w:color w:val="1A1A19"/>
          <w:sz w:val="20"/>
          <w:szCs w:val="20"/>
        </w:rPr>
        <w:t>Djasra Wilson Thoroum</w:t>
      </w:r>
      <w:r w:rsidR="00170BF3" w:rsidRPr="00BE4F47">
        <w:rPr>
          <w:rFonts w:ascii="Aptos" w:eastAsia="Calibri" w:hAnsi="Aptos" w:cs="Calibri"/>
          <w:color w:val="1A1A19"/>
          <w:sz w:val="20"/>
          <w:szCs w:val="20"/>
        </w:rPr>
        <w:t xml:space="preserve">, </w:t>
      </w:r>
      <w:r w:rsidRPr="00BE4F47">
        <w:rPr>
          <w:rFonts w:ascii="Aptos" w:eastAsia="Calibri" w:hAnsi="Aptos" w:cs="Calibri"/>
          <w:color w:val="1A1A19"/>
          <w:sz w:val="20"/>
          <w:szCs w:val="20"/>
        </w:rPr>
        <w:t xml:space="preserve">Jérémie </w:t>
      </w:r>
      <w:r w:rsidR="00170BF3" w:rsidRPr="00BE4F47">
        <w:rPr>
          <w:rFonts w:ascii="Aptos" w:eastAsia="Calibri" w:hAnsi="Aptos" w:cs="Calibri"/>
          <w:color w:val="1A1A19"/>
          <w:sz w:val="20"/>
          <w:szCs w:val="20"/>
        </w:rPr>
        <w:t>Arno Tchawo Soppewe</w:t>
      </w:r>
      <w:r w:rsidRPr="00BE4F47">
        <w:rPr>
          <w:rFonts w:ascii="Aptos" w:eastAsia="Calibri" w:hAnsi="Aptos" w:cs="Calibri"/>
          <w:color w:val="1A1A19"/>
          <w:sz w:val="20"/>
          <w:szCs w:val="20"/>
        </w:rPr>
        <w:t xml:space="preserve"> </w:t>
      </w:r>
      <w:r w:rsidR="00170BF3" w:rsidRPr="00BE4F47">
        <w:rPr>
          <w:rFonts w:ascii="Aptos" w:eastAsia="Calibri" w:hAnsi="Aptos" w:cs="Calibri"/>
          <w:color w:val="1A1A19"/>
          <w:sz w:val="20"/>
          <w:szCs w:val="20"/>
        </w:rPr>
        <w:t>et</w:t>
      </w:r>
    </w:p>
    <w:p w14:paraId="054EE15F" w14:textId="77777777" w:rsidR="00F50D70" w:rsidRPr="00BE4F47" w:rsidRDefault="00F50D70" w:rsidP="008E113B">
      <w:pPr>
        <w:spacing w:line="360" w:lineRule="auto"/>
        <w:ind w:left="0"/>
        <w:outlineLvl w:val="9"/>
        <w:rPr>
          <w:rFonts w:ascii="Aptos" w:hAnsi="Aptos"/>
        </w:rPr>
      </w:pPr>
    </w:p>
    <w:p w14:paraId="3E28A74B" w14:textId="77777777" w:rsidR="00F50D70" w:rsidRPr="00BE4F47" w:rsidRDefault="00F50D70" w:rsidP="008E113B">
      <w:pPr>
        <w:spacing w:line="360" w:lineRule="auto"/>
        <w:ind w:left="0"/>
        <w:outlineLvl w:val="9"/>
        <w:rPr>
          <w:rFonts w:ascii="Aptos" w:hAnsi="Aptos"/>
        </w:rPr>
      </w:pPr>
    </w:p>
    <w:p w14:paraId="38A6C169" w14:textId="77777777" w:rsidR="00F50D70" w:rsidRPr="00BE4F47" w:rsidRDefault="00F50D70" w:rsidP="008E113B">
      <w:pPr>
        <w:spacing w:line="360" w:lineRule="auto"/>
        <w:ind w:left="0"/>
        <w:outlineLvl w:val="9"/>
        <w:rPr>
          <w:rFonts w:ascii="Aptos" w:hAnsi="Aptos"/>
        </w:rPr>
      </w:pPr>
    </w:p>
    <w:p w14:paraId="7056B8D3"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Pour</w:t>
      </w:r>
    </w:p>
    <w:p w14:paraId="49FD7522" w14:textId="77777777" w:rsidR="00F50D70" w:rsidRPr="00BE4F47" w:rsidRDefault="00F50D70" w:rsidP="008E113B">
      <w:pPr>
        <w:spacing w:line="360" w:lineRule="auto"/>
        <w:ind w:left="0"/>
        <w:jc w:val="center"/>
        <w:outlineLvl w:val="9"/>
        <w:rPr>
          <w:rFonts w:ascii="Aptos" w:hAnsi="Aptos"/>
        </w:rPr>
      </w:pPr>
    </w:p>
    <w:p w14:paraId="1B836435"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(PROMOTEUR)</w:t>
      </w:r>
    </w:p>
    <w:p w14:paraId="1AA80A57"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 NOM DU REPRÉSENTANT DU CLIENT À COMPLÉTER ]</w:t>
      </w:r>
    </w:p>
    <w:p w14:paraId="3BA17137"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lastRenderedPageBreak/>
        <w:t>HYDRO-QUÉBEC  (client fictif du scénario de cours)</w:t>
      </w:r>
    </w:p>
    <w:p w14:paraId="3B811B01" w14:textId="77777777" w:rsidR="00F50D70" w:rsidRPr="00BE4F47" w:rsidRDefault="00F50D70" w:rsidP="008E113B">
      <w:pPr>
        <w:spacing w:line="360" w:lineRule="auto"/>
        <w:ind w:left="0"/>
        <w:jc w:val="center"/>
        <w:outlineLvl w:val="9"/>
        <w:rPr>
          <w:rFonts w:ascii="Aptos" w:hAnsi="Aptos"/>
        </w:rPr>
      </w:pPr>
    </w:p>
    <w:p w14:paraId="62F5CEE7" w14:textId="77777777" w:rsidR="00F50D70" w:rsidRPr="00BE4F47" w:rsidRDefault="00F50D70" w:rsidP="008E113B">
      <w:pPr>
        <w:spacing w:line="360" w:lineRule="auto"/>
        <w:ind w:left="0"/>
        <w:jc w:val="center"/>
        <w:outlineLvl w:val="9"/>
        <w:rPr>
          <w:rFonts w:ascii="Aptos" w:hAnsi="Aptos"/>
        </w:rPr>
      </w:pPr>
    </w:p>
    <w:p w14:paraId="0B0F5015" w14:textId="77777777" w:rsidR="00F50D70" w:rsidRPr="00BE4F47" w:rsidRDefault="00000000" w:rsidP="008E113B">
      <w:pPr>
        <w:spacing w:line="360" w:lineRule="auto"/>
        <w:ind w:left="0"/>
        <w:jc w:val="center"/>
        <w:outlineLvl w:val="9"/>
        <w:rPr>
          <w:rFonts w:ascii="Aptos" w:hAnsi="Aptos"/>
        </w:rPr>
      </w:pPr>
      <w:r w:rsidRPr="00BE4F47">
        <w:rPr>
          <w:rFonts w:ascii="Aptos" w:eastAsia="Calibri" w:hAnsi="Aptos" w:cs="Calibri"/>
          <w:color w:val="1A1A19"/>
          <w:sz w:val="20"/>
          <w:szCs w:val="20"/>
        </w:rPr>
        <w:t>20 septembre 2026</w:t>
      </w:r>
    </w:p>
    <w:p w14:paraId="657FF923" w14:textId="77777777" w:rsidR="00F50D70" w:rsidRPr="00BE4F47" w:rsidRDefault="00F50D70" w:rsidP="008E113B">
      <w:pPr>
        <w:spacing w:line="360" w:lineRule="auto"/>
        <w:ind w:left="0"/>
        <w:outlineLvl w:val="9"/>
        <w:rPr>
          <w:rFonts w:ascii="Aptos" w:hAnsi="Aptos"/>
        </w:rPr>
      </w:pPr>
    </w:p>
    <w:p w14:paraId="7985A6CD" w14:textId="77777777" w:rsidR="00F50D70" w:rsidRPr="00BE4F47" w:rsidRDefault="00F50D70" w:rsidP="008E113B">
      <w:pPr>
        <w:spacing w:line="360" w:lineRule="auto"/>
        <w:ind w:left="0"/>
        <w:jc w:val="center"/>
        <w:outlineLvl w:val="9"/>
        <w:rPr>
          <w:rFonts w:ascii="Aptos" w:hAnsi="Aptos"/>
        </w:rPr>
      </w:pPr>
    </w:p>
    <w:p w14:paraId="175D06AE" w14:textId="77777777" w:rsidR="00F50D70" w:rsidRPr="00BE4F47" w:rsidRDefault="00F50D70" w:rsidP="008E113B">
      <w:pPr>
        <w:spacing w:line="360" w:lineRule="auto"/>
        <w:ind w:left="0"/>
        <w:jc w:val="center"/>
        <w:outlineLvl w:val="9"/>
        <w:rPr>
          <w:rFonts w:ascii="Aptos" w:hAnsi="Aptos"/>
        </w:rPr>
      </w:pPr>
    </w:p>
    <w:p w14:paraId="66D5EC98" w14:textId="77777777" w:rsidR="00F50D70" w:rsidRPr="00BE4F47" w:rsidRDefault="00F50D70" w:rsidP="008E113B">
      <w:pPr>
        <w:spacing w:line="360" w:lineRule="auto"/>
        <w:ind w:left="0"/>
        <w:jc w:val="center"/>
        <w:outlineLvl w:val="9"/>
        <w:rPr>
          <w:rFonts w:ascii="Aptos" w:hAnsi="Aptos"/>
        </w:rPr>
      </w:pPr>
    </w:p>
    <w:p w14:paraId="37E26394" w14:textId="77777777" w:rsidR="00F50D70" w:rsidRPr="00BE4F47" w:rsidRDefault="00F50D70" w:rsidP="008E113B">
      <w:pPr>
        <w:tabs>
          <w:tab w:val="left" w:pos="5670"/>
        </w:tabs>
        <w:spacing w:line="360" w:lineRule="auto"/>
        <w:ind w:left="0"/>
        <w:outlineLvl w:val="9"/>
        <w:rPr>
          <w:rFonts w:ascii="Aptos" w:hAnsi="Aptos"/>
        </w:rPr>
      </w:pPr>
    </w:p>
    <w:p w14:paraId="0312EEE0" w14:textId="77777777" w:rsidR="00F50D70" w:rsidRPr="00BE4F47" w:rsidRDefault="00000000" w:rsidP="008E113B">
      <w:pPr>
        <w:tabs>
          <w:tab w:val="left" w:pos="5670"/>
        </w:tabs>
        <w:spacing w:line="360" w:lineRule="auto"/>
        <w:ind w:left="0"/>
        <w:outlineLvl w:val="9"/>
        <w:rPr>
          <w:rFonts w:ascii="Aptos" w:hAnsi="Aptos"/>
        </w:rPr>
      </w:pPr>
      <w:r w:rsidRPr="00BE4F47">
        <w:rPr>
          <w:rFonts w:ascii="Aptos" w:eastAsia="Calibri" w:hAnsi="Aptos" w:cs="Calibri"/>
          <w:color w:val="1A1A19"/>
          <w:sz w:val="20"/>
          <w:szCs w:val="20"/>
        </w:rPr>
        <w:t>CONSEILLER :  Martin Otis, ing.</w:t>
      </w:r>
    </w:p>
    <w:p w14:paraId="0862AD25" w14:textId="60CD25DA" w:rsidR="00F50D70" w:rsidRPr="00BE4F47" w:rsidRDefault="00F50D70" w:rsidP="008E113B">
      <w:pPr>
        <w:tabs>
          <w:tab w:val="left" w:pos="5670"/>
        </w:tabs>
        <w:spacing w:line="360" w:lineRule="auto"/>
        <w:ind w:left="0"/>
        <w:outlineLvl w:val="9"/>
        <w:rPr>
          <w:rFonts w:ascii="Aptos" w:hAnsi="Aptos"/>
        </w:rPr>
      </w:pPr>
    </w:p>
    <w:p w14:paraId="4C990689" w14:textId="77777777" w:rsidR="00F50D70" w:rsidRPr="00BE4F47" w:rsidRDefault="00F50D70" w:rsidP="008E113B">
      <w:pPr>
        <w:tabs>
          <w:tab w:val="left" w:pos="5670"/>
        </w:tabs>
        <w:spacing w:line="360" w:lineRule="auto"/>
        <w:ind w:left="0"/>
        <w:outlineLvl w:val="9"/>
        <w:rPr>
          <w:rFonts w:ascii="Aptos" w:hAnsi="Aptos"/>
        </w:rPr>
      </w:pPr>
    </w:p>
    <w:p w14:paraId="259C990B" w14:textId="77777777" w:rsidR="00F50D70" w:rsidRPr="00BE4F47" w:rsidRDefault="00F50D70" w:rsidP="008E113B">
      <w:pPr>
        <w:spacing w:line="360" w:lineRule="auto"/>
        <w:ind w:left="0"/>
        <w:outlineLvl w:val="9"/>
        <w:rPr>
          <w:rFonts w:ascii="Aptos" w:hAnsi="Aptos"/>
        </w:rPr>
      </w:pPr>
    </w:p>
    <w:p w14:paraId="03A7F90A" w14:textId="77777777" w:rsidR="00F50D70" w:rsidRPr="00BE4F47" w:rsidRDefault="00F50D70" w:rsidP="008E113B">
      <w:pPr>
        <w:spacing w:line="360" w:lineRule="auto"/>
        <w:outlineLvl w:val="9"/>
        <w:rPr>
          <w:rFonts w:ascii="Aptos" w:hAnsi="Aptos"/>
        </w:rPr>
      </w:pPr>
    </w:p>
    <w:p w14:paraId="5E09B764" w14:textId="77777777" w:rsidR="00F50D70" w:rsidRPr="00BE4F47" w:rsidRDefault="00F50D70" w:rsidP="008E113B">
      <w:pPr>
        <w:spacing w:line="360" w:lineRule="auto"/>
        <w:outlineLvl w:val="9"/>
        <w:rPr>
          <w:rFonts w:ascii="Aptos" w:hAnsi="Aptos"/>
        </w:rPr>
      </w:pPr>
    </w:p>
    <w:p w14:paraId="35CD7176" w14:textId="77777777" w:rsidR="00F50D70" w:rsidRPr="00BE4F47" w:rsidRDefault="00F50D70" w:rsidP="008E113B">
      <w:pPr>
        <w:spacing w:line="360" w:lineRule="auto"/>
        <w:outlineLvl w:val="9"/>
        <w:rPr>
          <w:rFonts w:ascii="Aptos" w:hAnsi="Aptos"/>
        </w:rPr>
      </w:pPr>
    </w:p>
    <w:p w14:paraId="2586988E" w14:textId="77777777" w:rsidR="00F50D70" w:rsidRPr="00BE4F47" w:rsidRDefault="00F50D70" w:rsidP="008E113B">
      <w:pPr>
        <w:spacing w:line="360" w:lineRule="auto"/>
        <w:outlineLvl w:val="9"/>
        <w:rPr>
          <w:rFonts w:ascii="Aptos" w:hAnsi="Aptos"/>
        </w:rPr>
      </w:pPr>
    </w:p>
    <w:tbl>
      <w:tblPr>
        <w:tblW w:w="7020" w:type="dxa"/>
        <w:tblInd w:w="648" w:type="dxa"/>
        <w:tblLayout w:type="fixed"/>
        <w:tblLook w:val="04A0" w:firstRow="1" w:lastRow="0" w:firstColumn="1" w:lastColumn="0" w:noHBand="0" w:noVBand="1"/>
      </w:tblPr>
      <w:tblGrid>
        <w:gridCol w:w="2154"/>
        <w:gridCol w:w="4866"/>
      </w:tblGrid>
      <w:tr w:rsidR="00F50D70" w:rsidRPr="00BE4F47" w14:paraId="428570D5" w14:textId="77777777">
        <w:tc>
          <w:tcPr>
            <w:tcW w:w="7020" w:type="dxa"/>
            <w:gridSpan w:val="2"/>
            <w:tcBorders>
              <w:top w:val="single" w:sz="6" w:space="0" w:color="000000"/>
              <w:left w:val="single" w:sz="6" w:space="0" w:color="000000"/>
              <w:bottom w:val="single" w:sz="4" w:space="0" w:color="000000"/>
              <w:right w:val="single" w:sz="6" w:space="0" w:color="000000"/>
            </w:tcBorders>
          </w:tcPr>
          <w:p w14:paraId="37974D83" w14:textId="77777777" w:rsidR="00F50D70" w:rsidRPr="00BE4F47" w:rsidRDefault="00000000" w:rsidP="008E113B">
            <w:pPr>
              <w:pStyle w:val="Enttedetableau"/>
              <w:spacing w:line="360" w:lineRule="auto"/>
              <w:rPr>
                <w:rFonts w:ascii="Aptos" w:hAnsi="Aptos"/>
              </w:rPr>
            </w:pPr>
            <w:r w:rsidRPr="00BE4F47">
              <w:rPr>
                <w:rFonts w:ascii="Aptos" w:hAnsi="Aptos" w:cs="Arial"/>
                <w:b/>
                <w:sz w:val="20"/>
              </w:rPr>
              <w:t>Approbation de la proposition de services pour diffusion</w:t>
            </w:r>
          </w:p>
        </w:tc>
      </w:tr>
      <w:tr w:rsidR="00F50D70" w:rsidRPr="00BE4F47" w14:paraId="66196804" w14:textId="77777777">
        <w:tc>
          <w:tcPr>
            <w:tcW w:w="2154" w:type="dxa"/>
            <w:tcBorders>
              <w:left w:val="single" w:sz="6" w:space="0" w:color="000000"/>
            </w:tcBorders>
          </w:tcPr>
          <w:p w14:paraId="144677D8" w14:textId="77777777" w:rsidR="00F50D70" w:rsidRPr="00BE4F47" w:rsidRDefault="00000000" w:rsidP="008E113B">
            <w:pPr>
              <w:pStyle w:val="Textedetableau"/>
              <w:spacing w:line="360" w:lineRule="auto"/>
              <w:rPr>
                <w:rFonts w:ascii="Aptos" w:hAnsi="Aptos"/>
              </w:rPr>
            </w:pPr>
            <w:r w:rsidRPr="00BE4F47">
              <w:rPr>
                <w:rFonts w:ascii="Aptos" w:hAnsi="Aptos"/>
                <w:sz w:val="20"/>
              </w:rPr>
              <w:t>Nom du conseiller</w:t>
            </w:r>
          </w:p>
        </w:tc>
        <w:tc>
          <w:tcPr>
            <w:tcW w:w="4866" w:type="dxa"/>
            <w:tcBorders>
              <w:right w:val="single" w:sz="6" w:space="0" w:color="000000"/>
            </w:tcBorders>
          </w:tcPr>
          <w:p w14:paraId="6E70527D" w14:textId="77777777" w:rsidR="00F50D70" w:rsidRPr="00BE4F47" w:rsidRDefault="00F50D70" w:rsidP="008E113B">
            <w:pPr>
              <w:pStyle w:val="Textedetableau"/>
              <w:snapToGrid w:val="0"/>
              <w:spacing w:line="360" w:lineRule="auto"/>
              <w:rPr>
                <w:rFonts w:ascii="Aptos" w:hAnsi="Aptos"/>
                <w:sz w:val="20"/>
              </w:rPr>
            </w:pPr>
          </w:p>
        </w:tc>
      </w:tr>
      <w:tr w:rsidR="00F50D70" w:rsidRPr="00BE4F47" w14:paraId="2AB6BFBA" w14:textId="77777777">
        <w:tc>
          <w:tcPr>
            <w:tcW w:w="2154" w:type="dxa"/>
            <w:tcBorders>
              <w:left w:val="single" w:sz="6" w:space="0" w:color="000000"/>
            </w:tcBorders>
          </w:tcPr>
          <w:p w14:paraId="77B83CCA" w14:textId="77777777" w:rsidR="00F50D70" w:rsidRPr="00BE4F47" w:rsidRDefault="00000000" w:rsidP="008E113B">
            <w:pPr>
              <w:pStyle w:val="Textedetableau"/>
              <w:spacing w:line="360" w:lineRule="auto"/>
              <w:rPr>
                <w:rFonts w:ascii="Aptos" w:hAnsi="Aptos"/>
                <w:sz w:val="20"/>
              </w:rPr>
            </w:pPr>
            <w:r w:rsidRPr="00BE4F47">
              <w:rPr>
                <w:rFonts w:ascii="Aptos" w:hAnsi="Aptos"/>
                <w:sz w:val="20"/>
              </w:rPr>
              <w:t>Date</w:t>
            </w:r>
          </w:p>
        </w:tc>
        <w:tc>
          <w:tcPr>
            <w:tcW w:w="4866" w:type="dxa"/>
            <w:tcBorders>
              <w:right w:val="single" w:sz="6" w:space="0" w:color="000000"/>
            </w:tcBorders>
          </w:tcPr>
          <w:p w14:paraId="7200FB54" w14:textId="77777777" w:rsidR="00F50D70" w:rsidRPr="00BE4F47" w:rsidRDefault="00F50D70" w:rsidP="008E113B">
            <w:pPr>
              <w:pStyle w:val="Textedetableau"/>
              <w:snapToGrid w:val="0"/>
              <w:spacing w:line="360" w:lineRule="auto"/>
              <w:rPr>
                <w:rFonts w:ascii="Aptos" w:hAnsi="Aptos"/>
                <w:sz w:val="20"/>
              </w:rPr>
            </w:pPr>
          </w:p>
        </w:tc>
      </w:tr>
      <w:tr w:rsidR="00F50D70" w:rsidRPr="00BE4F47" w14:paraId="734C31DC" w14:textId="77777777">
        <w:tc>
          <w:tcPr>
            <w:tcW w:w="2154" w:type="dxa"/>
            <w:tcBorders>
              <w:left w:val="single" w:sz="6" w:space="0" w:color="000000"/>
              <w:bottom w:val="single" w:sz="4" w:space="0" w:color="000000"/>
            </w:tcBorders>
          </w:tcPr>
          <w:p w14:paraId="3FE5FFF0" w14:textId="77777777" w:rsidR="00F50D70" w:rsidRPr="00BE4F47" w:rsidRDefault="00000000" w:rsidP="008E113B">
            <w:pPr>
              <w:pStyle w:val="Textedetableau"/>
              <w:spacing w:line="360" w:lineRule="auto"/>
              <w:rPr>
                <w:rFonts w:ascii="Aptos" w:hAnsi="Aptos"/>
                <w:sz w:val="20"/>
              </w:rPr>
            </w:pPr>
            <w:r w:rsidRPr="00BE4F47">
              <w:rPr>
                <w:rFonts w:ascii="Aptos" w:hAnsi="Aptos"/>
                <w:sz w:val="20"/>
              </w:rPr>
              <w:t>Signature</w:t>
            </w:r>
          </w:p>
        </w:tc>
        <w:tc>
          <w:tcPr>
            <w:tcW w:w="4866" w:type="dxa"/>
            <w:tcBorders>
              <w:bottom w:val="single" w:sz="4" w:space="0" w:color="000000"/>
              <w:right w:val="single" w:sz="6" w:space="0" w:color="000000"/>
            </w:tcBorders>
          </w:tcPr>
          <w:p w14:paraId="75986AF5" w14:textId="77777777" w:rsidR="00F50D70" w:rsidRPr="00BE4F47" w:rsidRDefault="00F50D70" w:rsidP="008E113B">
            <w:pPr>
              <w:pStyle w:val="Textedetableau"/>
              <w:snapToGrid w:val="0"/>
              <w:spacing w:line="360" w:lineRule="auto"/>
              <w:rPr>
                <w:rFonts w:ascii="Aptos" w:hAnsi="Aptos"/>
                <w:sz w:val="20"/>
              </w:rPr>
            </w:pPr>
          </w:p>
        </w:tc>
      </w:tr>
    </w:tbl>
    <w:p w14:paraId="4D21C4AD" w14:textId="77777777" w:rsidR="00F50D70" w:rsidRPr="00BE4F47" w:rsidRDefault="00F50D70" w:rsidP="008E113B">
      <w:pPr>
        <w:spacing w:line="360" w:lineRule="auto"/>
        <w:outlineLvl w:val="9"/>
        <w:rPr>
          <w:rFonts w:ascii="Aptos" w:hAnsi="Aptos"/>
        </w:rPr>
      </w:pPr>
    </w:p>
    <w:p w14:paraId="2382EF26" w14:textId="77777777" w:rsidR="00F50D70" w:rsidRPr="00BE4F47" w:rsidRDefault="00F50D70" w:rsidP="008E113B">
      <w:pPr>
        <w:spacing w:line="360" w:lineRule="auto"/>
        <w:ind w:left="0"/>
        <w:outlineLvl w:val="9"/>
        <w:rPr>
          <w:rFonts w:ascii="Aptos" w:hAnsi="Aptos"/>
        </w:rPr>
      </w:pPr>
    </w:p>
    <w:p w14:paraId="711D5786" w14:textId="77777777" w:rsidR="00F50D70" w:rsidRPr="00BE4F47" w:rsidRDefault="00F50D70" w:rsidP="008E113B">
      <w:pPr>
        <w:spacing w:line="360" w:lineRule="auto"/>
        <w:ind w:left="0"/>
        <w:outlineLvl w:val="9"/>
        <w:rPr>
          <w:rFonts w:ascii="Aptos" w:eastAsia="DengXian Light" w:hAnsi="Aptos"/>
          <w:b/>
          <w:bCs/>
          <w:color w:val="2F5496"/>
          <w:sz w:val="32"/>
          <w:szCs w:val="32"/>
          <w:lang w:eastAsia="en-US"/>
        </w:rPr>
      </w:pPr>
    </w:p>
    <w:p w14:paraId="0DB39DE7" w14:textId="77777777" w:rsidR="00F50D70" w:rsidRPr="00BE4F47" w:rsidRDefault="00000000" w:rsidP="008E113B">
      <w:pPr>
        <w:spacing w:line="360" w:lineRule="auto"/>
        <w:ind w:left="0"/>
        <w:outlineLvl w:val="9"/>
        <w:rPr>
          <w:rFonts w:ascii="Aptos" w:eastAsia="DengXian Light" w:hAnsi="Aptos"/>
          <w:bCs/>
          <w:color w:val="2F5496"/>
          <w:sz w:val="32"/>
          <w:szCs w:val="32"/>
          <w:lang w:eastAsia="en-US"/>
        </w:rPr>
      </w:pPr>
      <w:r w:rsidRPr="00BE4F47">
        <w:rPr>
          <w:rFonts w:ascii="Aptos" w:eastAsia="Calibri" w:hAnsi="Aptos" w:cs="Calibri"/>
          <w:bCs/>
          <w:color w:val="1A1A19"/>
          <w:sz w:val="20"/>
          <w:szCs w:val="20"/>
          <w:lang w:eastAsia="en-US"/>
        </w:rPr>
        <w:t>Historique des révisions</w:t>
      </w:r>
    </w:p>
    <w:tbl>
      <w:tblPr>
        <w:tblW w:w="9054" w:type="dxa"/>
        <w:tblLayout w:type="fixed"/>
        <w:tblLook w:val="04A0" w:firstRow="1" w:lastRow="0" w:firstColumn="1" w:lastColumn="0" w:noHBand="0" w:noVBand="1"/>
      </w:tblPr>
      <w:tblGrid>
        <w:gridCol w:w="2249"/>
        <w:gridCol w:w="2263"/>
        <w:gridCol w:w="2282"/>
        <w:gridCol w:w="2260"/>
      </w:tblGrid>
      <w:tr w:rsidR="00F50D70" w:rsidRPr="00BE4F47" w14:paraId="163DF60F" w14:textId="77777777">
        <w:tc>
          <w:tcPr>
            <w:tcW w:w="2249" w:type="dxa"/>
            <w:tcBorders>
              <w:top w:val="single" w:sz="4" w:space="0" w:color="000000"/>
              <w:left w:val="single" w:sz="4" w:space="0" w:color="000000"/>
              <w:bottom w:val="single" w:sz="4" w:space="0" w:color="000000"/>
              <w:right w:val="single" w:sz="4" w:space="0" w:color="000000"/>
            </w:tcBorders>
            <w:shd w:val="clear" w:color="auto" w:fill="C5E0B3"/>
          </w:tcPr>
          <w:p w14:paraId="3EBD61E3" w14:textId="77777777" w:rsidR="00F50D70" w:rsidRPr="00BE4F47" w:rsidRDefault="00000000" w:rsidP="008E113B">
            <w:pPr>
              <w:spacing w:after="160" w:line="360" w:lineRule="auto"/>
              <w:ind w:left="0"/>
              <w:jc w:val="left"/>
              <w:outlineLvl w:val="9"/>
              <w:rPr>
                <w:rFonts w:ascii="Aptos" w:eastAsia="Calibri" w:hAnsi="Aptos" w:cs="Times New Roman"/>
                <w:b/>
                <w:lang w:eastAsia="en-US"/>
              </w:rPr>
            </w:pPr>
            <w:r w:rsidRPr="00BE4F47">
              <w:rPr>
                <w:rFonts w:ascii="Aptos" w:eastAsia="Calibri" w:hAnsi="Aptos" w:cs="Times New Roman"/>
                <w:b/>
                <w:lang w:eastAsia="en-US"/>
              </w:rPr>
              <w:t>Date</w:t>
            </w:r>
          </w:p>
        </w:tc>
        <w:tc>
          <w:tcPr>
            <w:tcW w:w="2263" w:type="dxa"/>
            <w:tcBorders>
              <w:top w:val="single" w:sz="4" w:space="0" w:color="000000"/>
              <w:left w:val="single" w:sz="4" w:space="0" w:color="000000"/>
              <w:bottom w:val="single" w:sz="4" w:space="0" w:color="000000"/>
              <w:right w:val="single" w:sz="4" w:space="0" w:color="000000"/>
            </w:tcBorders>
            <w:shd w:val="clear" w:color="auto" w:fill="C5E0B3"/>
          </w:tcPr>
          <w:p w14:paraId="0261196F" w14:textId="77777777" w:rsidR="00F50D70" w:rsidRPr="00BE4F47" w:rsidRDefault="00000000" w:rsidP="008E113B">
            <w:pPr>
              <w:spacing w:after="160" w:line="360" w:lineRule="auto"/>
              <w:ind w:left="0"/>
              <w:jc w:val="left"/>
              <w:outlineLvl w:val="9"/>
              <w:rPr>
                <w:rFonts w:ascii="Aptos" w:eastAsia="Calibri" w:hAnsi="Aptos" w:cs="Times New Roman"/>
                <w:b/>
                <w:lang w:eastAsia="en-US"/>
              </w:rPr>
            </w:pPr>
            <w:r w:rsidRPr="00BE4F47">
              <w:rPr>
                <w:rFonts w:ascii="Aptos" w:eastAsia="Calibri" w:hAnsi="Aptos" w:cs="Times New Roman"/>
                <w:b/>
                <w:lang w:eastAsia="en-US"/>
              </w:rPr>
              <w:t>Version</w:t>
            </w:r>
          </w:p>
        </w:tc>
        <w:tc>
          <w:tcPr>
            <w:tcW w:w="2282" w:type="dxa"/>
            <w:tcBorders>
              <w:top w:val="single" w:sz="4" w:space="0" w:color="000000"/>
              <w:left w:val="single" w:sz="4" w:space="0" w:color="000000"/>
              <w:bottom w:val="single" w:sz="4" w:space="0" w:color="000000"/>
              <w:right w:val="single" w:sz="4" w:space="0" w:color="000000"/>
            </w:tcBorders>
            <w:shd w:val="clear" w:color="auto" w:fill="C5E0B3"/>
          </w:tcPr>
          <w:p w14:paraId="6219743D" w14:textId="77777777" w:rsidR="00F50D70" w:rsidRPr="00BE4F47" w:rsidRDefault="00000000" w:rsidP="008E113B">
            <w:pPr>
              <w:spacing w:after="160" w:line="360" w:lineRule="auto"/>
              <w:ind w:left="0"/>
              <w:jc w:val="left"/>
              <w:outlineLvl w:val="9"/>
              <w:rPr>
                <w:rFonts w:ascii="Aptos" w:eastAsia="Calibri" w:hAnsi="Aptos" w:cs="Times New Roman"/>
                <w:b/>
                <w:lang w:eastAsia="en-US"/>
              </w:rPr>
            </w:pPr>
            <w:r w:rsidRPr="00BE4F47">
              <w:rPr>
                <w:rFonts w:ascii="Aptos" w:eastAsia="Calibri" w:hAnsi="Aptos" w:cs="Times New Roman"/>
                <w:b/>
                <w:lang w:eastAsia="en-US"/>
              </w:rPr>
              <w:t>Description</w:t>
            </w:r>
          </w:p>
        </w:tc>
        <w:tc>
          <w:tcPr>
            <w:tcW w:w="2260" w:type="dxa"/>
            <w:tcBorders>
              <w:top w:val="single" w:sz="4" w:space="0" w:color="000000"/>
              <w:left w:val="single" w:sz="4" w:space="0" w:color="000000"/>
              <w:bottom w:val="single" w:sz="4" w:space="0" w:color="000000"/>
              <w:right w:val="single" w:sz="4" w:space="0" w:color="000000"/>
            </w:tcBorders>
            <w:shd w:val="clear" w:color="auto" w:fill="C5E0B3"/>
          </w:tcPr>
          <w:p w14:paraId="058D3BDB" w14:textId="77777777" w:rsidR="00F50D70" w:rsidRPr="00BE4F47" w:rsidRDefault="00000000" w:rsidP="008E113B">
            <w:pPr>
              <w:spacing w:after="160" w:line="360" w:lineRule="auto"/>
              <w:ind w:left="0"/>
              <w:jc w:val="left"/>
              <w:outlineLvl w:val="9"/>
              <w:rPr>
                <w:rFonts w:ascii="Aptos" w:eastAsia="Calibri" w:hAnsi="Aptos" w:cs="Times New Roman"/>
                <w:b/>
                <w:lang w:eastAsia="en-US"/>
              </w:rPr>
            </w:pPr>
            <w:r w:rsidRPr="00BE4F47">
              <w:rPr>
                <w:rFonts w:ascii="Aptos" w:eastAsia="Calibri" w:hAnsi="Aptos" w:cs="Times New Roman"/>
                <w:b/>
                <w:lang w:eastAsia="en-US"/>
              </w:rPr>
              <w:t>Auteur</w:t>
            </w:r>
          </w:p>
        </w:tc>
      </w:tr>
      <w:tr w:rsidR="00F50D70" w:rsidRPr="00BE4F47" w14:paraId="3DD76BAF" w14:textId="77777777">
        <w:tc>
          <w:tcPr>
            <w:tcW w:w="2249" w:type="dxa"/>
            <w:tcBorders>
              <w:top w:val="single" w:sz="4" w:space="0" w:color="000000"/>
              <w:left w:val="single" w:sz="4" w:space="0" w:color="000000"/>
              <w:bottom w:val="single" w:sz="4" w:space="0" w:color="000000"/>
              <w:right w:val="single" w:sz="4" w:space="0" w:color="000000"/>
            </w:tcBorders>
          </w:tcPr>
          <w:p w14:paraId="62156B73" w14:textId="77777777" w:rsidR="00F50D70" w:rsidRPr="00BE4F47" w:rsidRDefault="00000000" w:rsidP="008E113B">
            <w:pPr>
              <w:snapToGrid w:val="0"/>
              <w:spacing w:after="160" w:line="360" w:lineRule="auto"/>
              <w:ind w:left="0"/>
              <w:jc w:val="left"/>
              <w:outlineLvl w:val="9"/>
              <w:rPr>
                <w:rFonts w:ascii="Aptos" w:eastAsia="Calibri" w:hAnsi="Aptos" w:cs="Times New Roman"/>
                <w:b/>
                <w:lang w:eastAsia="en-US"/>
              </w:rPr>
            </w:pPr>
            <w:r w:rsidRPr="00BE4F47">
              <w:rPr>
                <w:rFonts w:ascii="Aptos" w:eastAsia="Calibri" w:hAnsi="Aptos" w:cs="Times New Roman"/>
                <w:b/>
                <w:lang w:eastAsia="en-US"/>
              </w:rPr>
              <w:t>20 septembre 2026</w:t>
            </w:r>
          </w:p>
        </w:tc>
        <w:tc>
          <w:tcPr>
            <w:tcW w:w="2263" w:type="dxa"/>
            <w:tcBorders>
              <w:top w:val="single" w:sz="4" w:space="0" w:color="000000"/>
              <w:left w:val="single" w:sz="4" w:space="0" w:color="000000"/>
              <w:bottom w:val="single" w:sz="4" w:space="0" w:color="000000"/>
              <w:right w:val="single" w:sz="4" w:space="0" w:color="000000"/>
            </w:tcBorders>
          </w:tcPr>
          <w:p w14:paraId="6AC7F7FC"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1.0</w:t>
            </w:r>
          </w:p>
        </w:tc>
        <w:tc>
          <w:tcPr>
            <w:tcW w:w="2282" w:type="dxa"/>
            <w:tcBorders>
              <w:top w:val="single" w:sz="4" w:space="0" w:color="000000"/>
              <w:left w:val="single" w:sz="4" w:space="0" w:color="000000"/>
              <w:bottom w:val="single" w:sz="4" w:space="0" w:color="000000"/>
              <w:right w:val="single" w:sz="4" w:space="0" w:color="000000"/>
            </w:tcBorders>
          </w:tcPr>
          <w:p w14:paraId="14817D4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Première version consolidée remise au jalon J0.</w:t>
            </w:r>
          </w:p>
        </w:tc>
        <w:tc>
          <w:tcPr>
            <w:tcW w:w="2260" w:type="dxa"/>
            <w:tcBorders>
              <w:top w:val="single" w:sz="4" w:space="0" w:color="000000"/>
              <w:left w:val="single" w:sz="4" w:space="0" w:color="000000"/>
              <w:bottom w:val="single" w:sz="4" w:space="0" w:color="000000"/>
              <w:right w:val="single" w:sz="4" w:space="0" w:color="000000"/>
            </w:tcBorders>
          </w:tcPr>
          <w:p w14:paraId="46AEE015"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Christian Kévin Sawadogo</w:t>
            </w:r>
          </w:p>
        </w:tc>
      </w:tr>
      <w:tr w:rsidR="00F50D70" w:rsidRPr="00BE4F47" w14:paraId="3C8810D9" w14:textId="77777777">
        <w:tc>
          <w:tcPr>
            <w:tcW w:w="2249" w:type="dxa"/>
            <w:tcBorders>
              <w:top w:val="single" w:sz="4" w:space="0" w:color="000000"/>
              <w:left w:val="single" w:sz="4" w:space="0" w:color="000000"/>
              <w:bottom w:val="single" w:sz="4" w:space="0" w:color="000000"/>
              <w:right w:val="single" w:sz="4" w:space="0" w:color="000000"/>
            </w:tcBorders>
          </w:tcPr>
          <w:p w14:paraId="0C4ADB30" w14:textId="77777777" w:rsidR="00F50D70" w:rsidRPr="00BE4F47" w:rsidRDefault="00000000" w:rsidP="008E113B">
            <w:pPr>
              <w:snapToGrid w:val="0"/>
              <w:spacing w:after="160" w:line="360" w:lineRule="auto"/>
              <w:ind w:left="0"/>
              <w:jc w:val="left"/>
              <w:outlineLvl w:val="9"/>
              <w:rPr>
                <w:rFonts w:ascii="Aptos" w:eastAsia="Calibri" w:hAnsi="Aptos" w:cs="Times New Roman"/>
                <w:b/>
                <w:lang w:eastAsia="en-US"/>
              </w:rPr>
            </w:pPr>
            <w:r w:rsidRPr="00BE4F47">
              <w:rPr>
                <w:rFonts w:ascii="Aptos" w:eastAsia="Calibri" w:hAnsi="Aptos" w:cs="Times New Roman"/>
                <w:b/>
                <w:lang w:eastAsia="en-US"/>
              </w:rPr>
              <w:t>[ DATE ]</w:t>
            </w:r>
          </w:p>
        </w:tc>
        <w:tc>
          <w:tcPr>
            <w:tcW w:w="2263" w:type="dxa"/>
            <w:tcBorders>
              <w:top w:val="single" w:sz="4" w:space="0" w:color="000000"/>
              <w:left w:val="single" w:sz="4" w:space="0" w:color="000000"/>
              <w:bottom w:val="single" w:sz="4" w:space="0" w:color="000000"/>
              <w:right w:val="single" w:sz="4" w:space="0" w:color="000000"/>
            </w:tcBorders>
          </w:tcPr>
          <w:p w14:paraId="2EC78646"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1.1</w:t>
            </w:r>
          </w:p>
        </w:tc>
        <w:tc>
          <w:tcPr>
            <w:tcW w:w="2282" w:type="dxa"/>
            <w:tcBorders>
              <w:top w:val="single" w:sz="4" w:space="0" w:color="000000"/>
              <w:left w:val="single" w:sz="4" w:space="0" w:color="000000"/>
              <w:bottom w:val="single" w:sz="4" w:space="0" w:color="000000"/>
              <w:right w:val="single" w:sz="4" w:space="0" w:color="000000"/>
            </w:tcBorders>
          </w:tcPr>
          <w:p w14:paraId="3776E9FF"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 DESCRIPTION DE LA RÉVISION ]</w:t>
            </w:r>
          </w:p>
        </w:tc>
        <w:tc>
          <w:tcPr>
            <w:tcW w:w="2260" w:type="dxa"/>
            <w:tcBorders>
              <w:top w:val="single" w:sz="4" w:space="0" w:color="000000"/>
              <w:left w:val="single" w:sz="4" w:space="0" w:color="000000"/>
              <w:bottom w:val="single" w:sz="4" w:space="0" w:color="000000"/>
              <w:right w:val="single" w:sz="4" w:space="0" w:color="000000"/>
            </w:tcBorders>
          </w:tcPr>
          <w:p w14:paraId="67FBA8D0"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 AUTEUR ]</w:t>
            </w:r>
          </w:p>
        </w:tc>
      </w:tr>
    </w:tbl>
    <w:p w14:paraId="4AFB3424" w14:textId="77777777" w:rsidR="00F50D70" w:rsidRPr="00BE4F47" w:rsidRDefault="00F50D70" w:rsidP="008E113B">
      <w:pPr>
        <w:keepNext/>
        <w:keepLines/>
        <w:spacing w:before="240" w:line="360" w:lineRule="auto"/>
        <w:ind w:left="0"/>
        <w:jc w:val="left"/>
        <w:outlineLvl w:val="0"/>
        <w:rPr>
          <w:rFonts w:ascii="Aptos" w:eastAsia="DengXian Light" w:hAnsi="Aptos" w:cs="Times New Roman"/>
          <w:color w:val="2F5496"/>
          <w:sz w:val="32"/>
          <w:szCs w:val="32"/>
          <w:lang w:eastAsia="en-US"/>
        </w:rPr>
      </w:pPr>
    </w:p>
    <w:p w14:paraId="220C24B8" w14:textId="77777777" w:rsidR="00F50D70" w:rsidRPr="00BE4F47" w:rsidRDefault="00000000" w:rsidP="008E113B">
      <w:pPr>
        <w:spacing w:line="360" w:lineRule="auto"/>
        <w:ind w:left="0"/>
        <w:outlineLvl w:val="9"/>
        <w:rPr>
          <w:rFonts w:ascii="Aptos" w:eastAsia="DengXian Light" w:hAnsi="Aptos"/>
          <w:bCs/>
          <w:color w:val="2F5496"/>
          <w:sz w:val="32"/>
          <w:szCs w:val="32"/>
          <w:lang w:eastAsia="en-US"/>
        </w:rPr>
      </w:pPr>
      <w:bookmarkStart w:id="0" w:name="__RefHeading___Toc240715052"/>
      <w:bookmarkEnd w:id="0"/>
      <w:r w:rsidRPr="00BE4F47">
        <w:rPr>
          <w:rFonts w:ascii="Aptos" w:eastAsia="Calibri" w:hAnsi="Aptos" w:cs="Calibri"/>
          <w:bCs/>
          <w:color w:val="1A1A19"/>
          <w:sz w:val="20"/>
          <w:szCs w:val="20"/>
          <w:lang w:eastAsia="en-US"/>
        </w:rPr>
        <w:t>Définitions</w:t>
      </w:r>
    </w:p>
    <w:tbl>
      <w:tblPr>
        <w:tblW w:w="9054" w:type="dxa"/>
        <w:tblLayout w:type="fixed"/>
        <w:tblLook w:val="04A0" w:firstRow="1" w:lastRow="0" w:firstColumn="1" w:lastColumn="0" w:noHBand="0" w:noVBand="1"/>
      </w:tblPr>
      <w:tblGrid>
        <w:gridCol w:w="1797"/>
        <w:gridCol w:w="7257"/>
      </w:tblGrid>
      <w:tr w:rsidR="00F50D70" w:rsidRPr="00BE4F47" w14:paraId="168A070F" w14:textId="77777777">
        <w:tc>
          <w:tcPr>
            <w:tcW w:w="1797" w:type="dxa"/>
            <w:tcBorders>
              <w:top w:val="single" w:sz="4" w:space="0" w:color="000000"/>
              <w:left w:val="single" w:sz="4" w:space="0" w:color="000000"/>
              <w:bottom w:val="single" w:sz="4" w:space="0" w:color="000000"/>
              <w:right w:val="single" w:sz="4" w:space="0" w:color="000000"/>
            </w:tcBorders>
            <w:shd w:val="clear" w:color="auto" w:fill="C5E0B3"/>
          </w:tcPr>
          <w:p w14:paraId="46E95FF0" w14:textId="77777777" w:rsidR="00F50D70" w:rsidRPr="00BE4F47" w:rsidRDefault="00000000" w:rsidP="008E113B">
            <w:pPr>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Terme</w:t>
            </w:r>
          </w:p>
        </w:tc>
        <w:tc>
          <w:tcPr>
            <w:tcW w:w="7257" w:type="dxa"/>
            <w:tcBorders>
              <w:top w:val="single" w:sz="4" w:space="0" w:color="000000"/>
              <w:left w:val="single" w:sz="4" w:space="0" w:color="000000"/>
              <w:bottom w:val="single" w:sz="4" w:space="0" w:color="000000"/>
              <w:right w:val="single" w:sz="4" w:space="0" w:color="000000"/>
            </w:tcBorders>
            <w:shd w:val="clear" w:color="auto" w:fill="C5E0B3"/>
          </w:tcPr>
          <w:p w14:paraId="021263C4" w14:textId="77777777" w:rsidR="00F50D70" w:rsidRPr="00BE4F47" w:rsidRDefault="00000000" w:rsidP="008E113B">
            <w:pPr>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Définition</w:t>
            </w:r>
          </w:p>
        </w:tc>
      </w:tr>
      <w:tr w:rsidR="00F50D70" w:rsidRPr="00BE4F47" w14:paraId="50DCDD33" w14:textId="77777777">
        <w:tc>
          <w:tcPr>
            <w:tcW w:w="1797" w:type="dxa"/>
            <w:tcBorders>
              <w:top w:val="single" w:sz="4" w:space="0" w:color="000000"/>
              <w:left w:val="single" w:sz="4" w:space="0" w:color="000000"/>
              <w:bottom w:val="single" w:sz="4" w:space="0" w:color="000000"/>
              <w:right w:val="single" w:sz="4" w:space="0" w:color="000000"/>
            </w:tcBorders>
          </w:tcPr>
          <w:p w14:paraId="483D8E69"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Jumeau numérique</w:t>
            </w:r>
          </w:p>
        </w:tc>
        <w:tc>
          <w:tcPr>
            <w:tcW w:w="7257" w:type="dxa"/>
            <w:tcBorders>
              <w:top w:val="single" w:sz="4" w:space="0" w:color="000000"/>
              <w:left w:val="single" w:sz="4" w:space="0" w:color="000000"/>
              <w:bottom w:val="single" w:sz="4" w:space="0" w:color="000000"/>
              <w:right w:val="single" w:sz="4" w:space="0" w:color="000000"/>
            </w:tcBorders>
          </w:tcPr>
          <w:p w14:paraId="7C8D395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Modèle numérique d’un système réel, alimenté par les données de ce système, qui reproduit son comportement et permet de l’étudier sans agir sur lui.</w:t>
            </w:r>
          </w:p>
        </w:tc>
      </w:tr>
      <w:tr w:rsidR="00F50D70" w:rsidRPr="00BE4F47" w14:paraId="559D5B1D" w14:textId="77777777">
        <w:tc>
          <w:tcPr>
            <w:tcW w:w="1797" w:type="dxa"/>
            <w:tcBorders>
              <w:top w:val="single" w:sz="4" w:space="0" w:color="000000"/>
              <w:left w:val="single" w:sz="4" w:space="0" w:color="000000"/>
              <w:bottom w:val="single" w:sz="4" w:space="0" w:color="000000"/>
              <w:right w:val="single" w:sz="4" w:space="0" w:color="000000"/>
            </w:tcBorders>
          </w:tcPr>
          <w:p w14:paraId="441EC245"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Boucle thermohydraulique</w:t>
            </w:r>
          </w:p>
        </w:tc>
        <w:tc>
          <w:tcPr>
            <w:tcW w:w="7257" w:type="dxa"/>
            <w:tcBorders>
              <w:top w:val="single" w:sz="4" w:space="0" w:color="000000"/>
              <w:left w:val="single" w:sz="4" w:space="0" w:color="000000"/>
              <w:bottom w:val="single" w:sz="4" w:space="0" w:color="000000"/>
              <w:right w:val="single" w:sz="4" w:space="0" w:color="000000"/>
            </w:tcBorders>
          </w:tcPr>
          <w:p w14:paraId="6B0FBB9D"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Circuit fermé où un fluide transporte de la chaleur. Ici, une version simplifiée d’un système de refroidissement, décrite à la section 1.</w:t>
            </w:r>
          </w:p>
        </w:tc>
      </w:tr>
      <w:tr w:rsidR="00F50D70" w:rsidRPr="00BE4F47" w14:paraId="1B443349" w14:textId="77777777">
        <w:tc>
          <w:tcPr>
            <w:tcW w:w="1797" w:type="dxa"/>
            <w:tcBorders>
              <w:top w:val="single" w:sz="4" w:space="0" w:color="000000"/>
              <w:left w:val="single" w:sz="4" w:space="0" w:color="000000"/>
              <w:bottom w:val="single" w:sz="4" w:space="0" w:color="000000"/>
              <w:right w:val="single" w:sz="4" w:space="0" w:color="000000"/>
            </w:tcBorders>
          </w:tcPr>
          <w:p w14:paraId="10BD42BA"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GEMMA</w:t>
            </w:r>
          </w:p>
        </w:tc>
        <w:tc>
          <w:tcPr>
            <w:tcW w:w="7257" w:type="dxa"/>
            <w:tcBorders>
              <w:top w:val="single" w:sz="4" w:space="0" w:color="000000"/>
              <w:left w:val="single" w:sz="4" w:space="0" w:color="000000"/>
              <w:bottom w:val="single" w:sz="4" w:space="0" w:color="000000"/>
              <w:right w:val="single" w:sz="4" w:space="0" w:color="000000"/>
            </w:tcBorders>
          </w:tcPr>
          <w:p w14:paraId="47B58F38"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Guide d’étude des modes de marche et d’arrêt. Logigramme qui recense les états de fonctionnement, d’arrêt et de défaillance d’un système.</w:t>
            </w:r>
          </w:p>
        </w:tc>
      </w:tr>
      <w:tr w:rsidR="00F50D70" w:rsidRPr="00BE4F47" w14:paraId="3F04AF32" w14:textId="77777777">
        <w:tc>
          <w:tcPr>
            <w:tcW w:w="1797" w:type="dxa"/>
            <w:tcBorders>
              <w:top w:val="single" w:sz="4" w:space="0" w:color="000000"/>
              <w:left w:val="single" w:sz="4" w:space="0" w:color="000000"/>
              <w:bottom w:val="single" w:sz="4" w:space="0" w:color="000000"/>
              <w:right w:val="single" w:sz="4" w:space="0" w:color="000000"/>
            </w:tcBorders>
          </w:tcPr>
          <w:p w14:paraId="2270262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Jalon</w:t>
            </w:r>
          </w:p>
        </w:tc>
        <w:tc>
          <w:tcPr>
            <w:tcW w:w="7257" w:type="dxa"/>
            <w:tcBorders>
              <w:top w:val="single" w:sz="4" w:space="0" w:color="000000"/>
              <w:left w:val="single" w:sz="4" w:space="0" w:color="000000"/>
              <w:bottom w:val="single" w:sz="4" w:space="0" w:color="000000"/>
              <w:right w:val="single" w:sz="4" w:space="0" w:color="000000"/>
            </w:tcBorders>
          </w:tcPr>
          <w:p w14:paraId="437372B7"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Point de contrôle assorti d’un livrable identifié. Il est franchi ou il ne l’est pas, sans état intermédiaire.</w:t>
            </w:r>
          </w:p>
        </w:tc>
      </w:tr>
      <w:tr w:rsidR="00F50D70" w:rsidRPr="00BE4F47" w14:paraId="35220A29" w14:textId="77777777">
        <w:tc>
          <w:tcPr>
            <w:tcW w:w="1797" w:type="dxa"/>
            <w:tcBorders>
              <w:top w:val="single" w:sz="4" w:space="0" w:color="000000"/>
              <w:left w:val="single" w:sz="4" w:space="0" w:color="000000"/>
              <w:bottom w:val="single" w:sz="4" w:space="0" w:color="000000"/>
              <w:right w:val="single" w:sz="4" w:space="0" w:color="000000"/>
            </w:tcBorders>
          </w:tcPr>
          <w:p w14:paraId="31C1ED67"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Lot de travail</w:t>
            </w:r>
          </w:p>
        </w:tc>
        <w:tc>
          <w:tcPr>
            <w:tcW w:w="7257" w:type="dxa"/>
            <w:tcBorders>
              <w:top w:val="single" w:sz="4" w:space="0" w:color="000000"/>
              <w:left w:val="single" w:sz="4" w:space="0" w:color="000000"/>
              <w:bottom w:val="single" w:sz="4" w:space="0" w:color="000000"/>
              <w:right w:val="single" w:sz="4" w:space="0" w:color="000000"/>
            </w:tcBorders>
          </w:tcPr>
          <w:p w14:paraId="77BD52E5"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Bloc de travail délimité dans la structure de découpage, avec son effort et son responsable. Les lots du projet sont L1 à L9, définis à la section 8.</w:t>
            </w:r>
          </w:p>
        </w:tc>
      </w:tr>
      <w:tr w:rsidR="00F50D70" w:rsidRPr="00BE4F47" w14:paraId="4D3407D4" w14:textId="77777777">
        <w:tc>
          <w:tcPr>
            <w:tcW w:w="1797" w:type="dxa"/>
            <w:tcBorders>
              <w:top w:val="single" w:sz="4" w:space="0" w:color="000000"/>
              <w:left w:val="single" w:sz="4" w:space="0" w:color="000000"/>
              <w:bottom w:val="single" w:sz="4" w:space="0" w:color="000000"/>
              <w:right w:val="single" w:sz="4" w:space="0" w:color="000000"/>
            </w:tcBorders>
          </w:tcPr>
          <w:p w14:paraId="75ECA12E"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Classe d’estimation</w:t>
            </w:r>
          </w:p>
        </w:tc>
        <w:tc>
          <w:tcPr>
            <w:tcW w:w="7257" w:type="dxa"/>
            <w:tcBorders>
              <w:top w:val="single" w:sz="4" w:space="0" w:color="000000"/>
              <w:left w:val="single" w:sz="4" w:space="0" w:color="000000"/>
              <w:bottom w:val="single" w:sz="4" w:space="0" w:color="000000"/>
              <w:right w:val="single" w:sz="4" w:space="0" w:color="000000"/>
            </w:tcBorders>
          </w:tcPr>
          <w:p w14:paraId="11F05D32"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Niveau de précision d’une estimation de coûts, selon la part du projet déjà définie au moment de l’estimer. La classe 5 est la moins précise.</w:t>
            </w:r>
          </w:p>
        </w:tc>
      </w:tr>
      <w:tr w:rsidR="00F50D70" w:rsidRPr="00BE4F47" w14:paraId="7DA4647D" w14:textId="77777777">
        <w:tc>
          <w:tcPr>
            <w:tcW w:w="1797" w:type="dxa"/>
            <w:tcBorders>
              <w:top w:val="single" w:sz="4" w:space="0" w:color="000000"/>
              <w:left w:val="single" w:sz="4" w:space="0" w:color="000000"/>
              <w:bottom w:val="single" w:sz="4" w:space="0" w:color="000000"/>
              <w:right w:val="single" w:sz="4" w:space="0" w:color="000000"/>
            </w:tcBorders>
          </w:tcPr>
          <w:p w14:paraId="601D207D"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Coût de revient</w:t>
            </w:r>
          </w:p>
        </w:tc>
        <w:tc>
          <w:tcPr>
            <w:tcW w:w="7257" w:type="dxa"/>
            <w:tcBorders>
              <w:top w:val="single" w:sz="4" w:space="0" w:color="000000"/>
              <w:left w:val="single" w:sz="4" w:space="0" w:color="000000"/>
              <w:bottom w:val="single" w:sz="4" w:space="0" w:color="000000"/>
              <w:right w:val="single" w:sz="4" w:space="0" w:color="000000"/>
            </w:tcBorders>
          </w:tcPr>
          <w:p w14:paraId="58743865"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Ce qu’une heure de travail coûte à l’équipe. À distinguer du prix facturé au client, qui comprend en plus la marge.</w:t>
            </w:r>
          </w:p>
        </w:tc>
      </w:tr>
      <w:tr w:rsidR="00F50D70" w:rsidRPr="00BE4F47" w14:paraId="7706BD50" w14:textId="77777777">
        <w:tc>
          <w:tcPr>
            <w:tcW w:w="1797" w:type="dxa"/>
            <w:tcBorders>
              <w:top w:val="single" w:sz="4" w:space="0" w:color="000000"/>
              <w:left w:val="single" w:sz="4" w:space="0" w:color="000000"/>
              <w:bottom w:val="single" w:sz="4" w:space="0" w:color="000000"/>
              <w:right w:val="single" w:sz="4" w:space="0" w:color="000000"/>
            </w:tcBorders>
          </w:tcPr>
          <w:p w14:paraId="26AFFB89"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Valeur acquise</w:t>
            </w:r>
          </w:p>
        </w:tc>
        <w:tc>
          <w:tcPr>
            <w:tcW w:w="7257" w:type="dxa"/>
            <w:tcBorders>
              <w:top w:val="single" w:sz="4" w:space="0" w:color="000000"/>
              <w:left w:val="single" w:sz="4" w:space="0" w:color="000000"/>
              <w:bottom w:val="single" w:sz="4" w:space="0" w:color="000000"/>
              <w:right w:val="single" w:sz="4" w:space="0" w:color="000000"/>
            </w:tcBorders>
          </w:tcPr>
          <w:p w14:paraId="48516E7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Valeur du travail réellement réalisé à une date donnée, exprimée en dollars, comparée à ce qui était prévu.</w:t>
            </w:r>
          </w:p>
        </w:tc>
      </w:tr>
      <w:tr w:rsidR="00F50D70" w:rsidRPr="00BE4F47" w14:paraId="2F1D61AB" w14:textId="77777777">
        <w:tc>
          <w:tcPr>
            <w:tcW w:w="1797" w:type="dxa"/>
            <w:tcBorders>
              <w:top w:val="single" w:sz="4" w:space="0" w:color="000000"/>
              <w:left w:val="single" w:sz="4" w:space="0" w:color="000000"/>
              <w:bottom w:val="single" w:sz="4" w:space="0" w:color="000000"/>
              <w:right w:val="single" w:sz="4" w:space="0" w:color="000000"/>
            </w:tcBorders>
          </w:tcPr>
          <w:p w14:paraId="5899A537"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Exigence vérifiable</w:t>
            </w:r>
          </w:p>
        </w:tc>
        <w:tc>
          <w:tcPr>
            <w:tcW w:w="7257" w:type="dxa"/>
            <w:tcBorders>
              <w:top w:val="single" w:sz="4" w:space="0" w:color="000000"/>
              <w:left w:val="single" w:sz="4" w:space="0" w:color="000000"/>
              <w:bottom w:val="single" w:sz="4" w:space="0" w:color="000000"/>
              <w:right w:val="single" w:sz="4" w:space="0" w:color="000000"/>
            </w:tcBorders>
          </w:tcPr>
          <w:p w14:paraId="19641243"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Exigence formulée de façon à ce qu’un essai ou une inspection puisse établir si elle est satisfaite ou non.</w:t>
            </w:r>
          </w:p>
        </w:tc>
      </w:tr>
    </w:tbl>
    <w:p w14:paraId="1538A1FC" w14:textId="77777777" w:rsidR="00F50D70" w:rsidRPr="00BE4F47" w:rsidRDefault="00F50D70" w:rsidP="008E113B">
      <w:pPr>
        <w:keepNext/>
        <w:keepLines/>
        <w:spacing w:before="240" w:line="360" w:lineRule="auto"/>
        <w:ind w:left="0"/>
        <w:jc w:val="left"/>
        <w:outlineLvl w:val="0"/>
        <w:rPr>
          <w:rFonts w:ascii="Aptos" w:eastAsia="DengXian Light" w:hAnsi="Aptos" w:cs="Times New Roman"/>
          <w:color w:val="2F5496"/>
          <w:sz w:val="32"/>
          <w:szCs w:val="32"/>
          <w:lang w:eastAsia="en-US"/>
        </w:rPr>
      </w:pPr>
    </w:p>
    <w:p w14:paraId="38AAF140" w14:textId="77777777" w:rsidR="00F50D70" w:rsidRPr="00BE4F47" w:rsidRDefault="00000000" w:rsidP="008E113B">
      <w:pPr>
        <w:spacing w:line="360" w:lineRule="auto"/>
        <w:ind w:left="0"/>
        <w:outlineLvl w:val="9"/>
        <w:rPr>
          <w:rFonts w:ascii="Aptos" w:eastAsia="DengXian Light" w:hAnsi="Aptos"/>
          <w:bCs/>
          <w:color w:val="2F5496"/>
          <w:sz w:val="32"/>
          <w:szCs w:val="32"/>
          <w:lang w:eastAsia="en-US"/>
        </w:rPr>
      </w:pPr>
      <w:bookmarkStart w:id="1" w:name="__RefHeading___Toc240715053"/>
      <w:bookmarkEnd w:id="1"/>
      <w:r w:rsidRPr="00BE4F47">
        <w:rPr>
          <w:rFonts w:ascii="Aptos" w:eastAsia="Calibri" w:hAnsi="Aptos" w:cs="Calibri"/>
          <w:bCs/>
          <w:color w:val="1A1A19"/>
          <w:sz w:val="20"/>
          <w:szCs w:val="20"/>
          <w:lang w:eastAsia="en-US"/>
        </w:rPr>
        <w:t>Abréviations/acronymes</w:t>
      </w:r>
    </w:p>
    <w:tbl>
      <w:tblPr>
        <w:tblW w:w="9054" w:type="dxa"/>
        <w:tblLayout w:type="fixed"/>
        <w:tblLook w:val="04A0" w:firstRow="1" w:lastRow="0" w:firstColumn="1" w:lastColumn="0" w:noHBand="0" w:noVBand="1"/>
      </w:tblPr>
      <w:tblGrid>
        <w:gridCol w:w="1813"/>
        <w:gridCol w:w="7241"/>
      </w:tblGrid>
      <w:tr w:rsidR="00F50D70" w:rsidRPr="00BE4F47" w14:paraId="6F131836" w14:textId="77777777">
        <w:tc>
          <w:tcPr>
            <w:tcW w:w="1813" w:type="dxa"/>
            <w:tcBorders>
              <w:top w:val="single" w:sz="4" w:space="0" w:color="000000"/>
              <w:left w:val="single" w:sz="4" w:space="0" w:color="000000"/>
              <w:bottom w:val="single" w:sz="4" w:space="0" w:color="000000"/>
              <w:right w:val="single" w:sz="4" w:space="0" w:color="000000"/>
            </w:tcBorders>
            <w:shd w:val="clear" w:color="auto" w:fill="C5E0B3"/>
          </w:tcPr>
          <w:p w14:paraId="10F600A4" w14:textId="77777777" w:rsidR="00F50D70" w:rsidRPr="00BE4F47" w:rsidRDefault="00000000" w:rsidP="008E113B">
            <w:pPr>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Abré./Acro.</w:t>
            </w:r>
          </w:p>
        </w:tc>
        <w:tc>
          <w:tcPr>
            <w:tcW w:w="7241" w:type="dxa"/>
            <w:tcBorders>
              <w:top w:val="single" w:sz="4" w:space="0" w:color="000000"/>
              <w:left w:val="single" w:sz="4" w:space="0" w:color="000000"/>
              <w:bottom w:val="single" w:sz="4" w:space="0" w:color="000000"/>
              <w:right w:val="single" w:sz="4" w:space="0" w:color="000000"/>
            </w:tcBorders>
            <w:shd w:val="clear" w:color="auto" w:fill="C5E0B3"/>
          </w:tcPr>
          <w:p w14:paraId="488345A1" w14:textId="77777777" w:rsidR="00F50D70" w:rsidRPr="00BE4F47" w:rsidRDefault="00000000" w:rsidP="008E113B">
            <w:pPr>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Définition</w:t>
            </w:r>
          </w:p>
        </w:tc>
      </w:tr>
      <w:tr w:rsidR="00F50D70" w:rsidRPr="00B36301" w14:paraId="5FEDB6DB" w14:textId="77777777">
        <w:tc>
          <w:tcPr>
            <w:tcW w:w="1813" w:type="dxa"/>
            <w:tcBorders>
              <w:top w:val="single" w:sz="4" w:space="0" w:color="000000"/>
              <w:left w:val="single" w:sz="4" w:space="0" w:color="000000"/>
              <w:bottom w:val="single" w:sz="4" w:space="0" w:color="000000"/>
              <w:right w:val="single" w:sz="4" w:space="0" w:color="000000"/>
            </w:tcBorders>
          </w:tcPr>
          <w:p w14:paraId="4A94D0F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AACE</w:t>
            </w:r>
          </w:p>
        </w:tc>
        <w:tc>
          <w:tcPr>
            <w:tcW w:w="7241" w:type="dxa"/>
            <w:tcBorders>
              <w:top w:val="single" w:sz="4" w:space="0" w:color="000000"/>
              <w:left w:val="single" w:sz="4" w:space="0" w:color="000000"/>
              <w:bottom w:val="single" w:sz="4" w:space="0" w:color="000000"/>
              <w:right w:val="single" w:sz="4" w:space="0" w:color="000000"/>
            </w:tcBorders>
          </w:tcPr>
          <w:p w14:paraId="4A209B2C" w14:textId="77777777" w:rsidR="00F50D70" w:rsidRPr="00BE4F47" w:rsidRDefault="00000000" w:rsidP="008E113B">
            <w:pPr>
              <w:snapToGrid w:val="0"/>
              <w:spacing w:after="160" w:line="360" w:lineRule="auto"/>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Association for the Advancement of Cost Engineering</w:t>
            </w:r>
          </w:p>
        </w:tc>
      </w:tr>
      <w:tr w:rsidR="00F50D70" w:rsidRPr="00BE4F47" w14:paraId="0FBA2CC2" w14:textId="77777777">
        <w:tc>
          <w:tcPr>
            <w:tcW w:w="1813" w:type="dxa"/>
            <w:tcBorders>
              <w:top w:val="single" w:sz="4" w:space="0" w:color="000000"/>
              <w:left w:val="single" w:sz="4" w:space="0" w:color="000000"/>
              <w:bottom w:val="single" w:sz="4" w:space="0" w:color="000000"/>
              <w:right w:val="single" w:sz="4" w:space="0" w:color="000000"/>
            </w:tcBorders>
          </w:tcPr>
          <w:p w14:paraId="3D8CE186"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AFG</w:t>
            </w:r>
          </w:p>
        </w:tc>
        <w:tc>
          <w:tcPr>
            <w:tcW w:w="7241" w:type="dxa"/>
            <w:tcBorders>
              <w:top w:val="single" w:sz="4" w:space="0" w:color="000000"/>
              <w:left w:val="single" w:sz="4" w:space="0" w:color="000000"/>
              <w:bottom w:val="single" w:sz="4" w:space="0" w:color="000000"/>
              <w:right w:val="single" w:sz="4" w:space="0" w:color="000000"/>
            </w:tcBorders>
          </w:tcPr>
          <w:p w14:paraId="60B4B615"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Association des firmes de génie-conseil du Québec</w:t>
            </w:r>
          </w:p>
        </w:tc>
      </w:tr>
      <w:tr w:rsidR="00F50D70" w:rsidRPr="00BE4F47" w14:paraId="168D7863" w14:textId="77777777">
        <w:tc>
          <w:tcPr>
            <w:tcW w:w="1813" w:type="dxa"/>
            <w:tcBorders>
              <w:top w:val="single" w:sz="4" w:space="0" w:color="000000"/>
              <w:left w:val="single" w:sz="4" w:space="0" w:color="000000"/>
              <w:bottom w:val="single" w:sz="4" w:space="0" w:color="000000"/>
              <w:right w:val="single" w:sz="4" w:space="0" w:color="000000"/>
            </w:tcBorders>
          </w:tcPr>
          <w:p w14:paraId="7453BBE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lastRenderedPageBreak/>
              <w:t>AIEA</w:t>
            </w:r>
          </w:p>
        </w:tc>
        <w:tc>
          <w:tcPr>
            <w:tcW w:w="7241" w:type="dxa"/>
            <w:tcBorders>
              <w:top w:val="single" w:sz="4" w:space="0" w:color="000000"/>
              <w:left w:val="single" w:sz="4" w:space="0" w:color="000000"/>
              <w:bottom w:val="single" w:sz="4" w:space="0" w:color="000000"/>
              <w:right w:val="single" w:sz="4" w:space="0" w:color="000000"/>
            </w:tcBorders>
          </w:tcPr>
          <w:p w14:paraId="4B5BA9CA"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Agence internationale de l’énergie atomique</w:t>
            </w:r>
          </w:p>
        </w:tc>
      </w:tr>
      <w:tr w:rsidR="00F50D70" w:rsidRPr="00B36301" w14:paraId="741ED8AC" w14:textId="77777777">
        <w:tc>
          <w:tcPr>
            <w:tcW w:w="1813" w:type="dxa"/>
            <w:tcBorders>
              <w:top w:val="single" w:sz="4" w:space="0" w:color="000000"/>
              <w:left w:val="single" w:sz="4" w:space="0" w:color="000000"/>
              <w:bottom w:val="single" w:sz="4" w:space="0" w:color="000000"/>
              <w:right w:val="single" w:sz="4" w:space="0" w:color="000000"/>
            </w:tcBorders>
          </w:tcPr>
          <w:p w14:paraId="4C5024D0"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ASME</w:t>
            </w:r>
          </w:p>
        </w:tc>
        <w:tc>
          <w:tcPr>
            <w:tcW w:w="7241" w:type="dxa"/>
            <w:tcBorders>
              <w:top w:val="single" w:sz="4" w:space="0" w:color="000000"/>
              <w:left w:val="single" w:sz="4" w:space="0" w:color="000000"/>
              <w:bottom w:val="single" w:sz="4" w:space="0" w:color="000000"/>
              <w:right w:val="single" w:sz="4" w:space="0" w:color="000000"/>
            </w:tcBorders>
          </w:tcPr>
          <w:p w14:paraId="39A117E7" w14:textId="77777777" w:rsidR="00F50D70" w:rsidRPr="00BE4F47" w:rsidRDefault="00000000" w:rsidP="008E113B">
            <w:pPr>
              <w:snapToGrid w:val="0"/>
              <w:spacing w:after="160" w:line="360" w:lineRule="auto"/>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American Society of Mechanical Engineers</w:t>
            </w:r>
          </w:p>
        </w:tc>
      </w:tr>
      <w:tr w:rsidR="00F50D70" w:rsidRPr="00BE4F47" w14:paraId="01E48948" w14:textId="77777777">
        <w:tc>
          <w:tcPr>
            <w:tcW w:w="1813" w:type="dxa"/>
            <w:tcBorders>
              <w:top w:val="single" w:sz="4" w:space="0" w:color="000000"/>
              <w:left w:val="single" w:sz="4" w:space="0" w:color="000000"/>
              <w:bottom w:val="single" w:sz="4" w:space="0" w:color="000000"/>
              <w:right w:val="single" w:sz="4" w:space="0" w:color="000000"/>
            </w:tcBorders>
          </w:tcPr>
          <w:p w14:paraId="5E6B43EE"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CCSN</w:t>
            </w:r>
          </w:p>
        </w:tc>
        <w:tc>
          <w:tcPr>
            <w:tcW w:w="7241" w:type="dxa"/>
            <w:tcBorders>
              <w:top w:val="single" w:sz="4" w:space="0" w:color="000000"/>
              <w:left w:val="single" w:sz="4" w:space="0" w:color="000000"/>
              <w:bottom w:val="single" w:sz="4" w:space="0" w:color="000000"/>
              <w:right w:val="single" w:sz="4" w:space="0" w:color="000000"/>
            </w:tcBorders>
          </w:tcPr>
          <w:p w14:paraId="5419EEA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Commission canadienne de sûreté nucléaire</w:t>
            </w:r>
          </w:p>
        </w:tc>
      </w:tr>
      <w:tr w:rsidR="00F50D70" w:rsidRPr="00BE4F47" w14:paraId="26E577C4" w14:textId="77777777">
        <w:tc>
          <w:tcPr>
            <w:tcW w:w="1813" w:type="dxa"/>
            <w:tcBorders>
              <w:top w:val="single" w:sz="4" w:space="0" w:color="000000"/>
              <w:left w:val="single" w:sz="4" w:space="0" w:color="000000"/>
              <w:bottom w:val="single" w:sz="4" w:space="0" w:color="000000"/>
              <w:right w:val="single" w:sz="4" w:space="0" w:color="000000"/>
            </w:tcBorders>
          </w:tcPr>
          <w:p w14:paraId="37734D1F"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CSA</w:t>
            </w:r>
          </w:p>
        </w:tc>
        <w:tc>
          <w:tcPr>
            <w:tcW w:w="7241" w:type="dxa"/>
            <w:tcBorders>
              <w:top w:val="single" w:sz="4" w:space="0" w:color="000000"/>
              <w:left w:val="single" w:sz="4" w:space="0" w:color="000000"/>
              <w:bottom w:val="single" w:sz="4" w:space="0" w:color="000000"/>
              <w:right w:val="single" w:sz="4" w:space="0" w:color="000000"/>
            </w:tcBorders>
          </w:tcPr>
          <w:p w14:paraId="5D62806B"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Groupe CSA, Association canadienne de normalisation</w:t>
            </w:r>
          </w:p>
        </w:tc>
      </w:tr>
      <w:tr w:rsidR="00F50D70" w:rsidRPr="00BE4F47" w14:paraId="508C6222" w14:textId="77777777">
        <w:tc>
          <w:tcPr>
            <w:tcW w:w="1813" w:type="dxa"/>
            <w:tcBorders>
              <w:top w:val="single" w:sz="4" w:space="0" w:color="000000"/>
              <w:left w:val="single" w:sz="4" w:space="0" w:color="000000"/>
              <w:bottom w:val="single" w:sz="4" w:space="0" w:color="000000"/>
              <w:right w:val="single" w:sz="4" w:space="0" w:color="000000"/>
            </w:tcBorders>
          </w:tcPr>
          <w:p w14:paraId="4C306D73"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EX-C</w:t>
            </w:r>
          </w:p>
        </w:tc>
        <w:tc>
          <w:tcPr>
            <w:tcW w:w="7241" w:type="dxa"/>
            <w:tcBorders>
              <w:top w:val="single" w:sz="4" w:space="0" w:color="000000"/>
              <w:left w:val="single" w:sz="4" w:space="0" w:color="000000"/>
              <w:bottom w:val="single" w:sz="4" w:space="0" w:color="000000"/>
              <w:right w:val="single" w:sz="4" w:space="0" w:color="000000"/>
            </w:tcBorders>
          </w:tcPr>
          <w:p w14:paraId="78E3A70C"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Exigence de périmètre ou de contrainte (registre de la section 1)</w:t>
            </w:r>
          </w:p>
        </w:tc>
      </w:tr>
      <w:tr w:rsidR="00F50D70" w:rsidRPr="00BE4F47" w14:paraId="3108E150" w14:textId="77777777">
        <w:tc>
          <w:tcPr>
            <w:tcW w:w="1813" w:type="dxa"/>
            <w:tcBorders>
              <w:top w:val="single" w:sz="4" w:space="0" w:color="000000"/>
              <w:left w:val="single" w:sz="4" w:space="0" w:color="000000"/>
              <w:bottom w:val="single" w:sz="4" w:space="0" w:color="000000"/>
              <w:right w:val="single" w:sz="4" w:space="0" w:color="000000"/>
            </w:tcBorders>
          </w:tcPr>
          <w:p w14:paraId="349D860C"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EX-F</w:t>
            </w:r>
          </w:p>
        </w:tc>
        <w:tc>
          <w:tcPr>
            <w:tcW w:w="7241" w:type="dxa"/>
            <w:tcBorders>
              <w:top w:val="single" w:sz="4" w:space="0" w:color="000000"/>
              <w:left w:val="single" w:sz="4" w:space="0" w:color="000000"/>
              <w:bottom w:val="single" w:sz="4" w:space="0" w:color="000000"/>
              <w:right w:val="single" w:sz="4" w:space="0" w:color="000000"/>
            </w:tcBorders>
          </w:tcPr>
          <w:p w14:paraId="1A2C5014"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Exigence fonctionnelle (registre de la section 1)</w:t>
            </w:r>
          </w:p>
        </w:tc>
      </w:tr>
      <w:tr w:rsidR="00F50D70" w:rsidRPr="00BE4F47" w14:paraId="4FB74C0A" w14:textId="77777777">
        <w:tc>
          <w:tcPr>
            <w:tcW w:w="1813" w:type="dxa"/>
            <w:tcBorders>
              <w:top w:val="single" w:sz="4" w:space="0" w:color="000000"/>
              <w:left w:val="single" w:sz="4" w:space="0" w:color="000000"/>
              <w:bottom w:val="single" w:sz="4" w:space="0" w:color="000000"/>
              <w:right w:val="single" w:sz="4" w:space="0" w:color="000000"/>
            </w:tcBorders>
          </w:tcPr>
          <w:p w14:paraId="3CB88FEE"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EX-Q</w:t>
            </w:r>
          </w:p>
        </w:tc>
        <w:tc>
          <w:tcPr>
            <w:tcW w:w="7241" w:type="dxa"/>
            <w:tcBorders>
              <w:top w:val="single" w:sz="4" w:space="0" w:color="000000"/>
              <w:left w:val="single" w:sz="4" w:space="0" w:color="000000"/>
              <w:bottom w:val="single" w:sz="4" w:space="0" w:color="000000"/>
              <w:right w:val="single" w:sz="4" w:space="0" w:color="000000"/>
            </w:tcBorders>
          </w:tcPr>
          <w:p w14:paraId="0F767D73"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Exigence de qualité (registre de la section 1)</w:t>
            </w:r>
          </w:p>
        </w:tc>
      </w:tr>
      <w:tr w:rsidR="00F50D70" w:rsidRPr="00BE4F47" w14:paraId="51B0ABD1" w14:textId="77777777">
        <w:tc>
          <w:tcPr>
            <w:tcW w:w="1813" w:type="dxa"/>
            <w:tcBorders>
              <w:top w:val="single" w:sz="4" w:space="0" w:color="000000"/>
              <w:left w:val="single" w:sz="4" w:space="0" w:color="000000"/>
              <w:bottom w:val="single" w:sz="4" w:space="0" w:color="000000"/>
              <w:right w:val="single" w:sz="4" w:space="0" w:color="000000"/>
            </w:tcBorders>
          </w:tcPr>
          <w:p w14:paraId="45ECFC5D"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GEMMA</w:t>
            </w:r>
          </w:p>
        </w:tc>
        <w:tc>
          <w:tcPr>
            <w:tcW w:w="7241" w:type="dxa"/>
            <w:tcBorders>
              <w:top w:val="single" w:sz="4" w:space="0" w:color="000000"/>
              <w:left w:val="single" w:sz="4" w:space="0" w:color="000000"/>
              <w:bottom w:val="single" w:sz="4" w:space="0" w:color="000000"/>
              <w:right w:val="single" w:sz="4" w:space="0" w:color="000000"/>
            </w:tcBorders>
          </w:tcPr>
          <w:p w14:paraId="2F9A68BB"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Guide d’étude des modes de marche et d’arrêt</w:t>
            </w:r>
          </w:p>
        </w:tc>
      </w:tr>
      <w:tr w:rsidR="00F50D70" w:rsidRPr="00BE4F47" w14:paraId="33FE1D6C" w14:textId="77777777">
        <w:tc>
          <w:tcPr>
            <w:tcW w:w="1813" w:type="dxa"/>
            <w:tcBorders>
              <w:top w:val="single" w:sz="4" w:space="0" w:color="000000"/>
              <w:left w:val="single" w:sz="4" w:space="0" w:color="000000"/>
              <w:bottom w:val="single" w:sz="4" w:space="0" w:color="000000"/>
              <w:right w:val="single" w:sz="4" w:space="0" w:color="000000"/>
            </w:tcBorders>
          </w:tcPr>
          <w:p w14:paraId="01BC619F"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IEC</w:t>
            </w:r>
          </w:p>
        </w:tc>
        <w:tc>
          <w:tcPr>
            <w:tcW w:w="7241" w:type="dxa"/>
            <w:tcBorders>
              <w:top w:val="single" w:sz="4" w:space="0" w:color="000000"/>
              <w:left w:val="single" w:sz="4" w:space="0" w:color="000000"/>
              <w:bottom w:val="single" w:sz="4" w:space="0" w:color="000000"/>
              <w:right w:val="single" w:sz="4" w:space="0" w:color="000000"/>
            </w:tcBorders>
          </w:tcPr>
          <w:p w14:paraId="32F9CB6F"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International Electrotechnical Commission</w:t>
            </w:r>
          </w:p>
        </w:tc>
      </w:tr>
      <w:tr w:rsidR="00F50D70" w:rsidRPr="00B36301" w14:paraId="5513CF5B" w14:textId="77777777">
        <w:tc>
          <w:tcPr>
            <w:tcW w:w="1813" w:type="dxa"/>
            <w:tcBorders>
              <w:top w:val="single" w:sz="4" w:space="0" w:color="000000"/>
              <w:left w:val="single" w:sz="4" w:space="0" w:color="000000"/>
              <w:bottom w:val="single" w:sz="4" w:space="0" w:color="000000"/>
              <w:right w:val="single" w:sz="4" w:space="0" w:color="000000"/>
            </w:tcBorders>
          </w:tcPr>
          <w:p w14:paraId="36BB7647"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IEEE</w:t>
            </w:r>
          </w:p>
        </w:tc>
        <w:tc>
          <w:tcPr>
            <w:tcW w:w="7241" w:type="dxa"/>
            <w:tcBorders>
              <w:top w:val="single" w:sz="4" w:space="0" w:color="000000"/>
              <w:left w:val="single" w:sz="4" w:space="0" w:color="000000"/>
              <w:bottom w:val="single" w:sz="4" w:space="0" w:color="000000"/>
              <w:right w:val="single" w:sz="4" w:space="0" w:color="000000"/>
            </w:tcBorders>
          </w:tcPr>
          <w:p w14:paraId="50B5448E" w14:textId="77777777" w:rsidR="00F50D70" w:rsidRPr="00BE4F47" w:rsidRDefault="00000000" w:rsidP="008E113B">
            <w:pPr>
              <w:snapToGrid w:val="0"/>
              <w:spacing w:after="160" w:line="360" w:lineRule="auto"/>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Institute of Electrical and Electronics Engineers</w:t>
            </w:r>
          </w:p>
        </w:tc>
      </w:tr>
      <w:tr w:rsidR="00F50D70" w:rsidRPr="00BE4F47" w14:paraId="77FF2E4D" w14:textId="77777777">
        <w:tc>
          <w:tcPr>
            <w:tcW w:w="1813" w:type="dxa"/>
            <w:tcBorders>
              <w:top w:val="single" w:sz="4" w:space="0" w:color="000000"/>
              <w:left w:val="single" w:sz="4" w:space="0" w:color="000000"/>
              <w:bottom w:val="single" w:sz="4" w:space="0" w:color="000000"/>
              <w:right w:val="single" w:sz="4" w:space="0" w:color="000000"/>
            </w:tcBorders>
          </w:tcPr>
          <w:p w14:paraId="7406B2BE"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IHM</w:t>
            </w:r>
          </w:p>
        </w:tc>
        <w:tc>
          <w:tcPr>
            <w:tcW w:w="7241" w:type="dxa"/>
            <w:tcBorders>
              <w:top w:val="single" w:sz="4" w:space="0" w:color="000000"/>
              <w:left w:val="single" w:sz="4" w:space="0" w:color="000000"/>
              <w:bottom w:val="single" w:sz="4" w:space="0" w:color="000000"/>
              <w:right w:val="single" w:sz="4" w:space="0" w:color="000000"/>
            </w:tcBorders>
          </w:tcPr>
          <w:p w14:paraId="40041750"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Interface homme-machine</w:t>
            </w:r>
          </w:p>
        </w:tc>
      </w:tr>
      <w:tr w:rsidR="00F50D70" w:rsidRPr="00BE4F47" w14:paraId="6441631E" w14:textId="77777777">
        <w:tc>
          <w:tcPr>
            <w:tcW w:w="1813" w:type="dxa"/>
            <w:tcBorders>
              <w:top w:val="single" w:sz="4" w:space="0" w:color="000000"/>
              <w:left w:val="single" w:sz="4" w:space="0" w:color="000000"/>
              <w:bottom w:val="single" w:sz="4" w:space="0" w:color="000000"/>
              <w:right w:val="single" w:sz="4" w:space="0" w:color="000000"/>
            </w:tcBorders>
          </w:tcPr>
          <w:p w14:paraId="13A042CD"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ISO</w:t>
            </w:r>
          </w:p>
        </w:tc>
        <w:tc>
          <w:tcPr>
            <w:tcW w:w="7241" w:type="dxa"/>
            <w:tcBorders>
              <w:top w:val="single" w:sz="4" w:space="0" w:color="000000"/>
              <w:left w:val="single" w:sz="4" w:space="0" w:color="000000"/>
              <w:bottom w:val="single" w:sz="4" w:space="0" w:color="000000"/>
              <w:right w:val="single" w:sz="4" w:space="0" w:color="000000"/>
            </w:tcBorders>
          </w:tcPr>
          <w:p w14:paraId="062F6BA6"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Organisation internationale de normalisation</w:t>
            </w:r>
          </w:p>
        </w:tc>
      </w:tr>
      <w:tr w:rsidR="00F50D70" w:rsidRPr="00BE4F47" w14:paraId="36AB3F21" w14:textId="77777777">
        <w:tc>
          <w:tcPr>
            <w:tcW w:w="1813" w:type="dxa"/>
            <w:tcBorders>
              <w:top w:val="single" w:sz="4" w:space="0" w:color="000000"/>
              <w:left w:val="single" w:sz="4" w:space="0" w:color="000000"/>
              <w:bottom w:val="single" w:sz="4" w:space="0" w:color="000000"/>
              <w:right w:val="single" w:sz="4" w:space="0" w:color="000000"/>
            </w:tcBorders>
          </w:tcPr>
          <w:p w14:paraId="3B846F5C"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LFS</w:t>
            </w:r>
          </w:p>
        </w:tc>
        <w:tc>
          <w:tcPr>
            <w:tcW w:w="7241" w:type="dxa"/>
            <w:tcBorders>
              <w:top w:val="single" w:sz="4" w:space="0" w:color="000000"/>
              <w:left w:val="single" w:sz="4" w:space="0" w:color="000000"/>
              <w:bottom w:val="single" w:sz="4" w:space="0" w:color="000000"/>
              <w:right w:val="single" w:sz="4" w:space="0" w:color="000000"/>
            </w:tcBorders>
          </w:tcPr>
          <w:p w14:paraId="62B0E0C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Large File Storage, extension de Git pour les fichiers volumineux</w:t>
            </w:r>
          </w:p>
        </w:tc>
      </w:tr>
      <w:tr w:rsidR="00F50D70" w:rsidRPr="00BE4F47" w14:paraId="2970DD7F" w14:textId="77777777">
        <w:tc>
          <w:tcPr>
            <w:tcW w:w="1813" w:type="dxa"/>
            <w:tcBorders>
              <w:top w:val="single" w:sz="4" w:space="0" w:color="000000"/>
              <w:left w:val="single" w:sz="4" w:space="0" w:color="000000"/>
              <w:bottom w:val="single" w:sz="4" w:space="0" w:color="000000"/>
              <w:right w:val="single" w:sz="4" w:space="0" w:color="000000"/>
            </w:tcBorders>
          </w:tcPr>
          <w:p w14:paraId="62A1A7DB"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OIQ</w:t>
            </w:r>
          </w:p>
        </w:tc>
        <w:tc>
          <w:tcPr>
            <w:tcW w:w="7241" w:type="dxa"/>
            <w:tcBorders>
              <w:top w:val="single" w:sz="4" w:space="0" w:color="000000"/>
              <w:left w:val="single" w:sz="4" w:space="0" w:color="000000"/>
              <w:bottom w:val="single" w:sz="4" w:space="0" w:color="000000"/>
              <w:right w:val="single" w:sz="4" w:space="0" w:color="000000"/>
            </w:tcBorders>
          </w:tcPr>
          <w:p w14:paraId="6EB178B6"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Ordre des ingénieurs du Québec</w:t>
            </w:r>
          </w:p>
        </w:tc>
      </w:tr>
      <w:tr w:rsidR="00F50D70" w:rsidRPr="00BE4F47" w14:paraId="446030F9" w14:textId="77777777">
        <w:tc>
          <w:tcPr>
            <w:tcW w:w="1813" w:type="dxa"/>
            <w:tcBorders>
              <w:top w:val="single" w:sz="4" w:space="0" w:color="000000"/>
              <w:left w:val="single" w:sz="4" w:space="0" w:color="000000"/>
              <w:bottom w:val="single" w:sz="4" w:space="0" w:color="000000"/>
              <w:right w:val="single" w:sz="4" w:space="0" w:color="000000"/>
            </w:tcBorders>
          </w:tcPr>
          <w:p w14:paraId="69EE22E2"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RACI</w:t>
            </w:r>
          </w:p>
        </w:tc>
        <w:tc>
          <w:tcPr>
            <w:tcW w:w="7241" w:type="dxa"/>
            <w:tcBorders>
              <w:top w:val="single" w:sz="4" w:space="0" w:color="000000"/>
              <w:left w:val="single" w:sz="4" w:space="0" w:color="000000"/>
              <w:bottom w:val="single" w:sz="4" w:space="0" w:color="000000"/>
              <w:right w:val="single" w:sz="4" w:space="0" w:color="000000"/>
            </w:tcBorders>
          </w:tcPr>
          <w:p w14:paraId="6FBD1875"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Responsable, Approbateur, Consulté, Informé</w:t>
            </w:r>
          </w:p>
        </w:tc>
      </w:tr>
      <w:tr w:rsidR="00F50D70" w:rsidRPr="00BE4F47" w14:paraId="69778671" w14:textId="77777777">
        <w:tc>
          <w:tcPr>
            <w:tcW w:w="1813" w:type="dxa"/>
            <w:tcBorders>
              <w:top w:val="single" w:sz="4" w:space="0" w:color="000000"/>
              <w:left w:val="single" w:sz="4" w:space="0" w:color="000000"/>
              <w:bottom w:val="single" w:sz="4" w:space="0" w:color="000000"/>
              <w:right w:val="single" w:sz="4" w:space="0" w:color="000000"/>
            </w:tcBorders>
          </w:tcPr>
          <w:p w14:paraId="39438CA9"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RBS</w:t>
            </w:r>
          </w:p>
        </w:tc>
        <w:tc>
          <w:tcPr>
            <w:tcW w:w="7241" w:type="dxa"/>
            <w:tcBorders>
              <w:top w:val="single" w:sz="4" w:space="0" w:color="000000"/>
              <w:left w:val="single" w:sz="4" w:space="0" w:color="000000"/>
              <w:bottom w:val="single" w:sz="4" w:space="0" w:color="000000"/>
              <w:right w:val="single" w:sz="4" w:space="0" w:color="000000"/>
            </w:tcBorders>
          </w:tcPr>
          <w:p w14:paraId="6F77FED1"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Structure de découpage des risques</w:t>
            </w:r>
          </w:p>
        </w:tc>
      </w:tr>
      <w:tr w:rsidR="00F50D70" w:rsidRPr="00BE4F47" w14:paraId="277C7649" w14:textId="77777777">
        <w:tc>
          <w:tcPr>
            <w:tcW w:w="1813" w:type="dxa"/>
            <w:tcBorders>
              <w:top w:val="single" w:sz="4" w:space="0" w:color="000000"/>
              <w:left w:val="single" w:sz="4" w:space="0" w:color="000000"/>
              <w:bottom w:val="single" w:sz="4" w:space="0" w:color="000000"/>
              <w:right w:val="single" w:sz="4" w:space="0" w:color="000000"/>
            </w:tcBorders>
          </w:tcPr>
          <w:p w14:paraId="296D9A42"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REGDOC</w:t>
            </w:r>
          </w:p>
        </w:tc>
        <w:tc>
          <w:tcPr>
            <w:tcW w:w="7241" w:type="dxa"/>
            <w:tcBorders>
              <w:top w:val="single" w:sz="4" w:space="0" w:color="000000"/>
              <w:left w:val="single" w:sz="4" w:space="0" w:color="000000"/>
              <w:bottom w:val="single" w:sz="4" w:space="0" w:color="000000"/>
              <w:right w:val="single" w:sz="4" w:space="0" w:color="000000"/>
            </w:tcBorders>
          </w:tcPr>
          <w:p w14:paraId="6CC39D75"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Document d’application de la réglementation de la CCSN</w:t>
            </w:r>
          </w:p>
        </w:tc>
      </w:tr>
      <w:tr w:rsidR="00F50D70" w:rsidRPr="00BE4F47" w14:paraId="38CC3BD0" w14:textId="77777777">
        <w:tc>
          <w:tcPr>
            <w:tcW w:w="1813" w:type="dxa"/>
            <w:tcBorders>
              <w:top w:val="single" w:sz="4" w:space="0" w:color="000000"/>
              <w:left w:val="single" w:sz="4" w:space="0" w:color="000000"/>
              <w:bottom w:val="single" w:sz="4" w:space="0" w:color="000000"/>
              <w:right w:val="single" w:sz="4" w:space="0" w:color="000000"/>
            </w:tcBorders>
          </w:tcPr>
          <w:p w14:paraId="6CD28DD5"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RP, RT</w:t>
            </w:r>
          </w:p>
        </w:tc>
        <w:tc>
          <w:tcPr>
            <w:tcW w:w="7241" w:type="dxa"/>
            <w:tcBorders>
              <w:top w:val="single" w:sz="4" w:space="0" w:color="000000"/>
              <w:left w:val="single" w:sz="4" w:space="0" w:color="000000"/>
              <w:bottom w:val="single" w:sz="4" w:space="0" w:color="000000"/>
              <w:right w:val="single" w:sz="4" w:space="0" w:color="000000"/>
            </w:tcBorders>
          </w:tcPr>
          <w:p w14:paraId="649810E0"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Risque de projet, risque de produit (registres de la section 7)</w:t>
            </w:r>
          </w:p>
        </w:tc>
      </w:tr>
      <w:tr w:rsidR="00F50D70" w:rsidRPr="00BE4F47" w14:paraId="7D24DD4B" w14:textId="77777777">
        <w:tc>
          <w:tcPr>
            <w:tcW w:w="1813" w:type="dxa"/>
            <w:tcBorders>
              <w:top w:val="single" w:sz="4" w:space="0" w:color="000000"/>
              <w:left w:val="single" w:sz="4" w:space="0" w:color="000000"/>
              <w:bottom w:val="single" w:sz="4" w:space="0" w:color="000000"/>
              <w:right w:val="single" w:sz="4" w:space="0" w:color="000000"/>
            </w:tcBorders>
          </w:tcPr>
          <w:p w14:paraId="0E1F7D9F"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SDP</w:t>
            </w:r>
          </w:p>
        </w:tc>
        <w:tc>
          <w:tcPr>
            <w:tcW w:w="7241" w:type="dxa"/>
            <w:tcBorders>
              <w:top w:val="single" w:sz="4" w:space="0" w:color="000000"/>
              <w:left w:val="single" w:sz="4" w:space="0" w:color="000000"/>
              <w:bottom w:val="single" w:sz="4" w:space="0" w:color="000000"/>
              <w:right w:val="single" w:sz="4" w:space="0" w:color="000000"/>
            </w:tcBorders>
          </w:tcPr>
          <w:p w14:paraId="6922F52E"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Structure de découpage du projet</w:t>
            </w:r>
          </w:p>
        </w:tc>
      </w:tr>
      <w:tr w:rsidR="00F50D70" w:rsidRPr="00BE4F47" w14:paraId="181D61BA" w14:textId="77777777">
        <w:tc>
          <w:tcPr>
            <w:tcW w:w="1813" w:type="dxa"/>
            <w:tcBorders>
              <w:top w:val="single" w:sz="4" w:space="0" w:color="000000"/>
              <w:left w:val="single" w:sz="4" w:space="0" w:color="000000"/>
              <w:bottom w:val="single" w:sz="4" w:space="0" w:color="000000"/>
              <w:right w:val="single" w:sz="4" w:space="0" w:color="000000"/>
            </w:tcBorders>
          </w:tcPr>
          <w:p w14:paraId="0A4A828E"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UQAC</w:t>
            </w:r>
          </w:p>
        </w:tc>
        <w:tc>
          <w:tcPr>
            <w:tcW w:w="7241" w:type="dxa"/>
            <w:tcBorders>
              <w:top w:val="single" w:sz="4" w:space="0" w:color="000000"/>
              <w:left w:val="single" w:sz="4" w:space="0" w:color="000000"/>
              <w:bottom w:val="single" w:sz="4" w:space="0" w:color="000000"/>
              <w:right w:val="single" w:sz="4" w:space="0" w:color="000000"/>
            </w:tcBorders>
          </w:tcPr>
          <w:p w14:paraId="677F423F"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Université du Québec à Chicoutimi</w:t>
            </w:r>
          </w:p>
        </w:tc>
      </w:tr>
      <w:tr w:rsidR="00F50D70" w:rsidRPr="00BE4F47" w14:paraId="061C21B5" w14:textId="77777777">
        <w:tc>
          <w:tcPr>
            <w:tcW w:w="1813" w:type="dxa"/>
            <w:tcBorders>
              <w:top w:val="single" w:sz="4" w:space="0" w:color="000000"/>
              <w:left w:val="single" w:sz="4" w:space="0" w:color="000000"/>
              <w:bottom w:val="single" w:sz="4" w:space="0" w:color="000000"/>
              <w:right w:val="single" w:sz="4" w:space="0" w:color="000000"/>
            </w:tcBorders>
          </w:tcPr>
          <w:p w14:paraId="3A3AD332"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V&amp;V</w:t>
            </w:r>
          </w:p>
        </w:tc>
        <w:tc>
          <w:tcPr>
            <w:tcW w:w="7241" w:type="dxa"/>
            <w:tcBorders>
              <w:top w:val="single" w:sz="4" w:space="0" w:color="000000"/>
              <w:left w:val="single" w:sz="4" w:space="0" w:color="000000"/>
              <w:bottom w:val="single" w:sz="4" w:space="0" w:color="000000"/>
              <w:right w:val="single" w:sz="4" w:space="0" w:color="000000"/>
            </w:tcBorders>
          </w:tcPr>
          <w:p w14:paraId="7DC4E899" w14:textId="77777777" w:rsidR="00F50D70" w:rsidRPr="00BE4F47" w:rsidRDefault="00000000" w:rsidP="008E113B">
            <w:pPr>
              <w:snapToGrid w:val="0"/>
              <w:spacing w:after="160" w:line="360" w:lineRule="auto"/>
              <w:ind w:left="0"/>
              <w:jc w:val="left"/>
              <w:outlineLvl w:val="9"/>
              <w:rPr>
                <w:rFonts w:ascii="Aptos" w:eastAsia="Calibri" w:hAnsi="Aptos" w:cs="Times New Roman"/>
                <w:lang w:eastAsia="en-US"/>
              </w:rPr>
            </w:pPr>
            <w:r w:rsidRPr="00BE4F47">
              <w:rPr>
                <w:rFonts w:ascii="Aptos" w:eastAsia="Calibri" w:hAnsi="Aptos" w:cs="Times New Roman"/>
                <w:lang w:eastAsia="en-US"/>
              </w:rPr>
              <w:t>Vérification et validation</w:t>
            </w:r>
          </w:p>
        </w:tc>
      </w:tr>
    </w:tbl>
    <w:p w14:paraId="0045D46E" w14:textId="77777777" w:rsidR="00F50D70" w:rsidRPr="00BE4F47" w:rsidRDefault="00000000" w:rsidP="008E113B">
      <w:pPr>
        <w:spacing w:line="360" w:lineRule="auto"/>
        <w:ind w:left="0"/>
        <w:outlineLvl w:val="9"/>
        <w:rPr>
          <w:rFonts w:ascii="Aptos" w:hAnsi="Aptos"/>
        </w:rPr>
      </w:pPr>
      <w:r w:rsidRPr="00BE4F47">
        <w:rPr>
          <w:rFonts w:ascii="Aptos" w:hAnsi="Aptos"/>
        </w:rPr>
        <w:br w:type="page"/>
      </w:r>
    </w:p>
    <w:p w14:paraId="11F331DE" w14:textId="77777777" w:rsidR="00F50D70" w:rsidRPr="00BE4F47" w:rsidRDefault="00F50D70" w:rsidP="008E113B">
      <w:pPr>
        <w:pStyle w:val="Sous-titre"/>
        <w:pBdr>
          <w:bottom w:val="nil"/>
        </w:pBdr>
        <w:spacing w:line="360" w:lineRule="auto"/>
        <w:rPr>
          <w:rFonts w:ascii="Aptos" w:hAnsi="Aptos" w:cs="Times"/>
          <w:i w:val="0"/>
          <w:sz w:val="24"/>
          <w:szCs w:val="40"/>
        </w:rPr>
      </w:pPr>
    </w:p>
    <w:p w14:paraId="39CCC414" w14:textId="77777777" w:rsidR="00F50D70" w:rsidRPr="00BE4F47" w:rsidRDefault="00000000" w:rsidP="008E113B">
      <w:pPr>
        <w:pStyle w:val="Titre4"/>
        <w:spacing w:line="360" w:lineRule="auto"/>
        <w:rPr>
          <w:rFonts w:eastAsia="DengXian Light"/>
          <w:color w:val="2F5496"/>
          <w:sz w:val="32"/>
          <w:szCs w:val="32"/>
          <w:lang w:eastAsia="en-US"/>
        </w:rPr>
      </w:pPr>
      <w:r w:rsidRPr="00BE4F47">
        <w:rPr>
          <w:lang w:eastAsia="en-US"/>
        </w:rPr>
        <w:t>Résumé exécutif</w:t>
      </w:r>
    </w:p>
    <w:p w14:paraId="7F8AFE79"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Hydro-Québec, client fictif du scénario de cours, envisage la remise en service de la centrale Gentilly-2. Une telle décision suppose de comprendre le comportement des systèmes de la centrale dans des conditions que l’on ne peut pas provoquer sur une installation réelle sans risque. Le projet répond à ce besoin par un jumeau numérique de surveillance appliqué à une boucle thermohydraulique simplifiée, inspirée du système de refroidissement.</w:t>
      </w:r>
    </w:p>
    <w:p w14:paraId="125157C1"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problème à résoudre tient en deux points. Étudier des scénarios de défaillance de façon reproductible. Savoir dans quelles conditions les informations produites par un modèle numérique sont assez fiables pour servir d’aide à la décision.</w:t>
      </w:r>
    </w:p>
    <w:p w14:paraId="55A03AE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L’objectif directeur est de démontrer, sur un prototype vérifié et validé, qu’un jumeau numérique peut détecter une dérive sur trois variables de procédé, exprimer son niveau de confiance, et déclarer explicitement son incertitude, la décision demeurant celle de l’opérateur.</w:t>
      </w:r>
    </w:p>
    <w:p w14:paraId="7F000402"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L’impact principal du projet est la protection du public. Les scénarios dangereux sont étudiés sur un modèle plutôt que sur une installation, et le système annonce ses limites au lieu de présenter un état incertain comme normal. Cet impact est détaillé à la section 7.</w:t>
      </w:r>
    </w:p>
    <w:p w14:paraId="3EA6AFFF"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mandat mobilise huit ingénieurs pour 1 080 heures. Le coût du mandat s’établit à 59 400 $, contingence de 10 % comprise. Le prix porté au bordereau est de 68 310 $, dont 8 910 $ de marge bénéficiaire. L’estimation est de classe 5 au sens de l’AACE, avec la fourchette que cette classe implique.</w:t>
      </w:r>
    </w:p>
    <w:p w14:paraId="1BBA9970"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L’équipe formule trois recommandations. Accepter le mandat dans le périmètre défini à la section 1. Conserver un banc d’essai numérique plutôt qu’une boucle physique, un banc physique faisant basculer le projet dans une autre classe de budget. Maintenir les activités de vérification et de validation avant toute réduction de contenu si les ressources deviennent insuffisantes.</w:t>
      </w:r>
    </w:p>
    <w:p w14:paraId="5A19918F" w14:textId="201D4283" w:rsidR="00F50D70" w:rsidRPr="00136F18"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projet est jugé faisable dans l’enveloppe de 1 080 heures, à trois conditions : le gel des exigences au jalon J1, le maintien de l’effectif de huit membres, et l’acceptation par le client du domaine de validité annoncé à la section 2.</w:t>
      </w:r>
    </w:p>
    <w:p w14:paraId="21F1F41E" w14:textId="77777777" w:rsidR="00F50D70" w:rsidRPr="00BE4F47" w:rsidRDefault="00F50D70" w:rsidP="008E113B">
      <w:pPr>
        <w:spacing w:line="360" w:lineRule="auto"/>
        <w:rPr>
          <w:rFonts w:ascii="Aptos" w:eastAsia="Times New Roman" w:hAnsi="Aptos" w:cs="Times New Roman"/>
          <w:b/>
          <w:bCs/>
          <w:kern w:val="2"/>
          <w:sz w:val="24"/>
          <w:szCs w:val="24"/>
          <w:lang w:val="fr-FR" w:eastAsia="en-US"/>
        </w:rPr>
      </w:pPr>
    </w:p>
    <w:p w14:paraId="5A2EDC38" w14:textId="77777777" w:rsidR="00F50D70" w:rsidRPr="00BE4F47" w:rsidRDefault="00000000" w:rsidP="008E113B">
      <w:pPr>
        <w:pStyle w:val="Sous-titre"/>
        <w:pBdr>
          <w:bottom w:val="nil"/>
        </w:pBdr>
        <w:spacing w:line="360" w:lineRule="auto"/>
        <w:rPr>
          <w:rFonts w:ascii="Aptos" w:eastAsia="Arial" w:hAnsi="Aptos"/>
          <w:sz w:val="24"/>
        </w:rPr>
      </w:pPr>
      <w:r w:rsidRPr="00BE4F47">
        <w:rPr>
          <w:rFonts w:ascii="Aptos" w:eastAsia="Arial" w:hAnsi="Aptos"/>
          <w:sz w:val="24"/>
        </w:rPr>
        <w:t xml:space="preserve"> </w:t>
      </w:r>
      <w:r w:rsidRPr="00BE4F47">
        <w:rPr>
          <w:rFonts w:ascii="Aptos" w:hAnsi="Aptos"/>
        </w:rPr>
        <w:br w:type="page"/>
      </w:r>
    </w:p>
    <w:p w14:paraId="52C32875" w14:textId="77777777" w:rsidR="00F50D70" w:rsidRPr="00BE4F47" w:rsidRDefault="00F50D70" w:rsidP="008E113B">
      <w:pPr>
        <w:spacing w:line="360" w:lineRule="auto"/>
        <w:ind w:left="0"/>
        <w:outlineLvl w:val="9"/>
        <w:rPr>
          <w:rFonts w:ascii="Aptos" w:hAnsi="Aptos"/>
          <w:sz w:val="24"/>
        </w:rPr>
      </w:pPr>
    </w:p>
    <w:p w14:paraId="23F401B9" w14:textId="77777777" w:rsidR="00F50D70" w:rsidRPr="00BE4F47" w:rsidRDefault="00000000" w:rsidP="008E113B">
      <w:pPr>
        <w:pStyle w:val="Titre1"/>
        <w:spacing w:line="360" w:lineRule="auto"/>
        <w:rPr>
          <w:rFonts w:ascii="Aptos" w:hAnsi="Aptos"/>
        </w:rPr>
      </w:pPr>
      <w:bookmarkStart w:id="2" w:name="__RefHeading___Toc240715054"/>
      <w:bookmarkEnd w:id="2"/>
      <w:r w:rsidRPr="00BE4F47">
        <w:rPr>
          <w:rFonts w:ascii="Aptos" w:hAnsi="Aptos"/>
        </w:rPr>
        <w:t>Analyse des besoins du client et des exigences des différents intervenants</w:t>
      </w:r>
    </w:p>
    <w:p w14:paraId="62F2DB4A"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Cette première section établit ce à quoi le système doit répondre. Elle part du contexte et du client, remonte aux besoins exprimés par chaque partie prenante, puis les traduit en exigences vérifiables. Le registre d’exigences produit ici sert de référence à toutes les sections suivantes.</w:t>
      </w:r>
    </w:p>
    <w:p w14:paraId="648F4E95" w14:textId="0D9BFBFC" w:rsidR="00F50D70" w:rsidRPr="00BE4F47" w:rsidRDefault="00000000" w:rsidP="008E113B">
      <w:pPr>
        <w:pStyle w:val="Titre2"/>
        <w:spacing w:line="360" w:lineRule="auto"/>
        <w:rPr>
          <w:rFonts w:ascii="Aptos" w:hAnsi="Aptos"/>
        </w:rPr>
      </w:pPr>
      <w:bookmarkStart w:id="3" w:name="__RefHeading___Toc240715055"/>
      <w:bookmarkEnd w:id="3"/>
      <w:r w:rsidRPr="00BE4F47">
        <w:rPr>
          <w:rFonts w:ascii="Aptos" w:hAnsi="Aptos"/>
        </w:rPr>
        <w:t>Contexte et mandat</w:t>
      </w:r>
    </w:p>
    <w:p w14:paraId="68C683AB"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projet repose sur un scénario fictif construit pour les besoins du cours. Dans ce scénario, Hydro-Québec, agissant comme client fictif, envisage la remise en service de la centrale Gentilly-2. Ni le mandat ni les travaux décrits dans ce document ne correspondent à un projet réel de l’entreprise.</w:t>
      </w:r>
    </w:p>
    <w:p w14:paraId="22B61349"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Après une longue période d’arrêt, une remise en service soulèverait plusieurs questions sur le comportement des systèmes de la centrale dans différentes conditions de fonctionnement. Certains scénarios de défaillance sont difficiles ou risqués à reproduire directement sur une installation réelle. Le client a donc besoin d’un moyen permettant de les étudier sans exposer les équipements, les travailleurs ou le public.</w:t>
      </w:r>
    </w:p>
    <w:p w14:paraId="3E0E9B08" w14:textId="77777777" w:rsidR="00F50D70" w:rsidRPr="00BE4F47" w:rsidRDefault="00000000" w:rsidP="008E113B">
      <w:pPr>
        <w:spacing w:line="360" w:lineRule="auto"/>
        <w:ind w:left="360"/>
        <w:rPr>
          <w:rFonts w:ascii="Aptos" w:hAnsi="Aptos"/>
        </w:rPr>
      </w:pPr>
      <w:r w:rsidRPr="00BE4F47">
        <w:rPr>
          <w:rFonts w:ascii="Aptos" w:eastAsia="Calibri" w:hAnsi="Aptos" w:cs="Calibri"/>
          <w:color w:val="1A1A19"/>
          <w:sz w:val="20"/>
          <w:szCs w:val="20"/>
        </w:rPr>
        <w:t>Le projet porte plus précisément sur une boucle thermohydraulique simplifiée, inspirée du système de refroidissement de la centrale. L’objectif n’est pas de reproduire l’ensemble de Gentilly-2, mais de disposer d’un système suffisamment représentatif pour étudier différents états de fonctionnement et observer l’évolution de trois paramètres : la température, la pression et le débit</w:t>
      </w:r>
    </w:p>
    <w:p w14:paraId="515E4EA2" w14:textId="77777777" w:rsidR="00F50D70" w:rsidRPr="00BE4F47" w:rsidRDefault="00000000" w:rsidP="008E113B">
      <w:pPr>
        <w:pStyle w:val="Titre2"/>
        <w:spacing w:line="360" w:lineRule="auto"/>
        <w:rPr>
          <w:rFonts w:ascii="Aptos" w:hAnsi="Aptos"/>
        </w:rPr>
      </w:pPr>
      <w:r w:rsidRPr="00BE4F47">
        <w:rPr>
          <w:rFonts w:ascii="Aptos" w:hAnsi="Aptos"/>
        </w:rPr>
        <w:t>Ampleur du projet</w:t>
      </w:r>
    </w:p>
    <w:p w14:paraId="29FB76B1"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projet est de complexité moyenne à élevée pour une équipe de premier cycle. Trois facteurs l’établissent.</w:t>
      </w:r>
    </w:p>
    <w:p w14:paraId="2F0535F9"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La complexité de contenu. Le prototype réunit cinq disciplines qui doivent s’accorder : thermohydraulique pour le modèle, génie logiciel pour le noyau de simulation, statistique pour la détection et l’incertitude, facteurs humains pour l’interface, et cybersécurité pour l’architecture. Aucune de ces disciplines n’est optionnelle, et un défaut dans l’une invalide le résultat des autres.</w:t>
      </w:r>
    </w:p>
    <w:p w14:paraId="75F46AD8"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La complexité d’organisation. Huit personnes produisent onze sections d’un même document et un prototype unique, en parallèle de cinq autres cours. La coordination consomme un lot de travail complet, le lot L1.</w:t>
      </w:r>
    </w:p>
    <w:p w14:paraId="3CB3D50F"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lastRenderedPageBreak/>
        <w:t>La complexité de validation. Le système de référence auquel le jumeau est comparé est lui-même un modèle numérique, faute de banc physique. La démonstration porte donc sur la cohérence entre deux modèles, pas sur la conformité à une mesure réelle. Cette limite est assumée et documentée.</w:t>
      </w:r>
    </w:p>
    <w:p w14:paraId="5A016C3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L’évolution attendue est incrémentale. Les phases P0 à P2 fixent les exigences et l’architecture en cascade, parce qu’un changement d’exigence après le début du développement coûte plus cher que le gel. La phase P3 procède ensuite par trois itérations de deux semaines, chacune close par une démonstration d’un produit en état de fonctionner. Le périmètre technique peut se réduire entre deux itérations, jamais s’étendre.</w:t>
      </w:r>
    </w:p>
    <w:p w14:paraId="03A0D2DF"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suite de la section suit cet ordre : les parties prenantes et leurs attentes, les besoins et les douleurs qui en découlent, l’objectif directeur et ses sous-objectifs, les modes de marche et d’arrêt, l’analyse fonctionnelle, le périmètre retenu, les hypothèses, et enfin le registre des exigences qui traduit tout ce qui précède en énoncés vérifiables.</w:t>
      </w:r>
    </w:p>
    <w:p w14:paraId="4BC66F88" w14:textId="77777777" w:rsidR="00F50D70" w:rsidRPr="00BE4F47" w:rsidRDefault="00F50D70" w:rsidP="008E113B">
      <w:pPr>
        <w:spacing w:line="360" w:lineRule="auto"/>
        <w:ind w:left="360"/>
        <w:rPr>
          <w:rFonts w:ascii="Aptos" w:eastAsia="Calibri" w:hAnsi="Aptos" w:cs="Calibri"/>
          <w:color w:val="1A1A19"/>
          <w:sz w:val="20"/>
          <w:szCs w:val="20"/>
        </w:rPr>
      </w:pPr>
    </w:p>
    <w:p w14:paraId="33DEC1BE" w14:textId="77C5F5E4" w:rsidR="00F50D70" w:rsidRPr="00BE4F47" w:rsidRDefault="00000000" w:rsidP="008E113B">
      <w:pPr>
        <w:pStyle w:val="Titre2"/>
        <w:spacing w:line="360" w:lineRule="auto"/>
        <w:rPr>
          <w:rFonts w:ascii="Aptos" w:hAnsi="Aptos"/>
        </w:rPr>
      </w:pPr>
      <w:bookmarkStart w:id="4" w:name="__RefHeading___Toc240715059"/>
      <w:bookmarkEnd w:id="4"/>
      <w:r w:rsidRPr="00BE4F47">
        <w:rPr>
          <w:rFonts w:ascii="Aptos" w:hAnsi="Aptos"/>
        </w:rPr>
        <w:t>Parties prenantes</w:t>
      </w:r>
    </w:p>
    <w:p w14:paraId="03BB611B" w14:textId="77777777" w:rsidR="00F50D70" w:rsidRPr="00BE4F47" w:rsidRDefault="00000000" w:rsidP="008E113B">
      <w:pPr>
        <w:spacing w:line="360" w:lineRule="auto"/>
        <w:ind w:left="425"/>
        <w:rPr>
          <w:rFonts w:ascii="Aptos" w:hAnsi="Aptos"/>
        </w:rPr>
      </w:pPr>
      <w:r w:rsidRPr="00BE4F47">
        <w:rPr>
          <w:rFonts w:ascii="Aptos" w:eastAsia="Calibri" w:hAnsi="Aptos" w:cs="Calibri"/>
          <w:color w:val="1A1A19"/>
          <w:sz w:val="20"/>
          <w:szCs w:val="20"/>
        </w:rPr>
        <w:t>Cinq groupes de parties prenantes sont retenus. Chacun porte une attente distincte, qui se traduit par une contrainte précise sur le système. Le tableau 1-1 établit ce lien et renvoie aux exigences du registre de la section 1.7.</w:t>
      </w:r>
    </w:p>
    <w:p w14:paraId="4688FC6F" w14:textId="77777777" w:rsidR="00F50D70" w:rsidRPr="00BE4F47" w:rsidRDefault="00000000" w:rsidP="008E113B">
      <w:pPr>
        <w:pStyle w:val="Lgende"/>
        <w:spacing w:line="360" w:lineRule="auto"/>
        <w:rPr>
          <w:rFonts w:ascii="Aptos" w:hAnsi="Aptos"/>
        </w:rPr>
      </w:pPr>
      <w:r w:rsidRPr="00BE4F47">
        <w:rPr>
          <w:rFonts w:ascii="Aptos" w:hAnsi="Aptos"/>
        </w:rPr>
        <w:t>Tableau 1-1. Parties prenantes, attentes et conséquences pour le système</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737"/>
        <w:gridCol w:w="3017"/>
        <w:gridCol w:w="3803"/>
      </w:tblGrid>
      <w:tr w:rsidR="00F50D70" w:rsidRPr="00BE4F47" w14:paraId="668D5408" w14:textId="77777777" w:rsidTr="0036725C">
        <w:trPr>
          <w:trHeight w:val="227"/>
          <w:tblHeader/>
        </w:trPr>
        <w:tc>
          <w:tcPr>
            <w:tcW w:w="173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0490DF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Partie prenante</w:t>
            </w:r>
          </w:p>
        </w:tc>
        <w:tc>
          <w:tcPr>
            <w:tcW w:w="301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DA85AF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Attente principale</w:t>
            </w:r>
          </w:p>
        </w:tc>
        <w:tc>
          <w:tcPr>
            <w:tcW w:w="380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EB6D16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pour le système</w:t>
            </w:r>
          </w:p>
        </w:tc>
      </w:tr>
      <w:tr w:rsidR="00F50D70" w:rsidRPr="00BE4F47" w14:paraId="1C29D1EF" w14:textId="77777777">
        <w:trPr>
          <w:cantSplit/>
          <w:trHeight w:val="415"/>
        </w:trPr>
        <w:tc>
          <w:tcPr>
            <w:tcW w:w="1737" w:type="dxa"/>
            <w:tcBorders>
              <w:top w:val="single" w:sz="4" w:space="0" w:color="000000"/>
              <w:left w:val="single" w:sz="4" w:space="0" w:color="000000"/>
              <w:bottom w:val="single" w:sz="4" w:space="0" w:color="000000"/>
              <w:right w:val="single" w:sz="4" w:space="0" w:color="000000"/>
            </w:tcBorders>
          </w:tcPr>
          <w:p w14:paraId="56DDA66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Hydro-Québec (client fictif)</w:t>
            </w:r>
          </w:p>
        </w:tc>
        <w:tc>
          <w:tcPr>
            <w:tcW w:w="3017" w:type="dxa"/>
            <w:tcBorders>
              <w:top w:val="single" w:sz="4" w:space="0" w:color="000000"/>
              <w:left w:val="single" w:sz="4" w:space="0" w:color="000000"/>
              <w:bottom w:val="single" w:sz="4" w:space="0" w:color="000000"/>
              <w:right w:val="single" w:sz="4" w:space="0" w:color="000000"/>
            </w:tcBorders>
          </w:tcPr>
          <w:p w14:paraId="10457BB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Étudier des scénarios de fonctionnement et de défaillance sans les provoquer sur l’installation.</w:t>
            </w:r>
          </w:p>
        </w:tc>
        <w:tc>
          <w:tcPr>
            <w:tcW w:w="3803" w:type="dxa"/>
            <w:tcBorders>
              <w:top w:val="single" w:sz="4" w:space="0" w:color="000000"/>
              <w:left w:val="single" w:sz="4" w:space="0" w:color="000000"/>
              <w:bottom w:val="single" w:sz="4" w:space="0" w:color="000000"/>
              <w:right w:val="single" w:sz="4" w:space="0" w:color="000000"/>
            </w:tcBorders>
          </w:tcPr>
          <w:p w14:paraId="54A6C03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doit rejouer des scénarios de défaillance de façon reproductible (EX-F-02).</w:t>
            </w:r>
          </w:p>
        </w:tc>
      </w:tr>
      <w:tr w:rsidR="00F50D70" w:rsidRPr="00BE4F47" w14:paraId="0CFA34DB" w14:textId="77777777">
        <w:trPr>
          <w:cantSplit/>
          <w:trHeight w:val="602"/>
        </w:trPr>
        <w:tc>
          <w:tcPr>
            <w:tcW w:w="1737" w:type="dxa"/>
            <w:tcBorders>
              <w:top w:val="single" w:sz="4" w:space="0" w:color="000000"/>
              <w:left w:val="single" w:sz="4" w:space="0" w:color="000000"/>
              <w:bottom w:val="single" w:sz="4" w:space="0" w:color="000000"/>
              <w:right w:val="single" w:sz="4" w:space="0" w:color="000000"/>
            </w:tcBorders>
          </w:tcPr>
          <w:p w14:paraId="0B67754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Ingénieurs et opérateurs</w:t>
            </w:r>
          </w:p>
        </w:tc>
        <w:tc>
          <w:tcPr>
            <w:tcW w:w="3017" w:type="dxa"/>
            <w:tcBorders>
              <w:top w:val="single" w:sz="4" w:space="0" w:color="000000"/>
              <w:left w:val="single" w:sz="4" w:space="0" w:color="000000"/>
              <w:bottom w:val="single" w:sz="4" w:space="0" w:color="000000"/>
              <w:right w:val="single" w:sz="4" w:space="0" w:color="000000"/>
            </w:tcBorders>
          </w:tcPr>
          <w:p w14:paraId="1B0AC1C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Comprendre pourquoi le système produit une recommandation, et non recevoir seulement un verdict.</w:t>
            </w:r>
          </w:p>
        </w:tc>
        <w:tc>
          <w:tcPr>
            <w:tcW w:w="3803" w:type="dxa"/>
            <w:tcBorders>
              <w:top w:val="single" w:sz="4" w:space="0" w:color="000000"/>
              <w:left w:val="single" w:sz="4" w:space="0" w:color="000000"/>
              <w:bottom w:val="single" w:sz="4" w:space="0" w:color="000000"/>
              <w:right w:val="single" w:sz="4" w:space="0" w:color="000000"/>
            </w:tcBorders>
          </w:tcPr>
          <w:p w14:paraId="06B9478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des variables ayant contribué à la détection (EX-F-05) et du niveau de confiance (EX-F-07).</w:t>
            </w:r>
          </w:p>
        </w:tc>
      </w:tr>
      <w:tr w:rsidR="00F50D70" w:rsidRPr="00BE4F47" w14:paraId="3B24E898" w14:textId="77777777">
        <w:trPr>
          <w:cantSplit/>
          <w:trHeight w:val="425"/>
        </w:trPr>
        <w:tc>
          <w:tcPr>
            <w:tcW w:w="1737" w:type="dxa"/>
            <w:tcBorders>
              <w:top w:val="single" w:sz="4" w:space="0" w:color="000000"/>
              <w:left w:val="single" w:sz="4" w:space="0" w:color="000000"/>
              <w:bottom w:val="single" w:sz="4" w:space="0" w:color="000000"/>
              <w:right w:val="single" w:sz="4" w:space="0" w:color="000000"/>
            </w:tcBorders>
          </w:tcPr>
          <w:p w14:paraId="75CA601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Responsables de la sûreté</w:t>
            </w:r>
          </w:p>
        </w:tc>
        <w:tc>
          <w:tcPr>
            <w:tcW w:w="3017" w:type="dxa"/>
            <w:tcBorders>
              <w:top w:val="single" w:sz="4" w:space="0" w:color="000000"/>
              <w:left w:val="single" w:sz="4" w:space="0" w:color="000000"/>
              <w:bottom w:val="single" w:sz="4" w:space="0" w:color="000000"/>
              <w:right w:val="single" w:sz="4" w:space="0" w:color="000000"/>
            </w:tcBorders>
          </w:tcPr>
          <w:p w14:paraId="6FD63F5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Connaître les limites du système et les cas où il peut se tromper.</w:t>
            </w:r>
          </w:p>
        </w:tc>
        <w:tc>
          <w:tcPr>
            <w:tcW w:w="3803" w:type="dxa"/>
            <w:tcBorders>
              <w:top w:val="single" w:sz="4" w:space="0" w:color="000000"/>
              <w:left w:val="single" w:sz="4" w:space="0" w:color="000000"/>
              <w:bottom w:val="single" w:sz="4" w:space="0" w:color="000000"/>
              <w:right w:val="single" w:sz="4" w:space="0" w:color="000000"/>
            </w:tcBorders>
          </w:tcPr>
          <w:p w14:paraId="0948710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 incertain » explicite en cas de données manquantes (EX-F-06) ; limites documentées (EX-C-01).</w:t>
            </w:r>
          </w:p>
        </w:tc>
      </w:tr>
      <w:tr w:rsidR="00F50D70" w:rsidRPr="00BE4F47" w14:paraId="5A324A92" w14:textId="77777777">
        <w:trPr>
          <w:cantSplit/>
          <w:trHeight w:val="415"/>
        </w:trPr>
        <w:tc>
          <w:tcPr>
            <w:tcW w:w="1737" w:type="dxa"/>
            <w:tcBorders>
              <w:top w:val="single" w:sz="4" w:space="0" w:color="000000"/>
              <w:left w:val="single" w:sz="4" w:space="0" w:color="000000"/>
              <w:bottom w:val="single" w:sz="4" w:space="0" w:color="000000"/>
              <w:right w:val="single" w:sz="4" w:space="0" w:color="000000"/>
            </w:tcBorders>
          </w:tcPr>
          <w:p w14:paraId="11FBDAE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Autorités réglementaires (CCSN)</w:t>
            </w:r>
          </w:p>
        </w:tc>
        <w:tc>
          <w:tcPr>
            <w:tcW w:w="3017" w:type="dxa"/>
            <w:tcBorders>
              <w:top w:val="single" w:sz="4" w:space="0" w:color="000000"/>
              <w:left w:val="single" w:sz="4" w:space="0" w:color="000000"/>
              <w:bottom w:val="single" w:sz="4" w:space="0" w:color="000000"/>
              <w:right w:val="single" w:sz="4" w:space="0" w:color="000000"/>
            </w:tcBorders>
          </w:tcPr>
          <w:p w14:paraId="06096E9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Traçabilité des données et gestion documentaire.</w:t>
            </w:r>
          </w:p>
        </w:tc>
        <w:tc>
          <w:tcPr>
            <w:tcW w:w="3803" w:type="dxa"/>
            <w:tcBorders>
              <w:top w:val="single" w:sz="4" w:space="0" w:color="000000"/>
              <w:left w:val="single" w:sz="4" w:space="0" w:color="000000"/>
              <w:bottom w:val="single" w:sz="4" w:space="0" w:color="000000"/>
              <w:right w:val="single" w:sz="4" w:space="0" w:color="000000"/>
            </w:tcBorders>
          </w:tcPr>
          <w:p w14:paraId="32E36F5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Journalisation horodatée de toute acquisition et de tout changement d’état (EX-F-10).</w:t>
            </w:r>
          </w:p>
        </w:tc>
      </w:tr>
      <w:tr w:rsidR="00F50D70" w:rsidRPr="00BE4F47" w14:paraId="1473422C" w14:textId="77777777">
        <w:trPr>
          <w:cantSplit/>
          <w:trHeight w:val="602"/>
        </w:trPr>
        <w:tc>
          <w:tcPr>
            <w:tcW w:w="1737" w:type="dxa"/>
            <w:tcBorders>
              <w:top w:val="single" w:sz="4" w:space="0" w:color="000000"/>
              <w:left w:val="single" w:sz="4" w:space="0" w:color="000000"/>
              <w:bottom w:val="single" w:sz="4" w:space="0" w:color="000000"/>
              <w:right w:val="single" w:sz="4" w:space="0" w:color="000000"/>
            </w:tcBorders>
          </w:tcPr>
          <w:p w14:paraId="56639C3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Population et communautés</w:t>
            </w:r>
          </w:p>
        </w:tc>
        <w:tc>
          <w:tcPr>
            <w:tcW w:w="3017" w:type="dxa"/>
            <w:tcBorders>
              <w:top w:val="single" w:sz="4" w:space="0" w:color="000000"/>
              <w:left w:val="single" w:sz="4" w:space="0" w:color="000000"/>
              <w:bottom w:val="single" w:sz="4" w:space="0" w:color="000000"/>
              <w:right w:val="single" w:sz="4" w:space="0" w:color="000000"/>
            </w:tcBorders>
          </w:tcPr>
          <w:p w14:paraId="466C569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Confiance, transparence et responsabilité dans l’usage d’un outil numérique en contexte nucléaire.</w:t>
            </w:r>
          </w:p>
        </w:tc>
        <w:tc>
          <w:tcPr>
            <w:tcW w:w="3803" w:type="dxa"/>
            <w:tcBorders>
              <w:top w:val="single" w:sz="4" w:space="0" w:color="000000"/>
              <w:left w:val="single" w:sz="4" w:space="0" w:color="000000"/>
              <w:bottom w:val="single" w:sz="4" w:space="0" w:color="000000"/>
              <w:right w:val="single" w:sz="4" w:space="0" w:color="000000"/>
            </w:tcBorders>
          </w:tcPr>
          <w:p w14:paraId="45421D8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décision finale demeure humaine (EX-F-08) ; les enjeux sont traités au rapport final (EX-C-03).</w:t>
            </w:r>
          </w:p>
        </w:tc>
      </w:tr>
    </w:tbl>
    <w:p w14:paraId="24BE5712" w14:textId="77777777" w:rsidR="00F50D70" w:rsidRPr="00BE4F47" w:rsidRDefault="00F50D70" w:rsidP="008E113B">
      <w:pPr>
        <w:spacing w:line="360" w:lineRule="auto"/>
        <w:ind w:left="360"/>
        <w:rPr>
          <w:rFonts w:ascii="Aptos" w:hAnsi="Aptos"/>
        </w:rPr>
      </w:pPr>
    </w:p>
    <w:p w14:paraId="351F1326" w14:textId="77777777" w:rsidR="00F50D70" w:rsidRPr="00BE4F47" w:rsidRDefault="00000000" w:rsidP="008E113B">
      <w:pPr>
        <w:pStyle w:val="Titre2"/>
        <w:spacing w:line="360" w:lineRule="auto"/>
        <w:rPr>
          <w:rFonts w:ascii="Aptos" w:hAnsi="Aptos"/>
        </w:rPr>
      </w:pPr>
      <w:bookmarkStart w:id="5" w:name="__RefHeading___Toc240715061"/>
      <w:bookmarkEnd w:id="5"/>
      <w:r w:rsidRPr="00BE4F47">
        <w:rPr>
          <w:rFonts w:ascii="Aptos" w:hAnsi="Aptos"/>
        </w:rPr>
        <w:t>Besoins et douleurs</w:t>
      </w:r>
    </w:p>
    <w:p w14:paraId="042E68D5"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Pour le client, le besoin principal est de pouvoir tester et analyser différents scénarios de fonctionnement ou de défaillance sans avoir à les provoquer sur l’installation. Il doit également pouvoir déterminer dans quelles conditions les informations produites par le système numérique sont suffisamment fiables pour servir d’aide à la décision.</w:t>
      </w:r>
    </w:p>
    <w:p w14:paraId="0378668F"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ingénieurs et les opérateurs ne doivent pas recevoir seulement une indication « normale » ou « anormale ». Ils doivent pouvoir comprendre pourquoi le système produit une recommandation, observer les variables qui ont mené à cette conclusion, et être informés lorsque les données disponibles ne permettent pas d’obtenir un résultat fiable. La décision finale reste sous leur responsabilité : le système n’a pas pour fonction de commander l’installation.</w:t>
      </w:r>
    </w:p>
    <w:p w14:paraId="3D0331C0"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Du point de vue de la sûreté, il est nécessaire de connaître les limites du système. Trois situations demandent une attention particulière : une anomalie réelle non détectée, un capteur qui fournit une information erronée, et l’indisponibilité de données au moment où l’opérateur s’attend à en disposer. Dans ces trois cas, le système doit signaler l’incertitude plutôt que de présenter l’état de l’installation comme normal.</w:t>
      </w:r>
    </w:p>
    <w:p w14:paraId="39E7D084" w14:textId="5A63B018" w:rsidR="00006655"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Enfin, la population et les communautés concernées par une éventuelle remise en service sont également parties prenantes. L’usage d’un outil numérique d’aide à la décision en contexte nucléaire soulève des questions de confiance, de transparence et de responsabilité. Le projet doit donc traiter non seulement les performances techniques du système, mais aussi les limites de son emploi et la place qui revient au jugement humain</w:t>
      </w:r>
      <w:bookmarkStart w:id="6" w:name="__RefHeading___Toc240715066"/>
      <w:bookmarkEnd w:id="6"/>
      <w:r w:rsidRPr="00BE4F47">
        <w:rPr>
          <w:rFonts w:ascii="Aptos" w:eastAsia="Calibri" w:hAnsi="Aptos" w:cs="Calibri"/>
          <w:color w:val="1A1A19"/>
          <w:sz w:val="20"/>
          <w:szCs w:val="20"/>
        </w:rPr>
        <w:t>.</w:t>
      </w:r>
    </w:p>
    <w:p w14:paraId="175BE2FE" w14:textId="77777777" w:rsidR="00006655" w:rsidRPr="00BE4F47" w:rsidRDefault="00006655" w:rsidP="008E113B">
      <w:pPr>
        <w:spacing w:line="360" w:lineRule="auto"/>
        <w:rPr>
          <w:rFonts w:ascii="Aptos" w:hAnsi="Aptos"/>
        </w:rPr>
      </w:pPr>
    </w:p>
    <w:p w14:paraId="52D5460A" w14:textId="77777777" w:rsidR="00006655" w:rsidRPr="00BE4F47" w:rsidRDefault="00006655" w:rsidP="008E113B">
      <w:pPr>
        <w:spacing w:line="360" w:lineRule="auto"/>
        <w:rPr>
          <w:rFonts w:ascii="Aptos" w:hAnsi="Aptos"/>
        </w:rPr>
      </w:pPr>
    </w:p>
    <w:p w14:paraId="491A79B7" w14:textId="77777777" w:rsidR="00006655" w:rsidRPr="00BE4F47" w:rsidRDefault="00006655" w:rsidP="008E113B">
      <w:pPr>
        <w:spacing w:line="360" w:lineRule="auto"/>
        <w:rPr>
          <w:rFonts w:ascii="Aptos" w:hAnsi="Aptos"/>
        </w:rPr>
      </w:pPr>
    </w:p>
    <w:p w14:paraId="2AB290AC" w14:textId="77777777" w:rsidR="00006655" w:rsidRPr="00BE4F47" w:rsidRDefault="00006655" w:rsidP="008E113B">
      <w:pPr>
        <w:spacing w:line="360" w:lineRule="auto"/>
        <w:rPr>
          <w:rFonts w:ascii="Aptos" w:hAnsi="Aptos"/>
        </w:rPr>
      </w:pPr>
    </w:p>
    <w:p w14:paraId="79796A77" w14:textId="77777777" w:rsidR="00006655" w:rsidRPr="00BE4F47" w:rsidRDefault="00006655" w:rsidP="008E113B">
      <w:pPr>
        <w:spacing w:line="360" w:lineRule="auto"/>
        <w:rPr>
          <w:rFonts w:ascii="Aptos" w:hAnsi="Aptos"/>
        </w:rPr>
      </w:pPr>
    </w:p>
    <w:p w14:paraId="22BE8C7D" w14:textId="77777777" w:rsidR="00006655" w:rsidRPr="00BE4F47" w:rsidRDefault="00006655" w:rsidP="008E113B">
      <w:pPr>
        <w:spacing w:line="360" w:lineRule="auto"/>
        <w:rPr>
          <w:rFonts w:ascii="Aptos" w:hAnsi="Aptos"/>
        </w:rPr>
      </w:pPr>
    </w:p>
    <w:p w14:paraId="090556B8" w14:textId="77777777" w:rsidR="00006655" w:rsidRPr="00BE4F47" w:rsidRDefault="00006655" w:rsidP="008E113B">
      <w:pPr>
        <w:spacing w:line="360" w:lineRule="auto"/>
        <w:rPr>
          <w:rFonts w:ascii="Aptos" w:hAnsi="Aptos"/>
        </w:rPr>
      </w:pPr>
    </w:p>
    <w:p w14:paraId="21B09343" w14:textId="77777777" w:rsidR="00006655" w:rsidRPr="00BE4F47" w:rsidRDefault="00006655" w:rsidP="008E113B">
      <w:pPr>
        <w:spacing w:line="360" w:lineRule="auto"/>
        <w:rPr>
          <w:rFonts w:ascii="Aptos" w:hAnsi="Aptos"/>
        </w:rPr>
      </w:pPr>
    </w:p>
    <w:p w14:paraId="5D9DE2E2" w14:textId="77777777" w:rsidR="00F50D70" w:rsidRPr="00BE4F47" w:rsidRDefault="00000000" w:rsidP="008E113B">
      <w:pPr>
        <w:pStyle w:val="Titre2"/>
        <w:spacing w:line="360" w:lineRule="auto"/>
        <w:rPr>
          <w:rFonts w:ascii="Aptos" w:hAnsi="Aptos"/>
        </w:rPr>
      </w:pPr>
      <w:r w:rsidRPr="00BE4F47">
        <w:rPr>
          <w:rFonts w:ascii="Aptos" w:hAnsi="Aptos"/>
        </w:rPr>
        <w:lastRenderedPageBreak/>
        <w:t>Objectif directeur et sous-objectifs</w:t>
      </w:r>
    </w:p>
    <w:p w14:paraId="0D15E89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besoins décrits ci-dessus se ramènent à un objectif unique, dont découlent cinq sous-objectifs. Cette hiérarchie sert de référence au choix des normes de la section 6 et au découpage en lots de la section 8.</w:t>
      </w:r>
    </w:p>
    <w:p w14:paraId="1C87F52B"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b/>
          <w:color w:val="1A1A19"/>
          <w:sz w:val="20"/>
          <w:szCs w:val="20"/>
        </w:rPr>
        <w:t>Objectif directeur : démontrer, sur un prototype vérifié et validé, qu’un jumeau numérique d’une boucle thermohydraulique simplifiée peut détecter une dérive sur la température, la pression et le débit, exprimer le niveau de confiance associé à son résultat, et déclarer explicitement son incertitude lorsque les données ne permettent pas de conclure, la décision demeurant celle de l’opérateur.</w:t>
      </w:r>
    </w:p>
    <w:p w14:paraId="26D53B14" w14:textId="77777777" w:rsidR="00F50D70" w:rsidRPr="00BE4F47" w:rsidRDefault="00000000" w:rsidP="008E113B">
      <w:pPr>
        <w:pStyle w:val="Lgende"/>
        <w:spacing w:line="360" w:lineRule="auto"/>
        <w:rPr>
          <w:rFonts w:ascii="Aptos" w:hAnsi="Aptos"/>
        </w:rPr>
      </w:pPr>
      <w:r w:rsidRPr="00BE4F47">
        <w:rPr>
          <w:rFonts w:ascii="Aptos" w:hAnsi="Aptos"/>
        </w:rPr>
        <w:t>Tableau 1-2. Sous-objectifs du projet et exigences correspondantes</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4000"/>
        <w:gridCol w:w="2300"/>
        <w:gridCol w:w="1557"/>
      </w:tblGrid>
      <w:tr w:rsidR="00F50D70" w:rsidRPr="00BE4F47" w14:paraId="4681C3F4" w14:textId="77777777" w:rsidTr="0036725C">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D483A8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6FABCE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Sous-objectif</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C2D3AD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Exigences couvertes</w:t>
            </w:r>
          </w:p>
        </w:tc>
        <w:tc>
          <w:tcPr>
            <w:tcW w:w="15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E38076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r>
      <w:tr w:rsidR="00F50D70" w:rsidRPr="00BE4F47" w14:paraId="650C6246"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B473C1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SO-1</w:t>
            </w:r>
          </w:p>
        </w:tc>
        <w:tc>
          <w:tcPr>
            <w:tcW w:w="4000" w:type="dxa"/>
            <w:tcBorders>
              <w:top w:val="single" w:sz="4" w:space="0" w:color="000000"/>
              <w:left w:val="single" w:sz="4" w:space="0" w:color="000000"/>
              <w:bottom w:val="single" w:sz="4" w:space="0" w:color="000000"/>
              <w:right w:val="single" w:sz="4" w:space="0" w:color="000000"/>
            </w:tcBorders>
          </w:tcPr>
          <w:p w14:paraId="76D8E6A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Disposer d’un modèle de la boucle et d’un modèle de référence indépendant, dont l’écart est quantifié.</w:t>
            </w:r>
          </w:p>
        </w:tc>
        <w:tc>
          <w:tcPr>
            <w:tcW w:w="2300" w:type="dxa"/>
            <w:tcBorders>
              <w:top w:val="single" w:sz="4" w:space="0" w:color="000000"/>
              <w:left w:val="single" w:sz="4" w:space="0" w:color="000000"/>
              <w:bottom w:val="single" w:sz="4" w:space="0" w:color="000000"/>
              <w:right w:val="single" w:sz="4" w:space="0" w:color="000000"/>
            </w:tcBorders>
          </w:tcPr>
          <w:p w14:paraId="7A15FD7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EX-F-01, EX-Q-01</w:t>
            </w:r>
          </w:p>
        </w:tc>
        <w:tc>
          <w:tcPr>
            <w:tcW w:w="1557" w:type="dxa"/>
            <w:tcBorders>
              <w:top w:val="single" w:sz="4" w:space="0" w:color="000000"/>
              <w:left w:val="single" w:sz="4" w:space="0" w:color="000000"/>
              <w:bottom w:val="single" w:sz="4" w:space="0" w:color="000000"/>
              <w:right w:val="single" w:sz="4" w:space="0" w:color="000000"/>
            </w:tcBorders>
          </w:tcPr>
          <w:p w14:paraId="38A9CC3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w:t>
            </w:r>
          </w:p>
        </w:tc>
      </w:tr>
      <w:tr w:rsidR="00F50D70" w:rsidRPr="00BE4F47" w14:paraId="421C306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72300C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SO-2</w:t>
            </w:r>
          </w:p>
        </w:tc>
        <w:tc>
          <w:tcPr>
            <w:tcW w:w="4000" w:type="dxa"/>
            <w:tcBorders>
              <w:top w:val="single" w:sz="4" w:space="0" w:color="000000"/>
              <w:left w:val="single" w:sz="4" w:space="0" w:color="000000"/>
              <w:bottom w:val="single" w:sz="4" w:space="0" w:color="000000"/>
              <w:right w:val="single" w:sz="4" w:space="0" w:color="000000"/>
            </w:tcBorders>
          </w:tcPr>
          <w:p w14:paraId="04E1BAF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Rejouer des scénarios de fonctionnement et de défaillance de façon reproductible.</w:t>
            </w:r>
          </w:p>
        </w:tc>
        <w:tc>
          <w:tcPr>
            <w:tcW w:w="2300" w:type="dxa"/>
            <w:tcBorders>
              <w:top w:val="single" w:sz="4" w:space="0" w:color="000000"/>
              <w:left w:val="single" w:sz="4" w:space="0" w:color="000000"/>
              <w:bottom w:val="single" w:sz="4" w:space="0" w:color="000000"/>
              <w:right w:val="single" w:sz="4" w:space="0" w:color="000000"/>
            </w:tcBorders>
          </w:tcPr>
          <w:p w14:paraId="62CE8C6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EX-F-02, EX-F-03, EX-Q-05</w:t>
            </w:r>
          </w:p>
        </w:tc>
        <w:tc>
          <w:tcPr>
            <w:tcW w:w="1557" w:type="dxa"/>
            <w:tcBorders>
              <w:top w:val="single" w:sz="4" w:space="0" w:color="000000"/>
              <w:left w:val="single" w:sz="4" w:space="0" w:color="000000"/>
              <w:bottom w:val="single" w:sz="4" w:space="0" w:color="000000"/>
              <w:right w:val="single" w:sz="4" w:space="0" w:color="000000"/>
            </w:tcBorders>
          </w:tcPr>
          <w:p w14:paraId="28EDB3E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r>
      <w:tr w:rsidR="00F50D70" w:rsidRPr="00BE4F47" w14:paraId="36E071C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E7A178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SO-3</w:t>
            </w:r>
          </w:p>
        </w:tc>
        <w:tc>
          <w:tcPr>
            <w:tcW w:w="4000" w:type="dxa"/>
            <w:tcBorders>
              <w:top w:val="single" w:sz="4" w:space="0" w:color="000000"/>
              <w:left w:val="single" w:sz="4" w:space="0" w:color="000000"/>
              <w:bottom w:val="single" w:sz="4" w:space="0" w:color="000000"/>
              <w:right w:val="single" w:sz="4" w:space="0" w:color="000000"/>
            </w:tcBorders>
          </w:tcPr>
          <w:p w14:paraId="3CE507F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Détecter une dérive et quantifier l’incertitude associée au diagnostic.</w:t>
            </w:r>
          </w:p>
        </w:tc>
        <w:tc>
          <w:tcPr>
            <w:tcW w:w="2300" w:type="dxa"/>
            <w:tcBorders>
              <w:top w:val="single" w:sz="4" w:space="0" w:color="000000"/>
              <w:left w:val="single" w:sz="4" w:space="0" w:color="000000"/>
              <w:bottom w:val="single" w:sz="4" w:space="0" w:color="000000"/>
              <w:right w:val="single" w:sz="4" w:space="0" w:color="000000"/>
            </w:tcBorders>
          </w:tcPr>
          <w:p w14:paraId="396F162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EX-F-04 à EX-F-07</w:t>
            </w:r>
          </w:p>
        </w:tc>
        <w:tc>
          <w:tcPr>
            <w:tcW w:w="1557" w:type="dxa"/>
            <w:tcBorders>
              <w:top w:val="single" w:sz="4" w:space="0" w:color="000000"/>
              <w:left w:val="single" w:sz="4" w:space="0" w:color="000000"/>
              <w:bottom w:val="single" w:sz="4" w:space="0" w:color="000000"/>
              <w:right w:val="single" w:sz="4" w:space="0" w:color="000000"/>
            </w:tcBorders>
          </w:tcPr>
          <w:p w14:paraId="75B188F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r>
      <w:tr w:rsidR="00F50D70" w:rsidRPr="00BE4F47" w14:paraId="1B9E9F5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B79B77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SO-4</w:t>
            </w:r>
          </w:p>
        </w:tc>
        <w:tc>
          <w:tcPr>
            <w:tcW w:w="4000" w:type="dxa"/>
            <w:tcBorders>
              <w:top w:val="single" w:sz="4" w:space="0" w:color="000000"/>
              <w:left w:val="single" w:sz="4" w:space="0" w:color="000000"/>
              <w:bottom w:val="single" w:sz="4" w:space="0" w:color="000000"/>
              <w:right w:val="single" w:sz="4" w:space="0" w:color="000000"/>
            </w:tcBorders>
          </w:tcPr>
          <w:p w14:paraId="6780E1D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Rendre le résultat interprétable par un opérateur, sans jamais commander l’installation.</w:t>
            </w:r>
          </w:p>
        </w:tc>
        <w:tc>
          <w:tcPr>
            <w:tcW w:w="2300" w:type="dxa"/>
            <w:tcBorders>
              <w:top w:val="single" w:sz="4" w:space="0" w:color="000000"/>
              <w:left w:val="single" w:sz="4" w:space="0" w:color="000000"/>
              <w:bottom w:val="single" w:sz="4" w:space="0" w:color="000000"/>
              <w:right w:val="single" w:sz="4" w:space="0" w:color="000000"/>
            </w:tcBorders>
          </w:tcPr>
          <w:p w14:paraId="5665E8F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EX-F-05, EX-F-08, EX-F-09, EX-Q-03</w:t>
            </w:r>
          </w:p>
        </w:tc>
        <w:tc>
          <w:tcPr>
            <w:tcW w:w="1557" w:type="dxa"/>
            <w:tcBorders>
              <w:top w:val="single" w:sz="4" w:space="0" w:color="000000"/>
              <w:left w:val="single" w:sz="4" w:space="0" w:color="000000"/>
              <w:bottom w:val="single" w:sz="4" w:space="0" w:color="000000"/>
              <w:right w:val="single" w:sz="4" w:space="0" w:color="000000"/>
            </w:tcBorders>
          </w:tcPr>
          <w:p w14:paraId="1EA784C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r>
      <w:tr w:rsidR="00F50D70" w:rsidRPr="00BE4F47" w14:paraId="698C57E4"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F53918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SO-5</w:t>
            </w:r>
          </w:p>
        </w:tc>
        <w:tc>
          <w:tcPr>
            <w:tcW w:w="4000" w:type="dxa"/>
            <w:tcBorders>
              <w:top w:val="single" w:sz="4" w:space="0" w:color="000000"/>
              <w:left w:val="single" w:sz="4" w:space="0" w:color="000000"/>
              <w:bottom w:val="single" w:sz="4" w:space="0" w:color="000000"/>
              <w:right w:val="single" w:sz="4" w:space="0" w:color="000000"/>
            </w:tcBorders>
          </w:tcPr>
          <w:p w14:paraId="3403392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Assurer la traçabilité et l’intégrité des données et des essais.</w:t>
            </w:r>
          </w:p>
        </w:tc>
        <w:tc>
          <w:tcPr>
            <w:tcW w:w="2300" w:type="dxa"/>
            <w:tcBorders>
              <w:top w:val="single" w:sz="4" w:space="0" w:color="000000"/>
              <w:left w:val="single" w:sz="4" w:space="0" w:color="000000"/>
              <w:bottom w:val="single" w:sz="4" w:space="0" w:color="000000"/>
              <w:right w:val="single" w:sz="4" w:space="0" w:color="000000"/>
            </w:tcBorders>
          </w:tcPr>
          <w:p w14:paraId="7AB4FEE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EX-F-10, EX-Q-02, EX-Q-04</w:t>
            </w:r>
          </w:p>
        </w:tc>
        <w:tc>
          <w:tcPr>
            <w:tcW w:w="1557" w:type="dxa"/>
            <w:tcBorders>
              <w:top w:val="single" w:sz="4" w:space="0" w:color="000000"/>
              <w:left w:val="single" w:sz="4" w:space="0" w:color="000000"/>
              <w:bottom w:val="single" w:sz="4" w:space="0" w:color="000000"/>
              <w:right w:val="single" w:sz="4" w:space="0" w:color="000000"/>
            </w:tcBorders>
          </w:tcPr>
          <w:p w14:paraId="0CA3234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 L9</w:t>
            </w:r>
          </w:p>
        </w:tc>
      </w:tr>
    </w:tbl>
    <w:p w14:paraId="4814B984"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Chaque sous-objectif porte au moins une exigence vérifiable et au moins un lot de travail. Un sous-objectif sans lot serait un objectif sans moyen, et un lot sans sous-objectif serait un travail sans justification. Le tableau ci-dessus ferme les deux cas.</w:t>
      </w:r>
    </w:p>
    <w:p w14:paraId="5E1DE82D" w14:textId="77777777" w:rsidR="00F50D70" w:rsidRPr="00BE4F47" w:rsidRDefault="00F50D70" w:rsidP="008E113B">
      <w:pPr>
        <w:spacing w:line="360" w:lineRule="auto"/>
        <w:ind w:left="360"/>
        <w:rPr>
          <w:rFonts w:ascii="Aptos" w:hAnsi="Aptos"/>
        </w:rPr>
      </w:pPr>
    </w:p>
    <w:p w14:paraId="3C60DD6A" w14:textId="77777777" w:rsidR="00F50D70" w:rsidRPr="00BE4F47" w:rsidRDefault="00000000" w:rsidP="008E113B">
      <w:pPr>
        <w:spacing w:line="360" w:lineRule="auto"/>
        <w:ind w:left="360"/>
        <w:rPr>
          <w:rFonts w:ascii="Aptos" w:hAnsi="Aptos"/>
        </w:rPr>
      </w:pPr>
      <w:r w:rsidRPr="00BE4F47">
        <w:rPr>
          <w:rFonts w:ascii="Aptos" w:eastAsia="Calibri" w:hAnsi="Aptos" w:cs="Calibri"/>
          <w:color w:val="1A1A19"/>
          <w:sz w:val="20"/>
          <w:szCs w:val="20"/>
        </w:rPr>
        <w:t xml:space="preserve">Les besoins exprimés ci-dessus se traduisent par un ensemble d’états de fonctionnement que le système doit savoir distinguer et parcourir. L’équipe les a formalisés au moyen d’un GEMMA, guide d’étude des modes de marche et d’arrêt. Ce logigramme sert de référence à l’ensemble des exigences : chaque exigence fonctionnelle du registre renvoie à l’état ou à la transition qu’elle couvre. </w:t>
      </w:r>
    </w:p>
    <w:p w14:paraId="6B1B07E4" w14:textId="77777777" w:rsidR="00F50D70" w:rsidRPr="00BE4F47" w:rsidRDefault="00F50D70" w:rsidP="008E113B">
      <w:pPr>
        <w:spacing w:line="360" w:lineRule="auto"/>
        <w:ind w:left="360"/>
        <w:rPr>
          <w:rFonts w:ascii="Aptos" w:hAnsi="Aptos"/>
        </w:rPr>
      </w:pPr>
    </w:p>
    <w:p w14:paraId="34998A47" w14:textId="77777777" w:rsidR="00927E59" w:rsidRPr="00BE4F47" w:rsidRDefault="00927E59" w:rsidP="008E113B">
      <w:pPr>
        <w:spacing w:line="360" w:lineRule="auto"/>
        <w:ind w:left="360"/>
        <w:rPr>
          <w:rFonts w:ascii="Aptos" w:hAnsi="Aptos"/>
        </w:rPr>
      </w:pPr>
    </w:p>
    <w:p w14:paraId="3406D6AC" w14:textId="77777777" w:rsidR="00927E59" w:rsidRPr="00BE4F47" w:rsidRDefault="00927E59" w:rsidP="008E113B">
      <w:pPr>
        <w:spacing w:line="360" w:lineRule="auto"/>
        <w:ind w:left="360"/>
        <w:rPr>
          <w:rFonts w:ascii="Aptos" w:hAnsi="Aptos"/>
        </w:rPr>
      </w:pPr>
    </w:p>
    <w:p w14:paraId="424632F2" w14:textId="77777777" w:rsidR="00927E59" w:rsidRPr="00BE4F47" w:rsidRDefault="00927E59" w:rsidP="008E113B">
      <w:pPr>
        <w:spacing w:line="360" w:lineRule="auto"/>
        <w:ind w:left="360"/>
        <w:rPr>
          <w:rFonts w:ascii="Aptos" w:hAnsi="Aptos"/>
        </w:rPr>
      </w:pPr>
    </w:p>
    <w:p w14:paraId="71A3F9C8" w14:textId="77777777" w:rsidR="00927E59" w:rsidRPr="00BE4F47" w:rsidRDefault="00927E59" w:rsidP="008E113B">
      <w:pPr>
        <w:spacing w:line="360" w:lineRule="auto"/>
        <w:ind w:left="360"/>
        <w:rPr>
          <w:rFonts w:ascii="Aptos" w:hAnsi="Aptos"/>
        </w:rPr>
      </w:pPr>
    </w:p>
    <w:p w14:paraId="6775C1F7" w14:textId="77777777" w:rsidR="00927E59" w:rsidRPr="00BE4F47" w:rsidRDefault="00927E59" w:rsidP="008E113B">
      <w:pPr>
        <w:spacing w:line="360" w:lineRule="auto"/>
        <w:ind w:left="360"/>
        <w:rPr>
          <w:rFonts w:ascii="Aptos" w:hAnsi="Aptos"/>
        </w:rPr>
      </w:pPr>
    </w:p>
    <w:p w14:paraId="0DF3D9B9" w14:textId="77777777" w:rsidR="00927E59" w:rsidRPr="00BE4F47" w:rsidRDefault="00927E59" w:rsidP="008E113B">
      <w:pPr>
        <w:spacing w:line="360" w:lineRule="auto"/>
        <w:ind w:left="360"/>
        <w:rPr>
          <w:rFonts w:ascii="Aptos" w:hAnsi="Aptos"/>
        </w:rPr>
      </w:pPr>
    </w:p>
    <w:p w14:paraId="5AB6D1AF" w14:textId="77777777" w:rsidR="00927E59" w:rsidRPr="00BE4F47" w:rsidRDefault="00927E59" w:rsidP="008E113B">
      <w:pPr>
        <w:spacing w:line="360" w:lineRule="auto"/>
        <w:ind w:left="360"/>
        <w:rPr>
          <w:rFonts w:ascii="Aptos" w:hAnsi="Aptos"/>
        </w:rPr>
      </w:pPr>
    </w:p>
    <w:p w14:paraId="6ABD5D37" w14:textId="77777777" w:rsidR="00927E59" w:rsidRPr="00BE4F47" w:rsidRDefault="00927E59" w:rsidP="008E113B">
      <w:pPr>
        <w:spacing w:line="360" w:lineRule="auto"/>
        <w:ind w:left="360"/>
        <w:rPr>
          <w:rFonts w:ascii="Aptos" w:hAnsi="Aptos"/>
        </w:rPr>
      </w:pPr>
    </w:p>
    <w:p w14:paraId="148233D9" w14:textId="77777777" w:rsidR="00927E59" w:rsidRPr="00BE4F47" w:rsidRDefault="00927E59" w:rsidP="008E113B">
      <w:pPr>
        <w:spacing w:line="360" w:lineRule="auto"/>
        <w:ind w:left="360"/>
        <w:rPr>
          <w:rFonts w:ascii="Aptos" w:hAnsi="Aptos"/>
        </w:rPr>
      </w:pPr>
    </w:p>
    <w:p w14:paraId="7B49223E" w14:textId="77777777" w:rsidR="00927E59" w:rsidRPr="00BE4F47" w:rsidRDefault="00927E59" w:rsidP="008E113B">
      <w:pPr>
        <w:spacing w:line="360" w:lineRule="auto"/>
        <w:ind w:left="360"/>
        <w:rPr>
          <w:rFonts w:ascii="Aptos" w:hAnsi="Aptos"/>
        </w:rPr>
      </w:pPr>
    </w:p>
    <w:p w14:paraId="68C650B2" w14:textId="77777777" w:rsidR="00927E59" w:rsidRPr="00BE4F47" w:rsidRDefault="00927E59" w:rsidP="008E113B">
      <w:pPr>
        <w:spacing w:line="360" w:lineRule="auto"/>
        <w:ind w:left="360"/>
        <w:rPr>
          <w:rFonts w:ascii="Aptos" w:hAnsi="Aptos"/>
        </w:rPr>
      </w:pPr>
    </w:p>
    <w:p w14:paraId="36B99B48" w14:textId="77777777" w:rsidR="00927E59" w:rsidRPr="00BE4F47" w:rsidRDefault="00927E59" w:rsidP="008E113B">
      <w:pPr>
        <w:spacing w:line="360" w:lineRule="auto"/>
        <w:ind w:left="360"/>
        <w:rPr>
          <w:rFonts w:ascii="Aptos" w:hAnsi="Aptos"/>
        </w:rPr>
      </w:pPr>
    </w:p>
    <w:p w14:paraId="1789E4CE" w14:textId="77777777" w:rsidR="00927E59" w:rsidRPr="00BE4F47" w:rsidRDefault="00927E59" w:rsidP="008E113B">
      <w:pPr>
        <w:spacing w:line="360" w:lineRule="auto"/>
        <w:ind w:left="360"/>
        <w:rPr>
          <w:rFonts w:ascii="Aptos" w:hAnsi="Aptos"/>
        </w:rPr>
      </w:pPr>
    </w:p>
    <w:p w14:paraId="58336595" w14:textId="77777777" w:rsidR="00927E59" w:rsidRPr="00BE4F47" w:rsidRDefault="00927E59" w:rsidP="008E113B">
      <w:pPr>
        <w:spacing w:line="360" w:lineRule="auto"/>
        <w:ind w:left="360"/>
        <w:rPr>
          <w:rFonts w:ascii="Aptos" w:hAnsi="Aptos"/>
        </w:rPr>
      </w:pPr>
    </w:p>
    <w:p w14:paraId="40F0CF75" w14:textId="77777777" w:rsidR="00927E59" w:rsidRPr="00BE4F47" w:rsidRDefault="00927E59" w:rsidP="008E113B">
      <w:pPr>
        <w:spacing w:line="360" w:lineRule="auto"/>
        <w:ind w:left="360"/>
        <w:rPr>
          <w:rFonts w:ascii="Aptos" w:hAnsi="Aptos"/>
        </w:rPr>
      </w:pPr>
    </w:p>
    <w:p w14:paraId="2FBD3552" w14:textId="77777777" w:rsidR="00927E59" w:rsidRPr="00BE4F47" w:rsidRDefault="00927E59" w:rsidP="008E113B">
      <w:pPr>
        <w:spacing w:line="360" w:lineRule="auto"/>
        <w:ind w:left="360"/>
        <w:rPr>
          <w:rFonts w:ascii="Aptos" w:hAnsi="Aptos"/>
        </w:rPr>
      </w:pPr>
    </w:p>
    <w:p w14:paraId="64BB0B13" w14:textId="77777777" w:rsidR="00927E59" w:rsidRPr="00BE4F47" w:rsidRDefault="00927E59" w:rsidP="008E113B">
      <w:pPr>
        <w:spacing w:line="360" w:lineRule="auto"/>
        <w:ind w:left="360"/>
        <w:rPr>
          <w:rFonts w:ascii="Aptos" w:hAnsi="Aptos"/>
        </w:rPr>
      </w:pPr>
    </w:p>
    <w:p w14:paraId="4C97F314" w14:textId="77777777" w:rsidR="00927E59" w:rsidRPr="00BE4F47" w:rsidRDefault="00927E59" w:rsidP="008E113B">
      <w:pPr>
        <w:pStyle w:val="Titre2"/>
        <w:spacing w:line="360" w:lineRule="auto"/>
        <w:rPr>
          <w:rFonts w:ascii="Aptos" w:hAnsi="Aptos"/>
        </w:rPr>
      </w:pPr>
      <w:r w:rsidRPr="00BE4F47">
        <w:rPr>
          <w:rFonts w:ascii="Aptos" w:hAnsi="Aptos"/>
        </w:rPr>
        <w:t>Modes de fonctionnement et d’arrêt retenus</w:t>
      </w:r>
    </w:p>
    <w:p w14:paraId="0AD9477B" w14:textId="77777777" w:rsidR="00927E59" w:rsidRPr="00BE4F47" w:rsidRDefault="00927E59" w:rsidP="008E113B">
      <w:pPr>
        <w:spacing w:line="360" w:lineRule="auto"/>
        <w:ind w:left="360"/>
        <w:rPr>
          <w:rFonts w:ascii="Aptos" w:hAnsi="Aptos"/>
        </w:rPr>
      </w:pPr>
    </w:p>
    <w:p w14:paraId="070AB49C" w14:textId="0D90D92D" w:rsidR="00F50D70" w:rsidRPr="00BE4F47" w:rsidRDefault="002A1CE1" w:rsidP="008E113B">
      <w:pPr>
        <w:keepNext/>
        <w:spacing w:line="360" w:lineRule="auto"/>
        <w:ind w:left="360"/>
        <w:rPr>
          <w:rFonts w:ascii="Aptos" w:hAnsi="Aptos"/>
        </w:rPr>
      </w:pPr>
      <w:r>
        <w:rPr>
          <w:rFonts w:ascii="Aptos" w:hAnsi="Aptos"/>
          <w:noProof/>
        </w:rPr>
        <w:drawing>
          <wp:inline distT="0" distB="0" distL="0" distR="0" wp14:anchorId="5E574FA1" wp14:editId="1688E692">
            <wp:extent cx="5593080" cy="3497580"/>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8" cstate="print">
                      <a:extLst>
                        <a:ext uri="{28A0092B-C50C-407E-A947-70E740481C1C}">
                          <a14:useLocalDpi xmlns:a14="http://schemas.microsoft.com/office/drawing/2010/main" val="0"/>
                        </a:ext>
                      </a:extLst>
                    </a:blip>
                    <a:srcRect l="-2" t="-3" r="-2" b="-3"/>
                    <a:stretch>
                      <a:fillRect/>
                    </a:stretch>
                  </pic:blipFill>
                  <pic:spPr bwMode="auto">
                    <a:xfrm>
                      <a:off x="0" y="0"/>
                      <a:ext cx="5593080" cy="3497580"/>
                    </a:xfrm>
                    <a:prstGeom prst="rect">
                      <a:avLst/>
                    </a:prstGeom>
                    <a:noFill/>
                    <a:ln>
                      <a:noFill/>
                    </a:ln>
                  </pic:spPr>
                </pic:pic>
              </a:graphicData>
            </a:graphic>
          </wp:inline>
        </w:drawing>
      </w:r>
    </w:p>
    <w:p w14:paraId="40BF8509" w14:textId="77777777" w:rsidR="00F50D70" w:rsidRPr="00BE4F47" w:rsidRDefault="00000000" w:rsidP="008E113B">
      <w:pPr>
        <w:pStyle w:val="Lgende"/>
        <w:spacing w:line="360" w:lineRule="auto"/>
        <w:rPr>
          <w:rFonts w:ascii="Aptos" w:hAnsi="Aptos"/>
        </w:rPr>
      </w:pPr>
      <w:r w:rsidRPr="00BE4F47">
        <w:rPr>
          <w:rFonts w:ascii="Aptos" w:hAnsi="Aptos"/>
        </w:rPr>
        <w:t>Figure 1-1. Modes de marche et d’arrêt du jumeau numérique de surveillance</w:t>
      </w:r>
    </w:p>
    <w:p w14:paraId="0E5F853C" w14:textId="77777777" w:rsidR="00F50D70" w:rsidRPr="00BE4F47" w:rsidRDefault="00000000" w:rsidP="008E113B">
      <w:pPr>
        <w:spacing w:after="130"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 xml:space="preserve">Onze états sont retenus. La famille A couvre les procédures d’arrêt et de remise en route (A1, A2, A5, A6), la famille F les procédures de fonctionnement (F1, F2, F4, F6) et la famille D les </w:t>
      </w:r>
      <w:r w:rsidRPr="00BE4F47">
        <w:rPr>
          <w:rFonts w:ascii="Aptos" w:eastAsia="Calibri" w:hAnsi="Aptos" w:cs="Calibri"/>
          <w:color w:val="1A1A19"/>
          <w:sz w:val="20"/>
          <w:szCs w:val="20"/>
        </w:rPr>
        <w:lastRenderedPageBreak/>
        <w:t>procédures en défaillance (D1, D2, D3). Cinq états du guide sont écartés, avec leur justification, dans le document de référence du GEMMA.</w:t>
      </w:r>
    </w:p>
    <w:p w14:paraId="018715E8" w14:textId="77777777" w:rsidR="00F50D70" w:rsidRPr="00BE4F47" w:rsidRDefault="00000000" w:rsidP="008E113B">
      <w:pPr>
        <w:spacing w:line="360" w:lineRule="auto"/>
        <w:ind w:left="360"/>
        <w:rPr>
          <w:rFonts w:ascii="Aptos" w:hAnsi="Aptos"/>
        </w:rPr>
      </w:pPr>
      <w:r w:rsidRPr="00BE4F47">
        <w:rPr>
          <w:rFonts w:ascii="Aptos" w:eastAsia="Calibri" w:hAnsi="Aptos" w:cs="Calibri"/>
          <w:color w:val="1A1A19"/>
          <w:sz w:val="20"/>
          <w:szCs w:val="20"/>
        </w:rPr>
        <w:t>Trois états appellent une attention particulière pour la suite. F1 est la surveillance normale, où s’exécute la comparaison entre le comportement observé et le comportement attendu. D2 est le diagnostic, atteint dès qu’une dérive ou une anomalie est confirmée, et par lequel passe obligatoirement toute sortie de défaillance. D3 est le fonctionnement dégradé autorisé, qui exige une validation humaine explicite. Ce sont ces trois états que les exigences EX-F-06 à EX-F-09 traduisent en comportements observables.</w:t>
      </w:r>
    </w:p>
    <w:p w14:paraId="36602738" w14:textId="77777777" w:rsidR="00F50D70" w:rsidRPr="00BE4F47" w:rsidRDefault="00000000" w:rsidP="008E113B">
      <w:pPr>
        <w:pStyle w:val="Titre2"/>
        <w:spacing w:line="360" w:lineRule="auto"/>
        <w:rPr>
          <w:rFonts w:ascii="Aptos" w:hAnsi="Aptos"/>
        </w:rPr>
      </w:pPr>
      <w:r w:rsidRPr="00BE4F47">
        <w:rPr>
          <w:rFonts w:ascii="Aptos" w:hAnsi="Aptos"/>
        </w:rPr>
        <w:t>Analyse fonctionnelle</w:t>
      </w:r>
    </w:p>
    <w:p w14:paraId="21CD6331"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modes de marche et d’arrêt disent dans quels états le système peut se trouver. L’analyse fonctionnelle dit de quoi il est fait et comment l’information y circule. Elle décompose le prototype en six sous-systèmes, en nomme les intrants et les extrants, et établit les liens entre eux. Ce découpage commande directement l’architecture de la section 8 et le plan d’essais de la section 2.</w:t>
      </w:r>
    </w:p>
    <w:p w14:paraId="5F63178E"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principe de découpage est la testabilité. Un sous-système est une frontière à laquelle on peut mesurer quelque chose. Chaque flux du schéma ci-dessous est un point d’observation où un essai peut être posé, ce qui rend chaque sous-système vérifiable indépendamment des autres.</w:t>
      </w:r>
    </w:p>
    <w:p w14:paraId="778B8ABC" w14:textId="44D8DD43" w:rsidR="00F50D70" w:rsidRPr="00BE4F47" w:rsidRDefault="002A1CE1" w:rsidP="008E113B">
      <w:pPr>
        <w:spacing w:line="360" w:lineRule="auto"/>
        <w:jc w:val="center"/>
        <w:rPr>
          <w:rFonts w:ascii="Aptos" w:hAnsi="Aptos"/>
        </w:rPr>
      </w:pPr>
      <w:r>
        <w:rPr>
          <w:noProof/>
        </w:rPr>
        <w:lastRenderedPageBreak/>
        <w:drawing>
          <wp:anchor distT="0" distB="0" distL="114300" distR="114300" simplePos="0" relativeHeight="251658752" behindDoc="1" locked="0" layoutInCell="1" allowOverlap="1" wp14:anchorId="22AAA29F" wp14:editId="3E8664E1">
            <wp:simplePos x="0" y="0"/>
            <wp:positionH relativeFrom="column">
              <wp:posOffset>184785</wp:posOffset>
            </wp:positionH>
            <wp:positionV relativeFrom="paragraph">
              <wp:posOffset>5080</wp:posOffset>
            </wp:positionV>
            <wp:extent cx="5364480" cy="7132320"/>
            <wp:effectExtent l="0" t="0" r="0" b="0"/>
            <wp:wrapTight wrapText="bothSides">
              <wp:wrapPolygon edited="0">
                <wp:start x="0" y="0"/>
                <wp:lineTo x="0" y="21519"/>
                <wp:lineTo x="21554" y="21519"/>
                <wp:lineTo x="21554" y="0"/>
                <wp:lineTo x="0" y="0"/>
              </wp:wrapPolygon>
            </wp:wrapTight>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64480" cy="7132320"/>
                    </a:xfrm>
                    <a:prstGeom prst="rect">
                      <a:avLst/>
                    </a:prstGeom>
                    <a:noFill/>
                  </pic:spPr>
                </pic:pic>
              </a:graphicData>
            </a:graphic>
            <wp14:sizeRelH relativeFrom="page">
              <wp14:pctWidth>0</wp14:pctWidth>
            </wp14:sizeRelH>
            <wp14:sizeRelV relativeFrom="page">
              <wp14:pctHeight>0</wp14:pctHeight>
            </wp14:sizeRelV>
          </wp:anchor>
        </w:drawing>
      </w:r>
    </w:p>
    <w:p w14:paraId="3F563A92" w14:textId="77777777" w:rsidR="00F50D70" w:rsidRPr="00BE4F47" w:rsidRDefault="00000000" w:rsidP="008E113B">
      <w:pPr>
        <w:pStyle w:val="Lgende"/>
        <w:spacing w:line="360" w:lineRule="auto"/>
        <w:rPr>
          <w:rFonts w:ascii="Aptos" w:hAnsi="Aptos"/>
        </w:rPr>
      </w:pPr>
      <w:r w:rsidRPr="00BE4F47">
        <w:rPr>
          <w:rFonts w:ascii="Aptos" w:hAnsi="Aptos"/>
        </w:rPr>
        <w:t>Figure 1-2. Décomposition fonctionnelle et flux d’information du prototype</w:t>
      </w:r>
    </w:p>
    <w:p w14:paraId="6A11B8A5" w14:textId="77777777" w:rsidR="00F50D70" w:rsidRPr="00BE4F47" w:rsidRDefault="00000000" w:rsidP="008E113B">
      <w:pPr>
        <w:pStyle w:val="Lgende"/>
        <w:spacing w:line="360" w:lineRule="auto"/>
        <w:rPr>
          <w:rFonts w:ascii="Aptos" w:hAnsi="Aptos"/>
        </w:rPr>
      </w:pPr>
      <w:r w:rsidRPr="00BE4F47">
        <w:rPr>
          <w:rFonts w:ascii="Aptos" w:hAnsi="Aptos"/>
        </w:rPr>
        <w:t>Tableau 1-3. Sous-systèmes, intrants et extrants</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650"/>
        <w:gridCol w:w="2300"/>
        <w:gridCol w:w="2300"/>
        <w:gridCol w:w="2400"/>
        <w:gridCol w:w="907"/>
      </w:tblGrid>
      <w:tr w:rsidR="00F50D70" w:rsidRPr="00BE4F47" w14:paraId="6B093083" w14:textId="77777777" w:rsidTr="0036725C">
        <w:trPr>
          <w:trHeight w:val="227"/>
          <w:tblHeader/>
        </w:trPr>
        <w:tc>
          <w:tcPr>
            <w:tcW w:w="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4E5885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4ABD80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Fonction principale</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F8C6D4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Intrants</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947F3C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Extrants</w:t>
            </w:r>
          </w:p>
        </w:tc>
        <w:tc>
          <w:tcPr>
            <w:tcW w:w="9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85F4C9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r>
      <w:tr w:rsidR="00F50D70" w:rsidRPr="00BE4F47" w14:paraId="658687A7"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5A9709A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SS-1</w:t>
            </w:r>
          </w:p>
        </w:tc>
        <w:tc>
          <w:tcPr>
            <w:tcW w:w="2300" w:type="dxa"/>
            <w:tcBorders>
              <w:top w:val="single" w:sz="4" w:space="0" w:color="000000"/>
              <w:left w:val="single" w:sz="4" w:space="0" w:color="000000"/>
              <w:bottom w:val="single" w:sz="4" w:space="0" w:color="000000"/>
              <w:right w:val="single" w:sz="4" w:space="0" w:color="000000"/>
            </w:tcBorders>
          </w:tcPr>
          <w:p w14:paraId="6F5918A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Simuler le comportement physique de la boucle thermohydraulique, en fonctionnement normal comme en défaillance.</w:t>
            </w:r>
          </w:p>
        </w:tc>
        <w:tc>
          <w:tcPr>
            <w:tcW w:w="2300" w:type="dxa"/>
            <w:tcBorders>
              <w:top w:val="single" w:sz="4" w:space="0" w:color="000000"/>
              <w:left w:val="single" w:sz="4" w:space="0" w:color="000000"/>
              <w:bottom w:val="single" w:sz="4" w:space="0" w:color="000000"/>
              <w:right w:val="single" w:sz="4" w:space="0" w:color="000000"/>
            </w:tcBorders>
          </w:tcPr>
          <w:p w14:paraId="48140DE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Consignes du scénario, paramètres physiques, ordre d’injection d’une défaillance.</w:t>
            </w:r>
          </w:p>
        </w:tc>
        <w:tc>
          <w:tcPr>
            <w:tcW w:w="2400" w:type="dxa"/>
            <w:tcBorders>
              <w:top w:val="single" w:sz="4" w:space="0" w:color="000000"/>
              <w:left w:val="single" w:sz="4" w:space="0" w:color="000000"/>
              <w:bottom w:val="single" w:sz="4" w:space="0" w:color="000000"/>
              <w:right w:val="single" w:sz="4" w:space="0" w:color="000000"/>
            </w:tcBorders>
          </w:tcPr>
          <w:p w14:paraId="4466DA6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température, de pression et de débit, échantillonnées dans le temps.</w:t>
            </w:r>
          </w:p>
        </w:tc>
        <w:tc>
          <w:tcPr>
            <w:tcW w:w="907" w:type="dxa"/>
            <w:tcBorders>
              <w:top w:val="single" w:sz="4" w:space="0" w:color="000000"/>
              <w:left w:val="single" w:sz="4" w:space="0" w:color="000000"/>
              <w:bottom w:val="single" w:sz="4" w:space="0" w:color="000000"/>
              <w:right w:val="single" w:sz="4" w:space="0" w:color="000000"/>
            </w:tcBorders>
          </w:tcPr>
          <w:p w14:paraId="38D52F5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w:t>
            </w:r>
          </w:p>
        </w:tc>
      </w:tr>
      <w:tr w:rsidR="00F50D70" w:rsidRPr="00BE4F47" w14:paraId="15C1B4EC"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750F0A7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SS-2</w:t>
            </w:r>
          </w:p>
        </w:tc>
        <w:tc>
          <w:tcPr>
            <w:tcW w:w="2300" w:type="dxa"/>
            <w:tcBorders>
              <w:top w:val="single" w:sz="4" w:space="0" w:color="000000"/>
              <w:left w:val="single" w:sz="4" w:space="0" w:color="000000"/>
              <w:bottom w:val="single" w:sz="4" w:space="0" w:color="000000"/>
              <w:right w:val="single" w:sz="4" w:space="0" w:color="000000"/>
            </w:tcBorders>
          </w:tcPr>
          <w:p w14:paraId="5D10D67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Acquérir les grandeurs, les dégrader de façon réaliste, et qualifier ce qui est acquis.</w:t>
            </w:r>
          </w:p>
        </w:tc>
        <w:tc>
          <w:tcPr>
            <w:tcW w:w="2300" w:type="dxa"/>
            <w:tcBorders>
              <w:top w:val="single" w:sz="4" w:space="0" w:color="000000"/>
              <w:left w:val="single" w:sz="4" w:space="0" w:color="000000"/>
              <w:bottom w:val="single" w:sz="4" w:space="0" w:color="000000"/>
              <w:right w:val="single" w:sz="4" w:space="0" w:color="000000"/>
            </w:tcBorders>
          </w:tcPr>
          <w:p w14:paraId="6A0144D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SS-1, modèles de bruit, de dérive de capteur et de perte de données.</w:t>
            </w:r>
          </w:p>
        </w:tc>
        <w:tc>
          <w:tcPr>
            <w:tcW w:w="2400" w:type="dxa"/>
            <w:tcBorders>
              <w:top w:val="single" w:sz="4" w:space="0" w:color="000000"/>
              <w:left w:val="single" w:sz="4" w:space="0" w:color="000000"/>
              <w:bottom w:val="single" w:sz="4" w:space="0" w:color="000000"/>
              <w:right w:val="single" w:sz="4" w:space="0" w:color="000000"/>
            </w:tcBorders>
          </w:tcPr>
          <w:p w14:paraId="4DBBA8C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indice de qualité par mesure, signalement des données manquantes.</w:t>
            </w:r>
          </w:p>
        </w:tc>
        <w:tc>
          <w:tcPr>
            <w:tcW w:w="907" w:type="dxa"/>
            <w:tcBorders>
              <w:top w:val="single" w:sz="4" w:space="0" w:color="000000"/>
              <w:left w:val="single" w:sz="4" w:space="0" w:color="000000"/>
              <w:bottom w:val="single" w:sz="4" w:space="0" w:color="000000"/>
              <w:right w:val="single" w:sz="4" w:space="0" w:color="000000"/>
            </w:tcBorders>
          </w:tcPr>
          <w:p w14:paraId="3345BF1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r>
      <w:tr w:rsidR="00F50D70" w:rsidRPr="00BE4F47" w14:paraId="1C8ABBF6"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43467F1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SS-3</w:t>
            </w:r>
          </w:p>
        </w:tc>
        <w:tc>
          <w:tcPr>
            <w:tcW w:w="2300" w:type="dxa"/>
            <w:tcBorders>
              <w:top w:val="single" w:sz="4" w:space="0" w:color="000000"/>
              <w:left w:val="single" w:sz="4" w:space="0" w:color="000000"/>
              <w:bottom w:val="single" w:sz="4" w:space="0" w:color="000000"/>
              <w:right w:val="single" w:sz="4" w:space="0" w:color="000000"/>
            </w:tcBorders>
          </w:tcPr>
          <w:p w14:paraId="0286D93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Calculer le comportement attendu et le comparer au comportement observé.</w:t>
            </w:r>
          </w:p>
        </w:tc>
        <w:tc>
          <w:tcPr>
            <w:tcW w:w="2300" w:type="dxa"/>
            <w:tcBorders>
              <w:top w:val="single" w:sz="4" w:space="0" w:color="000000"/>
              <w:left w:val="single" w:sz="4" w:space="0" w:color="000000"/>
              <w:bottom w:val="single" w:sz="4" w:space="0" w:color="000000"/>
              <w:right w:val="single" w:sz="4" w:space="0" w:color="000000"/>
            </w:tcBorders>
          </w:tcPr>
          <w:p w14:paraId="0A480BD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de SS-2, paramètres du modèle de référence.</w:t>
            </w:r>
          </w:p>
        </w:tc>
        <w:tc>
          <w:tcPr>
            <w:tcW w:w="2400" w:type="dxa"/>
            <w:tcBorders>
              <w:top w:val="single" w:sz="4" w:space="0" w:color="000000"/>
              <w:left w:val="single" w:sz="4" w:space="0" w:color="000000"/>
              <w:bottom w:val="single" w:sz="4" w:space="0" w:color="000000"/>
              <w:right w:val="single" w:sz="4" w:space="0" w:color="000000"/>
            </w:tcBorders>
          </w:tcPr>
          <w:p w14:paraId="08FB106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Comportement attendu, résidus définis comme l’écart entre observé et attendu.</w:t>
            </w:r>
          </w:p>
        </w:tc>
        <w:tc>
          <w:tcPr>
            <w:tcW w:w="907" w:type="dxa"/>
            <w:tcBorders>
              <w:top w:val="single" w:sz="4" w:space="0" w:color="000000"/>
              <w:left w:val="single" w:sz="4" w:space="0" w:color="000000"/>
              <w:bottom w:val="single" w:sz="4" w:space="0" w:color="000000"/>
              <w:right w:val="single" w:sz="4" w:space="0" w:color="000000"/>
            </w:tcBorders>
          </w:tcPr>
          <w:p w14:paraId="22B1DD7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 L6</w:t>
            </w:r>
          </w:p>
        </w:tc>
      </w:tr>
      <w:tr w:rsidR="00F50D70" w:rsidRPr="00BE4F47" w14:paraId="254B862D"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11599E1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SS-4</w:t>
            </w:r>
          </w:p>
        </w:tc>
        <w:tc>
          <w:tcPr>
            <w:tcW w:w="2300" w:type="dxa"/>
            <w:tcBorders>
              <w:top w:val="single" w:sz="4" w:space="0" w:color="000000"/>
              <w:left w:val="single" w:sz="4" w:space="0" w:color="000000"/>
              <w:bottom w:val="single" w:sz="4" w:space="0" w:color="000000"/>
              <w:right w:val="single" w:sz="4" w:space="0" w:color="000000"/>
            </w:tcBorders>
          </w:tcPr>
          <w:p w14:paraId="36139EE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Décider si un résidu traduit une anomalie, et dire avec quelle confiance.</w:t>
            </w:r>
          </w:p>
        </w:tc>
        <w:tc>
          <w:tcPr>
            <w:tcW w:w="2300" w:type="dxa"/>
            <w:tcBorders>
              <w:top w:val="single" w:sz="4" w:space="0" w:color="000000"/>
              <w:left w:val="single" w:sz="4" w:space="0" w:color="000000"/>
              <w:bottom w:val="single" w:sz="4" w:space="0" w:color="000000"/>
              <w:right w:val="single" w:sz="4" w:space="0" w:color="000000"/>
            </w:tcBorders>
          </w:tcPr>
          <w:p w14:paraId="29C3814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Résidus de SS-3, indice de qualité de SS-2.</w:t>
            </w:r>
          </w:p>
        </w:tc>
        <w:tc>
          <w:tcPr>
            <w:tcW w:w="2400" w:type="dxa"/>
            <w:tcBorders>
              <w:top w:val="single" w:sz="4" w:space="0" w:color="000000"/>
              <w:left w:val="single" w:sz="4" w:space="0" w:color="000000"/>
              <w:bottom w:val="single" w:sz="4" w:space="0" w:color="000000"/>
              <w:right w:val="single" w:sz="4" w:space="0" w:color="000000"/>
            </w:tcBorders>
          </w:tcPr>
          <w:p w14:paraId="4C440CB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estimé parmi normal, dérive, anomalie et incertain ; niveau de confiance ; variables contributrices.</w:t>
            </w:r>
          </w:p>
        </w:tc>
        <w:tc>
          <w:tcPr>
            <w:tcW w:w="907" w:type="dxa"/>
            <w:tcBorders>
              <w:top w:val="single" w:sz="4" w:space="0" w:color="000000"/>
              <w:left w:val="single" w:sz="4" w:space="0" w:color="000000"/>
              <w:bottom w:val="single" w:sz="4" w:space="0" w:color="000000"/>
              <w:right w:val="single" w:sz="4" w:space="0" w:color="000000"/>
            </w:tcBorders>
          </w:tcPr>
          <w:p w14:paraId="69A9771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r>
      <w:tr w:rsidR="00F50D70" w:rsidRPr="00BE4F47" w14:paraId="0FC329C0"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5D6742B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SS-5</w:t>
            </w:r>
          </w:p>
        </w:tc>
        <w:tc>
          <w:tcPr>
            <w:tcW w:w="2300" w:type="dxa"/>
            <w:tcBorders>
              <w:top w:val="single" w:sz="4" w:space="0" w:color="000000"/>
              <w:left w:val="single" w:sz="4" w:space="0" w:color="000000"/>
              <w:bottom w:val="single" w:sz="4" w:space="0" w:color="000000"/>
              <w:right w:val="single" w:sz="4" w:space="0" w:color="000000"/>
            </w:tcBorders>
          </w:tcPr>
          <w:p w14:paraId="5D78370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Présenter l’état, la confiance et les contributions à l’opérateur, sans commander l’installation.</w:t>
            </w:r>
          </w:p>
        </w:tc>
        <w:tc>
          <w:tcPr>
            <w:tcW w:w="2300" w:type="dxa"/>
            <w:tcBorders>
              <w:top w:val="single" w:sz="4" w:space="0" w:color="000000"/>
              <w:left w:val="single" w:sz="4" w:space="0" w:color="000000"/>
              <w:bottom w:val="single" w:sz="4" w:space="0" w:color="000000"/>
              <w:right w:val="single" w:sz="4" w:space="0" w:color="000000"/>
            </w:tcBorders>
          </w:tcPr>
          <w:p w14:paraId="67E5119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Sortie de SS-4, journal de SS-2.</w:t>
            </w:r>
          </w:p>
        </w:tc>
        <w:tc>
          <w:tcPr>
            <w:tcW w:w="2400" w:type="dxa"/>
            <w:tcBorders>
              <w:top w:val="single" w:sz="4" w:space="0" w:color="000000"/>
              <w:left w:val="single" w:sz="4" w:space="0" w:color="000000"/>
              <w:bottom w:val="single" w:sz="4" w:space="0" w:color="000000"/>
              <w:right w:val="single" w:sz="4" w:space="0" w:color="000000"/>
            </w:tcBorders>
          </w:tcPr>
          <w:p w14:paraId="59E0B13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recommandation, mention explicite de l’incertitude, demande de validation humaine.</w:t>
            </w:r>
          </w:p>
        </w:tc>
        <w:tc>
          <w:tcPr>
            <w:tcW w:w="907" w:type="dxa"/>
            <w:tcBorders>
              <w:top w:val="single" w:sz="4" w:space="0" w:color="000000"/>
              <w:left w:val="single" w:sz="4" w:space="0" w:color="000000"/>
              <w:bottom w:val="single" w:sz="4" w:space="0" w:color="000000"/>
              <w:right w:val="single" w:sz="4" w:space="0" w:color="000000"/>
            </w:tcBorders>
          </w:tcPr>
          <w:p w14:paraId="1BFB38E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r>
      <w:tr w:rsidR="00F50D70" w:rsidRPr="00BE4F47" w14:paraId="72CA6BB2"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4D255BD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SS-6</w:t>
            </w:r>
          </w:p>
        </w:tc>
        <w:tc>
          <w:tcPr>
            <w:tcW w:w="2300" w:type="dxa"/>
            <w:tcBorders>
              <w:top w:val="single" w:sz="4" w:space="0" w:color="000000"/>
              <w:left w:val="single" w:sz="4" w:space="0" w:color="000000"/>
              <w:bottom w:val="single" w:sz="4" w:space="0" w:color="000000"/>
              <w:right w:val="single" w:sz="4" w:space="0" w:color="000000"/>
            </w:tcBorders>
          </w:tcPr>
          <w:p w14:paraId="2D40ACE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Journaliser, horodater et protéger l’intégrité de la chaîne, de l’acquisition à l’affichage.</w:t>
            </w:r>
          </w:p>
        </w:tc>
        <w:tc>
          <w:tcPr>
            <w:tcW w:w="2300" w:type="dxa"/>
            <w:tcBorders>
              <w:top w:val="single" w:sz="4" w:space="0" w:color="000000"/>
              <w:left w:val="single" w:sz="4" w:space="0" w:color="000000"/>
              <w:bottom w:val="single" w:sz="4" w:space="0" w:color="000000"/>
              <w:right w:val="single" w:sz="4" w:space="0" w:color="000000"/>
            </w:tcBorders>
          </w:tcPr>
          <w:p w14:paraId="25351DE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Événements émis par SS-2, SS-3, SS-4 et SS-5.</w:t>
            </w:r>
          </w:p>
        </w:tc>
        <w:tc>
          <w:tcPr>
            <w:tcW w:w="2400" w:type="dxa"/>
            <w:tcBorders>
              <w:top w:val="single" w:sz="4" w:space="0" w:color="000000"/>
              <w:left w:val="single" w:sz="4" w:space="0" w:color="000000"/>
              <w:bottom w:val="single" w:sz="4" w:space="0" w:color="000000"/>
              <w:right w:val="single" w:sz="4" w:space="0" w:color="000000"/>
            </w:tcBorders>
          </w:tcPr>
          <w:p w14:paraId="01C95C4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 horodaté et vérifiable, contrôles d’intégrité, cloisonnement des interfaces.</w:t>
            </w:r>
          </w:p>
        </w:tc>
        <w:tc>
          <w:tcPr>
            <w:tcW w:w="907" w:type="dxa"/>
            <w:tcBorders>
              <w:top w:val="single" w:sz="4" w:space="0" w:color="000000"/>
              <w:left w:val="single" w:sz="4" w:space="0" w:color="000000"/>
              <w:bottom w:val="single" w:sz="4" w:space="0" w:color="000000"/>
              <w:right w:val="single" w:sz="4" w:space="0" w:color="000000"/>
            </w:tcBorders>
          </w:tcPr>
          <w:p w14:paraId="24E4A63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w:t>
            </w:r>
          </w:p>
        </w:tc>
      </w:tr>
    </w:tbl>
    <w:p w14:paraId="5A926DF8"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six sous-systèmes se relient par six flux d’information. Chaque flux porte un contenu identifié et un moyen de vérification.</w:t>
      </w:r>
    </w:p>
    <w:p w14:paraId="3E91A8EC" w14:textId="77777777" w:rsidR="00F50D70" w:rsidRPr="00BE4F47" w:rsidRDefault="00000000" w:rsidP="008E113B">
      <w:pPr>
        <w:pStyle w:val="Lgende"/>
        <w:spacing w:line="360" w:lineRule="auto"/>
        <w:rPr>
          <w:rFonts w:ascii="Aptos" w:hAnsi="Aptos"/>
        </w:rPr>
      </w:pPr>
      <w:r w:rsidRPr="00BE4F47">
        <w:rPr>
          <w:rFonts w:ascii="Aptos" w:hAnsi="Aptos"/>
        </w:rPr>
        <w:t>Tableau 1-4. Flux d’information entre les sous-systèmes</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600"/>
        <w:gridCol w:w="900"/>
        <w:gridCol w:w="900"/>
        <w:gridCol w:w="3000"/>
        <w:gridCol w:w="3157"/>
      </w:tblGrid>
      <w:tr w:rsidR="00F50D70" w:rsidRPr="00BE4F47" w14:paraId="03FCF495" w14:textId="77777777" w:rsidTr="0036725C">
        <w:trPr>
          <w:trHeight w:val="227"/>
          <w:tblHeader/>
        </w:trPr>
        <w:tc>
          <w:tcPr>
            <w:tcW w:w="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50A39C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Flux</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458660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De</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E4F24C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Vers</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D4311B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Contenu</w:t>
            </w:r>
          </w:p>
        </w:tc>
        <w:tc>
          <w:tcPr>
            <w:tcW w:w="31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10BFD3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qu’il permet de vérifier</w:t>
            </w:r>
          </w:p>
        </w:tc>
      </w:tr>
      <w:tr w:rsidR="00F50D70" w:rsidRPr="00BE4F47" w14:paraId="7F3693CB"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1A3F98F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F1</w:t>
            </w:r>
          </w:p>
        </w:tc>
        <w:tc>
          <w:tcPr>
            <w:tcW w:w="900" w:type="dxa"/>
            <w:tcBorders>
              <w:top w:val="single" w:sz="4" w:space="0" w:color="000000"/>
              <w:left w:val="single" w:sz="4" w:space="0" w:color="000000"/>
              <w:bottom w:val="single" w:sz="4" w:space="0" w:color="000000"/>
              <w:right w:val="single" w:sz="4" w:space="0" w:color="000000"/>
            </w:tcBorders>
          </w:tcPr>
          <w:p w14:paraId="14DB6B2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Scénario d’essai</w:t>
            </w:r>
          </w:p>
        </w:tc>
        <w:tc>
          <w:tcPr>
            <w:tcW w:w="900" w:type="dxa"/>
            <w:tcBorders>
              <w:top w:val="single" w:sz="4" w:space="0" w:color="000000"/>
              <w:left w:val="single" w:sz="4" w:space="0" w:color="000000"/>
              <w:bottom w:val="single" w:sz="4" w:space="0" w:color="000000"/>
              <w:right w:val="single" w:sz="4" w:space="0" w:color="000000"/>
            </w:tcBorders>
          </w:tcPr>
          <w:p w14:paraId="40ABB9C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SS-1</w:t>
            </w:r>
          </w:p>
        </w:tc>
        <w:tc>
          <w:tcPr>
            <w:tcW w:w="3000" w:type="dxa"/>
            <w:tcBorders>
              <w:top w:val="single" w:sz="4" w:space="0" w:color="000000"/>
              <w:left w:val="single" w:sz="4" w:space="0" w:color="000000"/>
              <w:bottom w:val="single" w:sz="4" w:space="0" w:color="000000"/>
              <w:right w:val="single" w:sz="4" w:space="0" w:color="000000"/>
            </w:tcBorders>
          </w:tcPr>
          <w:p w14:paraId="1703AB2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Consigne de fonctionnement et ordre d’injection de défaillance.</w:t>
            </w:r>
          </w:p>
        </w:tc>
        <w:tc>
          <w:tcPr>
            <w:tcW w:w="3157" w:type="dxa"/>
            <w:tcBorders>
              <w:top w:val="single" w:sz="4" w:space="0" w:color="000000"/>
              <w:left w:val="single" w:sz="4" w:space="0" w:color="000000"/>
              <w:bottom w:val="single" w:sz="4" w:space="0" w:color="000000"/>
              <w:right w:val="single" w:sz="4" w:space="0" w:color="000000"/>
            </w:tcBorders>
          </w:tcPr>
          <w:p w14:paraId="02C94A5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Qu’un même scénario produit deux fois la même trajectoire (EX-Q-05).</w:t>
            </w:r>
          </w:p>
        </w:tc>
      </w:tr>
      <w:tr w:rsidR="00F50D70" w:rsidRPr="00BE4F47" w14:paraId="46C4879B"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6BD0D3E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F2</w:t>
            </w:r>
          </w:p>
        </w:tc>
        <w:tc>
          <w:tcPr>
            <w:tcW w:w="900" w:type="dxa"/>
            <w:tcBorders>
              <w:top w:val="single" w:sz="4" w:space="0" w:color="000000"/>
              <w:left w:val="single" w:sz="4" w:space="0" w:color="000000"/>
              <w:bottom w:val="single" w:sz="4" w:space="0" w:color="000000"/>
              <w:right w:val="single" w:sz="4" w:space="0" w:color="000000"/>
            </w:tcBorders>
          </w:tcPr>
          <w:p w14:paraId="455EFB5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SS-1</w:t>
            </w:r>
          </w:p>
        </w:tc>
        <w:tc>
          <w:tcPr>
            <w:tcW w:w="900" w:type="dxa"/>
            <w:tcBorders>
              <w:top w:val="single" w:sz="4" w:space="0" w:color="000000"/>
              <w:left w:val="single" w:sz="4" w:space="0" w:color="000000"/>
              <w:bottom w:val="single" w:sz="4" w:space="0" w:color="000000"/>
              <w:right w:val="single" w:sz="4" w:space="0" w:color="000000"/>
            </w:tcBorders>
          </w:tcPr>
          <w:p w14:paraId="67DD4D7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SS-2</w:t>
            </w:r>
          </w:p>
        </w:tc>
        <w:tc>
          <w:tcPr>
            <w:tcW w:w="3000" w:type="dxa"/>
            <w:tcBorders>
              <w:top w:val="single" w:sz="4" w:space="0" w:color="000000"/>
              <w:left w:val="single" w:sz="4" w:space="0" w:color="000000"/>
              <w:bottom w:val="single" w:sz="4" w:space="0" w:color="000000"/>
              <w:right w:val="single" w:sz="4" w:space="0" w:color="000000"/>
            </w:tcBorders>
          </w:tcPr>
          <w:p w14:paraId="2FF28B2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température, de pression et de débit.</w:t>
            </w:r>
          </w:p>
        </w:tc>
        <w:tc>
          <w:tcPr>
            <w:tcW w:w="3157" w:type="dxa"/>
            <w:tcBorders>
              <w:top w:val="single" w:sz="4" w:space="0" w:color="000000"/>
              <w:left w:val="single" w:sz="4" w:space="0" w:color="000000"/>
              <w:bottom w:val="single" w:sz="4" w:space="0" w:color="000000"/>
              <w:right w:val="single" w:sz="4" w:space="0" w:color="000000"/>
            </w:tcBorders>
          </w:tcPr>
          <w:p w14:paraId="06D2243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la boucle simulée reste dans son domaine de validité (EX-C-01).</w:t>
            </w:r>
          </w:p>
        </w:tc>
      </w:tr>
      <w:tr w:rsidR="00F50D70" w:rsidRPr="00BE4F47" w14:paraId="11940D5F"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7C932A8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F3</w:t>
            </w:r>
          </w:p>
        </w:tc>
        <w:tc>
          <w:tcPr>
            <w:tcW w:w="900" w:type="dxa"/>
            <w:tcBorders>
              <w:top w:val="single" w:sz="4" w:space="0" w:color="000000"/>
              <w:left w:val="single" w:sz="4" w:space="0" w:color="000000"/>
              <w:bottom w:val="single" w:sz="4" w:space="0" w:color="000000"/>
              <w:right w:val="single" w:sz="4" w:space="0" w:color="000000"/>
            </w:tcBorders>
          </w:tcPr>
          <w:p w14:paraId="34D3B2D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SS-2</w:t>
            </w:r>
          </w:p>
        </w:tc>
        <w:tc>
          <w:tcPr>
            <w:tcW w:w="900" w:type="dxa"/>
            <w:tcBorders>
              <w:top w:val="single" w:sz="4" w:space="0" w:color="000000"/>
              <w:left w:val="single" w:sz="4" w:space="0" w:color="000000"/>
              <w:bottom w:val="single" w:sz="4" w:space="0" w:color="000000"/>
              <w:right w:val="single" w:sz="4" w:space="0" w:color="000000"/>
            </w:tcBorders>
          </w:tcPr>
          <w:p w14:paraId="387FEF3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SS-3</w:t>
            </w:r>
          </w:p>
        </w:tc>
        <w:tc>
          <w:tcPr>
            <w:tcW w:w="3000" w:type="dxa"/>
            <w:tcBorders>
              <w:top w:val="single" w:sz="4" w:space="0" w:color="000000"/>
              <w:left w:val="single" w:sz="4" w:space="0" w:color="000000"/>
              <w:bottom w:val="single" w:sz="4" w:space="0" w:color="000000"/>
              <w:right w:val="single" w:sz="4" w:space="0" w:color="000000"/>
            </w:tcBorders>
          </w:tcPr>
          <w:p w14:paraId="1F09E5E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assorties d’un indice de qualité.</w:t>
            </w:r>
          </w:p>
        </w:tc>
        <w:tc>
          <w:tcPr>
            <w:tcW w:w="3157" w:type="dxa"/>
            <w:tcBorders>
              <w:top w:val="single" w:sz="4" w:space="0" w:color="000000"/>
              <w:left w:val="single" w:sz="4" w:space="0" w:color="000000"/>
              <w:bottom w:val="single" w:sz="4" w:space="0" w:color="000000"/>
              <w:right w:val="single" w:sz="4" w:space="0" w:color="000000"/>
            </w:tcBorders>
          </w:tcPr>
          <w:p w14:paraId="59C5BA9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la dégradation appliquée est celle qui était demandée (EX-F-03).</w:t>
            </w:r>
          </w:p>
        </w:tc>
      </w:tr>
      <w:tr w:rsidR="00F50D70" w:rsidRPr="00BE4F47" w14:paraId="7866476C"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77D1B92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F4</w:t>
            </w:r>
          </w:p>
        </w:tc>
        <w:tc>
          <w:tcPr>
            <w:tcW w:w="900" w:type="dxa"/>
            <w:tcBorders>
              <w:top w:val="single" w:sz="4" w:space="0" w:color="000000"/>
              <w:left w:val="single" w:sz="4" w:space="0" w:color="000000"/>
              <w:bottom w:val="single" w:sz="4" w:space="0" w:color="000000"/>
              <w:right w:val="single" w:sz="4" w:space="0" w:color="000000"/>
            </w:tcBorders>
          </w:tcPr>
          <w:p w14:paraId="43B9A7A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SS-3</w:t>
            </w:r>
          </w:p>
        </w:tc>
        <w:tc>
          <w:tcPr>
            <w:tcW w:w="900" w:type="dxa"/>
            <w:tcBorders>
              <w:top w:val="single" w:sz="4" w:space="0" w:color="000000"/>
              <w:left w:val="single" w:sz="4" w:space="0" w:color="000000"/>
              <w:bottom w:val="single" w:sz="4" w:space="0" w:color="000000"/>
              <w:right w:val="single" w:sz="4" w:space="0" w:color="000000"/>
            </w:tcBorders>
          </w:tcPr>
          <w:p w14:paraId="44615D0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SS-4</w:t>
            </w:r>
          </w:p>
        </w:tc>
        <w:tc>
          <w:tcPr>
            <w:tcW w:w="3000" w:type="dxa"/>
            <w:tcBorders>
              <w:top w:val="single" w:sz="4" w:space="0" w:color="000000"/>
              <w:left w:val="single" w:sz="4" w:space="0" w:color="000000"/>
              <w:bottom w:val="single" w:sz="4" w:space="0" w:color="000000"/>
              <w:right w:val="single" w:sz="4" w:space="0" w:color="000000"/>
            </w:tcBorders>
          </w:tcPr>
          <w:p w14:paraId="663B9C1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Résidus entre comportement observé et comportement attendu.</w:t>
            </w:r>
          </w:p>
        </w:tc>
        <w:tc>
          <w:tcPr>
            <w:tcW w:w="3157" w:type="dxa"/>
            <w:tcBorders>
              <w:top w:val="single" w:sz="4" w:space="0" w:color="000000"/>
              <w:left w:val="single" w:sz="4" w:space="0" w:color="000000"/>
              <w:bottom w:val="single" w:sz="4" w:space="0" w:color="000000"/>
              <w:right w:val="single" w:sz="4" w:space="0" w:color="000000"/>
            </w:tcBorders>
          </w:tcPr>
          <w:p w14:paraId="17DF9BB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l’écart entre les deux modèles reste sous le seuil retenu (EX-Q-01).</w:t>
            </w:r>
          </w:p>
        </w:tc>
      </w:tr>
      <w:tr w:rsidR="00F50D70" w:rsidRPr="00BE4F47" w14:paraId="3CF843C4"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06CEE90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F5</w:t>
            </w:r>
          </w:p>
        </w:tc>
        <w:tc>
          <w:tcPr>
            <w:tcW w:w="900" w:type="dxa"/>
            <w:tcBorders>
              <w:top w:val="single" w:sz="4" w:space="0" w:color="000000"/>
              <w:left w:val="single" w:sz="4" w:space="0" w:color="000000"/>
              <w:bottom w:val="single" w:sz="4" w:space="0" w:color="000000"/>
              <w:right w:val="single" w:sz="4" w:space="0" w:color="000000"/>
            </w:tcBorders>
          </w:tcPr>
          <w:p w14:paraId="4ACF8A7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SS-4</w:t>
            </w:r>
          </w:p>
        </w:tc>
        <w:tc>
          <w:tcPr>
            <w:tcW w:w="900" w:type="dxa"/>
            <w:tcBorders>
              <w:top w:val="single" w:sz="4" w:space="0" w:color="000000"/>
              <w:left w:val="single" w:sz="4" w:space="0" w:color="000000"/>
              <w:bottom w:val="single" w:sz="4" w:space="0" w:color="000000"/>
              <w:right w:val="single" w:sz="4" w:space="0" w:color="000000"/>
            </w:tcBorders>
          </w:tcPr>
          <w:p w14:paraId="16FEC80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SS-5</w:t>
            </w:r>
          </w:p>
        </w:tc>
        <w:tc>
          <w:tcPr>
            <w:tcW w:w="3000" w:type="dxa"/>
            <w:tcBorders>
              <w:top w:val="single" w:sz="4" w:space="0" w:color="000000"/>
              <w:left w:val="single" w:sz="4" w:space="0" w:color="000000"/>
              <w:bottom w:val="single" w:sz="4" w:space="0" w:color="000000"/>
              <w:right w:val="single" w:sz="4" w:space="0" w:color="000000"/>
            </w:tcBorders>
          </w:tcPr>
          <w:p w14:paraId="474D5AA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estimé, niveau de confiance, variables contributrices.</w:t>
            </w:r>
          </w:p>
        </w:tc>
        <w:tc>
          <w:tcPr>
            <w:tcW w:w="3157" w:type="dxa"/>
            <w:tcBorders>
              <w:top w:val="single" w:sz="4" w:space="0" w:color="000000"/>
              <w:left w:val="single" w:sz="4" w:space="0" w:color="000000"/>
              <w:bottom w:val="single" w:sz="4" w:space="0" w:color="000000"/>
              <w:right w:val="single" w:sz="4" w:space="0" w:color="000000"/>
            </w:tcBorders>
          </w:tcPr>
          <w:p w14:paraId="7D9AF6B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l’état « incertain » apparaît bien quand les données manquent (EX-F-06).</w:t>
            </w:r>
          </w:p>
        </w:tc>
      </w:tr>
      <w:tr w:rsidR="00F50D70" w:rsidRPr="00BE4F47" w14:paraId="71023FD8"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1B4C9C5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F6</w:t>
            </w:r>
          </w:p>
        </w:tc>
        <w:tc>
          <w:tcPr>
            <w:tcW w:w="900" w:type="dxa"/>
            <w:tcBorders>
              <w:top w:val="single" w:sz="4" w:space="0" w:color="000000"/>
              <w:left w:val="single" w:sz="4" w:space="0" w:color="000000"/>
              <w:bottom w:val="single" w:sz="4" w:space="0" w:color="000000"/>
              <w:right w:val="single" w:sz="4" w:space="0" w:color="000000"/>
            </w:tcBorders>
          </w:tcPr>
          <w:p w14:paraId="6516327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SS-5</w:t>
            </w:r>
          </w:p>
        </w:tc>
        <w:tc>
          <w:tcPr>
            <w:tcW w:w="900" w:type="dxa"/>
            <w:tcBorders>
              <w:top w:val="single" w:sz="4" w:space="0" w:color="000000"/>
              <w:left w:val="single" w:sz="4" w:space="0" w:color="000000"/>
              <w:bottom w:val="single" w:sz="4" w:space="0" w:color="000000"/>
              <w:right w:val="single" w:sz="4" w:space="0" w:color="000000"/>
            </w:tcBorders>
          </w:tcPr>
          <w:p w14:paraId="1F9A9A9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Opérateur</w:t>
            </w:r>
          </w:p>
        </w:tc>
        <w:tc>
          <w:tcPr>
            <w:tcW w:w="3000" w:type="dxa"/>
            <w:tcBorders>
              <w:top w:val="single" w:sz="4" w:space="0" w:color="000000"/>
              <w:left w:val="single" w:sz="4" w:space="0" w:color="000000"/>
              <w:bottom w:val="single" w:sz="4" w:space="0" w:color="000000"/>
              <w:right w:val="single" w:sz="4" w:space="0" w:color="000000"/>
            </w:tcBorders>
          </w:tcPr>
          <w:p w14:paraId="0929051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recommandation, demande de validation.</w:t>
            </w:r>
          </w:p>
        </w:tc>
        <w:tc>
          <w:tcPr>
            <w:tcW w:w="3157" w:type="dxa"/>
            <w:tcBorders>
              <w:top w:val="single" w:sz="4" w:space="0" w:color="000000"/>
              <w:left w:val="single" w:sz="4" w:space="0" w:color="000000"/>
              <w:bottom w:val="single" w:sz="4" w:space="0" w:color="000000"/>
              <w:right w:val="single" w:sz="4" w:space="0" w:color="000000"/>
            </w:tcBorders>
          </w:tcPr>
          <w:p w14:paraId="05B44D3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Qu’aucune commande n’est émise vers l’installation (EX-F-08).</w:t>
            </w:r>
          </w:p>
        </w:tc>
      </w:tr>
    </w:tbl>
    <w:p w14:paraId="7E5822A6"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Deux points méritent d’être soulignés. SS-6 est transverse : il ne se situe pas dans la chaîne de traitement mais l’accompagne de bout en bout, ce qui correspond à l’exigence de journalisation EX-F-10 et au corpus de cybersécurité retenu à la section 6. Et la chaîne s’arrête à SS-5 : aucun flux ne repart vers la boucle. Cette absence de boucle de retour est une décision de conception, pas un oubli. Elle matérialise l’exclusion de toute commande automatique.</w:t>
      </w:r>
    </w:p>
    <w:p w14:paraId="16362AC6" w14:textId="77777777" w:rsidR="00F50D70" w:rsidRPr="00BE4F47" w:rsidRDefault="00F50D70" w:rsidP="008E113B">
      <w:pPr>
        <w:spacing w:line="360" w:lineRule="auto"/>
        <w:ind w:left="360"/>
        <w:rPr>
          <w:rFonts w:ascii="Aptos" w:hAnsi="Aptos"/>
        </w:rPr>
      </w:pPr>
    </w:p>
    <w:p w14:paraId="3713BA22" w14:textId="77777777" w:rsidR="00F50D70" w:rsidRDefault="00000000" w:rsidP="008E113B">
      <w:pPr>
        <w:pStyle w:val="Titre2"/>
        <w:spacing w:line="360" w:lineRule="auto"/>
        <w:rPr>
          <w:rFonts w:ascii="Aptos" w:hAnsi="Aptos"/>
        </w:rPr>
      </w:pPr>
      <w:bookmarkStart w:id="7" w:name="__RefHeading___Toc240715072"/>
      <w:bookmarkEnd w:id="7"/>
      <w:r w:rsidRPr="00BE4F47">
        <w:rPr>
          <w:rFonts w:ascii="Aptos" w:hAnsi="Aptos"/>
        </w:rPr>
        <w:t>Périmètre inclus/exclus</w:t>
      </w:r>
    </w:p>
    <w:p w14:paraId="686875A8" w14:textId="77777777" w:rsidR="00136F18" w:rsidRPr="00BE4F47" w:rsidRDefault="00136F18" w:rsidP="008E113B">
      <w:pPr>
        <w:spacing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Sont exclus du périmètre : la modélisation complète de la centrale, le raccordement à une installation nucléaire réelle, la connexion à des équipements réels, et toute forme de commande automatique de l’installation. Ces exclusions sont reprises comme exigences de périmètre en 1.7.4 et comme exclusions de livrables en 2.4.</w:t>
      </w:r>
    </w:p>
    <w:p w14:paraId="6A4B5E2B" w14:textId="77777777" w:rsidR="00136F18" w:rsidRPr="00136F18" w:rsidRDefault="00136F18" w:rsidP="008E113B">
      <w:pPr>
        <w:spacing w:line="360" w:lineRule="auto"/>
      </w:pPr>
    </w:p>
    <w:p w14:paraId="0AD879C7" w14:textId="77777777" w:rsidR="00F50D70" w:rsidRPr="00BE4F47" w:rsidRDefault="00000000" w:rsidP="008E113B">
      <w:pPr>
        <w:pStyle w:val="Titre2"/>
        <w:spacing w:line="360" w:lineRule="auto"/>
        <w:rPr>
          <w:rFonts w:ascii="Aptos" w:hAnsi="Aptos"/>
        </w:rPr>
      </w:pPr>
      <w:r w:rsidRPr="00BE4F47">
        <w:rPr>
          <w:rFonts w:ascii="Aptos" w:hAnsi="Aptos"/>
        </w:rPr>
        <w:t>Priorisation des besoins</w:t>
      </w:r>
    </w:p>
    <w:p w14:paraId="2DC48F7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Tous les besoins n’ont pas la même urgence. La classification ci-dessous sert à décider quoi réduire en premier si l’enveloppe de 1 080 heures devient insuffisante, ce que le risque RP2 de la section 7 envisage explicitement. L’urgence dit à quel jalon le besoin doit être couvert. L’importance dit ce qui arrive s’il ne l’est pas.</w:t>
      </w:r>
    </w:p>
    <w:p w14:paraId="68C0058B" w14:textId="77777777" w:rsidR="00F50D70" w:rsidRPr="00BE4F47" w:rsidRDefault="00000000" w:rsidP="008E113B">
      <w:pPr>
        <w:pStyle w:val="Lgende"/>
        <w:spacing w:line="360" w:lineRule="auto"/>
        <w:rPr>
          <w:rFonts w:ascii="Aptos" w:hAnsi="Aptos"/>
        </w:rPr>
      </w:pPr>
      <w:r w:rsidRPr="00BE4F47">
        <w:rPr>
          <w:rFonts w:ascii="Aptos" w:hAnsi="Aptos"/>
        </w:rPr>
        <w:t>Tableau 1-5. Priorisation des besoins par urgence et par importance</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600"/>
        <w:gridCol w:w="2700"/>
        <w:gridCol w:w="800"/>
        <w:gridCol w:w="1000"/>
        <w:gridCol w:w="3457"/>
      </w:tblGrid>
      <w:tr w:rsidR="00F50D70" w:rsidRPr="00BE4F47" w14:paraId="19577958" w14:textId="77777777" w:rsidTr="0036725C">
        <w:trPr>
          <w:trHeight w:val="227"/>
          <w:tblHeader/>
        </w:trPr>
        <w:tc>
          <w:tcPr>
            <w:tcW w:w="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9A18C6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Rang</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593016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Besoin</w:t>
            </w:r>
          </w:p>
        </w:tc>
        <w:tc>
          <w:tcPr>
            <w:tcW w:w="8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3A9FE5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Urgence</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B906B9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Importance</w:t>
            </w:r>
          </w:p>
        </w:tc>
        <w:tc>
          <w:tcPr>
            <w:tcW w:w="34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E7B401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si non couvert</w:t>
            </w:r>
          </w:p>
        </w:tc>
      </w:tr>
      <w:tr w:rsidR="00F50D70" w:rsidRPr="00BE4F47" w14:paraId="54B501FC"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4BD6F28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1</w:t>
            </w:r>
          </w:p>
        </w:tc>
        <w:tc>
          <w:tcPr>
            <w:tcW w:w="2700" w:type="dxa"/>
            <w:tcBorders>
              <w:top w:val="single" w:sz="4" w:space="0" w:color="000000"/>
              <w:left w:val="single" w:sz="4" w:space="0" w:color="000000"/>
              <w:bottom w:val="single" w:sz="4" w:space="0" w:color="000000"/>
              <w:right w:val="single" w:sz="4" w:space="0" w:color="000000"/>
            </w:tcBorders>
          </w:tcPr>
          <w:p w14:paraId="1022B21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Rejouer des scénarios de défaillance de façon reproductible.</w:t>
            </w:r>
          </w:p>
        </w:tc>
        <w:tc>
          <w:tcPr>
            <w:tcW w:w="800" w:type="dxa"/>
            <w:tcBorders>
              <w:top w:val="single" w:sz="4" w:space="0" w:color="000000"/>
              <w:left w:val="single" w:sz="4" w:space="0" w:color="000000"/>
              <w:bottom w:val="single" w:sz="4" w:space="0" w:color="000000"/>
              <w:right w:val="single" w:sz="4" w:space="0" w:color="000000"/>
            </w:tcBorders>
          </w:tcPr>
          <w:p w14:paraId="1E169A5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642B8C6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457" w:type="dxa"/>
            <w:tcBorders>
              <w:top w:val="single" w:sz="4" w:space="0" w:color="000000"/>
              <w:left w:val="single" w:sz="4" w:space="0" w:color="000000"/>
              <w:bottom w:val="single" w:sz="4" w:space="0" w:color="000000"/>
              <w:right w:val="single" w:sz="4" w:space="0" w:color="000000"/>
            </w:tcBorders>
          </w:tcPr>
          <w:p w14:paraId="75B5A62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perd son objet. Aucun autre besoin n’a de sens sans celui-là.</w:t>
            </w:r>
          </w:p>
        </w:tc>
      </w:tr>
      <w:tr w:rsidR="00F50D70" w:rsidRPr="00BE4F47" w14:paraId="3353820D"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3F1A014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2</w:t>
            </w:r>
          </w:p>
        </w:tc>
        <w:tc>
          <w:tcPr>
            <w:tcW w:w="2700" w:type="dxa"/>
            <w:tcBorders>
              <w:top w:val="single" w:sz="4" w:space="0" w:color="000000"/>
              <w:left w:val="single" w:sz="4" w:space="0" w:color="000000"/>
              <w:bottom w:val="single" w:sz="4" w:space="0" w:color="000000"/>
              <w:right w:val="single" w:sz="4" w:space="0" w:color="000000"/>
            </w:tcBorders>
          </w:tcPr>
          <w:p w14:paraId="63AFEDB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Signaler l’incertitude plutôt que présenter un état douteux comme normal.</w:t>
            </w:r>
          </w:p>
        </w:tc>
        <w:tc>
          <w:tcPr>
            <w:tcW w:w="800" w:type="dxa"/>
            <w:tcBorders>
              <w:top w:val="single" w:sz="4" w:space="0" w:color="000000"/>
              <w:left w:val="single" w:sz="4" w:space="0" w:color="000000"/>
              <w:bottom w:val="single" w:sz="4" w:space="0" w:color="000000"/>
              <w:right w:val="single" w:sz="4" w:space="0" w:color="000000"/>
            </w:tcBorders>
          </w:tcPr>
          <w:p w14:paraId="6F40498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000" w:type="dxa"/>
            <w:tcBorders>
              <w:top w:val="single" w:sz="4" w:space="0" w:color="000000"/>
              <w:left w:val="single" w:sz="4" w:space="0" w:color="000000"/>
              <w:bottom w:val="single" w:sz="4" w:space="0" w:color="000000"/>
              <w:right w:val="single" w:sz="4" w:space="0" w:color="000000"/>
            </w:tcBorders>
          </w:tcPr>
          <w:p w14:paraId="10524A3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457" w:type="dxa"/>
            <w:tcBorders>
              <w:top w:val="single" w:sz="4" w:space="0" w:color="000000"/>
              <w:left w:val="single" w:sz="4" w:space="0" w:color="000000"/>
              <w:bottom w:val="single" w:sz="4" w:space="0" w:color="000000"/>
              <w:right w:val="single" w:sz="4" w:space="0" w:color="000000"/>
            </w:tcBorders>
          </w:tcPr>
          <w:p w14:paraId="3FF4F47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système devient dangereux à utiliser. C’est le cœur de la protection du public.</w:t>
            </w:r>
          </w:p>
        </w:tc>
      </w:tr>
      <w:tr w:rsidR="00F50D70" w:rsidRPr="00BE4F47" w14:paraId="56A165D9"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25B0FA2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3</w:t>
            </w:r>
          </w:p>
        </w:tc>
        <w:tc>
          <w:tcPr>
            <w:tcW w:w="2700" w:type="dxa"/>
            <w:tcBorders>
              <w:top w:val="single" w:sz="4" w:space="0" w:color="000000"/>
              <w:left w:val="single" w:sz="4" w:space="0" w:color="000000"/>
              <w:bottom w:val="single" w:sz="4" w:space="0" w:color="000000"/>
              <w:right w:val="single" w:sz="4" w:space="0" w:color="000000"/>
            </w:tcBorders>
          </w:tcPr>
          <w:p w14:paraId="1178697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Comparer le comportement observé au comportement attendu.</w:t>
            </w:r>
          </w:p>
        </w:tc>
        <w:tc>
          <w:tcPr>
            <w:tcW w:w="800" w:type="dxa"/>
            <w:tcBorders>
              <w:top w:val="single" w:sz="4" w:space="0" w:color="000000"/>
              <w:left w:val="single" w:sz="4" w:space="0" w:color="000000"/>
              <w:bottom w:val="single" w:sz="4" w:space="0" w:color="000000"/>
              <w:right w:val="single" w:sz="4" w:space="0" w:color="000000"/>
            </w:tcBorders>
          </w:tcPr>
          <w:p w14:paraId="53725A1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64F6DAC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457" w:type="dxa"/>
            <w:tcBorders>
              <w:top w:val="single" w:sz="4" w:space="0" w:color="000000"/>
              <w:left w:val="single" w:sz="4" w:space="0" w:color="000000"/>
              <w:bottom w:val="single" w:sz="4" w:space="0" w:color="000000"/>
              <w:right w:val="single" w:sz="4" w:space="0" w:color="000000"/>
            </w:tcBorders>
          </w:tcPr>
          <w:p w14:paraId="6D32F30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détection n’est possible.</w:t>
            </w:r>
          </w:p>
        </w:tc>
      </w:tr>
      <w:tr w:rsidR="00F50D70" w:rsidRPr="00BE4F47" w14:paraId="3D983B7F"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08CD12A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4</w:t>
            </w:r>
          </w:p>
        </w:tc>
        <w:tc>
          <w:tcPr>
            <w:tcW w:w="2700" w:type="dxa"/>
            <w:tcBorders>
              <w:top w:val="single" w:sz="4" w:space="0" w:color="000000"/>
              <w:left w:val="single" w:sz="4" w:space="0" w:color="000000"/>
              <w:bottom w:val="single" w:sz="4" w:space="0" w:color="000000"/>
              <w:right w:val="single" w:sz="4" w:space="0" w:color="000000"/>
            </w:tcBorders>
          </w:tcPr>
          <w:p w14:paraId="3E5205F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Expliquer pourquoi le système conclut, en montrant les variables contributrices.</w:t>
            </w:r>
          </w:p>
        </w:tc>
        <w:tc>
          <w:tcPr>
            <w:tcW w:w="800" w:type="dxa"/>
            <w:tcBorders>
              <w:top w:val="single" w:sz="4" w:space="0" w:color="000000"/>
              <w:left w:val="single" w:sz="4" w:space="0" w:color="000000"/>
              <w:bottom w:val="single" w:sz="4" w:space="0" w:color="000000"/>
              <w:right w:val="single" w:sz="4" w:space="0" w:color="000000"/>
            </w:tcBorders>
          </w:tcPr>
          <w:p w14:paraId="6BBC628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000" w:type="dxa"/>
            <w:tcBorders>
              <w:top w:val="single" w:sz="4" w:space="0" w:color="000000"/>
              <w:left w:val="single" w:sz="4" w:space="0" w:color="000000"/>
              <w:bottom w:val="single" w:sz="4" w:space="0" w:color="000000"/>
              <w:right w:val="single" w:sz="4" w:space="0" w:color="000000"/>
            </w:tcBorders>
          </w:tcPr>
          <w:p w14:paraId="351D721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457" w:type="dxa"/>
            <w:tcBorders>
              <w:top w:val="single" w:sz="4" w:space="0" w:color="000000"/>
              <w:left w:val="single" w:sz="4" w:space="0" w:color="000000"/>
              <w:bottom w:val="single" w:sz="4" w:space="0" w:color="000000"/>
              <w:right w:val="single" w:sz="4" w:space="0" w:color="000000"/>
            </w:tcBorders>
          </w:tcPr>
          <w:p w14:paraId="45ADF4E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L’outil devient une boîte noire. Les opérateurs ne peuvent plus en répondre.</w:t>
            </w:r>
          </w:p>
        </w:tc>
      </w:tr>
      <w:tr w:rsidR="00F50D70" w:rsidRPr="00BE4F47" w14:paraId="0ACA39CC"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142F563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5</w:t>
            </w:r>
          </w:p>
        </w:tc>
        <w:tc>
          <w:tcPr>
            <w:tcW w:w="2700" w:type="dxa"/>
            <w:tcBorders>
              <w:top w:val="single" w:sz="4" w:space="0" w:color="000000"/>
              <w:left w:val="single" w:sz="4" w:space="0" w:color="000000"/>
              <w:bottom w:val="single" w:sz="4" w:space="0" w:color="000000"/>
              <w:right w:val="single" w:sz="4" w:space="0" w:color="000000"/>
            </w:tcBorders>
          </w:tcPr>
          <w:p w14:paraId="770B8F7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Journaliser toute acquisition et tout changement d’état.</w:t>
            </w:r>
          </w:p>
        </w:tc>
        <w:tc>
          <w:tcPr>
            <w:tcW w:w="800" w:type="dxa"/>
            <w:tcBorders>
              <w:top w:val="single" w:sz="4" w:space="0" w:color="000000"/>
              <w:left w:val="single" w:sz="4" w:space="0" w:color="000000"/>
              <w:bottom w:val="single" w:sz="4" w:space="0" w:color="000000"/>
              <w:right w:val="single" w:sz="4" w:space="0" w:color="000000"/>
            </w:tcBorders>
          </w:tcPr>
          <w:p w14:paraId="118AA78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0F490EC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457" w:type="dxa"/>
            <w:tcBorders>
              <w:top w:val="single" w:sz="4" w:space="0" w:color="000000"/>
              <w:left w:val="single" w:sz="4" w:space="0" w:color="000000"/>
              <w:bottom w:val="single" w:sz="4" w:space="0" w:color="000000"/>
              <w:right w:val="single" w:sz="4" w:space="0" w:color="000000"/>
            </w:tcBorders>
          </w:tcPr>
          <w:p w14:paraId="00C7C48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traçabilité attendue par le cadre réglementaire n’est plus démontrable.</w:t>
            </w:r>
          </w:p>
        </w:tc>
      </w:tr>
      <w:tr w:rsidR="00F50D70" w:rsidRPr="00BE4F47" w14:paraId="58808A70"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0B17EBA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6</w:t>
            </w:r>
          </w:p>
        </w:tc>
        <w:tc>
          <w:tcPr>
            <w:tcW w:w="2700" w:type="dxa"/>
            <w:tcBorders>
              <w:top w:val="single" w:sz="4" w:space="0" w:color="000000"/>
              <w:left w:val="single" w:sz="4" w:space="0" w:color="000000"/>
              <w:bottom w:val="single" w:sz="4" w:space="0" w:color="000000"/>
              <w:right w:val="single" w:sz="4" w:space="0" w:color="000000"/>
            </w:tcBorders>
          </w:tcPr>
          <w:p w14:paraId="2FB9236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Documenter le domaine de validité et les limites d’emploi.</w:t>
            </w:r>
          </w:p>
        </w:tc>
        <w:tc>
          <w:tcPr>
            <w:tcW w:w="800" w:type="dxa"/>
            <w:tcBorders>
              <w:top w:val="single" w:sz="4" w:space="0" w:color="000000"/>
              <w:left w:val="single" w:sz="4" w:space="0" w:color="000000"/>
              <w:bottom w:val="single" w:sz="4" w:space="0" w:color="000000"/>
              <w:right w:val="single" w:sz="4" w:space="0" w:color="000000"/>
            </w:tcBorders>
          </w:tcPr>
          <w:p w14:paraId="6C8FF68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J5</w:t>
            </w:r>
          </w:p>
        </w:tc>
        <w:tc>
          <w:tcPr>
            <w:tcW w:w="1000" w:type="dxa"/>
            <w:tcBorders>
              <w:top w:val="single" w:sz="4" w:space="0" w:color="000000"/>
              <w:left w:val="single" w:sz="4" w:space="0" w:color="000000"/>
              <w:bottom w:val="single" w:sz="4" w:space="0" w:color="000000"/>
              <w:right w:val="single" w:sz="4" w:space="0" w:color="000000"/>
            </w:tcBorders>
          </w:tcPr>
          <w:p w14:paraId="69F2766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457" w:type="dxa"/>
            <w:tcBorders>
              <w:top w:val="single" w:sz="4" w:space="0" w:color="000000"/>
              <w:left w:val="single" w:sz="4" w:space="0" w:color="000000"/>
              <w:bottom w:val="single" w:sz="4" w:space="0" w:color="000000"/>
              <w:right w:val="single" w:sz="4" w:space="0" w:color="000000"/>
            </w:tcBorders>
          </w:tcPr>
          <w:p w14:paraId="15B4E9F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livrable ne peut pas être remis. C’est une obligation professionnelle, pas une option.</w:t>
            </w:r>
          </w:p>
        </w:tc>
      </w:tr>
      <w:tr w:rsidR="00F50D70" w:rsidRPr="00BE4F47" w14:paraId="63D338B8"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564BBF2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7</w:t>
            </w:r>
          </w:p>
        </w:tc>
        <w:tc>
          <w:tcPr>
            <w:tcW w:w="2700" w:type="dxa"/>
            <w:tcBorders>
              <w:top w:val="single" w:sz="4" w:space="0" w:color="000000"/>
              <w:left w:val="single" w:sz="4" w:space="0" w:color="000000"/>
              <w:bottom w:val="single" w:sz="4" w:space="0" w:color="000000"/>
              <w:right w:val="single" w:sz="4" w:space="0" w:color="000000"/>
            </w:tcBorders>
          </w:tcPr>
          <w:p w14:paraId="32F04A0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Quantifier l’incertitude par une méthode statistique établie.</w:t>
            </w:r>
          </w:p>
        </w:tc>
        <w:tc>
          <w:tcPr>
            <w:tcW w:w="800" w:type="dxa"/>
            <w:tcBorders>
              <w:top w:val="single" w:sz="4" w:space="0" w:color="000000"/>
              <w:left w:val="single" w:sz="4" w:space="0" w:color="000000"/>
              <w:bottom w:val="single" w:sz="4" w:space="0" w:color="000000"/>
              <w:right w:val="single" w:sz="4" w:space="0" w:color="000000"/>
            </w:tcBorders>
          </w:tcPr>
          <w:p w14:paraId="4754BDB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000" w:type="dxa"/>
            <w:tcBorders>
              <w:top w:val="single" w:sz="4" w:space="0" w:color="000000"/>
              <w:left w:val="single" w:sz="4" w:space="0" w:color="000000"/>
              <w:bottom w:val="single" w:sz="4" w:space="0" w:color="000000"/>
              <w:right w:val="single" w:sz="4" w:space="0" w:color="000000"/>
            </w:tcBorders>
          </w:tcPr>
          <w:p w14:paraId="18FFFBA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Moyenne</w:t>
            </w:r>
          </w:p>
        </w:tc>
        <w:tc>
          <w:tcPr>
            <w:tcW w:w="3457" w:type="dxa"/>
            <w:tcBorders>
              <w:top w:val="single" w:sz="4" w:space="0" w:color="000000"/>
              <w:left w:val="single" w:sz="4" w:space="0" w:color="000000"/>
              <w:bottom w:val="single" w:sz="4" w:space="0" w:color="000000"/>
              <w:right w:val="single" w:sz="4" w:space="0" w:color="000000"/>
            </w:tcBorders>
          </w:tcPr>
          <w:p w14:paraId="2F657F5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niveau de confiance devient qualitatif. Le contenu est réductible si nécessaire.</w:t>
            </w:r>
          </w:p>
        </w:tc>
      </w:tr>
      <w:tr w:rsidR="00F50D70" w:rsidRPr="00BE4F47" w14:paraId="2D4EB0C3" w14:textId="77777777">
        <w:trPr>
          <w:cantSplit/>
          <w:trHeight w:val="415"/>
        </w:trPr>
        <w:tc>
          <w:tcPr>
            <w:tcW w:w="600" w:type="dxa"/>
            <w:tcBorders>
              <w:top w:val="single" w:sz="4" w:space="0" w:color="000000"/>
              <w:left w:val="single" w:sz="4" w:space="0" w:color="000000"/>
              <w:bottom w:val="single" w:sz="4" w:space="0" w:color="000000"/>
              <w:right w:val="single" w:sz="4" w:space="0" w:color="000000"/>
            </w:tcBorders>
          </w:tcPr>
          <w:p w14:paraId="3933DE4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8</w:t>
            </w:r>
          </w:p>
        </w:tc>
        <w:tc>
          <w:tcPr>
            <w:tcW w:w="2700" w:type="dxa"/>
            <w:tcBorders>
              <w:top w:val="single" w:sz="4" w:space="0" w:color="000000"/>
              <w:left w:val="single" w:sz="4" w:space="0" w:color="000000"/>
              <w:bottom w:val="single" w:sz="4" w:space="0" w:color="000000"/>
              <w:right w:val="single" w:sz="4" w:space="0" w:color="000000"/>
            </w:tcBorders>
          </w:tcPr>
          <w:p w14:paraId="15E4530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Offrir une interface graphique aboutie.</w:t>
            </w:r>
          </w:p>
        </w:tc>
        <w:tc>
          <w:tcPr>
            <w:tcW w:w="800" w:type="dxa"/>
            <w:tcBorders>
              <w:top w:val="single" w:sz="4" w:space="0" w:color="000000"/>
              <w:left w:val="single" w:sz="4" w:space="0" w:color="000000"/>
              <w:bottom w:val="single" w:sz="4" w:space="0" w:color="000000"/>
              <w:right w:val="single" w:sz="4" w:space="0" w:color="000000"/>
            </w:tcBorders>
          </w:tcPr>
          <w:p w14:paraId="7351A3E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000" w:type="dxa"/>
            <w:tcBorders>
              <w:top w:val="single" w:sz="4" w:space="0" w:color="000000"/>
              <w:left w:val="single" w:sz="4" w:space="0" w:color="000000"/>
              <w:bottom w:val="single" w:sz="4" w:space="0" w:color="000000"/>
              <w:right w:val="single" w:sz="4" w:space="0" w:color="000000"/>
            </w:tcBorders>
          </w:tcPr>
          <w:p w14:paraId="1E08F05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Moyenne</w:t>
            </w:r>
          </w:p>
        </w:tc>
        <w:tc>
          <w:tcPr>
            <w:tcW w:w="3457" w:type="dxa"/>
            <w:tcBorders>
              <w:top w:val="single" w:sz="4" w:space="0" w:color="000000"/>
              <w:left w:val="single" w:sz="4" w:space="0" w:color="000000"/>
              <w:bottom w:val="single" w:sz="4" w:space="0" w:color="000000"/>
              <w:right w:val="single" w:sz="4" w:space="0" w:color="000000"/>
            </w:tcBorders>
          </w:tcPr>
          <w:p w14:paraId="57FA02E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contenu est réductible. Une présentation sobre suffit à démontrer la fonction.</w:t>
            </w:r>
          </w:p>
        </w:tc>
      </w:tr>
    </w:tbl>
    <w:p w14:paraId="3EDFF5F1"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rangs 1 à 3 ne sont pas négociables : ils portent l’objectif directeur. Les rangs 4 à 6 relèvent d’obligations professionnelles et réglementaires, et ne peuvent être réduits qu’en ampleur, jamais supprimés. Les rangs 7 et 8 forment le contenu ajustable dont le risque RP2 prévoit la réduction. Cette liste est la liste de contenu ajustable que la section 7 annonce comme devant être arrêtée au jalon J1.</w:t>
      </w:r>
    </w:p>
    <w:p w14:paraId="30EAF4DF" w14:textId="77777777" w:rsidR="00F50D70" w:rsidRPr="00BE4F47" w:rsidRDefault="00F50D70" w:rsidP="008E113B">
      <w:pPr>
        <w:spacing w:line="360" w:lineRule="auto"/>
        <w:ind w:left="720"/>
        <w:rPr>
          <w:rFonts w:ascii="Aptos" w:hAnsi="Aptos"/>
        </w:rPr>
      </w:pPr>
    </w:p>
    <w:p w14:paraId="40C0CC14"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projet se limite au développement d’un prototype de jumeau numérique appliqué à une boucle thermohydraulique simplifiée, dans le contexte fictif décrit en 1.1. Le prototype est entièrement simulé.</w:t>
      </w:r>
    </w:p>
    <w:p w14:paraId="2C3B7C06" w14:textId="77777777" w:rsidR="00F50D70" w:rsidRPr="00BE4F47" w:rsidRDefault="00F50D70" w:rsidP="008E113B">
      <w:pPr>
        <w:spacing w:line="360" w:lineRule="auto"/>
        <w:ind w:left="0"/>
        <w:rPr>
          <w:rFonts w:ascii="Aptos" w:eastAsia="Calibri" w:hAnsi="Aptos" w:cs="Calibri"/>
          <w:color w:val="1A1A19"/>
          <w:sz w:val="20"/>
          <w:szCs w:val="20"/>
        </w:rPr>
      </w:pPr>
    </w:p>
    <w:p w14:paraId="227F10FB" w14:textId="71C3BB43" w:rsidR="00F50D70" w:rsidRPr="005E5B35" w:rsidRDefault="00000000" w:rsidP="008E113B">
      <w:pPr>
        <w:pStyle w:val="Titre2"/>
        <w:spacing w:line="360" w:lineRule="auto"/>
      </w:pPr>
      <w:bookmarkStart w:id="8" w:name="__RefHeading___Toc240715075"/>
      <w:r w:rsidRPr="00136F18">
        <w:t>Hypothèses</w:t>
      </w:r>
      <w:bookmarkEnd w:id="8"/>
      <w:r w:rsidRPr="00136F18">
        <w:t xml:space="preserve"> </w:t>
      </w:r>
    </w:p>
    <w:p w14:paraId="7FBB42C0" w14:textId="77777777" w:rsidR="00F50D70" w:rsidRPr="00BE4F47" w:rsidRDefault="00000000" w:rsidP="008E113B">
      <w:pPr>
        <w:spacing w:line="360" w:lineRule="auto"/>
        <w:ind w:left="360"/>
        <w:rPr>
          <w:rFonts w:ascii="Aptos" w:hAnsi="Aptos"/>
        </w:rPr>
      </w:pPr>
      <w:r w:rsidRPr="00BE4F47">
        <w:rPr>
          <w:rFonts w:ascii="Aptos" w:eastAsia="Calibri" w:hAnsi="Aptos" w:cs="Calibri"/>
          <w:color w:val="1A1A19"/>
          <w:sz w:val="20"/>
          <w:szCs w:val="20"/>
        </w:rPr>
        <w:t>Quatre hypothèses sont posées à cette étape du projet. Chacune est assortie de la conséquence qu’entraînerait son invalidation et du traitement prévu. Une hypothèse sans conséquence identifiée n’est pas exploitable pour la gestion des risques</w:t>
      </w:r>
      <w:r w:rsidRPr="00BE4F47">
        <w:rPr>
          <w:rFonts w:ascii="Aptos" w:eastAsia="Calibri" w:hAnsi="Aptos" w:cs="Calibri"/>
          <w:color w:val="1A1A19"/>
          <w:sz w:val="20"/>
          <w:szCs w:val="20"/>
        </w:rPr>
        <w:tab/>
      </w:r>
    </w:p>
    <w:p w14:paraId="4DFCB5B9" w14:textId="77777777" w:rsidR="00F50D70" w:rsidRPr="00BE4F47" w:rsidRDefault="00F50D70" w:rsidP="008E113B">
      <w:pPr>
        <w:spacing w:line="360" w:lineRule="auto"/>
        <w:ind w:left="360"/>
        <w:rPr>
          <w:rFonts w:ascii="Aptos" w:eastAsia="Calibri" w:hAnsi="Aptos" w:cs="Calibri"/>
          <w:color w:val="1A1A19"/>
          <w:sz w:val="20"/>
          <w:szCs w:val="20"/>
        </w:rPr>
      </w:pPr>
    </w:p>
    <w:p w14:paraId="72D46713" w14:textId="77777777" w:rsidR="00F50D70" w:rsidRPr="00BE4F47" w:rsidRDefault="00000000" w:rsidP="008E113B">
      <w:pPr>
        <w:pStyle w:val="Lgende"/>
        <w:spacing w:line="360" w:lineRule="auto"/>
        <w:rPr>
          <w:rFonts w:ascii="Aptos" w:hAnsi="Aptos"/>
        </w:rPr>
      </w:pPr>
      <w:r w:rsidRPr="00BE4F47">
        <w:rPr>
          <w:rFonts w:ascii="Aptos" w:hAnsi="Aptos"/>
        </w:rPr>
        <w:t>Tableau 1-6. Hypothèses de l’analyse des besoins</w:t>
      </w:r>
    </w:p>
    <w:tbl>
      <w:tblPr>
        <w:tblW w:w="8466" w:type="dxa"/>
        <w:tblInd w:w="478" w:type="dxa"/>
        <w:tblLayout w:type="fixed"/>
        <w:tblCellMar>
          <w:top w:w="60" w:type="dxa"/>
          <w:left w:w="90" w:type="dxa"/>
          <w:bottom w:w="60" w:type="dxa"/>
          <w:right w:w="90" w:type="dxa"/>
        </w:tblCellMar>
        <w:tblLook w:val="04A0" w:firstRow="1" w:lastRow="0" w:firstColumn="1" w:lastColumn="0" w:noHBand="0" w:noVBand="1"/>
      </w:tblPr>
      <w:tblGrid>
        <w:gridCol w:w="542"/>
        <w:gridCol w:w="2895"/>
        <w:gridCol w:w="2605"/>
        <w:gridCol w:w="2424"/>
      </w:tblGrid>
      <w:tr w:rsidR="00F50D70" w:rsidRPr="00BE4F47" w14:paraId="1B44F65A" w14:textId="77777777" w:rsidTr="0036725C">
        <w:trPr>
          <w:trHeight w:val="229"/>
          <w:tblHeader/>
        </w:trPr>
        <w:tc>
          <w:tcPr>
            <w:tcW w:w="54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983412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289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B68768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Hypothèse</w:t>
            </w:r>
          </w:p>
        </w:tc>
        <w:tc>
          <w:tcPr>
            <w:tcW w:w="260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197D35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Si elle se révèle fausse</w:t>
            </w:r>
          </w:p>
        </w:tc>
        <w:tc>
          <w:tcPr>
            <w:tcW w:w="242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893703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Traitement prévu</w:t>
            </w:r>
          </w:p>
        </w:tc>
      </w:tr>
      <w:tr w:rsidR="00F50D70" w:rsidRPr="00BE4F47" w14:paraId="61937751" w14:textId="77777777">
        <w:trPr>
          <w:cantSplit/>
          <w:trHeight w:val="792"/>
        </w:trPr>
        <w:tc>
          <w:tcPr>
            <w:tcW w:w="542" w:type="dxa"/>
            <w:tcBorders>
              <w:top w:val="single" w:sz="4" w:space="0" w:color="000000"/>
              <w:left w:val="single" w:sz="4" w:space="0" w:color="000000"/>
              <w:bottom w:val="single" w:sz="4" w:space="0" w:color="000000"/>
              <w:right w:val="single" w:sz="4" w:space="0" w:color="000000"/>
            </w:tcBorders>
          </w:tcPr>
          <w:p w14:paraId="3FABA4A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H1</w:t>
            </w:r>
          </w:p>
        </w:tc>
        <w:tc>
          <w:tcPr>
            <w:tcW w:w="2895" w:type="dxa"/>
            <w:tcBorders>
              <w:top w:val="single" w:sz="4" w:space="0" w:color="000000"/>
              <w:left w:val="single" w:sz="4" w:space="0" w:color="000000"/>
              <w:bottom w:val="single" w:sz="4" w:space="0" w:color="000000"/>
              <w:right w:val="single" w:sz="4" w:space="0" w:color="000000"/>
            </w:tcBorders>
          </w:tcPr>
          <w:p w14:paraId="36D858D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données nécessaires au développement et à l’évaluation du prototype peuvent être obtenues par simulation ou à partir du système expérimental.</w:t>
            </w:r>
          </w:p>
        </w:tc>
        <w:tc>
          <w:tcPr>
            <w:tcW w:w="2605" w:type="dxa"/>
            <w:tcBorders>
              <w:top w:val="single" w:sz="4" w:space="0" w:color="000000"/>
              <w:left w:val="single" w:sz="4" w:space="0" w:color="000000"/>
              <w:bottom w:val="single" w:sz="4" w:space="0" w:color="000000"/>
              <w:right w:val="single" w:sz="4" w:space="0" w:color="000000"/>
            </w:tcBorders>
          </w:tcPr>
          <w:p w14:paraId="24D5C09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ne peut être validé faute de référence à laquelle se comparer.</w:t>
            </w:r>
          </w:p>
        </w:tc>
        <w:tc>
          <w:tcPr>
            <w:tcW w:w="2424" w:type="dxa"/>
            <w:tcBorders>
              <w:top w:val="single" w:sz="4" w:space="0" w:color="000000"/>
              <w:left w:val="single" w:sz="4" w:space="0" w:color="000000"/>
              <w:bottom w:val="single" w:sz="4" w:space="0" w:color="000000"/>
              <w:right w:val="single" w:sz="4" w:space="0" w:color="000000"/>
            </w:tcBorders>
          </w:tcPr>
          <w:p w14:paraId="374B5F4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Recours au système expérimental ; risque inscrit au registre des risques.</w:t>
            </w:r>
          </w:p>
        </w:tc>
      </w:tr>
      <w:tr w:rsidR="00F50D70" w:rsidRPr="00BE4F47" w14:paraId="1E0DC88C" w14:textId="77777777">
        <w:trPr>
          <w:cantSplit/>
          <w:trHeight w:val="613"/>
        </w:trPr>
        <w:tc>
          <w:tcPr>
            <w:tcW w:w="542" w:type="dxa"/>
            <w:tcBorders>
              <w:top w:val="single" w:sz="4" w:space="0" w:color="000000"/>
              <w:left w:val="single" w:sz="4" w:space="0" w:color="000000"/>
              <w:bottom w:val="single" w:sz="4" w:space="0" w:color="000000"/>
              <w:right w:val="single" w:sz="4" w:space="0" w:color="000000"/>
            </w:tcBorders>
          </w:tcPr>
          <w:p w14:paraId="71554BA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H2</w:t>
            </w:r>
          </w:p>
        </w:tc>
        <w:tc>
          <w:tcPr>
            <w:tcW w:w="2895" w:type="dxa"/>
            <w:tcBorders>
              <w:top w:val="single" w:sz="4" w:space="0" w:color="000000"/>
              <w:left w:val="single" w:sz="4" w:space="0" w:color="000000"/>
              <w:bottom w:val="single" w:sz="4" w:space="0" w:color="000000"/>
              <w:right w:val="single" w:sz="4" w:space="0" w:color="000000"/>
            </w:tcBorders>
          </w:tcPr>
          <w:p w14:paraId="7044D8E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température, la pression et le débit suffisent à caractériser l’état de la boucle pour les scénarios étudiés.</w:t>
            </w:r>
          </w:p>
        </w:tc>
        <w:tc>
          <w:tcPr>
            <w:tcW w:w="2605" w:type="dxa"/>
            <w:tcBorders>
              <w:top w:val="single" w:sz="4" w:space="0" w:color="000000"/>
              <w:left w:val="single" w:sz="4" w:space="0" w:color="000000"/>
              <w:bottom w:val="single" w:sz="4" w:space="0" w:color="000000"/>
              <w:right w:val="single" w:sz="4" w:space="0" w:color="000000"/>
            </w:tcBorders>
          </w:tcPr>
          <w:p w14:paraId="1C41100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détection manque certains modes de défaillance.</w:t>
            </w:r>
          </w:p>
        </w:tc>
        <w:tc>
          <w:tcPr>
            <w:tcW w:w="2424" w:type="dxa"/>
            <w:tcBorders>
              <w:top w:val="single" w:sz="4" w:space="0" w:color="000000"/>
              <w:left w:val="single" w:sz="4" w:space="0" w:color="000000"/>
              <w:bottom w:val="single" w:sz="4" w:space="0" w:color="000000"/>
              <w:right w:val="single" w:sz="4" w:space="0" w:color="000000"/>
            </w:tcBorders>
          </w:tcPr>
          <w:p w14:paraId="0710796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Revue avec le client au jalon J1 ; ajout éventuel d’une variable.</w:t>
            </w:r>
          </w:p>
        </w:tc>
      </w:tr>
      <w:tr w:rsidR="00F50D70" w:rsidRPr="00BE4F47" w14:paraId="6D9659F5" w14:textId="77777777">
        <w:trPr>
          <w:cantSplit/>
          <w:trHeight w:val="605"/>
        </w:trPr>
        <w:tc>
          <w:tcPr>
            <w:tcW w:w="542" w:type="dxa"/>
            <w:tcBorders>
              <w:top w:val="single" w:sz="4" w:space="0" w:color="000000"/>
              <w:left w:val="single" w:sz="4" w:space="0" w:color="000000"/>
              <w:bottom w:val="single" w:sz="4" w:space="0" w:color="000000"/>
              <w:right w:val="single" w:sz="4" w:space="0" w:color="000000"/>
            </w:tcBorders>
          </w:tcPr>
          <w:p w14:paraId="11D366D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H3</w:t>
            </w:r>
          </w:p>
        </w:tc>
        <w:tc>
          <w:tcPr>
            <w:tcW w:w="2895" w:type="dxa"/>
            <w:tcBorders>
              <w:top w:val="single" w:sz="4" w:space="0" w:color="000000"/>
              <w:left w:val="single" w:sz="4" w:space="0" w:color="000000"/>
              <w:bottom w:val="single" w:sz="4" w:space="0" w:color="000000"/>
              <w:right w:val="single" w:sz="4" w:space="0" w:color="000000"/>
            </w:tcBorders>
          </w:tcPr>
          <w:p w14:paraId="761C567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seuils de dérive et les critères de criticité peuvent être fixés par l’analyse de risques et les essais.</w:t>
            </w:r>
          </w:p>
        </w:tc>
        <w:tc>
          <w:tcPr>
            <w:tcW w:w="2605" w:type="dxa"/>
            <w:tcBorders>
              <w:top w:val="single" w:sz="4" w:space="0" w:color="000000"/>
              <w:left w:val="single" w:sz="4" w:space="0" w:color="000000"/>
              <w:bottom w:val="single" w:sz="4" w:space="0" w:color="000000"/>
              <w:right w:val="single" w:sz="4" w:space="0" w:color="000000"/>
            </w:tcBorders>
          </w:tcPr>
          <w:p w14:paraId="382DD45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critères d’alarme resteraient arbitraires et indéfendables.</w:t>
            </w:r>
          </w:p>
        </w:tc>
        <w:tc>
          <w:tcPr>
            <w:tcW w:w="2424" w:type="dxa"/>
            <w:tcBorders>
              <w:top w:val="single" w:sz="4" w:space="0" w:color="000000"/>
              <w:left w:val="single" w:sz="4" w:space="0" w:color="000000"/>
              <w:bottom w:val="single" w:sz="4" w:space="0" w:color="000000"/>
              <w:right w:val="single" w:sz="4" w:space="0" w:color="000000"/>
            </w:tcBorders>
          </w:tcPr>
          <w:p w14:paraId="513807F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Décision au jalon J2, consignée avec sa justification.</w:t>
            </w:r>
          </w:p>
        </w:tc>
      </w:tr>
      <w:tr w:rsidR="00F50D70" w:rsidRPr="00BE4F47" w14:paraId="4909559E" w14:textId="77777777">
        <w:trPr>
          <w:cantSplit/>
          <w:trHeight w:val="613"/>
        </w:trPr>
        <w:tc>
          <w:tcPr>
            <w:tcW w:w="542" w:type="dxa"/>
            <w:tcBorders>
              <w:top w:val="single" w:sz="4" w:space="0" w:color="000000"/>
              <w:left w:val="single" w:sz="4" w:space="0" w:color="000000"/>
              <w:bottom w:val="single" w:sz="4" w:space="0" w:color="000000"/>
              <w:right w:val="single" w:sz="4" w:space="0" w:color="000000"/>
            </w:tcBorders>
          </w:tcPr>
          <w:p w14:paraId="3C05F3E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H4</w:t>
            </w:r>
          </w:p>
        </w:tc>
        <w:tc>
          <w:tcPr>
            <w:tcW w:w="2895" w:type="dxa"/>
            <w:tcBorders>
              <w:top w:val="single" w:sz="4" w:space="0" w:color="000000"/>
              <w:left w:val="single" w:sz="4" w:space="0" w:color="000000"/>
              <w:bottom w:val="single" w:sz="4" w:space="0" w:color="000000"/>
              <w:right w:val="single" w:sz="4" w:space="0" w:color="000000"/>
            </w:tcBorders>
          </w:tcPr>
          <w:p w14:paraId="4B6BC8E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L’équipe a accès au texte intégral des normes dont elle reprend des exigences.</w:t>
            </w:r>
          </w:p>
        </w:tc>
        <w:tc>
          <w:tcPr>
            <w:tcW w:w="2605" w:type="dxa"/>
            <w:tcBorders>
              <w:top w:val="single" w:sz="4" w:space="0" w:color="000000"/>
              <w:left w:val="single" w:sz="4" w:space="0" w:color="000000"/>
              <w:bottom w:val="single" w:sz="4" w:space="0" w:color="000000"/>
              <w:right w:val="single" w:sz="4" w:space="0" w:color="000000"/>
            </w:tcBorders>
          </w:tcPr>
          <w:p w14:paraId="01071EC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Certaines normes ne seraient connues que par leur fiche descriptive.</w:t>
            </w:r>
          </w:p>
        </w:tc>
        <w:tc>
          <w:tcPr>
            <w:tcW w:w="2424" w:type="dxa"/>
            <w:tcBorders>
              <w:top w:val="single" w:sz="4" w:space="0" w:color="000000"/>
              <w:left w:val="single" w:sz="4" w:space="0" w:color="000000"/>
              <w:bottom w:val="single" w:sz="4" w:space="0" w:color="000000"/>
              <w:right w:val="single" w:sz="4" w:space="0" w:color="000000"/>
            </w:tcBorders>
          </w:tcPr>
          <w:p w14:paraId="0934C8D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Déclaration d’applicabilité de la section 5 ; mention « fiche descriptive seulement ».</w:t>
            </w:r>
          </w:p>
        </w:tc>
      </w:tr>
    </w:tbl>
    <w:p w14:paraId="06266342" w14:textId="77777777" w:rsidR="00F50D70" w:rsidRPr="00BE4F47" w:rsidRDefault="00F50D70" w:rsidP="008E113B">
      <w:pPr>
        <w:spacing w:line="360" w:lineRule="auto"/>
        <w:ind w:left="360"/>
        <w:rPr>
          <w:rFonts w:ascii="Aptos" w:hAnsi="Aptos"/>
        </w:rPr>
      </w:pPr>
    </w:p>
    <w:p w14:paraId="09BA9679" w14:textId="77777777" w:rsidR="00F50D70" w:rsidRPr="00136F18" w:rsidRDefault="00000000" w:rsidP="008E113B">
      <w:pPr>
        <w:pStyle w:val="Titre2"/>
        <w:spacing w:line="360" w:lineRule="auto"/>
      </w:pPr>
      <w:bookmarkStart w:id="9" w:name="__RefHeading___Toc240715077"/>
      <w:bookmarkEnd w:id="9"/>
      <w:r w:rsidRPr="00136F18">
        <w:t>Registre des exigences</w:t>
      </w:r>
    </w:p>
    <w:p w14:paraId="562B5BF9" w14:textId="77777777" w:rsidR="00F50D70" w:rsidRPr="00BE4F47" w:rsidRDefault="00F50D70" w:rsidP="008E113B">
      <w:pPr>
        <w:spacing w:line="360" w:lineRule="auto"/>
        <w:ind w:left="720"/>
        <w:rPr>
          <w:rFonts w:ascii="Aptos" w:hAnsi="Aptos"/>
        </w:rPr>
      </w:pPr>
    </w:p>
    <w:p w14:paraId="58744C40" w14:textId="77777777" w:rsidR="00F50D70" w:rsidRPr="00BE4F47" w:rsidRDefault="00F50D70" w:rsidP="008E113B">
      <w:pPr>
        <w:pStyle w:val="Paragraphedeliste"/>
        <w:numPr>
          <w:ilvl w:val="0"/>
          <w:numId w:val="7"/>
        </w:numPr>
        <w:spacing w:after="0" w:line="360" w:lineRule="auto"/>
        <w:contextualSpacing w:val="0"/>
        <w:jc w:val="both"/>
        <w:outlineLvl w:val="2"/>
        <w:rPr>
          <w:rFonts w:ascii="Aptos" w:eastAsia="Times New Roman" w:hAnsi="Aptos" w:cs="Times"/>
          <w:vanish/>
          <w:lang w:val="fr-CA" w:eastAsia="fr-FR" w:bidi="ar-SA"/>
        </w:rPr>
      </w:pPr>
    </w:p>
    <w:p w14:paraId="009E2991"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p>
    <w:p w14:paraId="4EAD4BE2"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p>
    <w:p w14:paraId="6944FD62"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p>
    <w:p w14:paraId="16B98D91"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p>
    <w:p w14:paraId="6778BBE8"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p>
    <w:p w14:paraId="1DCD9105"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p>
    <w:p w14:paraId="72412935" w14:textId="77777777" w:rsidR="00F50D70" w:rsidRPr="00BE4F47" w:rsidRDefault="00F50D70" w:rsidP="008E113B">
      <w:pPr>
        <w:pStyle w:val="Paragraphedeliste"/>
        <w:numPr>
          <w:ilvl w:val="1"/>
          <w:numId w:val="7"/>
        </w:numPr>
        <w:spacing w:after="0" w:line="360" w:lineRule="auto"/>
        <w:contextualSpacing w:val="0"/>
        <w:jc w:val="both"/>
        <w:outlineLvl w:val="2"/>
        <w:rPr>
          <w:rFonts w:ascii="Aptos" w:eastAsia="Times New Roman" w:hAnsi="Aptos" w:cs="Times"/>
          <w:vanish/>
          <w:lang w:val="fr-CA" w:eastAsia="fr-FR" w:bidi="ar-SA"/>
        </w:rPr>
      </w:pPr>
    </w:p>
    <w:p w14:paraId="48D6BF87" w14:textId="77777777" w:rsidR="00F50D70" w:rsidRPr="00BE4F47" w:rsidRDefault="00F50D70" w:rsidP="008E113B">
      <w:pPr>
        <w:pStyle w:val="Paragraphedeliste"/>
        <w:numPr>
          <w:ilvl w:val="0"/>
          <w:numId w:val="14"/>
        </w:numPr>
        <w:spacing w:after="0" w:line="360" w:lineRule="auto"/>
        <w:contextualSpacing w:val="0"/>
        <w:jc w:val="both"/>
        <w:outlineLvl w:val="2"/>
        <w:rPr>
          <w:rFonts w:ascii="Aptos" w:eastAsia="Times New Roman" w:hAnsi="Aptos" w:cs="Times"/>
          <w:vanish/>
          <w:lang w:val="fr-CA" w:eastAsia="fr-FR" w:bidi="ar-SA"/>
        </w:rPr>
      </w:pPr>
    </w:p>
    <w:p w14:paraId="717E7FD2"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p>
    <w:p w14:paraId="1CFA9D11"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p>
    <w:p w14:paraId="55685FBA"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p>
    <w:p w14:paraId="202D5882"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p>
    <w:p w14:paraId="06A94953"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p>
    <w:p w14:paraId="276E9D51"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p>
    <w:p w14:paraId="5995EDB0" w14:textId="77777777" w:rsidR="00F50D70" w:rsidRPr="00BE4F47" w:rsidRDefault="00F50D70" w:rsidP="008E113B">
      <w:pPr>
        <w:pStyle w:val="Paragraphedeliste"/>
        <w:numPr>
          <w:ilvl w:val="1"/>
          <w:numId w:val="14"/>
        </w:numPr>
        <w:spacing w:after="0" w:line="360" w:lineRule="auto"/>
        <w:contextualSpacing w:val="0"/>
        <w:jc w:val="both"/>
        <w:outlineLvl w:val="2"/>
        <w:rPr>
          <w:rFonts w:ascii="Aptos" w:eastAsia="Times New Roman" w:hAnsi="Aptos" w:cs="Times"/>
          <w:vanish/>
          <w:lang w:val="fr-CA" w:eastAsia="fr-FR" w:bidi="ar-SA"/>
        </w:rPr>
      </w:pPr>
    </w:p>
    <w:p w14:paraId="25C40021" w14:textId="6680AF49" w:rsidR="00F50D70" w:rsidRPr="005E5B35" w:rsidRDefault="00000000" w:rsidP="008E113B">
      <w:pPr>
        <w:pStyle w:val="Titre3"/>
        <w:numPr>
          <w:ilvl w:val="2"/>
          <w:numId w:val="1"/>
        </w:numPr>
        <w:suppressAutoHyphens w:val="0"/>
        <w:spacing w:line="360" w:lineRule="auto"/>
        <w:rPr>
          <w:lang w:eastAsia="fr-FR"/>
        </w:rPr>
      </w:pPr>
      <w:bookmarkStart w:id="10" w:name="__RefHeading___Toc240715094"/>
      <w:r w:rsidRPr="00B36301">
        <w:rPr>
          <w:lang w:eastAsia="fr-FR"/>
        </w:rPr>
        <w:t>Méthodes et convention de rédaction</w:t>
      </w:r>
      <w:bookmarkEnd w:id="10"/>
      <w:r w:rsidRPr="00B36301">
        <w:rPr>
          <w:lang w:eastAsia="fr-FR"/>
        </w:rPr>
        <w:t xml:space="preserve"> </w:t>
      </w:r>
    </w:p>
    <w:p w14:paraId="6B45B86B"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Une exigence n’est exploitable que si l’on peut écrire un essai qui réussit ou qui échoue. Toutes les exigences ci-dessous respectent trois règles : un verbe d’action observable, une condition de déclenchement explicite lorsqu’elle s’applique, et un moyen de vérification nommé. Les formulations d’intention telles que « prendre en compte » ou « considérer » ont été écartées, car aucun essai ne peut les contredire.</w:t>
      </w:r>
    </w:p>
    <w:p w14:paraId="6CC0D72E"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Les caractéristiques de qualité employées en 1.7.3 proviennent d’ISO/IEC 25010, la norme que la section 5 désigne comme source des critères d’acceptation mesurables du prototype. La démarche de rédaction s’appuie sur ISO/IEC/IEEE 29148, norme d’ingénierie des exigences ; son millésime en vigueur doit être vérifié et la norme ajoutée au tableau de la section 5.</w:t>
      </w:r>
    </w:p>
    <w:p w14:paraId="3D0BF8B8"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Les valeurs notées N, T, D, S, X et Y sont des paramètres laissés ouverts à ce stade. Elles seront fixées par l’analyse de risques et les premiers essais, puis consignées au jalon J2. Aucun seuil numérique n’est posé arbitrairement.</w:t>
      </w:r>
    </w:p>
    <w:p w14:paraId="0F51922C" w14:textId="77777777" w:rsidR="00F50D70"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b/>
          <w:bCs/>
          <w:color w:val="1A1A19"/>
          <w:sz w:val="20"/>
          <w:szCs w:val="20"/>
        </w:rPr>
        <w:t xml:space="preserve">Conventions de numérotation : </w:t>
      </w:r>
      <w:r w:rsidRPr="00BE4F47">
        <w:rPr>
          <w:rFonts w:ascii="Aptos" w:eastAsia="Calibri" w:hAnsi="Aptos" w:cs="Calibri"/>
          <w:color w:val="1A1A19"/>
          <w:sz w:val="20"/>
          <w:szCs w:val="20"/>
        </w:rPr>
        <w:t>EX-F pour les exigences fonctionnelles, EX-Q pour les exigences de qualité, EX-C pour les exigences de périmètre et de contrainte. La colonne « GEMMA » renvoie aux états de la figure 1. La colonne « Lot » renvoie aux lots de travaux L1 à L9 de la structure de découpage du projet.</w:t>
      </w:r>
    </w:p>
    <w:p w14:paraId="75462057" w14:textId="77777777" w:rsidR="0036725C" w:rsidRPr="005E5B35" w:rsidRDefault="0036725C" w:rsidP="008E113B">
      <w:pPr>
        <w:spacing w:line="360" w:lineRule="auto"/>
      </w:pPr>
    </w:p>
    <w:p w14:paraId="09C32617" w14:textId="77777777" w:rsidR="0036725C" w:rsidRPr="005E5B35" w:rsidRDefault="0036725C" w:rsidP="008E113B">
      <w:pPr>
        <w:spacing w:line="360" w:lineRule="auto"/>
      </w:pPr>
    </w:p>
    <w:p w14:paraId="6F89849F" w14:textId="77777777" w:rsidR="0036725C" w:rsidRPr="005E5B35" w:rsidRDefault="0036725C" w:rsidP="008E113B">
      <w:pPr>
        <w:spacing w:line="360" w:lineRule="auto"/>
      </w:pPr>
    </w:p>
    <w:p w14:paraId="0BABF96B" w14:textId="77777777" w:rsidR="005E5B35" w:rsidRDefault="005E5B35" w:rsidP="008E113B">
      <w:pPr>
        <w:spacing w:line="360" w:lineRule="auto"/>
      </w:pPr>
    </w:p>
    <w:p w14:paraId="23675150" w14:textId="77777777" w:rsidR="005E5B35" w:rsidRDefault="005E5B35" w:rsidP="008E113B">
      <w:pPr>
        <w:spacing w:line="360" w:lineRule="auto"/>
      </w:pPr>
    </w:p>
    <w:p w14:paraId="2119324E" w14:textId="77777777" w:rsidR="005E5B35" w:rsidRDefault="005E5B35" w:rsidP="008E113B">
      <w:pPr>
        <w:spacing w:line="360" w:lineRule="auto"/>
      </w:pPr>
    </w:p>
    <w:p w14:paraId="78212293" w14:textId="77777777" w:rsidR="005E5B35" w:rsidRDefault="005E5B35" w:rsidP="008E113B">
      <w:pPr>
        <w:spacing w:line="360" w:lineRule="auto"/>
      </w:pPr>
    </w:p>
    <w:p w14:paraId="4E111F8F" w14:textId="77777777" w:rsidR="005E5B35" w:rsidRDefault="005E5B35" w:rsidP="008E113B">
      <w:pPr>
        <w:spacing w:line="360" w:lineRule="auto"/>
      </w:pPr>
    </w:p>
    <w:p w14:paraId="1CB1223D" w14:textId="77777777" w:rsidR="005E5B35" w:rsidRPr="005E5B35" w:rsidRDefault="005E5B35" w:rsidP="008E113B">
      <w:pPr>
        <w:spacing w:line="360" w:lineRule="auto"/>
      </w:pPr>
    </w:p>
    <w:p w14:paraId="03A78809" w14:textId="77777777" w:rsidR="0036725C" w:rsidRPr="005E5B35" w:rsidRDefault="0036725C" w:rsidP="008E113B">
      <w:pPr>
        <w:spacing w:line="360" w:lineRule="auto"/>
      </w:pPr>
    </w:p>
    <w:p w14:paraId="476167F8" w14:textId="77777777" w:rsidR="00F50D70" w:rsidRPr="00BE4F47" w:rsidRDefault="00000000" w:rsidP="008E113B">
      <w:pPr>
        <w:pStyle w:val="Titre4"/>
        <w:spacing w:line="360" w:lineRule="auto"/>
      </w:pPr>
      <w:bookmarkStart w:id="11" w:name="__RefHeading___Toc240715099"/>
      <w:bookmarkEnd w:id="11"/>
      <w:r w:rsidRPr="00BE4F47">
        <w:t>Exigences fonctionnelles</w:t>
      </w:r>
    </w:p>
    <w:p w14:paraId="7EDE6198" w14:textId="77777777" w:rsidR="00F50D70" w:rsidRPr="00BE4F47" w:rsidRDefault="00000000" w:rsidP="008E113B">
      <w:pPr>
        <w:pStyle w:val="Lgende"/>
        <w:spacing w:line="360" w:lineRule="auto"/>
        <w:rPr>
          <w:rFonts w:ascii="Aptos" w:hAnsi="Aptos"/>
        </w:rPr>
      </w:pPr>
      <w:r w:rsidRPr="00BE4F47">
        <w:rPr>
          <w:rFonts w:ascii="Aptos" w:hAnsi="Aptos"/>
        </w:rPr>
        <w:t>Tableau 1-7. Registre des exigences fonctionnelles</w:t>
      </w:r>
    </w:p>
    <w:tbl>
      <w:tblPr>
        <w:tblpPr w:leftFromText="141" w:vertAnchor="text" w:horzAnchor="margin" w:tblpXSpec="right" w:tblpY="333"/>
        <w:tblW w:w="7895" w:type="dxa"/>
        <w:tblLayout w:type="fixed"/>
        <w:tblCellMar>
          <w:top w:w="60" w:type="dxa"/>
          <w:left w:w="90" w:type="dxa"/>
          <w:bottom w:w="60" w:type="dxa"/>
          <w:right w:w="90" w:type="dxa"/>
        </w:tblCellMar>
        <w:tblLook w:val="04A0" w:firstRow="1" w:lastRow="0" w:firstColumn="1" w:lastColumn="0" w:noHBand="0" w:noVBand="1"/>
      </w:tblPr>
      <w:tblGrid>
        <w:gridCol w:w="640"/>
        <w:gridCol w:w="2803"/>
        <w:gridCol w:w="977"/>
        <w:gridCol w:w="741"/>
        <w:gridCol w:w="472"/>
        <w:gridCol w:w="2262"/>
      </w:tblGrid>
      <w:tr w:rsidR="00F50D70" w:rsidRPr="00BE4F47" w14:paraId="68E3D5FE" w14:textId="77777777" w:rsidTr="0036725C">
        <w:trPr>
          <w:trHeight w:val="218"/>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452EF8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lastRenderedPageBreak/>
              <w:t>ID</w:t>
            </w:r>
          </w:p>
        </w:tc>
        <w:tc>
          <w:tcPr>
            <w:tcW w:w="280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CBB78F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F1D5A2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74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419494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47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91D66B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7FB25B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0661E8EE" w14:textId="77777777">
        <w:trPr>
          <w:trHeight w:val="713"/>
        </w:trPr>
        <w:tc>
          <w:tcPr>
            <w:tcW w:w="640" w:type="dxa"/>
            <w:tcBorders>
              <w:top w:val="single" w:sz="4" w:space="0" w:color="000000"/>
              <w:left w:val="single" w:sz="4" w:space="0" w:color="000000"/>
              <w:bottom w:val="single" w:sz="4" w:space="0" w:color="000000"/>
              <w:right w:val="single" w:sz="4" w:space="0" w:color="000000"/>
            </w:tcBorders>
          </w:tcPr>
          <w:p w14:paraId="079567A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EX-F-01</w:t>
            </w:r>
          </w:p>
        </w:tc>
        <w:tc>
          <w:tcPr>
            <w:tcW w:w="2803" w:type="dxa"/>
            <w:tcBorders>
              <w:top w:val="single" w:sz="4" w:space="0" w:color="000000"/>
              <w:left w:val="single" w:sz="4" w:space="0" w:color="000000"/>
              <w:bottom w:val="single" w:sz="4" w:space="0" w:color="000000"/>
              <w:right w:val="single" w:sz="4" w:space="0" w:color="000000"/>
            </w:tcBorders>
          </w:tcPr>
          <w:p w14:paraId="09B697F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simule une boucle thermohydraulique simplifiée et produit, à chaque cycle d’acquisition, une valeur de température, de pression et de débit.</w:t>
            </w:r>
          </w:p>
        </w:tc>
        <w:tc>
          <w:tcPr>
            <w:tcW w:w="977" w:type="dxa"/>
            <w:tcBorders>
              <w:top w:val="single" w:sz="4" w:space="0" w:color="000000"/>
              <w:left w:val="single" w:sz="4" w:space="0" w:color="000000"/>
              <w:bottom w:val="single" w:sz="4" w:space="0" w:color="000000"/>
              <w:right w:val="single" w:sz="4" w:space="0" w:color="000000"/>
            </w:tcBorders>
          </w:tcPr>
          <w:p w14:paraId="3CEF87F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Hydro-Québec</w:t>
            </w:r>
          </w:p>
        </w:tc>
        <w:tc>
          <w:tcPr>
            <w:tcW w:w="741" w:type="dxa"/>
            <w:tcBorders>
              <w:top w:val="single" w:sz="4" w:space="0" w:color="000000"/>
              <w:left w:val="single" w:sz="4" w:space="0" w:color="000000"/>
              <w:bottom w:val="single" w:sz="4" w:space="0" w:color="000000"/>
              <w:right w:val="single" w:sz="4" w:space="0" w:color="000000"/>
            </w:tcBorders>
          </w:tcPr>
          <w:p w14:paraId="4C40B86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2" w:type="dxa"/>
            <w:tcBorders>
              <w:top w:val="single" w:sz="4" w:space="0" w:color="000000"/>
              <w:left w:val="single" w:sz="4" w:space="0" w:color="000000"/>
              <w:bottom w:val="single" w:sz="4" w:space="0" w:color="000000"/>
              <w:right w:val="single" w:sz="4" w:space="0" w:color="000000"/>
            </w:tcBorders>
          </w:tcPr>
          <w:p w14:paraId="69EFD3F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w:t>
            </w:r>
          </w:p>
        </w:tc>
        <w:tc>
          <w:tcPr>
            <w:tcW w:w="2262" w:type="dxa"/>
            <w:tcBorders>
              <w:top w:val="single" w:sz="4" w:space="0" w:color="000000"/>
              <w:left w:val="single" w:sz="4" w:space="0" w:color="000000"/>
              <w:bottom w:val="single" w:sz="4" w:space="0" w:color="000000"/>
              <w:right w:val="single" w:sz="4" w:space="0" w:color="000000"/>
            </w:tcBorders>
          </w:tcPr>
          <w:p w14:paraId="30A35E3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 fonctionnement normal : 100 cycles consécutifs sans valeur manquante.</w:t>
            </w:r>
          </w:p>
        </w:tc>
      </w:tr>
      <w:tr w:rsidR="00F50D70" w:rsidRPr="00BE4F47" w14:paraId="07B2BBC3" w14:textId="77777777">
        <w:trPr>
          <w:trHeight w:val="875"/>
        </w:trPr>
        <w:tc>
          <w:tcPr>
            <w:tcW w:w="640" w:type="dxa"/>
            <w:tcBorders>
              <w:top w:val="single" w:sz="4" w:space="0" w:color="000000"/>
              <w:left w:val="single" w:sz="4" w:space="0" w:color="000000"/>
              <w:bottom w:val="single" w:sz="4" w:space="0" w:color="000000"/>
              <w:right w:val="single" w:sz="4" w:space="0" w:color="000000"/>
            </w:tcBorders>
          </w:tcPr>
          <w:p w14:paraId="7531A57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EX-F-02</w:t>
            </w:r>
          </w:p>
        </w:tc>
        <w:tc>
          <w:tcPr>
            <w:tcW w:w="2803" w:type="dxa"/>
            <w:tcBorders>
              <w:top w:val="single" w:sz="4" w:space="0" w:color="000000"/>
              <w:left w:val="single" w:sz="4" w:space="0" w:color="000000"/>
              <w:bottom w:val="single" w:sz="4" w:space="0" w:color="000000"/>
              <w:right w:val="single" w:sz="4" w:space="0" w:color="000000"/>
            </w:tcBorders>
          </w:tcPr>
          <w:p w14:paraId="0CA67AA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permet d’exécuter des scénarios prédéfinis et reproductibles couvrant au minimum le fonctionnement normal, la dérive lente d’un capteur, la perte de communication et la valeur hors plage.</w:t>
            </w:r>
          </w:p>
        </w:tc>
        <w:tc>
          <w:tcPr>
            <w:tcW w:w="977" w:type="dxa"/>
            <w:tcBorders>
              <w:top w:val="single" w:sz="4" w:space="0" w:color="000000"/>
              <w:left w:val="single" w:sz="4" w:space="0" w:color="000000"/>
              <w:bottom w:val="single" w:sz="4" w:space="0" w:color="000000"/>
              <w:right w:val="single" w:sz="4" w:space="0" w:color="000000"/>
            </w:tcBorders>
          </w:tcPr>
          <w:p w14:paraId="69BB8AF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Hydro-Québec</w:t>
            </w:r>
          </w:p>
        </w:tc>
        <w:tc>
          <w:tcPr>
            <w:tcW w:w="741" w:type="dxa"/>
            <w:tcBorders>
              <w:top w:val="single" w:sz="4" w:space="0" w:color="000000"/>
              <w:left w:val="single" w:sz="4" w:space="0" w:color="000000"/>
              <w:bottom w:val="single" w:sz="4" w:space="0" w:color="000000"/>
              <w:right w:val="single" w:sz="4" w:space="0" w:color="000000"/>
            </w:tcBorders>
          </w:tcPr>
          <w:p w14:paraId="5ACF181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 F6, D2</w:t>
            </w:r>
          </w:p>
        </w:tc>
        <w:tc>
          <w:tcPr>
            <w:tcW w:w="472" w:type="dxa"/>
            <w:tcBorders>
              <w:top w:val="single" w:sz="4" w:space="0" w:color="000000"/>
              <w:left w:val="single" w:sz="4" w:space="0" w:color="000000"/>
              <w:bottom w:val="single" w:sz="4" w:space="0" w:color="000000"/>
              <w:right w:val="single" w:sz="4" w:space="0" w:color="000000"/>
            </w:tcBorders>
          </w:tcPr>
          <w:p w14:paraId="55DB4B6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L9</w:t>
            </w:r>
          </w:p>
        </w:tc>
        <w:tc>
          <w:tcPr>
            <w:tcW w:w="2262" w:type="dxa"/>
            <w:tcBorders>
              <w:top w:val="single" w:sz="4" w:space="0" w:color="000000"/>
              <w:left w:val="single" w:sz="4" w:space="0" w:color="000000"/>
              <w:bottom w:val="single" w:sz="4" w:space="0" w:color="000000"/>
              <w:right w:val="single" w:sz="4" w:space="0" w:color="000000"/>
            </w:tcBorders>
          </w:tcPr>
          <w:p w14:paraId="58E942C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Campagne d’essais : un essai documenté par scénario, rejouable à l’identique.</w:t>
            </w:r>
          </w:p>
        </w:tc>
      </w:tr>
      <w:tr w:rsidR="00F50D70" w:rsidRPr="00BE4F47" w14:paraId="4E093C19" w14:textId="77777777">
        <w:trPr>
          <w:trHeight w:val="543"/>
        </w:trPr>
        <w:tc>
          <w:tcPr>
            <w:tcW w:w="640" w:type="dxa"/>
            <w:tcBorders>
              <w:top w:val="single" w:sz="4" w:space="0" w:color="000000"/>
              <w:left w:val="single" w:sz="4" w:space="0" w:color="000000"/>
              <w:bottom w:val="single" w:sz="4" w:space="0" w:color="000000"/>
              <w:right w:val="single" w:sz="4" w:space="0" w:color="000000"/>
            </w:tcBorders>
          </w:tcPr>
          <w:p w14:paraId="6ED9CC8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EX-F-03</w:t>
            </w:r>
          </w:p>
        </w:tc>
        <w:tc>
          <w:tcPr>
            <w:tcW w:w="2803" w:type="dxa"/>
            <w:tcBorders>
              <w:top w:val="single" w:sz="4" w:space="0" w:color="000000"/>
              <w:left w:val="single" w:sz="4" w:space="0" w:color="000000"/>
              <w:bottom w:val="single" w:sz="4" w:space="0" w:color="000000"/>
              <w:right w:val="single" w:sz="4" w:space="0" w:color="000000"/>
            </w:tcBorders>
          </w:tcPr>
          <w:p w14:paraId="34893D9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À chaque cycle, le prototype compare la valeur observée à la valeur attendue par le modèle et calcule l’écart correspondant.</w:t>
            </w:r>
          </w:p>
        </w:tc>
        <w:tc>
          <w:tcPr>
            <w:tcW w:w="977" w:type="dxa"/>
            <w:tcBorders>
              <w:top w:val="single" w:sz="4" w:space="0" w:color="000000"/>
              <w:left w:val="single" w:sz="4" w:space="0" w:color="000000"/>
              <w:bottom w:val="single" w:sz="4" w:space="0" w:color="000000"/>
              <w:right w:val="single" w:sz="4" w:space="0" w:color="000000"/>
            </w:tcBorders>
          </w:tcPr>
          <w:p w14:paraId="100C101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Hydro-Québec</w:t>
            </w:r>
          </w:p>
        </w:tc>
        <w:tc>
          <w:tcPr>
            <w:tcW w:w="741" w:type="dxa"/>
            <w:tcBorders>
              <w:top w:val="single" w:sz="4" w:space="0" w:color="000000"/>
              <w:left w:val="single" w:sz="4" w:space="0" w:color="000000"/>
              <w:bottom w:val="single" w:sz="4" w:space="0" w:color="000000"/>
              <w:right w:val="single" w:sz="4" w:space="0" w:color="000000"/>
            </w:tcBorders>
          </w:tcPr>
          <w:p w14:paraId="39D1F41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2" w:type="dxa"/>
            <w:tcBorders>
              <w:top w:val="single" w:sz="4" w:space="0" w:color="000000"/>
              <w:left w:val="single" w:sz="4" w:space="0" w:color="000000"/>
              <w:bottom w:val="single" w:sz="4" w:space="0" w:color="000000"/>
              <w:right w:val="single" w:sz="4" w:space="0" w:color="000000"/>
            </w:tcBorders>
          </w:tcPr>
          <w:p w14:paraId="468EA10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 L7</w:t>
            </w:r>
          </w:p>
        </w:tc>
        <w:tc>
          <w:tcPr>
            <w:tcW w:w="2262" w:type="dxa"/>
            <w:tcBorders>
              <w:top w:val="single" w:sz="4" w:space="0" w:color="000000"/>
              <w:left w:val="single" w:sz="4" w:space="0" w:color="000000"/>
              <w:bottom w:val="single" w:sz="4" w:space="0" w:color="000000"/>
              <w:right w:val="single" w:sz="4" w:space="0" w:color="000000"/>
            </w:tcBorders>
          </w:tcPr>
          <w:p w14:paraId="68C44EA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unitaire sur jeu de données connu, écart attendu calculé à la main.</w:t>
            </w:r>
          </w:p>
        </w:tc>
      </w:tr>
      <w:tr w:rsidR="00F50D70" w:rsidRPr="00BE4F47" w14:paraId="13F54F10" w14:textId="77777777">
        <w:trPr>
          <w:trHeight w:val="543"/>
        </w:trPr>
        <w:tc>
          <w:tcPr>
            <w:tcW w:w="640" w:type="dxa"/>
            <w:tcBorders>
              <w:top w:val="single" w:sz="4" w:space="0" w:color="000000"/>
              <w:left w:val="single" w:sz="4" w:space="0" w:color="000000"/>
              <w:bottom w:val="single" w:sz="4" w:space="0" w:color="000000"/>
              <w:right w:val="single" w:sz="4" w:space="0" w:color="000000"/>
            </w:tcBorders>
          </w:tcPr>
          <w:p w14:paraId="53535B1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EX-F-04</w:t>
            </w:r>
          </w:p>
        </w:tc>
        <w:tc>
          <w:tcPr>
            <w:tcW w:w="2803" w:type="dxa"/>
            <w:tcBorders>
              <w:top w:val="single" w:sz="4" w:space="0" w:color="000000"/>
              <w:left w:val="single" w:sz="4" w:space="0" w:color="000000"/>
              <w:bottom w:val="single" w:sz="4" w:space="0" w:color="000000"/>
              <w:right w:val="single" w:sz="4" w:space="0" w:color="000000"/>
            </w:tcBorders>
          </w:tcPr>
          <w:p w14:paraId="3FDAF45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L’interface affiche en permanence les trois variables surveillées, leur écart au modèle et l’horodatage de la dernière acquisition valide.</w:t>
            </w:r>
          </w:p>
        </w:tc>
        <w:tc>
          <w:tcPr>
            <w:tcW w:w="977" w:type="dxa"/>
            <w:tcBorders>
              <w:top w:val="single" w:sz="4" w:space="0" w:color="000000"/>
              <w:left w:val="single" w:sz="4" w:space="0" w:color="000000"/>
              <w:bottom w:val="single" w:sz="4" w:space="0" w:color="000000"/>
              <w:right w:val="single" w:sz="4" w:space="0" w:color="000000"/>
            </w:tcBorders>
          </w:tcPr>
          <w:p w14:paraId="4DDCD67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Ingénieurs et opérateurs</w:t>
            </w:r>
          </w:p>
        </w:tc>
        <w:tc>
          <w:tcPr>
            <w:tcW w:w="741" w:type="dxa"/>
            <w:tcBorders>
              <w:top w:val="single" w:sz="4" w:space="0" w:color="000000"/>
              <w:left w:val="single" w:sz="4" w:space="0" w:color="000000"/>
              <w:bottom w:val="single" w:sz="4" w:space="0" w:color="000000"/>
              <w:right w:val="single" w:sz="4" w:space="0" w:color="000000"/>
            </w:tcBorders>
          </w:tcPr>
          <w:p w14:paraId="2C1D89A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2" w:type="dxa"/>
            <w:tcBorders>
              <w:top w:val="single" w:sz="4" w:space="0" w:color="000000"/>
              <w:left w:val="single" w:sz="4" w:space="0" w:color="000000"/>
              <w:bottom w:val="single" w:sz="4" w:space="0" w:color="000000"/>
              <w:right w:val="single" w:sz="4" w:space="0" w:color="000000"/>
            </w:tcBorders>
          </w:tcPr>
          <w:p w14:paraId="0436720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L8</w:t>
            </w:r>
          </w:p>
        </w:tc>
        <w:tc>
          <w:tcPr>
            <w:tcW w:w="2262" w:type="dxa"/>
            <w:tcBorders>
              <w:top w:val="single" w:sz="4" w:space="0" w:color="000000"/>
              <w:left w:val="single" w:sz="4" w:space="0" w:color="000000"/>
              <w:bottom w:val="single" w:sz="4" w:space="0" w:color="000000"/>
              <w:right w:val="single" w:sz="4" w:space="0" w:color="000000"/>
            </w:tcBorders>
          </w:tcPr>
          <w:p w14:paraId="37C176B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Inspection de l’interface en fonctionnement, liste de contrôle des éléments affichés.</w:t>
            </w:r>
          </w:p>
        </w:tc>
      </w:tr>
      <w:tr w:rsidR="00F50D70" w:rsidRPr="00BE4F47" w14:paraId="244E9A8C" w14:textId="77777777">
        <w:trPr>
          <w:trHeight w:val="549"/>
        </w:trPr>
        <w:tc>
          <w:tcPr>
            <w:tcW w:w="640" w:type="dxa"/>
            <w:tcBorders>
              <w:top w:val="single" w:sz="4" w:space="0" w:color="000000"/>
              <w:left w:val="single" w:sz="4" w:space="0" w:color="000000"/>
              <w:bottom w:val="single" w:sz="4" w:space="0" w:color="000000"/>
              <w:right w:val="single" w:sz="4" w:space="0" w:color="000000"/>
            </w:tcBorders>
          </w:tcPr>
          <w:p w14:paraId="44E6CBD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EX-F-05</w:t>
            </w:r>
          </w:p>
        </w:tc>
        <w:tc>
          <w:tcPr>
            <w:tcW w:w="2803" w:type="dxa"/>
            <w:tcBorders>
              <w:top w:val="single" w:sz="4" w:space="0" w:color="000000"/>
              <w:left w:val="single" w:sz="4" w:space="0" w:color="000000"/>
              <w:bottom w:val="single" w:sz="4" w:space="0" w:color="000000"/>
              <w:right w:val="single" w:sz="4" w:space="0" w:color="000000"/>
            </w:tcBorders>
          </w:tcPr>
          <w:p w14:paraId="6526C55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Lorsqu’une anomalie est signalée, l’interface affiche les variables ayant contribué à la détection.</w:t>
            </w:r>
          </w:p>
        </w:tc>
        <w:tc>
          <w:tcPr>
            <w:tcW w:w="977" w:type="dxa"/>
            <w:tcBorders>
              <w:top w:val="single" w:sz="4" w:space="0" w:color="000000"/>
              <w:left w:val="single" w:sz="4" w:space="0" w:color="000000"/>
              <w:bottom w:val="single" w:sz="4" w:space="0" w:color="000000"/>
              <w:right w:val="single" w:sz="4" w:space="0" w:color="000000"/>
            </w:tcBorders>
          </w:tcPr>
          <w:p w14:paraId="1B6D19A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Ingénieurs et opérateurs</w:t>
            </w:r>
          </w:p>
        </w:tc>
        <w:tc>
          <w:tcPr>
            <w:tcW w:w="741" w:type="dxa"/>
            <w:tcBorders>
              <w:top w:val="single" w:sz="4" w:space="0" w:color="000000"/>
              <w:left w:val="single" w:sz="4" w:space="0" w:color="000000"/>
              <w:bottom w:val="single" w:sz="4" w:space="0" w:color="000000"/>
              <w:right w:val="single" w:sz="4" w:space="0" w:color="000000"/>
            </w:tcBorders>
          </w:tcPr>
          <w:p w14:paraId="437D27D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D2</w:t>
            </w:r>
          </w:p>
        </w:tc>
        <w:tc>
          <w:tcPr>
            <w:tcW w:w="472" w:type="dxa"/>
            <w:tcBorders>
              <w:top w:val="single" w:sz="4" w:space="0" w:color="000000"/>
              <w:left w:val="single" w:sz="4" w:space="0" w:color="000000"/>
              <w:bottom w:val="single" w:sz="4" w:space="0" w:color="000000"/>
              <w:right w:val="single" w:sz="4" w:space="0" w:color="000000"/>
            </w:tcBorders>
          </w:tcPr>
          <w:p w14:paraId="336DD0E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L8</w:t>
            </w:r>
          </w:p>
        </w:tc>
        <w:tc>
          <w:tcPr>
            <w:tcW w:w="2262" w:type="dxa"/>
            <w:tcBorders>
              <w:top w:val="single" w:sz="4" w:space="0" w:color="000000"/>
              <w:left w:val="single" w:sz="4" w:space="0" w:color="000000"/>
              <w:bottom w:val="single" w:sz="4" w:space="0" w:color="000000"/>
              <w:right w:val="single" w:sz="4" w:space="0" w:color="000000"/>
            </w:tcBorders>
          </w:tcPr>
          <w:p w14:paraId="16F3DC1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d’injection d’anomalie : les variables affichées correspondent à celles injectées.</w:t>
            </w:r>
          </w:p>
        </w:tc>
      </w:tr>
      <w:tr w:rsidR="00F50D70" w:rsidRPr="00BE4F47" w14:paraId="7F95B89C" w14:textId="77777777">
        <w:trPr>
          <w:trHeight w:val="875"/>
        </w:trPr>
        <w:tc>
          <w:tcPr>
            <w:tcW w:w="640" w:type="dxa"/>
            <w:tcBorders>
              <w:top w:val="single" w:sz="4" w:space="0" w:color="000000"/>
              <w:left w:val="single" w:sz="4" w:space="0" w:color="000000"/>
              <w:bottom w:val="single" w:sz="4" w:space="0" w:color="000000"/>
              <w:right w:val="single" w:sz="4" w:space="0" w:color="000000"/>
            </w:tcBorders>
          </w:tcPr>
          <w:p w14:paraId="768BB7E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EX-F-06</w:t>
            </w:r>
          </w:p>
        </w:tc>
        <w:tc>
          <w:tcPr>
            <w:tcW w:w="2803" w:type="dxa"/>
            <w:tcBorders>
              <w:top w:val="single" w:sz="4" w:space="0" w:color="000000"/>
              <w:left w:val="single" w:sz="4" w:space="0" w:color="000000"/>
              <w:bottom w:val="single" w:sz="4" w:space="0" w:color="000000"/>
              <w:right w:val="single" w:sz="4" w:space="0" w:color="000000"/>
            </w:tcBorders>
          </w:tcPr>
          <w:p w14:paraId="691C4C2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Lorsqu’au moins une des trois variables est indisponible ou hors de sa plage de validité pendant plus de N cycles, l’interface affiche l’état « incertain » et n’affiche aucune estimation d’état normal.</w:t>
            </w:r>
          </w:p>
        </w:tc>
        <w:tc>
          <w:tcPr>
            <w:tcW w:w="977" w:type="dxa"/>
            <w:tcBorders>
              <w:top w:val="single" w:sz="4" w:space="0" w:color="000000"/>
              <w:left w:val="single" w:sz="4" w:space="0" w:color="000000"/>
              <w:bottom w:val="single" w:sz="4" w:space="0" w:color="000000"/>
              <w:right w:val="single" w:sz="4" w:space="0" w:color="000000"/>
            </w:tcBorders>
          </w:tcPr>
          <w:p w14:paraId="7DA33A0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Sûreté</w:t>
            </w:r>
          </w:p>
        </w:tc>
        <w:tc>
          <w:tcPr>
            <w:tcW w:w="741" w:type="dxa"/>
            <w:tcBorders>
              <w:top w:val="single" w:sz="4" w:space="0" w:color="000000"/>
              <w:left w:val="single" w:sz="4" w:space="0" w:color="000000"/>
              <w:bottom w:val="single" w:sz="4" w:space="0" w:color="000000"/>
              <w:right w:val="single" w:sz="4" w:space="0" w:color="000000"/>
            </w:tcBorders>
          </w:tcPr>
          <w:p w14:paraId="79F61D0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D2</w:t>
            </w:r>
          </w:p>
        </w:tc>
        <w:tc>
          <w:tcPr>
            <w:tcW w:w="472" w:type="dxa"/>
            <w:tcBorders>
              <w:top w:val="single" w:sz="4" w:space="0" w:color="000000"/>
              <w:left w:val="single" w:sz="4" w:space="0" w:color="000000"/>
              <w:bottom w:val="single" w:sz="4" w:space="0" w:color="000000"/>
              <w:right w:val="single" w:sz="4" w:space="0" w:color="000000"/>
            </w:tcBorders>
          </w:tcPr>
          <w:p w14:paraId="71C43A0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L7, L8</w:t>
            </w:r>
          </w:p>
        </w:tc>
        <w:tc>
          <w:tcPr>
            <w:tcW w:w="2262" w:type="dxa"/>
            <w:tcBorders>
              <w:top w:val="single" w:sz="4" w:space="0" w:color="000000"/>
              <w:left w:val="single" w:sz="4" w:space="0" w:color="000000"/>
              <w:bottom w:val="single" w:sz="4" w:space="0" w:color="000000"/>
              <w:right w:val="single" w:sz="4" w:space="0" w:color="000000"/>
            </w:tcBorders>
          </w:tcPr>
          <w:p w14:paraId="0FF3306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 perte de capteur et essai de valeur hors plage.</w:t>
            </w:r>
          </w:p>
        </w:tc>
      </w:tr>
      <w:tr w:rsidR="00F50D70" w:rsidRPr="00BE4F47" w14:paraId="3AC94D92" w14:textId="77777777">
        <w:trPr>
          <w:trHeight w:val="543"/>
        </w:trPr>
        <w:tc>
          <w:tcPr>
            <w:tcW w:w="640" w:type="dxa"/>
            <w:tcBorders>
              <w:top w:val="single" w:sz="4" w:space="0" w:color="000000"/>
              <w:left w:val="single" w:sz="4" w:space="0" w:color="000000"/>
              <w:bottom w:val="single" w:sz="4" w:space="0" w:color="000000"/>
              <w:right w:val="single" w:sz="4" w:space="0" w:color="000000"/>
            </w:tcBorders>
          </w:tcPr>
          <w:p w14:paraId="2DD831E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EX-F-07</w:t>
            </w:r>
          </w:p>
        </w:tc>
        <w:tc>
          <w:tcPr>
            <w:tcW w:w="2803" w:type="dxa"/>
            <w:tcBorders>
              <w:top w:val="single" w:sz="4" w:space="0" w:color="000000"/>
              <w:left w:val="single" w:sz="4" w:space="0" w:color="000000"/>
              <w:bottom w:val="single" w:sz="4" w:space="0" w:color="000000"/>
              <w:right w:val="single" w:sz="4" w:space="0" w:color="000000"/>
            </w:tcBorders>
          </w:tcPr>
          <w:p w14:paraId="59FF673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Toute estimation d’état produite par le prototype est accompagnée d’un niveau de confiance ou d’un intervalle d’incertitude.</w:t>
            </w:r>
          </w:p>
        </w:tc>
        <w:tc>
          <w:tcPr>
            <w:tcW w:w="977" w:type="dxa"/>
            <w:tcBorders>
              <w:top w:val="single" w:sz="4" w:space="0" w:color="000000"/>
              <w:left w:val="single" w:sz="4" w:space="0" w:color="000000"/>
              <w:bottom w:val="single" w:sz="4" w:space="0" w:color="000000"/>
              <w:right w:val="single" w:sz="4" w:space="0" w:color="000000"/>
            </w:tcBorders>
          </w:tcPr>
          <w:p w14:paraId="3627DCA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Sûreté</w:t>
            </w:r>
          </w:p>
        </w:tc>
        <w:tc>
          <w:tcPr>
            <w:tcW w:w="741" w:type="dxa"/>
            <w:tcBorders>
              <w:top w:val="single" w:sz="4" w:space="0" w:color="000000"/>
              <w:left w:val="single" w:sz="4" w:space="0" w:color="000000"/>
              <w:bottom w:val="single" w:sz="4" w:space="0" w:color="000000"/>
              <w:right w:val="single" w:sz="4" w:space="0" w:color="000000"/>
            </w:tcBorders>
          </w:tcPr>
          <w:p w14:paraId="324908E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 D3</w:t>
            </w:r>
          </w:p>
        </w:tc>
        <w:tc>
          <w:tcPr>
            <w:tcW w:w="472" w:type="dxa"/>
            <w:tcBorders>
              <w:top w:val="single" w:sz="4" w:space="0" w:color="000000"/>
              <w:left w:val="single" w:sz="4" w:space="0" w:color="000000"/>
              <w:bottom w:val="single" w:sz="4" w:space="0" w:color="000000"/>
              <w:right w:val="single" w:sz="4" w:space="0" w:color="000000"/>
            </w:tcBorders>
          </w:tcPr>
          <w:p w14:paraId="36E740A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L7</w:t>
            </w:r>
          </w:p>
        </w:tc>
        <w:tc>
          <w:tcPr>
            <w:tcW w:w="2262" w:type="dxa"/>
            <w:tcBorders>
              <w:top w:val="single" w:sz="4" w:space="0" w:color="000000"/>
              <w:left w:val="single" w:sz="4" w:space="0" w:color="000000"/>
              <w:bottom w:val="single" w:sz="4" w:space="0" w:color="000000"/>
              <w:right w:val="single" w:sz="4" w:space="0" w:color="000000"/>
            </w:tcBorders>
          </w:tcPr>
          <w:p w14:paraId="60A87CD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 comparaison : l’écart affiché est rapporté à l’incertitude de validation (ASME V&amp;V 20).</w:t>
            </w:r>
          </w:p>
        </w:tc>
      </w:tr>
      <w:tr w:rsidR="00F50D70" w:rsidRPr="00BE4F47" w14:paraId="5D78CD1B" w14:textId="77777777">
        <w:trPr>
          <w:trHeight w:val="713"/>
        </w:trPr>
        <w:tc>
          <w:tcPr>
            <w:tcW w:w="640" w:type="dxa"/>
            <w:tcBorders>
              <w:top w:val="single" w:sz="4" w:space="0" w:color="000000"/>
              <w:left w:val="single" w:sz="4" w:space="0" w:color="000000"/>
              <w:bottom w:val="single" w:sz="4" w:space="0" w:color="000000"/>
              <w:right w:val="single" w:sz="4" w:space="0" w:color="000000"/>
            </w:tcBorders>
          </w:tcPr>
          <w:p w14:paraId="57B1A63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EX-F-08</w:t>
            </w:r>
          </w:p>
        </w:tc>
        <w:tc>
          <w:tcPr>
            <w:tcW w:w="2803" w:type="dxa"/>
            <w:tcBorders>
              <w:top w:val="single" w:sz="4" w:space="0" w:color="000000"/>
              <w:left w:val="single" w:sz="4" w:space="0" w:color="000000"/>
              <w:bottom w:val="single" w:sz="4" w:space="0" w:color="000000"/>
              <w:right w:val="single" w:sz="4" w:space="0" w:color="000000"/>
            </w:tcBorders>
          </w:tcPr>
          <w:p w14:paraId="554367F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n’émet aucune commande vers un équipement. Toute action proposée est une recommandation nécessitant une validation de l’opérateur.</w:t>
            </w:r>
          </w:p>
        </w:tc>
        <w:tc>
          <w:tcPr>
            <w:tcW w:w="977" w:type="dxa"/>
            <w:tcBorders>
              <w:top w:val="single" w:sz="4" w:space="0" w:color="000000"/>
              <w:left w:val="single" w:sz="4" w:space="0" w:color="000000"/>
              <w:bottom w:val="single" w:sz="4" w:space="0" w:color="000000"/>
              <w:right w:val="single" w:sz="4" w:space="0" w:color="000000"/>
            </w:tcBorders>
          </w:tcPr>
          <w:p w14:paraId="15F79D7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Opérateurs et sûreté</w:t>
            </w:r>
          </w:p>
        </w:tc>
        <w:tc>
          <w:tcPr>
            <w:tcW w:w="741" w:type="dxa"/>
            <w:tcBorders>
              <w:top w:val="single" w:sz="4" w:space="0" w:color="000000"/>
              <w:left w:val="single" w:sz="4" w:space="0" w:color="000000"/>
              <w:bottom w:val="single" w:sz="4" w:space="0" w:color="000000"/>
              <w:right w:val="single" w:sz="4" w:space="0" w:color="000000"/>
            </w:tcBorders>
          </w:tcPr>
          <w:p w14:paraId="575F821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D3</w:t>
            </w:r>
          </w:p>
        </w:tc>
        <w:tc>
          <w:tcPr>
            <w:tcW w:w="472" w:type="dxa"/>
            <w:tcBorders>
              <w:top w:val="single" w:sz="4" w:space="0" w:color="000000"/>
              <w:left w:val="single" w:sz="4" w:space="0" w:color="000000"/>
              <w:bottom w:val="single" w:sz="4" w:space="0" w:color="000000"/>
              <w:right w:val="single" w:sz="4" w:space="0" w:color="000000"/>
            </w:tcBorders>
          </w:tcPr>
          <w:p w14:paraId="060E933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 L8</w:t>
            </w:r>
          </w:p>
        </w:tc>
        <w:tc>
          <w:tcPr>
            <w:tcW w:w="2262" w:type="dxa"/>
            <w:tcBorders>
              <w:top w:val="single" w:sz="4" w:space="0" w:color="000000"/>
              <w:left w:val="single" w:sz="4" w:space="0" w:color="000000"/>
              <w:bottom w:val="single" w:sz="4" w:space="0" w:color="000000"/>
              <w:right w:val="single" w:sz="4" w:space="0" w:color="000000"/>
            </w:tcBorders>
          </w:tcPr>
          <w:p w14:paraId="7833275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Revue de code et inspection des interfaces de sortie : aucune écriture vers un actionneur.</w:t>
            </w:r>
          </w:p>
        </w:tc>
      </w:tr>
      <w:tr w:rsidR="00F50D70" w:rsidRPr="00BE4F47" w14:paraId="399144E8" w14:textId="77777777">
        <w:trPr>
          <w:trHeight w:val="543"/>
        </w:trPr>
        <w:tc>
          <w:tcPr>
            <w:tcW w:w="640" w:type="dxa"/>
            <w:tcBorders>
              <w:top w:val="single" w:sz="4" w:space="0" w:color="000000"/>
              <w:left w:val="single" w:sz="4" w:space="0" w:color="000000"/>
              <w:bottom w:val="single" w:sz="4" w:space="0" w:color="000000"/>
              <w:right w:val="single" w:sz="4" w:space="0" w:color="000000"/>
            </w:tcBorders>
          </w:tcPr>
          <w:p w14:paraId="7E616DE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EX-F-09</w:t>
            </w:r>
          </w:p>
        </w:tc>
        <w:tc>
          <w:tcPr>
            <w:tcW w:w="2803" w:type="dxa"/>
            <w:tcBorders>
              <w:top w:val="single" w:sz="4" w:space="0" w:color="000000"/>
              <w:left w:val="single" w:sz="4" w:space="0" w:color="000000"/>
              <w:bottom w:val="single" w:sz="4" w:space="0" w:color="000000"/>
              <w:right w:val="single" w:sz="4" w:space="0" w:color="000000"/>
            </w:tcBorders>
          </w:tcPr>
          <w:p w14:paraId="7AC33D9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passage en fonctionnement dégradé exige une confirmation explicite de l’opérateur et est journalisé avec son horodatage.</w:t>
            </w:r>
          </w:p>
        </w:tc>
        <w:tc>
          <w:tcPr>
            <w:tcW w:w="977" w:type="dxa"/>
            <w:tcBorders>
              <w:top w:val="single" w:sz="4" w:space="0" w:color="000000"/>
              <w:left w:val="single" w:sz="4" w:space="0" w:color="000000"/>
              <w:bottom w:val="single" w:sz="4" w:space="0" w:color="000000"/>
              <w:right w:val="single" w:sz="4" w:space="0" w:color="000000"/>
            </w:tcBorders>
          </w:tcPr>
          <w:p w14:paraId="2F1ECD0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Sûreté</w:t>
            </w:r>
          </w:p>
        </w:tc>
        <w:tc>
          <w:tcPr>
            <w:tcW w:w="741" w:type="dxa"/>
            <w:tcBorders>
              <w:top w:val="single" w:sz="4" w:space="0" w:color="000000"/>
              <w:left w:val="single" w:sz="4" w:space="0" w:color="000000"/>
              <w:bottom w:val="single" w:sz="4" w:space="0" w:color="000000"/>
              <w:right w:val="single" w:sz="4" w:space="0" w:color="000000"/>
            </w:tcBorders>
          </w:tcPr>
          <w:p w14:paraId="4BAD6E0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D3</w:t>
            </w:r>
          </w:p>
        </w:tc>
        <w:tc>
          <w:tcPr>
            <w:tcW w:w="472" w:type="dxa"/>
            <w:tcBorders>
              <w:top w:val="single" w:sz="4" w:space="0" w:color="000000"/>
              <w:left w:val="single" w:sz="4" w:space="0" w:color="000000"/>
              <w:bottom w:val="single" w:sz="4" w:space="0" w:color="000000"/>
              <w:right w:val="single" w:sz="4" w:space="0" w:color="000000"/>
            </w:tcBorders>
          </w:tcPr>
          <w:p w14:paraId="5762B12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w:t>
            </w:r>
          </w:p>
        </w:tc>
        <w:tc>
          <w:tcPr>
            <w:tcW w:w="2262" w:type="dxa"/>
            <w:tcBorders>
              <w:top w:val="single" w:sz="4" w:space="0" w:color="000000"/>
              <w:left w:val="single" w:sz="4" w:space="0" w:color="000000"/>
              <w:bottom w:val="single" w:sz="4" w:space="0" w:color="000000"/>
              <w:right w:val="single" w:sz="4" w:space="0" w:color="000000"/>
            </w:tcBorders>
          </w:tcPr>
          <w:p w14:paraId="0032D7E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 bascule : vérification de la présence de l’entrée au journal.</w:t>
            </w:r>
          </w:p>
        </w:tc>
      </w:tr>
      <w:tr w:rsidR="00F50D70" w:rsidRPr="00BE4F47" w14:paraId="1A3E7041" w14:textId="77777777">
        <w:trPr>
          <w:trHeight w:val="549"/>
        </w:trPr>
        <w:tc>
          <w:tcPr>
            <w:tcW w:w="640" w:type="dxa"/>
            <w:tcBorders>
              <w:top w:val="single" w:sz="4" w:space="0" w:color="000000"/>
              <w:left w:val="single" w:sz="4" w:space="0" w:color="000000"/>
              <w:bottom w:val="single" w:sz="4" w:space="0" w:color="000000"/>
              <w:right w:val="single" w:sz="4" w:space="0" w:color="000000"/>
            </w:tcBorders>
          </w:tcPr>
          <w:p w14:paraId="150D548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EX-F-10</w:t>
            </w:r>
          </w:p>
        </w:tc>
        <w:tc>
          <w:tcPr>
            <w:tcW w:w="2803" w:type="dxa"/>
            <w:tcBorders>
              <w:top w:val="single" w:sz="4" w:space="0" w:color="000000"/>
              <w:left w:val="single" w:sz="4" w:space="0" w:color="000000"/>
              <w:bottom w:val="single" w:sz="4" w:space="0" w:color="000000"/>
              <w:right w:val="single" w:sz="4" w:space="0" w:color="000000"/>
            </w:tcBorders>
          </w:tcPr>
          <w:p w14:paraId="3B704B2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journalise chaque acquisition, chaque détection d’anomalie et chaque changement d’état, avec horodatage.</w:t>
            </w:r>
          </w:p>
        </w:tc>
        <w:tc>
          <w:tcPr>
            <w:tcW w:w="977" w:type="dxa"/>
            <w:tcBorders>
              <w:top w:val="single" w:sz="4" w:space="0" w:color="000000"/>
              <w:left w:val="single" w:sz="4" w:space="0" w:color="000000"/>
              <w:bottom w:val="single" w:sz="4" w:space="0" w:color="000000"/>
              <w:right w:val="single" w:sz="4" w:space="0" w:color="000000"/>
            </w:tcBorders>
          </w:tcPr>
          <w:p w14:paraId="5E010DE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CCSN, REGDOC-2.1.1</w:t>
            </w:r>
          </w:p>
        </w:tc>
        <w:tc>
          <w:tcPr>
            <w:tcW w:w="741" w:type="dxa"/>
            <w:tcBorders>
              <w:top w:val="single" w:sz="4" w:space="0" w:color="000000"/>
              <w:left w:val="single" w:sz="4" w:space="0" w:color="000000"/>
              <w:bottom w:val="single" w:sz="4" w:space="0" w:color="000000"/>
              <w:right w:val="single" w:sz="4" w:space="0" w:color="000000"/>
            </w:tcBorders>
          </w:tcPr>
          <w:p w14:paraId="697E7FB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A1, F1, D1, D2, D3</w:t>
            </w:r>
          </w:p>
        </w:tc>
        <w:tc>
          <w:tcPr>
            <w:tcW w:w="472" w:type="dxa"/>
            <w:tcBorders>
              <w:top w:val="single" w:sz="4" w:space="0" w:color="000000"/>
              <w:left w:val="single" w:sz="4" w:space="0" w:color="000000"/>
              <w:bottom w:val="single" w:sz="4" w:space="0" w:color="000000"/>
              <w:right w:val="single" w:sz="4" w:space="0" w:color="000000"/>
            </w:tcBorders>
          </w:tcPr>
          <w:p w14:paraId="34F5E5B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L6</w:t>
            </w:r>
          </w:p>
        </w:tc>
        <w:tc>
          <w:tcPr>
            <w:tcW w:w="2262" w:type="dxa"/>
            <w:tcBorders>
              <w:top w:val="single" w:sz="4" w:space="0" w:color="000000"/>
              <w:left w:val="single" w:sz="4" w:space="0" w:color="000000"/>
              <w:bottom w:val="single" w:sz="4" w:space="0" w:color="000000"/>
              <w:right w:val="single" w:sz="4" w:space="0" w:color="000000"/>
            </w:tcBorders>
          </w:tcPr>
          <w:p w14:paraId="587BA38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Inspection du journal après une campagne complète : aucun changement d’état absent.</w:t>
            </w:r>
          </w:p>
        </w:tc>
      </w:tr>
    </w:tbl>
    <w:p w14:paraId="68653624" w14:textId="77777777" w:rsidR="00F50D70" w:rsidRPr="00BE4F47" w:rsidRDefault="00F50D70" w:rsidP="008E113B">
      <w:pPr>
        <w:pStyle w:val="Retraitcorpsdetexte3"/>
        <w:spacing w:line="360" w:lineRule="auto"/>
        <w:ind w:left="0" w:firstLine="0"/>
        <w:rPr>
          <w:rFonts w:ascii="Aptos" w:hAnsi="Aptos"/>
        </w:rPr>
      </w:pPr>
    </w:p>
    <w:p w14:paraId="0DDAFCB1" w14:textId="77777777" w:rsidR="00F50D70" w:rsidRPr="0036725C" w:rsidRDefault="00F50D70" w:rsidP="008E113B">
      <w:pPr>
        <w:spacing w:line="360" w:lineRule="auto"/>
      </w:pPr>
    </w:p>
    <w:p w14:paraId="251CBE36" w14:textId="77777777" w:rsidR="00F50D70" w:rsidRPr="0036725C" w:rsidRDefault="00F50D70" w:rsidP="008E113B">
      <w:pPr>
        <w:spacing w:line="360" w:lineRule="auto"/>
      </w:pPr>
    </w:p>
    <w:p w14:paraId="5AB9E207" w14:textId="77777777" w:rsidR="00F50D70" w:rsidRPr="0036725C" w:rsidRDefault="00F50D70" w:rsidP="008E113B">
      <w:pPr>
        <w:spacing w:line="360" w:lineRule="auto"/>
      </w:pPr>
    </w:p>
    <w:p w14:paraId="2820FA2A" w14:textId="77777777" w:rsidR="00F50D70" w:rsidRPr="0036725C" w:rsidRDefault="00F50D70" w:rsidP="008E113B">
      <w:pPr>
        <w:spacing w:line="360" w:lineRule="auto"/>
      </w:pPr>
    </w:p>
    <w:p w14:paraId="1429EC03" w14:textId="77777777" w:rsidR="00F50D70" w:rsidRPr="0036725C" w:rsidRDefault="00F50D70" w:rsidP="008E113B">
      <w:pPr>
        <w:spacing w:line="360" w:lineRule="auto"/>
      </w:pPr>
    </w:p>
    <w:p w14:paraId="274FDEE5" w14:textId="77777777" w:rsidR="00F50D70" w:rsidRPr="0036725C" w:rsidRDefault="00F50D70" w:rsidP="008E113B">
      <w:pPr>
        <w:spacing w:line="360" w:lineRule="auto"/>
      </w:pPr>
    </w:p>
    <w:p w14:paraId="3E26CCAF" w14:textId="77777777" w:rsidR="00F50D70" w:rsidRPr="0036725C" w:rsidRDefault="00F50D70" w:rsidP="008E113B">
      <w:pPr>
        <w:spacing w:line="360" w:lineRule="auto"/>
      </w:pPr>
    </w:p>
    <w:p w14:paraId="71873914" w14:textId="77777777" w:rsidR="00F50D70" w:rsidRPr="0036725C" w:rsidRDefault="00F50D70" w:rsidP="008E113B">
      <w:pPr>
        <w:spacing w:line="360" w:lineRule="auto"/>
      </w:pPr>
    </w:p>
    <w:p w14:paraId="6BA5967F" w14:textId="77777777" w:rsidR="00F50D70" w:rsidRPr="0036725C" w:rsidRDefault="00F50D70" w:rsidP="008E113B">
      <w:pPr>
        <w:spacing w:line="360" w:lineRule="auto"/>
      </w:pPr>
    </w:p>
    <w:p w14:paraId="4A8B6512" w14:textId="77777777" w:rsidR="00F50D70" w:rsidRPr="0036725C" w:rsidRDefault="00F50D70" w:rsidP="008E113B">
      <w:pPr>
        <w:spacing w:line="360" w:lineRule="auto"/>
      </w:pPr>
    </w:p>
    <w:p w14:paraId="60B142C5" w14:textId="77777777" w:rsidR="00F50D70" w:rsidRPr="0036725C" w:rsidRDefault="00F50D70" w:rsidP="008E113B">
      <w:pPr>
        <w:spacing w:line="360" w:lineRule="auto"/>
      </w:pPr>
    </w:p>
    <w:p w14:paraId="0B5B7A9A" w14:textId="77777777" w:rsidR="00F50D70" w:rsidRPr="0036725C" w:rsidRDefault="00F50D70" w:rsidP="008E113B">
      <w:pPr>
        <w:spacing w:line="360" w:lineRule="auto"/>
      </w:pPr>
    </w:p>
    <w:p w14:paraId="4F7B2329" w14:textId="77777777" w:rsidR="00F50D70" w:rsidRPr="0036725C" w:rsidRDefault="00F50D70" w:rsidP="008E113B">
      <w:pPr>
        <w:spacing w:line="360" w:lineRule="auto"/>
      </w:pPr>
    </w:p>
    <w:p w14:paraId="4200C518" w14:textId="77777777" w:rsidR="00F50D70" w:rsidRPr="0036725C" w:rsidRDefault="00F50D70" w:rsidP="008E113B">
      <w:pPr>
        <w:spacing w:line="360" w:lineRule="auto"/>
      </w:pPr>
    </w:p>
    <w:p w14:paraId="32960475" w14:textId="77777777" w:rsidR="00F50D70" w:rsidRPr="0036725C" w:rsidRDefault="00F50D70" w:rsidP="008E113B">
      <w:pPr>
        <w:spacing w:line="360" w:lineRule="auto"/>
      </w:pPr>
    </w:p>
    <w:p w14:paraId="4035D512" w14:textId="77777777" w:rsidR="00F50D70" w:rsidRPr="0036725C" w:rsidRDefault="00F50D70" w:rsidP="008E113B">
      <w:pPr>
        <w:spacing w:line="360" w:lineRule="auto"/>
      </w:pPr>
    </w:p>
    <w:p w14:paraId="6C3BE1D6" w14:textId="77777777" w:rsidR="00F50D70" w:rsidRPr="0036725C" w:rsidRDefault="00F50D70" w:rsidP="008E113B">
      <w:pPr>
        <w:spacing w:line="360" w:lineRule="auto"/>
      </w:pPr>
    </w:p>
    <w:p w14:paraId="5053C7D3" w14:textId="77777777" w:rsidR="00F50D70" w:rsidRPr="0036725C" w:rsidRDefault="00F50D70" w:rsidP="008E113B">
      <w:pPr>
        <w:spacing w:line="360" w:lineRule="auto"/>
      </w:pPr>
    </w:p>
    <w:p w14:paraId="3925D7DF" w14:textId="77777777" w:rsidR="00F50D70" w:rsidRPr="0036725C" w:rsidRDefault="00F50D70" w:rsidP="008E113B">
      <w:pPr>
        <w:spacing w:line="360" w:lineRule="auto"/>
      </w:pPr>
    </w:p>
    <w:p w14:paraId="7BD76744" w14:textId="77777777" w:rsidR="00F50D70" w:rsidRPr="0036725C" w:rsidRDefault="00F50D70" w:rsidP="008E113B">
      <w:pPr>
        <w:spacing w:line="360" w:lineRule="auto"/>
      </w:pPr>
    </w:p>
    <w:p w14:paraId="11A19311" w14:textId="77777777" w:rsidR="00F50D70" w:rsidRPr="0036725C" w:rsidRDefault="00F50D70" w:rsidP="008E113B">
      <w:pPr>
        <w:spacing w:line="360" w:lineRule="auto"/>
      </w:pPr>
    </w:p>
    <w:p w14:paraId="7E93B449" w14:textId="77777777" w:rsidR="00F50D70" w:rsidRPr="0036725C" w:rsidRDefault="00F50D70" w:rsidP="008E113B">
      <w:pPr>
        <w:spacing w:line="360" w:lineRule="auto"/>
      </w:pPr>
    </w:p>
    <w:p w14:paraId="03784ECE" w14:textId="77777777" w:rsidR="00F50D70" w:rsidRPr="0036725C" w:rsidRDefault="00F50D70" w:rsidP="008E113B">
      <w:pPr>
        <w:spacing w:line="360" w:lineRule="auto"/>
      </w:pPr>
    </w:p>
    <w:p w14:paraId="3973F919" w14:textId="77777777" w:rsidR="00F50D70" w:rsidRPr="0036725C" w:rsidRDefault="00F50D70" w:rsidP="008E113B">
      <w:pPr>
        <w:spacing w:line="360" w:lineRule="auto"/>
      </w:pPr>
    </w:p>
    <w:p w14:paraId="3127F9C4" w14:textId="77777777" w:rsidR="00F50D70" w:rsidRPr="0036725C" w:rsidRDefault="00F50D70" w:rsidP="008E113B">
      <w:pPr>
        <w:spacing w:line="360" w:lineRule="auto"/>
      </w:pPr>
    </w:p>
    <w:p w14:paraId="65A5AB31" w14:textId="77777777" w:rsidR="00F50D70" w:rsidRPr="00BE4F47" w:rsidRDefault="00F50D70" w:rsidP="008E113B">
      <w:pPr>
        <w:pStyle w:val="Retraitcorpsdetexte3"/>
        <w:spacing w:line="360" w:lineRule="auto"/>
        <w:ind w:left="0" w:firstLine="0"/>
        <w:rPr>
          <w:rFonts w:ascii="Aptos" w:hAnsi="Aptos"/>
        </w:rPr>
      </w:pPr>
    </w:p>
    <w:p w14:paraId="1FA57296" w14:textId="77777777" w:rsidR="00F50D70" w:rsidRPr="00BE4F47" w:rsidRDefault="00F50D70" w:rsidP="008E113B">
      <w:pPr>
        <w:pStyle w:val="Retraitcorpsdetexte3"/>
        <w:spacing w:line="360" w:lineRule="auto"/>
        <w:ind w:left="0" w:firstLine="0"/>
        <w:rPr>
          <w:rFonts w:ascii="Aptos" w:hAnsi="Aptos"/>
        </w:rPr>
      </w:pPr>
    </w:p>
    <w:p w14:paraId="29299AAB" w14:textId="77777777" w:rsidR="00F50D70" w:rsidRPr="00BE4F47" w:rsidRDefault="00F50D70" w:rsidP="008E113B">
      <w:pPr>
        <w:pStyle w:val="Retraitcorpsdetexte3"/>
        <w:spacing w:line="360" w:lineRule="auto"/>
        <w:ind w:left="0" w:firstLine="0"/>
        <w:rPr>
          <w:rFonts w:ascii="Aptos" w:hAnsi="Aptos"/>
        </w:rPr>
      </w:pPr>
    </w:p>
    <w:p w14:paraId="3C1F521C" w14:textId="77777777" w:rsidR="00F50D70" w:rsidRPr="00BE4F47" w:rsidRDefault="00F50D70" w:rsidP="008E113B">
      <w:pPr>
        <w:pStyle w:val="Retraitcorpsdetexte3"/>
        <w:spacing w:line="360" w:lineRule="auto"/>
        <w:ind w:left="0" w:firstLine="0"/>
        <w:rPr>
          <w:rFonts w:ascii="Aptos" w:hAnsi="Aptos"/>
        </w:rPr>
      </w:pPr>
    </w:p>
    <w:p w14:paraId="189DDAA9" w14:textId="77777777" w:rsidR="00F50D70" w:rsidRPr="00BE4F47" w:rsidRDefault="00F50D70" w:rsidP="008E113B">
      <w:pPr>
        <w:pStyle w:val="Retraitcorpsdetexte3"/>
        <w:spacing w:line="360" w:lineRule="auto"/>
        <w:ind w:left="0" w:firstLine="0"/>
        <w:rPr>
          <w:rFonts w:ascii="Aptos" w:hAnsi="Aptos"/>
        </w:rPr>
      </w:pPr>
    </w:p>
    <w:p w14:paraId="7ADA3ABD" w14:textId="77777777" w:rsidR="00F50D70" w:rsidRPr="00BE4F47" w:rsidRDefault="00F50D70" w:rsidP="008E113B">
      <w:pPr>
        <w:pStyle w:val="Retraitcorpsdetexte3"/>
        <w:spacing w:line="360" w:lineRule="auto"/>
        <w:ind w:left="0" w:firstLine="0"/>
        <w:rPr>
          <w:rFonts w:ascii="Aptos" w:hAnsi="Aptos"/>
        </w:rPr>
      </w:pPr>
    </w:p>
    <w:p w14:paraId="210C7174" w14:textId="77777777" w:rsidR="00F50D70" w:rsidRPr="00BE4F47" w:rsidRDefault="00F50D70" w:rsidP="008E113B">
      <w:pPr>
        <w:pStyle w:val="Retraitcorpsdetexte3"/>
        <w:spacing w:line="360" w:lineRule="auto"/>
        <w:ind w:left="0" w:firstLine="0"/>
        <w:rPr>
          <w:rFonts w:ascii="Aptos" w:hAnsi="Aptos"/>
        </w:rPr>
      </w:pPr>
    </w:p>
    <w:p w14:paraId="75692E4D" w14:textId="77777777" w:rsidR="00F50D70" w:rsidRPr="00BE4F47" w:rsidRDefault="00F50D70" w:rsidP="008E113B">
      <w:pPr>
        <w:pStyle w:val="Retraitcorpsdetexte3"/>
        <w:spacing w:line="360" w:lineRule="auto"/>
        <w:ind w:left="0" w:firstLine="0"/>
        <w:rPr>
          <w:rFonts w:ascii="Aptos" w:hAnsi="Aptos"/>
        </w:rPr>
      </w:pPr>
    </w:p>
    <w:p w14:paraId="5F2244E5" w14:textId="77777777" w:rsidR="00F50D70" w:rsidRPr="00BE4F47" w:rsidRDefault="00F50D70" w:rsidP="008E113B">
      <w:pPr>
        <w:pStyle w:val="Retraitcorpsdetexte3"/>
        <w:spacing w:line="360" w:lineRule="auto"/>
        <w:ind w:left="0" w:firstLine="0"/>
        <w:rPr>
          <w:rFonts w:ascii="Aptos" w:hAnsi="Aptos"/>
        </w:rPr>
      </w:pPr>
    </w:p>
    <w:p w14:paraId="40B9E806" w14:textId="77777777" w:rsidR="00F50D70" w:rsidRPr="00BE4F47" w:rsidRDefault="00F50D70" w:rsidP="008E113B">
      <w:pPr>
        <w:pStyle w:val="Retraitcorpsdetexte3"/>
        <w:spacing w:line="360" w:lineRule="auto"/>
        <w:ind w:left="0" w:firstLine="0"/>
        <w:rPr>
          <w:rFonts w:ascii="Aptos" w:hAnsi="Aptos"/>
        </w:rPr>
      </w:pPr>
    </w:p>
    <w:p w14:paraId="3706F80F" w14:textId="77777777" w:rsidR="00F50D70" w:rsidRPr="00BE4F47" w:rsidRDefault="00F50D70" w:rsidP="008E113B">
      <w:pPr>
        <w:pStyle w:val="Retraitcorpsdetexte3"/>
        <w:spacing w:line="360" w:lineRule="auto"/>
        <w:ind w:left="0" w:firstLine="0"/>
        <w:rPr>
          <w:rFonts w:ascii="Aptos" w:hAnsi="Aptos"/>
        </w:rPr>
      </w:pPr>
    </w:p>
    <w:p w14:paraId="21673509" w14:textId="77777777" w:rsidR="00F50D70" w:rsidRPr="00BE4F47" w:rsidRDefault="00F50D70" w:rsidP="008E113B">
      <w:pPr>
        <w:pStyle w:val="Retraitcorpsdetexte3"/>
        <w:spacing w:line="360" w:lineRule="auto"/>
        <w:ind w:left="0" w:firstLine="0"/>
        <w:rPr>
          <w:rFonts w:ascii="Aptos" w:hAnsi="Aptos"/>
        </w:rPr>
      </w:pPr>
    </w:p>
    <w:p w14:paraId="0F6A6F17" w14:textId="77777777" w:rsidR="00F50D70" w:rsidRPr="00BE4F47" w:rsidRDefault="00F50D70" w:rsidP="008E113B">
      <w:pPr>
        <w:pStyle w:val="Retraitcorpsdetexte3"/>
        <w:spacing w:line="360" w:lineRule="auto"/>
        <w:ind w:left="0" w:firstLine="0"/>
        <w:rPr>
          <w:rFonts w:ascii="Aptos" w:hAnsi="Aptos"/>
        </w:rPr>
      </w:pPr>
    </w:p>
    <w:p w14:paraId="01349083" w14:textId="77777777" w:rsidR="00F50D70" w:rsidRPr="00BE4F47" w:rsidRDefault="00F50D70" w:rsidP="008E113B">
      <w:pPr>
        <w:pStyle w:val="Retraitcorpsdetexte3"/>
        <w:spacing w:line="360" w:lineRule="auto"/>
        <w:ind w:left="0" w:firstLine="0"/>
        <w:rPr>
          <w:rFonts w:ascii="Aptos" w:hAnsi="Aptos"/>
        </w:rPr>
      </w:pPr>
    </w:p>
    <w:p w14:paraId="5898AC2F" w14:textId="77777777" w:rsidR="00F50D70" w:rsidRPr="00BE4F47" w:rsidRDefault="00F50D70" w:rsidP="008E113B">
      <w:pPr>
        <w:pStyle w:val="Retraitcorpsdetexte3"/>
        <w:spacing w:line="360" w:lineRule="auto"/>
        <w:ind w:left="0" w:firstLine="0"/>
        <w:rPr>
          <w:rFonts w:ascii="Aptos" w:hAnsi="Aptos"/>
        </w:rPr>
      </w:pPr>
    </w:p>
    <w:p w14:paraId="7412628F" w14:textId="77777777" w:rsidR="00F50D70" w:rsidRPr="00BE4F47" w:rsidRDefault="00F50D70" w:rsidP="008E113B">
      <w:pPr>
        <w:pStyle w:val="Retraitcorpsdetexte3"/>
        <w:spacing w:line="360" w:lineRule="auto"/>
        <w:ind w:left="0" w:firstLine="0"/>
        <w:rPr>
          <w:rFonts w:ascii="Aptos" w:hAnsi="Aptos"/>
        </w:rPr>
      </w:pPr>
    </w:p>
    <w:p w14:paraId="005C0B4D" w14:textId="77777777" w:rsidR="00F50D70" w:rsidRPr="00BE4F47" w:rsidRDefault="00F50D70" w:rsidP="008E113B">
      <w:pPr>
        <w:pStyle w:val="Retraitcorpsdetexte3"/>
        <w:spacing w:line="360" w:lineRule="auto"/>
        <w:ind w:left="0" w:firstLine="0"/>
        <w:rPr>
          <w:rFonts w:ascii="Aptos" w:hAnsi="Aptos"/>
        </w:rPr>
      </w:pPr>
    </w:p>
    <w:p w14:paraId="662A4C7B" w14:textId="77777777" w:rsidR="00F50D70" w:rsidRPr="00BE4F47" w:rsidRDefault="00F50D70" w:rsidP="008E113B">
      <w:pPr>
        <w:pStyle w:val="Retraitcorpsdetexte3"/>
        <w:spacing w:line="360" w:lineRule="auto"/>
        <w:ind w:left="0" w:firstLine="0"/>
        <w:rPr>
          <w:rFonts w:ascii="Aptos" w:hAnsi="Aptos"/>
        </w:rPr>
      </w:pPr>
    </w:p>
    <w:p w14:paraId="7FC4FDC5" w14:textId="77777777" w:rsidR="00F50D70" w:rsidRPr="00BE4F47" w:rsidRDefault="00F50D70" w:rsidP="008E113B">
      <w:pPr>
        <w:pStyle w:val="Retraitcorpsdetexte3"/>
        <w:spacing w:line="360" w:lineRule="auto"/>
        <w:ind w:left="0" w:firstLine="0"/>
        <w:rPr>
          <w:rFonts w:ascii="Aptos" w:hAnsi="Aptos"/>
        </w:rPr>
      </w:pPr>
    </w:p>
    <w:p w14:paraId="43487D28" w14:textId="77777777" w:rsidR="00F50D70" w:rsidRPr="00BE4F47" w:rsidRDefault="00F50D70" w:rsidP="008E113B">
      <w:pPr>
        <w:pStyle w:val="Retraitcorpsdetexte3"/>
        <w:spacing w:line="360" w:lineRule="auto"/>
        <w:ind w:left="0" w:firstLine="0"/>
        <w:rPr>
          <w:rFonts w:ascii="Aptos" w:hAnsi="Aptos"/>
        </w:rPr>
      </w:pPr>
    </w:p>
    <w:p w14:paraId="4EF6347B" w14:textId="77777777" w:rsidR="00F50D70" w:rsidRPr="00BE4F47" w:rsidRDefault="00F50D70" w:rsidP="008E113B">
      <w:pPr>
        <w:pStyle w:val="Titre3"/>
        <w:spacing w:line="360" w:lineRule="auto"/>
        <w:rPr>
          <w:rFonts w:ascii="Aptos" w:hAnsi="Aptos"/>
        </w:rPr>
      </w:pPr>
    </w:p>
    <w:p w14:paraId="5648416D" w14:textId="77777777" w:rsidR="00F50D70" w:rsidRPr="00BE4F47" w:rsidRDefault="00000000" w:rsidP="008E113B">
      <w:pPr>
        <w:pStyle w:val="Titre4"/>
        <w:spacing w:line="360" w:lineRule="auto"/>
      </w:pPr>
      <w:bookmarkStart w:id="12" w:name="__RefHeading___Toc240715100"/>
      <w:bookmarkEnd w:id="12"/>
      <w:r w:rsidRPr="00BE4F47">
        <w:t>Les exigences non fonctionnelles</w:t>
      </w:r>
    </w:p>
    <w:p w14:paraId="2D02DE45" w14:textId="77777777" w:rsidR="00F50D70" w:rsidRPr="00BE4F47" w:rsidRDefault="00F50D70" w:rsidP="008E113B">
      <w:pPr>
        <w:pStyle w:val="Retraitcorpsdetexte3"/>
        <w:spacing w:line="360" w:lineRule="auto"/>
        <w:ind w:left="0" w:firstLine="0"/>
        <w:rPr>
          <w:rFonts w:ascii="Aptos" w:eastAsia="Calibri" w:hAnsi="Aptos" w:cs="Calibri"/>
          <w:color w:val="1A1A19"/>
          <w:sz w:val="20"/>
          <w:szCs w:val="20"/>
        </w:rPr>
      </w:pPr>
    </w:p>
    <w:p w14:paraId="6215D794" w14:textId="77777777" w:rsidR="00F50D70" w:rsidRPr="00BE4F47" w:rsidRDefault="00000000" w:rsidP="008E113B">
      <w:pPr>
        <w:pStyle w:val="Retraitcorpsdetexte3"/>
        <w:spacing w:line="360" w:lineRule="auto"/>
        <w:ind w:left="992" w:firstLine="0"/>
        <w:rPr>
          <w:rFonts w:ascii="Aptos" w:hAnsi="Aptos"/>
        </w:rPr>
      </w:pPr>
      <w:r w:rsidRPr="00BE4F47">
        <w:rPr>
          <w:rFonts w:ascii="Aptos" w:eastAsia="Calibri" w:hAnsi="Aptos" w:cs="Calibri"/>
          <w:color w:val="1A1A19"/>
          <w:sz w:val="20"/>
          <w:szCs w:val="20"/>
        </w:rPr>
        <w:t>Les cinq exigences ci-dessous reprennent les caractéristiques de qualité d’ISO/IEC 25010 que le prototype peut réellement démontrer dans les limites du mandat. Les caractéristiques non retenues, comme la portabilité, le sont parce qu’aucun essai du projet ne les mettrait à l’épreuve.</w:t>
      </w:r>
    </w:p>
    <w:p w14:paraId="7AFC32C9"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38354A0C" w14:textId="77777777" w:rsidR="00F50D70" w:rsidRPr="00BE4F47" w:rsidRDefault="00000000" w:rsidP="008E113B">
      <w:pPr>
        <w:pStyle w:val="Lgende"/>
        <w:spacing w:line="360" w:lineRule="auto"/>
        <w:rPr>
          <w:rFonts w:ascii="Aptos" w:hAnsi="Aptos"/>
        </w:rPr>
      </w:pPr>
      <w:r w:rsidRPr="00BE4F47">
        <w:rPr>
          <w:rFonts w:ascii="Aptos" w:hAnsi="Aptos"/>
        </w:rPr>
        <w:t>Tableau 1-8. Registre des exigences de qualité</w:t>
      </w:r>
    </w:p>
    <w:tbl>
      <w:tblPr>
        <w:tblW w:w="7881" w:type="dxa"/>
        <w:tblInd w:w="955" w:type="dxa"/>
        <w:tblLayout w:type="fixed"/>
        <w:tblCellMar>
          <w:top w:w="60" w:type="dxa"/>
          <w:left w:w="90" w:type="dxa"/>
          <w:bottom w:w="60" w:type="dxa"/>
          <w:right w:w="90" w:type="dxa"/>
        </w:tblCellMar>
        <w:tblLook w:val="04A0" w:firstRow="1" w:lastRow="0" w:firstColumn="1" w:lastColumn="0" w:noHBand="0" w:noVBand="1"/>
      </w:tblPr>
      <w:tblGrid>
        <w:gridCol w:w="631"/>
        <w:gridCol w:w="2748"/>
        <w:gridCol w:w="1068"/>
        <w:gridCol w:w="745"/>
        <w:gridCol w:w="470"/>
        <w:gridCol w:w="2219"/>
      </w:tblGrid>
      <w:tr w:rsidR="00F50D70" w:rsidRPr="00BE4F47" w14:paraId="627F6348" w14:textId="77777777" w:rsidTr="0036725C">
        <w:trPr>
          <w:trHeight w:val="221"/>
          <w:tblHeader/>
        </w:trPr>
        <w:tc>
          <w:tcPr>
            <w:tcW w:w="63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F66801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74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A4D6C2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106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73B77E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74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F72A67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47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C67FD4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219"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C6BE6B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4DB1B77D" w14:textId="77777777">
        <w:trPr>
          <w:trHeight w:val="394"/>
        </w:trPr>
        <w:tc>
          <w:tcPr>
            <w:tcW w:w="631" w:type="dxa"/>
            <w:tcBorders>
              <w:top w:val="single" w:sz="4" w:space="0" w:color="000000"/>
              <w:left w:val="single" w:sz="4" w:space="0" w:color="000000"/>
              <w:bottom w:val="single" w:sz="4" w:space="0" w:color="000000"/>
              <w:right w:val="single" w:sz="4" w:space="0" w:color="000000"/>
            </w:tcBorders>
          </w:tcPr>
          <w:p w14:paraId="4C10A8B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EX-Q-01</w:t>
            </w:r>
          </w:p>
        </w:tc>
        <w:tc>
          <w:tcPr>
            <w:tcW w:w="2748" w:type="dxa"/>
            <w:tcBorders>
              <w:top w:val="single" w:sz="4" w:space="0" w:color="000000"/>
              <w:left w:val="single" w:sz="4" w:space="0" w:color="000000"/>
              <w:bottom w:val="single" w:sz="4" w:space="0" w:color="000000"/>
              <w:right w:val="single" w:sz="4" w:space="0" w:color="000000"/>
            </w:tcBorders>
          </w:tcPr>
          <w:p w14:paraId="362502A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cycle complet d’acquisition, de comparaison et d’affichage s’exécute en moins de T secondes.</w:t>
            </w:r>
          </w:p>
        </w:tc>
        <w:tc>
          <w:tcPr>
            <w:tcW w:w="1068" w:type="dxa"/>
            <w:tcBorders>
              <w:top w:val="single" w:sz="4" w:space="0" w:color="000000"/>
              <w:left w:val="single" w:sz="4" w:space="0" w:color="000000"/>
              <w:bottom w:val="single" w:sz="4" w:space="0" w:color="000000"/>
              <w:right w:val="single" w:sz="4" w:space="0" w:color="000000"/>
            </w:tcBorders>
          </w:tcPr>
          <w:p w14:paraId="44E3341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ISO/IEC 25010, performance</w:t>
            </w:r>
          </w:p>
        </w:tc>
        <w:tc>
          <w:tcPr>
            <w:tcW w:w="745" w:type="dxa"/>
            <w:tcBorders>
              <w:top w:val="single" w:sz="4" w:space="0" w:color="000000"/>
              <w:left w:val="single" w:sz="4" w:space="0" w:color="000000"/>
              <w:bottom w:val="single" w:sz="4" w:space="0" w:color="000000"/>
              <w:right w:val="single" w:sz="4" w:space="0" w:color="000000"/>
            </w:tcBorders>
          </w:tcPr>
          <w:p w14:paraId="5B51CFA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0" w:type="dxa"/>
            <w:tcBorders>
              <w:top w:val="single" w:sz="4" w:space="0" w:color="000000"/>
              <w:left w:val="single" w:sz="4" w:space="0" w:color="000000"/>
              <w:bottom w:val="single" w:sz="4" w:space="0" w:color="000000"/>
              <w:right w:val="single" w:sz="4" w:space="0" w:color="000000"/>
            </w:tcBorders>
          </w:tcPr>
          <w:p w14:paraId="6C99666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L9</w:t>
            </w:r>
          </w:p>
        </w:tc>
        <w:tc>
          <w:tcPr>
            <w:tcW w:w="2219" w:type="dxa"/>
            <w:tcBorders>
              <w:top w:val="single" w:sz="4" w:space="0" w:color="000000"/>
              <w:left w:val="single" w:sz="4" w:space="0" w:color="000000"/>
              <w:bottom w:val="single" w:sz="4" w:space="0" w:color="000000"/>
              <w:right w:val="single" w:sz="4" w:space="0" w:color="000000"/>
            </w:tcBorders>
          </w:tcPr>
          <w:p w14:paraId="53FA8AF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Mesure du temps de cycle sur 100 cycles consécutifs ; valeur maximale relevée.</w:t>
            </w:r>
          </w:p>
        </w:tc>
      </w:tr>
      <w:tr w:rsidR="00F50D70" w:rsidRPr="00BE4F47" w14:paraId="44F2DAA7" w14:textId="77777777">
        <w:trPr>
          <w:trHeight w:val="551"/>
        </w:trPr>
        <w:tc>
          <w:tcPr>
            <w:tcW w:w="631" w:type="dxa"/>
            <w:tcBorders>
              <w:top w:val="single" w:sz="4" w:space="0" w:color="000000"/>
              <w:left w:val="single" w:sz="4" w:space="0" w:color="000000"/>
              <w:bottom w:val="single" w:sz="4" w:space="0" w:color="000000"/>
              <w:right w:val="single" w:sz="4" w:space="0" w:color="000000"/>
            </w:tcBorders>
          </w:tcPr>
          <w:p w14:paraId="35D9122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EX-Q-02</w:t>
            </w:r>
          </w:p>
        </w:tc>
        <w:tc>
          <w:tcPr>
            <w:tcW w:w="2748" w:type="dxa"/>
            <w:tcBorders>
              <w:top w:val="single" w:sz="4" w:space="0" w:color="000000"/>
              <w:left w:val="single" w:sz="4" w:space="0" w:color="000000"/>
              <w:bottom w:val="single" w:sz="4" w:space="0" w:color="000000"/>
              <w:right w:val="single" w:sz="4" w:space="0" w:color="000000"/>
            </w:tcBorders>
          </w:tcPr>
          <w:p w14:paraId="639915B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fonctionne sans interruption pendant une campagne d’essais de D minutes, sans perte d’entrée au journal.</w:t>
            </w:r>
          </w:p>
        </w:tc>
        <w:tc>
          <w:tcPr>
            <w:tcW w:w="1068" w:type="dxa"/>
            <w:tcBorders>
              <w:top w:val="single" w:sz="4" w:space="0" w:color="000000"/>
              <w:left w:val="single" w:sz="4" w:space="0" w:color="000000"/>
              <w:bottom w:val="single" w:sz="4" w:space="0" w:color="000000"/>
              <w:right w:val="single" w:sz="4" w:space="0" w:color="000000"/>
            </w:tcBorders>
          </w:tcPr>
          <w:p w14:paraId="02E1E66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ISO/IEC 25010, fiabilité</w:t>
            </w:r>
          </w:p>
        </w:tc>
        <w:tc>
          <w:tcPr>
            <w:tcW w:w="745" w:type="dxa"/>
            <w:tcBorders>
              <w:top w:val="single" w:sz="4" w:space="0" w:color="000000"/>
              <w:left w:val="single" w:sz="4" w:space="0" w:color="000000"/>
              <w:bottom w:val="single" w:sz="4" w:space="0" w:color="000000"/>
              <w:right w:val="single" w:sz="4" w:space="0" w:color="000000"/>
            </w:tcBorders>
          </w:tcPr>
          <w:p w14:paraId="2F5061E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w:t>
            </w:r>
          </w:p>
        </w:tc>
        <w:tc>
          <w:tcPr>
            <w:tcW w:w="470" w:type="dxa"/>
            <w:tcBorders>
              <w:top w:val="single" w:sz="4" w:space="0" w:color="000000"/>
              <w:left w:val="single" w:sz="4" w:space="0" w:color="000000"/>
              <w:bottom w:val="single" w:sz="4" w:space="0" w:color="000000"/>
              <w:right w:val="single" w:sz="4" w:space="0" w:color="000000"/>
            </w:tcBorders>
          </w:tcPr>
          <w:p w14:paraId="39C95B2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L9</w:t>
            </w:r>
          </w:p>
        </w:tc>
        <w:tc>
          <w:tcPr>
            <w:tcW w:w="2219" w:type="dxa"/>
            <w:tcBorders>
              <w:top w:val="single" w:sz="4" w:space="0" w:color="000000"/>
              <w:left w:val="single" w:sz="4" w:space="0" w:color="000000"/>
              <w:bottom w:val="single" w:sz="4" w:space="0" w:color="000000"/>
              <w:right w:val="single" w:sz="4" w:space="0" w:color="000000"/>
            </w:tcBorders>
          </w:tcPr>
          <w:p w14:paraId="7CBB9FE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d’endurance ; comparaison du nombre de cycles au nombre d’entrées journalisées.</w:t>
            </w:r>
          </w:p>
        </w:tc>
      </w:tr>
      <w:tr w:rsidR="00F50D70" w:rsidRPr="00BE4F47" w14:paraId="64B11760" w14:textId="77777777">
        <w:trPr>
          <w:trHeight w:val="724"/>
        </w:trPr>
        <w:tc>
          <w:tcPr>
            <w:tcW w:w="631" w:type="dxa"/>
            <w:tcBorders>
              <w:top w:val="single" w:sz="4" w:space="0" w:color="000000"/>
              <w:left w:val="single" w:sz="4" w:space="0" w:color="000000"/>
              <w:bottom w:val="single" w:sz="4" w:space="0" w:color="000000"/>
              <w:right w:val="single" w:sz="4" w:space="0" w:color="000000"/>
            </w:tcBorders>
          </w:tcPr>
          <w:p w14:paraId="33BB223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EX-Q-03</w:t>
            </w:r>
          </w:p>
        </w:tc>
        <w:tc>
          <w:tcPr>
            <w:tcW w:w="2748" w:type="dxa"/>
            <w:tcBorders>
              <w:top w:val="single" w:sz="4" w:space="0" w:color="000000"/>
              <w:left w:val="single" w:sz="4" w:space="0" w:color="000000"/>
              <w:bottom w:val="single" w:sz="4" w:space="0" w:color="000000"/>
              <w:right w:val="single" w:sz="4" w:space="0" w:color="000000"/>
            </w:tcBorders>
          </w:tcPr>
          <w:p w14:paraId="2D1D7BB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 opérateur n’ayant pas participé au développement identifie correctement l’état affiché (normal, anomalie, incertain) en moins de S secondes, dans au moins X essais sur Y.</w:t>
            </w:r>
          </w:p>
        </w:tc>
        <w:tc>
          <w:tcPr>
            <w:tcW w:w="1068" w:type="dxa"/>
            <w:tcBorders>
              <w:top w:val="single" w:sz="4" w:space="0" w:color="000000"/>
              <w:left w:val="single" w:sz="4" w:space="0" w:color="000000"/>
              <w:bottom w:val="single" w:sz="4" w:space="0" w:color="000000"/>
              <w:right w:val="single" w:sz="4" w:space="0" w:color="000000"/>
            </w:tcBorders>
          </w:tcPr>
          <w:p w14:paraId="5F20EBF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ISO 9241-210, utilisabilité</w:t>
            </w:r>
          </w:p>
        </w:tc>
        <w:tc>
          <w:tcPr>
            <w:tcW w:w="745" w:type="dxa"/>
            <w:tcBorders>
              <w:top w:val="single" w:sz="4" w:space="0" w:color="000000"/>
              <w:left w:val="single" w:sz="4" w:space="0" w:color="000000"/>
              <w:bottom w:val="single" w:sz="4" w:space="0" w:color="000000"/>
              <w:right w:val="single" w:sz="4" w:space="0" w:color="000000"/>
            </w:tcBorders>
          </w:tcPr>
          <w:p w14:paraId="0D09F2B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F1, D2, D3</w:t>
            </w:r>
          </w:p>
        </w:tc>
        <w:tc>
          <w:tcPr>
            <w:tcW w:w="470" w:type="dxa"/>
            <w:tcBorders>
              <w:top w:val="single" w:sz="4" w:space="0" w:color="000000"/>
              <w:left w:val="single" w:sz="4" w:space="0" w:color="000000"/>
              <w:bottom w:val="single" w:sz="4" w:space="0" w:color="000000"/>
              <w:right w:val="single" w:sz="4" w:space="0" w:color="000000"/>
            </w:tcBorders>
          </w:tcPr>
          <w:p w14:paraId="51B1645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L8, L9</w:t>
            </w:r>
          </w:p>
        </w:tc>
        <w:tc>
          <w:tcPr>
            <w:tcW w:w="2219" w:type="dxa"/>
            <w:tcBorders>
              <w:top w:val="single" w:sz="4" w:space="0" w:color="000000"/>
              <w:left w:val="single" w:sz="4" w:space="0" w:color="000000"/>
              <w:bottom w:val="single" w:sz="4" w:space="0" w:color="000000"/>
              <w:right w:val="single" w:sz="4" w:space="0" w:color="000000"/>
            </w:tcBorders>
          </w:tcPr>
          <w:p w14:paraId="1D6271B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d’utilisabilité avec un membre de l’équipe n’ayant pas développé l’interface.</w:t>
            </w:r>
          </w:p>
        </w:tc>
      </w:tr>
      <w:tr w:rsidR="00F50D70" w:rsidRPr="00BE4F47" w14:paraId="1923164D" w14:textId="77777777">
        <w:trPr>
          <w:trHeight w:val="715"/>
        </w:trPr>
        <w:tc>
          <w:tcPr>
            <w:tcW w:w="631" w:type="dxa"/>
            <w:tcBorders>
              <w:top w:val="single" w:sz="4" w:space="0" w:color="000000"/>
              <w:left w:val="single" w:sz="4" w:space="0" w:color="000000"/>
              <w:bottom w:val="single" w:sz="4" w:space="0" w:color="000000"/>
              <w:right w:val="single" w:sz="4" w:space="0" w:color="000000"/>
            </w:tcBorders>
          </w:tcPr>
          <w:p w14:paraId="78DAA9E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EX-Q-04</w:t>
            </w:r>
          </w:p>
        </w:tc>
        <w:tc>
          <w:tcPr>
            <w:tcW w:w="2748" w:type="dxa"/>
            <w:tcBorders>
              <w:top w:val="single" w:sz="4" w:space="0" w:color="000000"/>
              <w:left w:val="single" w:sz="4" w:space="0" w:color="000000"/>
              <w:bottom w:val="single" w:sz="4" w:space="0" w:color="000000"/>
              <w:right w:val="single" w:sz="4" w:space="0" w:color="000000"/>
            </w:tcBorders>
          </w:tcPr>
          <w:p w14:paraId="77B599B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Toute donnée d’acquisition altérée ou non conforme au format attendu est rejetée, journalisée comme telle, et n’est pas propagée au modèle.</w:t>
            </w:r>
          </w:p>
        </w:tc>
        <w:tc>
          <w:tcPr>
            <w:tcW w:w="1068" w:type="dxa"/>
            <w:tcBorders>
              <w:top w:val="single" w:sz="4" w:space="0" w:color="000000"/>
              <w:left w:val="single" w:sz="4" w:space="0" w:color="000000"/>
              <w:bottom w:val="single" w:sz="4" w:space="0" w:color="000000"/>
              <w:right w:val="single" w:sz="4" w:space="0" w:color="000000"/>
            </w:tcBorders>
          </w:tcPr>
          <w:p w14:paraId="0CD74A1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IEC 62645, intégrité</w:t>
            </w:r>
          </w:p>
        </w:tc>
        <w:tc>
          <w:tcPr>
            <w:tcW w:w="745" w:type="dxa"/>
            <w:tcBorders>
              <w:top w:val="single" w:sz="4" w:space="0" w:color="000000"/>
              <w:left w:val="single" w:sz="4" w:space="0" w:color="000000"/>
              <w:bottom w:val="single" w:sz="4" w:space="0" w:color="000000"/>
              <w:right w:val="single" w:sz="4" w:space="0" w:color="000000"/>
            </w:tcBorders>
          </w:tcPr>
          <w:p w14:paraId="3A412B6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F2, D2</w:t>
            </w:r>
          </w:p>
        </w:tc>
        <w:tc>
          <w:tcPr>
            <w:tcW w:w="470" w:type="dxa"/>
            <w:tcBorders>
              <w:top w:val="single" w:sz="4" w:space="0" w:color="000000"/>
              <w:left w:val="single" w:sz="4" w:space="0" w:color="000000"/>
              <w:bottom w:val="single" w:sz="4" w:space="0" w:color="000000"/>
              <w:right w:val="single" w:sz="4" w:space="0" w:color="000000"/>
            </w:tcBorders>
          </w:tcPr>
          <w:p w14:paraId="712A848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L5, L9</w:t>
            </w:r>
          </w:p>
        </w:tc>
        <w:tc>
          <w:tcPr>
            <w:tcW w:w="2219" w:type="dxa"/>
            <w:tcBorders>
              <w:top w:val="single" w:sz="4" w:space="0" w:color="000000"/>
              <w:left w:val="single" w:sz="4" w:space="0" w:color="000000"/>
              <w:bottom w:val="single" w:sz="4" w:space="0" w:color="000000"/>
              <w:right w:val="single" w:sz="4" w:space="0" w:color="000000"/>
            </w:tcBorders>
          </w:tcPr>
          <w:p w14:paraId="072B09C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Essai d’injection de donnée malformée : vérification de l’absence de propagation.</w:t>
            </w:r>
          </w:p>
        </w:tc>
      </w:tr>
      <w:tr w:rsidR="00F50D70" w:rsidRPr="00BE4F47" w14:paraId="2A3A344C" w14:textId="77777777">
        <w:trPr>
          <w:trHeight w:val="559"/>
        </w:trPr>
        <w:tc>
          <w:tcPr>
            <w:tcW w:w="631" w:type="dxa"/>
            <w:tcBorders>
              <w:top w:val="single" w:sz="4" w:space="0" w:color="000000"/>
              <w:left w:val="single" w:sz="4" w:space="0" w:color="000000"/>
              <w:bottom w:val="single" w:sz="4" w:space="0" w:color="000000"/>
              <w:right w:val="single" w:sz="4" w:space="0" w:color="000000"/>
            </w:tcBorders>
          </w:tcPr>
          <w:p w14:paraId="721B36E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EX-Q-05</w:t>
            </w:r>
          </w:p>
        </w:tc>
        <w:tc>
          <w:tcPr>
            <w:tcW w:w="2748" w:type="dxa"/>
            <w:tcBorders>
              <w:top w:val="single" w:sz="4" w:space="0" w:color="000000"/>
              <w:left w:val="single" w:sz="4" w:space="0" w:color="000000"/>
              <w:bottom w:val="single" w:sz="4" w:space="0" w:color="000000"/>
              <w:right w:val="single" w:sz="4" w:space="0" w:color="000000"/>
            </w:tcBorders>
          </w:tcPr>
          <w:p w14:paraId="1915245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 xml:space="preserve">Chaque module dispose d’essais unitaires, et le taux de couverture des </w:t>
            </w:r>
            <w:r w:rsidRPr="00BE4F47">
              <w:rPr>
                <w:rFonts w:ascii="Aptos" w:eastAsia="Calibri" w:hAnsi="Aptos" w:cs="Calibri"/>
                <w:color w:val="1A1A19"/>
                <w:sz w:val="15"/>
                <w:szCs w:val="15"/>
              </w:rPr>
              <w:lastRenderedPageBreak/>
              <w:t>fonctions de détection est mesuré et consigné.</w:t>
            </w:r>
          </w:p>
        </w:tc>
        <w:tc>
          <w:tcPr>
            <w:tcW w:w="1068" w:type="dxa"/>
            <w:tcBorders>
              <w:top w:val="single" w:sz="4" w:space="0" w:color="000000"/>
              <w:left w:val="single" w:sz="4" w:space="0" w:color="000000"/>
              <w:bottom w:val="single" w:sz="4" w:space="0" w:color="000000"/>
              <w:right w:val="single" w:sz="4" w:space="0" w:color="000000"/>
            </w:tcBorders>
          </w:tcPr>
          <w:p w14:paraId="5B1FE5E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lastRenderedPageBreak/>
              <w:t xml:space="preserve">ISO/IEC 25010, </w:t>
            </w:r>
            <w:r w:rsidRPr="00BE4F47">
              <w:rPr>
                <w:rFonts w:ascii="Aptos" w:eastAsia="Calibri" w:hAnsi="Aptos" w:cs="Calibri"/>
                <w:color w:val="1A1A19"/>
                <w:sz w:val="15"/>
                <w:szCs w:val="15"/>
              </w:rPr>
              <w:lastRenderedPageBreak/>
              <w:t>maintenabilité</w:t>
            </w:r>
          </w:p>
        </w:tc>
        <w:tc>
          <w:tcPr>
            <w:tcW w:w="745" w:type="dxa"/>
            <w:tcBorders>
              <w:top w:val="single" w:sz="4" w:space="0" w:color="000000"/>
              <w:left w:val="single" w:sz="4" w:space="0" w:color="000000"/>
              <w:bottom w:val="single" w:sz="4" w:space="0" w:color="000000"/>
              <w:right w:val="single" w:sz="4" w:space="0" w:color="000000"/>
            </w:tcBorders>
          </w:tcPr>
          <w:p w14:paraId="71C4005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lastRenderedPageBreak/>
              <w:t>—</w:t>
            </w:r>
          </w:p>
        </w:tc>
        <w:tc>
          <w:tcPr>
            <w:tcW w:w="470" w:type="dxa"/>
            <w:tcBorders>
              <w:top w:val="single" w:sz="4" w:space="0" w:color="000000"/>
              <w:left w:val="single" w:sz="4" w:space="0" w:color="000000"/>
              <w:bottom w:val="single" w:sz="4" w:space="0" w:color="000000"/>
              <w:right w:val="single" w:sz="4" w:space="0" w:color="000000"/>
            </w:tcBorders>
          </w:tcPr>
          <w:p w14:paraId="074E34F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L9</w:t>
            </w:r>
          </w:p>
        </w:tc>
        <w:tc>
          <w:tcPr>
            <w:tcW w:w="2219" w:type="dxa"/>
            <w:tcBorders>
              <w:top w:val="single" w:sz="4" w:space="0" w:color="000000"/>
              <w:left w:val="single" w:sz="4" w:space="0" w:color="000000"/>
              <w:bottom w:val="single" w:sz="4" w:space="0" w:color="000000"/>
              <w:right w:val="single" w:sz="4" w:space="0" w:color="000000"/>
            </w:tcBorders>
          </w:tcPr>
          <w:p w14:paraId="5E52D17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Rapport de couverture joint aux résultats d’essais.</w:t>
            </w:r>
          </w:p>
        </w:tc>
      </w:tr>
    </w:tbl>
    <w:p w14:paraId="15F50355" w14:textId="77777777" w:rsidR="00F50D70" w:rsidRPr="00BE4F47" w:rsidRDefault="00F50D70" w:rsidP="008E113B">
      <w:pPr>
        <w:spacing w:line="360" w:lineRule="auto"/>
        <w:ind w:left="0"/>
        <w:rPr>
          <w:rFonts w:ascii="Aptos" w:hAnsi="Aptos"/>
        </w:rPr>
      </w:pPr>
    </w:p>
    <w:p w14:paraId="738D7E6F" w14:textId="77777777" w:rsidR="00F50D70" w:rsidRPr="00BE4F47" w:rsidRDefault="00000000" w:rsidP="008E113B">
      <w:pPr>
        <w:pStyle w:val="Titre4"/>
        <w:spacing w:line="360" w:lineRule="auto"/>
      </w:pPr>
      <w:bookmarkStart w:id="13" w:name="__RefHeading___Toc240715102"/>
      <w:bookmarkEnd w:id="13"/>
      <w:r w:rsidRPr="00BE4F47">
        <w:t>Exigences de périmètre et de contrainte</w:t>
      </w:r>
    </w:p>
    <w:p w14:paraId="16386F20" w14:textId="77777777" w:rsidR="00F50D70" w:rsidRPr="00BE4F47" w:rsidRDefault="00000000" w:rsidP="008E113B">
      <w:pPr>
        <w:spacing w:after="150" w:line="360" w:lineRule="auto"/>
        <w:ind w:left="992"/>
        <w:rPr>
          <w:rFonts w:ascii="Aptos" w:hAnsi="Aptos"/>
        </w:rPr>
      </w:pPr>
      <w:r w:rsidRPr="00BE4F47">
        <w:rPr>
          <w:rFonts w:ascii="Aptos" w:eastAsia="Calibri" w:hAnsi="Aptos" w:cs="Calibri"/>
          <w:color w:val="1A1A19"/>
          <w:sz w:val="20"/>
          <w:szCs w:val="20"/>
        </w:rPr>
        <w:t>Les trois exigences ci-dessous reprennent celles de la version initiale qui portaient sur des engagements plutôt que sur des comportements du système. Elles sont formulées comme des engagements documentaires, qui sont vérifiables par la présence et le contenu d’une section du rapport final.</w:t>
      </w:r>
    </w:p>
    <w:p w14:paraId="0E0BC96A" w14:textId="77777777" w:rsidR="00F50D70" w:rsidRPr="00BE4F47" w:rsidRDefault="00000000" w:rsidP="008E113B">
      <w:pPr>
        <w:pStyle w:val="Lgende"/>
        <w:spacing w:line="360" w:lineRule="auto"/>
        <w:rPr>
          <w:rFonts w:ascii="Aptos" w:hAnsi="Aptos"/>
        </w:rPr>
      </w:pPr>
      <w:r w:rsidRPr="00BE4F47">
        <w:rPr>
          <w:rFonts w:ascii="Aptos" w:hAnsi="Aptos"/>
        </w:rPr>
        <w:t>Tableau 1-9. Exigences de périmètre et de contrainte</w:t>
      </w:r>
    </w:p>
    <w:tbl>
      <w:tblPr>
        <w:tblW w:w="7880" w:type="dxa"/>
        <w:tblInd w:w="955" w:type="dxa"/>
        <w:tblLayout w:type="fixed"/>
        <w:tblCellMar>
          <w:top w:w="60" w:type="dxa"/>
          <w:left w:w="90" w:type="dxa"/>
          <w:bottom w:w="60" w:type="dxa"/>
          <w:right w:w="90" w:type="dxa"/>
        </w:tblCellMar>
        <w:tblLook w:val="04A0" w:firstRow="1" w:lastRow="0" w:firstColumn="1" w:lastColumn="0" w:noHBand="0" w:noVBand="1"/>
      </w:tblPr>
      <w:tblGrid>
        <w:gridCol w:w="640"/>
        <w:gridCol w:w="2795"/>
        <w:gridCol w:w="977"/>
        <w:gridCol w:w="741"/>
        <w:gridCol w:w="471"/>
        <w:gridCol w:w="2256"/>
      </w:tblGrid>
      <w:tr w:rsidR="00F50D70" w:rsidRPr="00BE4F47" w14:paraId="6144EBD3" w14:textId="77777777" w:rsidTr="0036725C">
        <w:trPr>
          <w:trHeight w:val="246"/>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53A901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79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2B7B9F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97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D664EA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74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8E494F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47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434A7D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256"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16EB1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151878E8" w14:textId="77777777">
        <w:trPr>
          <w:trHeight w:val="621"/>
        </w:trPr>
        <w:tc>
          <w:tcPr>
            <w:tcW w:w="640" w:type="dxa"/>
            <w:tcBorders>
              <w:top w:val="single" w:sz="4" w:space="0" w:color="000000"/>
              <w:left w:val="single" w:sz="4" w:space="0" w:color="000000"/>
              <w:bottom w:val="single" w:sz="4" w:space="0" w:color="000000"/>
              <w:right w:val="single" w:sz="4" w:space="0" w:color="000000"/>
            </w:tcBorders>
          </w:tcPr>
          <w:p w14:paraId="2C17F92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EX-C-01</w:t>
            </w:r>
          </w:p>
        </w:tc>
        <w:tc>
          <w:tcPr>
            <w:tcW w:w="2795" w:type="dxa"/>
            <w:tcBorders>
              <w:top w:val="single" w:sz="4" w:space="0" w:color="000000"/>
              <w:left w:val="single" w:sz="4" w:space="0" w:color="000000"/>
              <w:bottom w:val="single" w:sz="4" w:space="0" w:color="000000"/>
              <w:right w:val="single" w:sz="4" w:space="0" w:color="000000"/>
            </w:tcBorders>
          </w:tcPr>
          <w:p w14:paraId="2EBD746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rapport final documente le domaine d’application du prototype et les limites au-delà desquelles ses résultats ne sont pas valides.</w:t>
            </w:r>
          </w:p>
        </w:tc>
        <w:tc>
          <w:tcPr>
            <w:tcW w:w="977" w:type="dxa"/>
            <w:tcBorders>
              <w:top w:val="single" w:sz="4" w:space="0" w:color="000000"/>
              <w:left w:val="single" w:sz="4" w:space="0" w:color="000000"/>
              <w:bottom w:val="single" w:sz="4" w:space="0" w:color="000000"/>
              <w:right w:val="single" w:sz="4" w:space="0" w:color="000000"/>
            </w:tcBorders>
          </w:tcPr>
          <w:p w14:paraId="35267DB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Hydro-Québec, sûreté</w:t>
            </w:r>
          </w:p>
        </w:tc>
        <w:tc>
          <w:tcPr>
            <w:tcW w:w="741" w:type="dxa"/>
            <w:tcBorders>
              <w:top w:val="single" w:sz="4" w:space="0" w:color="000000"/>
              <w:left w:val="single" w:sz="4" w:space="0" w:color="000000"/>
              <w:bottom w:val="single" w:sz="4" w:space="0" w:color="000000"/>
              <w:right w:val="single" w:sz="4" w:space="0" w:color="000000"/>
            </w:tcBorders>
          </w:tcPr>
          <w:p w14:paraId="20B18C1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20"/>
                <w:szCs w:val="20"/>
              </w:rPr>
              <w:t>-</w:t>
            </w:r>
          </w:p>
        </w:tc>
        <w:tc>
          <w:tcPr>
            <w:tcW w:w="471" w:type="dxa"/>
            <w:tcBorders>
              <w:top w:val="single" w:sz="4" w:space="0" w:color="000000"/>
              <w:left w:val="single" w:sz="4" w:space="0" w:color="000000"/>
              <w:bottom w:val="single" w:sz="4" w:space="0" w:color="000000"/>
              <w:right w:val="single" w:sz="4" w:space="0" w:color="000000"/>
            </w:tcBorders>
          </w:tcPr>
          <w:p w14:paraId="5658AB3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L1, L9</w:t>
            </w:r>
          </w:p>
        </w:tc>
        <w:tc>
          <w:tcPr>
            <w:tcW w:w="2256" w:type="dxa"/>
            <w:tcBorders>
              <w:top w:val="single" w:sz="4" w:space="0" w:color="000000"/>
              <w:left w:val="single" w:sz="4" w:space="0" w:color="000000"/>
              <w:bottom w:val="single" w:sz="4" w:space="0" w:color="000000"/>
              <w:right w:val="single" w:sz="4" w:space="0" w:color="000000"/>
            </w:tcBorders>
          </w:tcPr>
          <w:p w14:paraId="22AE55A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Revue du rapport final au jalon J5 : présence de la section et cohérence avec les résultats d’essais.</w:t>
            </w:r>
          </w:p>
        </w:tc>
      </w:tr>
      <w:tr w:rsidR="00F50D70" w:rsidRPr="00BE4F47" w14:paraId="2D59A096" w14:textId="77777777">
        <w:trPr>
          <w:trHeight w:val="612"/>
        </w:trPr>
        <w:tc>
          <w:tcPr>
            <w:tcW w:w="640" w:type="dxa"/>
            <w:tcBorders>
              <w:top w:val="single" w:sz="4" w:space="0" w:color="000000"/>
              <w:left w:val="single" w:sz="4" w:space="0" w:color="000000"/>
              <w:bottom w:val="single" w:sz="4" w:space="0" w:color="000000"/>
              <w:right w:val="single" w:sz="4" w:space="0" w:color="000000"/>
            </w:tcBorders>
          </w:tcPr>
          <w:p w14:paraId="66E3073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EX-C-02</w:t>
            </w:r>
          </w:p>
        </w:tc>
        <w:tc>
          <w:tcPr>
            <w:tcW w:w="2795" w:type="dxa"/>
            <w:tcBorders>
              <w:top w:val="single" w:sz="4" w:space="0" w:color="000000"/>
              <w:left w:val="single" w:sz="4" w:space="0" w:color="000000"/>
              <w:bottom w:val="single" w:sz="4" w:space="0" w:color="000000"/>
              <w:right w:val="single" w:sz="4" w:space="0" w:color="000000"/>
            </w:tcBorders>
          </w:tcPr>
          <w:p w14:paraId="2E98A5E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prototype demeure un livrable académique entièrement simulé, non destiné au raccordement à une installation nucléaire réelle.</w:t>
            </w:r>
          </w:p>
        </w:tc>
        <w:tc>
          <w:tcPr>
            <w:tcW w:w="977" w:type="dxa"/>
            <w:tcBorders>
              <w:top w:val="single" w:sz="4" w:space="0" w:color="000000"/>
              <w:left w:val="single" w:sz="4" w:space="0" w:color="000000"/>
              <w:bottom w:val="single" w:sz="4" w:space="0" w:color="000000"/>
              <w:right w:val="single" w:sz="4" w:space="0" w:color="000000"/>
            </w:tcBorders>
          </w:tcPr>
          <w:p w14:paraId="3120FEA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Périmètre du projet</w:t>
            </w:r>
          </w:p>
        </w:tc>
        <w:tc>
          <w:tcPr>
            <w:tcW w:w="741" w:type="dxa"/>
            <w:tcBorders>
              <w:top w:val="single" w:sz="4" w:space="0" w:color="000000"/>
              <w:left w:val="single" w:sz="4" w:space="0" w:color="000000"/>
              <w:bottom w:val="single" w:sz="4" w:space="0" w:color="000000"/>
              <w:right w:val="single" w:sz="4" w:space="0" w:color="000000"/>
            </w:tcBorders>
          </w:tcPr>
          <w:p w14:paraId="59D6634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w:t>
            </w:r>
          </w:p>
        </w:tc>
        <w:tc>
          <w:tcPr>
            <w:tcW w:w="471" w:type="dxa"/>
            <w:tcBorders>
              <w:top w:val="single" w:sz="4" w:space="0" w:color="000000"/>
              <w:left w:val="single" w:sz="4" w:space="0" w:color="000000"/>
              <w:bottom w:val="single" w:sz="4" w:space="0" w:color="000000"/>
              <w:right w:val="single" w:sz="4" w:space="0" w:color="000000"/>
            </w:tcBorders>
          </w:tcPr>
          <w:p w14:paraId="10AB520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L1</w:t>
            </w:r>
          </w:p>
        </w:tc>
        <w:tc>
          <w:tcPr>
            <w:tcW w:w="2256" w:type="dxa"/>
            <w:tcBorders>
              <w:top w:val="single" w:sz="4" w:space="0" w:color="000000"/>
              <w:left w:val="single" w:sz="4" w:space="0" w:color="000000"/>
              <w:bottom w:val="single" w:sz="4" w:space="0" w:color="000000"/>
              <w:right w:val="single" w:sz="4" w:space="0" w:color="000000"/>
            </w:tcBorders>
          </w:tcPr>
          <w:p w14:paraId="1776384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Revue de conformité au périmètre à chaque jalon.</w:t>
            </w:r>
          </w:p>
        </w:tc>
      </w:tr>
      <w:tr w:rsidR="00F50D70" w:rsidRPr="00BE4F47" w14:paraId="6527DE2D" w14:textId="77777777">
        <w:trPr>
          <w:trHeight w:val="804"/>
        </w:trPr>
        <w:tc>
          <w:tcPr>
            <w:tcW w:w="640" w:type="dxa"/>
            <w:tcBorders>
              <w:top w:val="single" w:sz="4" w:space="0" w:color="000000"/>
              <w:left w:val="single" w:sz="4" w:space="0" w:color="000000"/>
              <w:bottom w:val="single" w:sz="4" w:space="0" w:color="000000"/>
              <w:right w:val="single" w:sz="4" w:space="0" w:color="000000"/>
            </w:tcBorders>
          </w:tcPr>
          <w:p w14:paraId="6272551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EX-C-03</w:t>
            </w:r>
          </w:p>
        </w:tc>
        <w:tc>
          <w:tcPr>
            <w:tcW w:w="2795" w:type="dxa"/>
            <w:tcBorders>
              <w:top w:val="single" w:sz="4" w:space="0" w:color="000000"/>
              <w:left w:val="single" w:sz="4" w:space="0" w:color="000000"/>
              <w:bottom w:val="single" w:sz="4" w:space="0" w:color="000000"/>
              <w:right w:val="single" w:sz="4" w:space="0" w:color="000000"/>
            </w:tcBorders>
          </w:tcPr>
          <w:p w14:paraId="5737087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Le rapport final traite explicitement les enjeux de confiance, de transparence et de responsabilité soulevés par l’usage d’un outil d’aide à la décision en contexte nucléaire.</w:t>
            </w:r>
          </w:p>
        </w:tc>
        <w:tc>
          <w:tcPr>
            <w:tcW w:w="977" w:type="dxa"/>
            <w:tcBorders>
              <w:top w:val="single" w:sz="4" w:space="0" w:color="000000"/>
              <w:left w:val="single" w:sz="4" w:space="0" w:color="000000"/>
              <w:bottom w:val="single" w:sz="4" w:space="0" w:color="000000"/>
              <w:right w:val="single" w:sz="4" w:space="0" w:color="000000"/>
            </w:tcBorders>
          </w:tcPr>
          <w:p w14:paraId="754D283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Parties prenantes</w:t>
            </w:r>
          </w:p>
        </w:tc>
        <w:tc>
          <w:tcPr>
            <w:tcW w:w="741" w:type="dxa"/>
            <w:tcBorders>
              <w:top w:val="single" w:sz="4" w:space="0" w:color="000000"/>
              <w:left w:val="single" w:sz="4" w:space="0" w:color="000000"/>
              <w:bottom w:val="single" w:sz="4" w:space="0" w:color="000000"/>
              <w:right w:val="single" w:sz="4" w:space="0" w:color="000000"/>
            </w:tcBorders>
          </w:tcPr>
          <w:p w14:paraId="2C0C44B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w:t>
            </w:r>
          </w:p>
        </w:tc>
        <w:tc>
          <w:tcPr>
            <w:tcW w:w="471" w:type="dxa"/>
            <w:tcBorders>
              <w:top w:val="single" w:sz="4" w:space="0" w:color="000000"/>
              <w:left w:val="single" w:sz="4" w:space="0" w:color="000000"/>
              <w:bottom w:val="single" w:sz="4" w:space="0" w:color="000000"/>
              <w:right w:val="single" w:sz="4" w:space="0" w:color="000000"/>
            </w:tcBorders>
          </w:tcPr>
          <w:p w14:paraId="6DB4AA4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L1</w:t>
            </w:r>
          </w:p>
        </w:tc>
        <w:tc>
          <w:tcPr>
            <w:tcW w:w="2256" w:type="dxa"/>
            <w:tcBorders>
              <w:top w:val="single" w:sz="4" w:space="0" w:color="000000"/>
              <w:left w:val="single" w:sz="4" w:space="0" w:color="000000"/>
              <w:bottom w:val="single" w:sz="4" w:space="0" w:color="000000"/>
              <w:right w:val="single" w:sz="4" w:space="0" w:color="000000"/>
            </w:tcBorders>
          </w:tcPr>
          <w:p w14:paraId="46F5F79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Présence et contenu de la section « Impacts du projet et gestion des risques ».</w:t>
            </w:r>
          </w:p>
        </w:tc>
      </w:tr>
    </w:tbl>
    <w:p w14:paraId="45835663" w14:textId="77777777" w:rsidR="00F50D70" w:rsidRPr="00BE4F47" w:rsidRDefault="00F50D70" w:rsidP="008E113B">
      <w:pPr>
        <w:spacing w:after="150" w:line="360" w:lineRule="auto"/>
        <w:ind w:left="992"/>
        <w:rPr>
          <w:rFonts w:ascii="Aptos" w:hAnsi="Aptos"/>
        </w:rPr>
      </w:pPr>
    </w:p>
    <w:p w14:paraId="5A95FF56" w14:textId="77777777" w:rsidR="00F50D70" w:rsidRPr="00BE4F47" w:rsidRDefault="00F50D70" w:rsidP="008E113B">
      <w:pPr>
        <w:pStyle w:val="Retraitcorpsdetexte3"/>
        <w:spacing w:line="360" w:lineRule="auto"/>
        <w:rPr>
          <w:rFonts w:ascii="Aptos" w:hAnsi="Aptos"/>
        </w:rPr>
      </w:pPr>
    </w:p>
    <w:p w14:paraId="47716B3F" w14:textId="77777777" w:rsidR="00F50D70" w:rsidRPr="00136F18" w:rsidRDefault="00000000" w:rsidP="008E113B">
      <w:pPr>
        <w:pStyle w:val="Titre1"/>
        <w:spacing w:line="360" w:lineRule="auto"/>
      </w:pPr>
      <w:bookmarkStart w:id="14" w:name="__RefHeading___Toc240715104"/>
      <w:r w:rsidRPr="00136F18">
        <w:t>Description des livrables du projet</w:t>
      </w:r>
      <w:bookmarkEnd w:id="14"/>
      <w:r w:rsidRPr="00136F18">
        <w:t xml:space="preserve"> </w:t>
      </w:r>
    </w:p>
    <w:p w14:paraId="652C2407"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section 1 a dit ce que le système doit faire. Celle-ci dit ce que l’équipe remet au client à la fin du mandat. Chaque livrable est rattaché aux exigences qu’il satisfait et au jalon auquel il est attendu.</w:t>
      </w:r>
    </w:p>
    <w:p w14:paraId="696F2012" w14:textId="77777777" w:rsidR="00F50D70" w:rsidRPr="00136F18" w:rsidRDefault="00000000" w:rsidP="008E113B">
      <w:pPr>
        <w:pStyle w:val="Titre2"/>
        <w:spacing w:line="360" w:lineRule="auto"/>
      </w:pPr>
      <w:bookmarkStart w:id="15" w:name="__RefHeading___Toc240715105"/>
      <w:bookmarkEnd w:id="15"/>
      <w:r w:rsidRPr="00136F18">
        <w:t>Livrables techniques</w:t>
      </w:r>
    </w:p>
    <w:p w14:paraId="672E3238"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À la fin du projet, l’équipe remettra un prototype de jumeau numérique appliqué à une boucle thermohydraulique simplifiée, utilisée pour représenter certains comportements d’un système de refroidissement dans le scénario décrit en 1.1. Le prototype ne cherche pas à reproduire l’ensemble de la centrale, mais à fournir un environnement contrôlé dans lequel différents scénarios peuvent être étudiés.</w:t>
      </w:r>
    </w:p>
    <w:p w14:paraId="72498CD2"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lastRenderedPageBreak/>
        <w:t>Le jumeau numérique suit les trois variables retenues et compare le comportement observé au comportement attendu par le modèle. Les scénarios listés à l’exigence EX-F-02 y sont intégrés, de façon à observer son comportement aussi bien en fonctionnement normal qu’en présence d’une anomalie ou de données incertaines.</w:t>
      </w:r>
    </w:p>
    <w:p w14:paraId="0AAC4582"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Une interface d’aide à la décision fait partie du prototype. Elle présente l’état estimé du système, les variables ayant contribué à cette estimation et le niveau de confiance associé au résultat. Lorsque les informations disponibles ne permettent pas d’établir un état fiable, elle l’indique explicitement plutôt que de présenter la situation comme normale. Le système demeure un outil d’aide : aucune commande automatique ne fait partie du projet.</w:t>
      </w:r>
    </w:p>
    <w:p w14:paraId="0DF35164" w14:textId="77777777" w:rsidR="00F50D70" w:rsidRPr="00BE4F47" w:rsidRDefault="00000000" w:rsidP="008E113B">
      <w:pPr>
        <w:spacing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L’équipe remettra également les résultats d’une campagne d’essais réalisée sur le prototype, ainsi que les documents d’ingénierie qui les rendent interprétables : le GEMMA, le registre des exigences et le plan de vérification et de validation.</w:t>
      </w:r>
    </w:p>
    <w:p w14:paraId="4A860F8B" w14:textId="77777777" w:rsidR="00F50D70" w:rsidRPr="00BE4F47" w:rsidRDefault="00F50D70" w:rsidP="008E113B">
      <w:pPr>
        <w:spacing w:line="360" w:lineRule="auto"/>
        <w:ind w:left="720"/>
        <w:rPr>
          <w:rFonts w:ascii="Aptos" w:hAnsi="Aptos"/>
        </w:rPr>
      </w:pPr>
    </w:p>
    <w:p w14:paraId="140F1367" w14:textId="77777777" w:rsidR="00F50D70" w:rsidRPr="00136F18" w:rsidRDefault="00000000" w:rsidP="008E113B">
      <w:pPr>
        <w:pStyle w:val="Titre2"/>
        <w:spacing w:line="360" w:lineRule="auto"/>
      </w:pPr>
      <w:bookmarkStart w:id="16" w:name="__RefHeading___Toc240715110"/>
      <w:bookmarkEnd w:id="16"/>
      <w:r w:rsidRPr="00136F18">
        <w:t>Livrables de gestion</w:t>
      </w:r>
    </w:p>
    <w:p w14:paraId="216809F9"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En plus du prototype, l’équipe remettra les documents nécessaires à la planification, au suivi et à la gestion du projet : le plan de projet, le suivi de l’échéancier, des coûts et des risques, et la documentation finale.</w:t>
      </w:r>
    </w:p>
    <w:p w14:paraId="2F5347BC"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Une recommandation d’ingénierie accompagnera les résultats. Elle présentera les conclusions de l’équipe ainsi que les limites identifiées dans le cadre du mandat, conformément à l’exigence EX-C-01.</w:t>
      </w:r>
    </w:p>
    <w:p w14:paraId="28F3CC91" w14:textId="77777777" w:rsidR="00F50D70" w:rsidRPr="00136F18" w:rsidRDefault="00000000" w:rsidP="008E113B">
      <w:pPr>
        <w:pStyle w:val="Titre2"/>
        <w:spacing w:line="360" w:lineRule="auto"/>
      </w:pPr>
      <w:bookmarkStart w:id="17" w:name="__RefHeading___Toc240715113"/>
      <w:bookmarkEnd w:id="17"/>
      <w:r w:rsidRPr="00136F18">
        <w:t>Tableau des livrables</w:t>
      </w:r>
    </w:p>
    <w:p w14:paraId="2BFBA547" w14:textId="77777777" w:rsidR="00F50D70"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Chaque livrable porte un critère d’acceptation qui dit à quelle condition il est considéré comme terminé, et le jalon auquel il est attendu. Un livrable sans critère d’acceptation ne peut être ni refusé ni accepté.</w:t>
      </w:r>
    </w:p>
    <w:p w14:paraId="1D48B40E" w14:textId="77777777" w:rsidR="0036725C" w:rsidRDefault="0036725C" w:rsidP="008E113B">
      <w:pPr>
        <w:spacing w:after="130" w:line="360" w:lineRule="auto"/>
        <w:ind w:left="425"/>
        <w:rPr>
          <w:rFonts w:ascii="Aptos" w:eastAsia="Calibri" w:hAnsi="Aptos" w:cs="Calibri"/>
          <w:color w:val="1A1A19"/>
          <w:sz w:val="20"/>
          <w:szCs w:val="20"/>
        </w:rPr>
      </w:pPr>
    </w:p>
    <w:p w14:paraId="1C616C58" w14:textId="77777777" w:rsidR="0036725C" w:rsidRDefault="0036725C" w:rsidP="008E113B">
      <w:pPr>
        <w:spacing w:after="130" w:line="360" w:lineRule="auto"/>
        <w:ind w:left="425"/>
        <w:rPr>
          <w:rFonts w:ascii="Aptos" w:eastAsia="Calibri" w:hAnsi="Aptos" w:cs="Calibri"/>
          <w:color w:val="1A1A19"/>
          <w:sz w:val="20"/>
          <w:szCs w:val="20"/>
        </w:rPr>
      </w:pPr>
    </w:p>
    <w:p w14:paraId="16BB8FB5" w14:textId="77777777" w:rsidR="0036725C" w:rsidRDefault="0036725C" w:rsidP="008E113B">
      <w:pPr>
        <w:spacing w:after="130" w:line="360" w:lineRule="auto"/>
        <w:ind w:left="425"/>
        <w:rPr>
          <w:rFonts w:ascii="Aptos" w:eastAsia="Calibri" w:hAnsi="Aptos" w:cs="Calibri"/>
          <w:color w:val="1A1A19"/>
          <w:sz w:val="20"/>
          <w:szCs w:val="20"/>
        </w:rPr>
      </w:pPr>
    </w:p>
    <w:p w14:paraId="6522D230" w14:textId="77777777" w:rsidR="0036725C" w:rsidRDefault="0036725C" w:rsidP="008E113B">
      <w:pPr>
        <w:spacing w:after="130" w:line="360" w:lineRule="auto"/>
        <w:ind w:left="425"/>
        <w:rPr>
          <w:rFonts w:ascii="Aptos" w:eastAsia="Calibri" w:hAnsi="Aptos" w:cs="Calibri"/>
          <w:color w:val="1A1A19"/>
          <w:sz w:val="20"/>
          <w:szCs w:val="20"/>
        </w:rPr>
      </w:pPr>
    </w:p>
    <w:p w14:paraId="3B981A75" w14:textId="77777777" w:rsidR="0036725C" w:rsidRDefault="0036725C" w:rsidP="008E113B">
      <w:pPr>
        <w:spacing w:after="130" w:line="360" w:lineRule="auto"/>
        <w:ind w:left="425"/>
        <w:rPr>
          <w:rFonts w:ascii="Aptos" w:eastAsia="Calibri" w:hAnsi="Aptos" w:cs="Calibri"/>
          <w:color w:val="1A1A19"/>
          <w:sz w:val="20"/>
          <w:szCs w:val="20"/>
        </w:rPr>
      </w:pPr>
    </w:p>
    <w:p w14:paraId="7422BC11" w14:textId="77777777" w:rsidR="0036725C" w:rsidRDefault="0036725C" w:rsidP="008E113B">
      <w:pPr>
        <w:spacing w:after="130" w:line="360" w:lineRule="auto"/>
        <w:ind w:left="425"/>
        <w:rPr>
          <w:rFonts w:ascii="Aptos" w:eastAsia="Calibri" w:hAnsi="Aptos" w:cs="Calibri"/>
          <w:color w:val="1A1A19"/>
          <w:sz w:val="20"/>
          <w:szCs w:val="20"/>
        </w:rPr>
      </w:pPr>
    </w:p>
    <w:p w14:paraId="56D45066" w14:textId="77777777" w:rsidR="0036725C" w:rsidRDefault="0036725C" w:rsidP="008E113B">
      <w:pPr>
        <w:spacing w:after="130" w:line="360" w:lineRule="auto"/>
        <w:ind w:left="425"/>
        <w:rPr>
          <w:rFonts w:ascii="Aptos" w:eastAsia="Calibri" w:hAnsi="Aptos" w:cs="Calibri"/>
          <w:color w:val="1A1A19"/>
          <w:sz w:val="20"/>
          <w:szCs w:val="20"/>
        </w:rPr>
      </w:pPr>
    </w:p>
    <w:p w14:paraId="3D58CB50" w14:textId="77777777" w:rsidR="0036725C" w:rsidRDefault="0036725C" w:rsidP="008E113B">
      <w:pPr>
        <w:spacing w:after="130" w:line="360" w:lineRule="auto"/>
        <w:ind w:left="425"/>
        <w:rPr>
          <w:rFonts w:ascii="Aptos" w:eastAsia="Calibri" w:hAnsi="Aptos" w:cs="Calibri"/>
          <w:color w:val="1A1A19"/>
          <w:sz w:val="20"/>
          <w:szCs w:val="20"/>
        </w:rPr>
      </w:pPr>
    </w:p>
    <w:p w14:paraId="4ED4E481" w14:textId="77777777" w:rsidR="0036725C" w:rsidRDefault="0036725C" w:rsidP="008E113B">
      <w:pPr>
        <w:spacing w:after="130" w:line="360" w:lineRule="auto"/>
        <w:ind w:left="425"/>
        <w:rPr>
          <w:rFonts w:ascii="Aptos" w:eastAsia="Calibri" w:hAnsi="Aptos" w:cs="Calibri"/>
          <w:color w:val="1A1A19"/>
          <w:sz w:val="20"/>
          <w:szCs w:val="20"/>
        </w:rPr>
      </w:pPr>
    </w:p>
    <w:p w14:paraId="6D3561E2" w14:textId="77777777" w:rsidR="0036725C" w:rsidRPr="00BE4F47" w:rsidRDefault="0036725C" w:rsidP="008E113B">
      <w:pPr>
        <w:spacing w:after="130" w:line="360" w:lineRule="auto"/>
        <w:ind w:left="425"/>
        <w:rPr>
          <w:rFonts w:ascii="Aptos" w:hAnsi="Aptos"/>
        </w:rPr>
      </w:pPr>
    </w:p>
    <w:p w14:paraId="70005D05" w14:textId="77777777" w:rsidR="00F50D70" w:rsidRPr="00BE4F47" w:rsidRDefault="00F50D70" w:rsidP="008E113B">
      <w:pPr>
        <w:spacing w:line="360" w:lineRule="auto"/>
        <w:ind w:left="0"/>
        <w:rPr>
          <w:rFonts w:ascii="Aptos" w:hAnsi="Aptos"/>
        </w:rPr>
      </w:pPr>
    </w:p>
    <w:p w14:paraId="58FD8CEA" w14:textId="77777777" w:rsidR="00F50D70" w:rsidRPr="00BE4F47" w:rsidRDefault="00000000" w:rsidP="008E113B">
      <w:pPr>
        <w:pStyle w:val="Lgende"/>
        <w:spacing w:line="360" w:lineRule="auto"/>
        <w:rPr>
          <w:rFonts w:ascii="Aptos" w:hAnsi="Aptos"/>
        </w:rPr>
      </w:pPr>
      <w:r w:rsidRPr="00BE4F47">
        <w:rPr>
          <w:rFonts w:ascii="Aptos" w:hAnsi="Aptos"/>
        </w:rPr>
        <w:t>Tableau 2-1. Livrables, critères d’acceptation et jalons de remise</w:t>
      </w:r>
    </w:p>
    <w:tbl>
      <w:tblPr>
        <w:tblpPr w:leftFromText="141" w:rightFromText="141" w:vertAnchor="text" w:horzAnchor="margin" w:tblpXSpec="center" w:tblpY="130"/>
        <w:tblW w:w="7881" w:type="dxa"/>
        <w:tblLayout w:type="fixed"/>
        <w:tblCellMar>
          <w:top w:w="60" w:type="dxa"/>
          <w:left w:w="90" w:type="dxa"/>
          <w:bottom w:w="60" w:type="dxa"/>
          <w:right w:w="90" w:type="dxa"/>
        </w:tblCellMar>
        <w:tblLook w:val="04A0" w:firstRow="1" w:lastRow="0" w:firstColumn="1" w:lastColumn="0" w:noHBand="0" w:noVBand="1"/>
      </w:tblPr>
      <w:tblGrid>
        <w:gridCol w:w="532"/>
        <w:gridCol w:w="2041"/>
        <w:gridCol w:w="901"/>
        <w:gridCol w:w="2241"/>
        <w:gridCol w:w="643"/>
        <w:gridCol w:w="1523"/>
      </w:tblGrid>
      <w:tr w:rsidR="00F50D70" w:rsidRPr="00BE4F47" w14:paraId="6DC8D5F8" w14:textId="77777777" w:rsidTr="0036725C">
        <w:trPr>
          <w:trHeight w:val="248"/>
          <w:tblHeader/>
        </w:trPr>
        <w:tc>
          <w:tcPr>
            <w:tcW w:w="53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213CFD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04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D1934F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Livrable</w:t>
            </w:r>
          </w:p>
        </w:tc>
        <w:tc>
          <w:tcPr>
            <w:tcW w:w="90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B12852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Type</w:t>
            </w:r>
          </w:p>
        </w:tc>
        <w:tc>
          <w:tcPr>
            <w:tcW w:w="224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08A3E2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Critère d’acceptation</w:t>
            </w:r>
          </w:p>
        </w:tc>
        <w:tc>
          <w:tcPr>
            <w:tcW w:w="64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27FE92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152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01FC4A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Responsable</w:t>
            </w:r>
          </w:p>
        </w:tc>
      </w:tr>
      <w:tr w:rsidR="00F50D70" w:rsidRPr="00BE4F47" w14:paraId="3CC81186" w14:textId="77777777">
        <w:trPr>
          <w:trHeight w:val="440"/>
        </w:trPr>
        <w:tc>
          <w:tcPr>
            <w:tcW w:w="532" w:type="dxa"/>
            <w:tcBorders>
              <w:top w:val="single" w:sz="4" w:space="0" w:color="000000"/>
              <w:left w:val="single" w:sz="4" w:space="0" w:color="000000"/>
              <w:bottom w:val="single" w:sz="4" w:space="0" w:color="000000"/>
              <w:right w:val="single" w:sz="4" w:space="0" w:color="000000"/>
            </w:tcBorders>
          </w:tcPr>
          <w:p w14:paraId="4CC582F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L01</w:t>
            </w:r>
          </w:p>
        </w:tc>
        <w:tc>
          <w:tcPr>
            <w:tcW w:w="2041" w:type="dxa"/>
            <w:tcBorders>
              <w:top w:val="single" w:sz="4" w:space="0" w:color="000000"/>
              <w:left w:val="single" w:sz="4" w:space="0" w:color="000000"/>
              <w:bottom w:val="single" w:sz="4" w:space="0" w:color="000000"/>
              <w:right w:val="single" w:sz="4" w:space="0" w:color="000000"/>
            </w:tcBorders>
          </w:tcPr>
          <w:p w14:paraId="503EA2A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Prototype du jumeau numérique</w:t>
            </w:r>
          </w:p>
        </w:tc>
        <w:tc>
          <w:tcPr>
            <w:tcW w:w="901" w:type="dxa"/>
            <w:tcBorders>
              <w:top w:val="single" w:sz="4" w:space="0" w:color="000000"/>
              <w:left w:val="single" w:sz="4" w:space="0" w:color="000000"/>
              <w:bottom w:val="single" w:sz="4" w:space="0" w:color="000000"/>
              <w:right w:val="single" w:sz="4" w:space="0" w:color="000000"/>
            </w:tcBorders>
          </w:tcPr>
          <w:p w14:paraId="0DF21DA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1C698D9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EX-F-01 à EX-F-03 et EX-F-10 démontrées par essai, résultats consignés.</w:t>
            </w:r>
          </w:p>
        </w:tc>
        <w:tc>
          <w:tcPr>
            <w:tcW w:w="643" w:type="dxa"/>
            <w:tcBorders>
              <w:top w:val="single" w:sz="4" w:space="0" w:color="000000"/>
              <w:left w:val="single" w:sz="4" w:space="0" w:color="000000"/>
              <w:bottom w:val="single" w:sz="4" w:space="0" w:color="000000"/>
              <w:right w:val="single" w:sz="4" w:space="0" w:color="000000"/>
            </w:tcBorders>
          </w:tcPr>
          <w:p w14:paraId="186939C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J3</w:t>
            </w:r>
          </w:p>
        </w:tc>
        <w:tc>
          <w:tcPr>
            <w:tcW w:w="1523" w:type="dxa"/>
            <w:tcBorders>
              <w:top w:val="single" w:sz="4" w:space="0" w:color="000000"/>
              <w:left w:val="single" w:sz="4" w:space="0" w:color="000000"/>
              <w:bottom w:val="single" w:sz="4" w:space="0" w:color="000000"/>
              <w:right w:val="single" w:sz="4" w:space="0" w:color="000000"/>
            </w:tcBorders>
          </w:tcPr>
          <w:p w14:paraId="17DAB7C0" w14:textId="2AD9FFD8" w:rsidR="00F50D70" w:rsidRPr="00BE4F47" w:rsidRDefault="005E5B35" w:rsidP="008E113B">
            <w:pPr>
              <w:spacing w:before="30" w:after="30" w:line="360" w:lineRule="auto"/>
              <w:ind w:left="0"/>
              <w:jc w:val="left"/>
              <w:outlineLvl w:val="9"/>
              <w:rPr>
                <w:rFonts w:ascii="Aptos" w:eastAsia="Calibri" w:hAnsi="Aptos" w:cs="Calibri"/>
                <w:color w:val="1A1A19"/>
                <w:sz w:val="20"/>
                <w:szCs w:val="20"/>
              </w:rPr>
            </w:pPr>
            <w:r>
              <w:rPr>
                <w:rFonts w:ascii="Aptos" w:eastAsia="Calibri" w:hAnsi="Aptos" w:cs="Calibri"/>
                <w:color w:val="1A1A19"/>
                <w:sz w:val="15"/>
                <w:szCs w:val="15"/>
              </w:rPr>
              <w:t xml:space="preserve"> </w:t>
            </w:r>
          </w:p>
        </w:tc>
      </w:tr>
      <w:tr w:rsidR="00F50D70" w:rsidRPr="00BE4F47" w14:paraId="19F2894D"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6255142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L02</w:t>
            </w:r>
          </w:p>
        </w:tc>
        <w:tc>
          <w:tcPr>
            <w:tcW w:w="2041" w:type="dxa"/>
            <w:tcBorders>
              <w:top w:val="single" w:sz="4" w:space="0" w:color="000000"/>
              <w:left w:val="single" w:sz="4" w:space="0" w:color="000000"/>
              <w:bottom w:val="single" w:sz="4" w:space="0" w:color="000000"/>
              <w:right w:val="single" w:sz="4" w:space="0" w:color="000000"/>
            </w:tcBorders>
          </w:tcPr>
          <w:p w14:paraId="74F3DBA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Interface d’aide à la décision</w:t>
            </w:r>
          </w:p>
        </w:tc>
        <w:tc>
          <w:tcPr>
            <w:tcW w:w="901" w:type="dxa"/>
            <w:tcBorders>
              <w:top w:val="single" w:sz="4" w:space="0" w:color="000000"/>
              <w:left w:val="single" w:sz="4" w:space="0" w:color="000000"/>
              <w:bottom w:val="single" w:sz="4" w:space="0" w:color="000000"/>
              <w:right w:val="single" w:sz="4" w:space="0" w:color="000000"/>
            </w:tcBorders>
          </w:tcPr>
          <w:p w14:paraId="4A3ED00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66BEF96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EX-F-04 à EX-F-09 et EX-Q-03 démontrées ; liste de contrôle d’affichage remplie.</w:t>
            </w:r>
          </w:p>
        </w:tc>
        <w:tc>
          <w:tcPr>
            <w:tcW w:w="643" w:type="dxa"/>
            <w:tcBorders>
              <w:top w:val="single" w:sz="4" w:space="0" w:color="000000"/>
              <w:left w:val="single" w:sz="4" w:space="0" w:color="000000"/>
              <w:bottom w:val="single" w:sz="4" w:space="0" w:color="000000"/>
              <w:right w:val="single" w:sz="4" w:space="0" w:color="000000"/>
            </w:tcBorders>
          </w:tcPr>
          <w:p w14:paraId="4772B6F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J3</w:t>
            </w:r>
          </w:p>
        </w:tc>
        <w:tc>
          <w:tcPr>
            <w:tcW w:w="1523" w:type="dxa"/>
            <w:tcBorders>
              <w:top w:val="single" w:sz="4" w:space="0" w:color="000000"/>
              <w:left w:val="single" w:sz="4" w:space="0" w:color="000000"/>
              <w:bottom w:val="single" w:sz="4" w:space="0" w:color="000000"/>
              <w:right w:val="single" w:sz="4" w:space="0" w:color="000000"/>
            </w:tcBorders>
          </w:tcPr>
          <w:p w14:paraId="16E2E832" w14:textId="441AB448"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r w:rsidR="00F50D70" w:rsidRPr="00BE4F47" w14:paraId="2C29F0CA"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088A1F3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L03</w:t>
            </w:r>
          </w:p>
        </w:tc>
        <w:tc>
          <w:tcPr>
            <w:tcW w:w="2041" w:type="dxa"/>
            <w:tcBorders>
              <w:top w:val="single" w:sz="4" w:space="0" w:color="000000"/>
              <w:left w:val="single" w:sz="4" w:space="0" w:color="000000"/>
              <w:bottom w:val="single" w:sz="4" w:space="0" w:color="000000"/>
              <w:right w:val="single" w:sz="4" w:space="0" w:color="000000"/>
            </w:tcBorders>
          </w:tcPr>
          <w:p w14:paraId="35DC95C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Registre des exigences</w:t>
            </w:r>
          </w:p>
        </w:tc>
        <w:tc>
          <w:tcPr>
            <w:tcW w:w="901" w:type="dxa"/>
            <w:tcBorders>
              <w:top w:val="single" w:sz="4" w:space="0" w:color="000000"/>
              <w:left w:val="single" w:sz="4" w:space="0" w:color="000000"/>
              <w:bottom w:val="single" w:sz="4" w:space="0" w:color="000000"/>
              <w:right w:val="single" w:sz="4" w:space="0" w:color="000000"/>
            </w:tcBorders>
          </w:tcPr>
          <w:p w14:paraId="6A6B362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Gestion</w:t>
            </w:r>
          </w:p>
        </w:tc>
        <w:tc>
          <w:tcPr>
            <w:tcW w:w="2241" w:type="dxa"/>
            <w:tcBorders>
              <w:top w:val="single" w:sz="4" w:space="0" w:color="000000"/>
              <w:left w:val="single" w:sz="4" w:space="0" w:color="000000"/>
              <w:bottom w:val="single" w:sz="4" w:space="0" w:color="000000"/>
              <w:right w:val="single" w:sz="4" w:space="0" w:color="000000"/>
            </w:tcBorders>
          </w:tcPr>
          <w:p w14:paraId="2E0A6DB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Chaque exigence porte un moyen de vérification, un état GEMMA et un lot.</w:t>
            </w:r>
          </w:p>
        </w:tc>
        <w:tc>
          <w:tcPr>
            <w:tcW w:w="643" w:type="dxa"/>
            <w:tcBorders>
              <w:top w:val="single" w:sz="4" w:space="0" w:color="000000"/>
              <w:left w:val="single" w:sz="4" w:space="0" w:color="000000"/>
              <w:bottom w:val="single" w:sz="4" w:space="0" w:color="000000"/>
              <w:right w:val="single" w:sz="4" w:space="0" w:color="000000"/>
            </w:tcBorders>
          </w:tcPr>
          <w:p w14:paraId="611FA14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J1</w:t>
            </w:r>
          </w:p>
        </w:tc>
        <w:tc>
          <w:tcPr>
            <w:tcW w:w="1523" w:type="dxa"/>
            <w:tcBorders>
              <w:top w:val="single" w:sz="4" w:space="0" w:color="000000"/>
              <w:left w:val="single" w:sz="4" w:space="0" w:color="000000"/>
              <w:bottom w:val="single" w:sz="4" w:space="0" w:color="000000"/>
              <w:right w:val="single" w:sz="4" w:space="0" w:color="000000"/>
            </w:tcBorders>
          </w:tcPr>
          <w:p w14:paraId="157B098C" w14:textId="4F8307D8"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r w:rsidR="00F50D70" w:rsidRPr="00BE4F47" w14:paraId="6463B613" w14:textId="77777777">
        <w:trPr>
          <w:trHeight w:val="440"/>
        </w:trPr>
        <w:tc>
          <w:tcPr>
            <w:tcW w:w="532" w:type="dxa"/>
            <w:tcBorders>
              <w:top w:val="single" w:sz="4" w:space="0" w:color="000000"/>
              <w:left w:val="single" w:sz="4" w:space="0" w:color="000000"/>
              <w:bottom w:val="single" w:sz="4" w:space="0" w:color="000000"/>
              <w:right w:val="single" w:sz="4" w:space="0" w:color="000000"/>
            </w:tcBorders>
          </w:tcPr>
          <w:p w14:paraId="6007404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L04</w:t>
            </w:r>
          </w:p>
        </w:tc>
        <w:tc>
          <w:tcPr>
            <w:tcW w:w="2041" w:type="dxa"/>
            <w:tcBorders>
              <w:top w:val="single" w:sz="4" w:space="0" w:color="000000"/>
              <w:left w:val="single" w:sz="4" w:space="0" w:color="000000"/>
              <w:bottom w:val="single" w:sz="4" w:space="0" w:color="000000"/>
              <w:right w:val="single" w:sz="4" w:space="0" w:color="000000"/>
            </w:tcBorders>
          </w:tcPr>
          <w:p w14:paraId="113B091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GEMMA et structure de découpage du projet</w:t>
            </w:r>
          </w:p>
        </w:tc>
        <w:tc>
          <w:tcPr>
            <w:tcW w:w="901" w:type="dxa"/>
            <w:tcBorders>
              <w:top w:val="single" w:sz="4" w:space="0" w:color="000000"/>
              <w:left w:val="single" w:sz="4" w:space="0" w:color="000000"/>
              <w:bottom w:val="single" w:sz="4" w:space="0" w:color="000000"/>
              <w:right w:val="single" w:sz="4" w:space="0" w:color="000000"/>
            </w:tcBorders>
          </w:tcPr>
          <w:p w14:paraId="20D9856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53DEF75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Cohérence vérifiée : aucun état sans sortie, aucune transition sans condition.</w:t>
            </w:r>
          </w:p>
        </w:tc>
        <w:tc>
          <w:tcPr>
            <w:tcW w:w="643" w:type="dxa"/>
            <w:tcBorders>
              <w:top w:val="single" w:sz="4" w:space="0" w:color="000000"/>
              <w:left w:val="single" w:sz="4" w:space="0" w:color="000000"/>
              <w:bottom w:val="single" w:sz="4" w:space="0" w:color="000000"/>
              <w:right w:val="single" w:sz="4" w:space="0" w:color="000000"/>
            </w:tcBorders>
          </w:tcPr>
          <w:p w14:paraId="2BC480C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J1</w:t>
            </w:r>
          </w:p>
        </w:tc>
        <w:tc>
          <w:tcPr>
            <w:tcW w:w="1523" w:type="dxa"/>
            <w:tcBorders>
              <w:top w:val="single" w:sz="4" w:space="0" w:color="000000"/>
              <w:left w:val="single" w:sz="4" w:space="0" w:color="000000"/>
              <w:bottom w:val="single" w:sz="4" w:space="0" w:color="000000"/>
              <w:right w:val="single" w:sz="4" w:space="0" w:color="000000"/>
            </w:tcBorders>
          </w:tcPr>
          <w:p w14:paraId="2C8E2665" w14:textId="70D0D391"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r w:rsidR="00F50D70" w:rsidRPr="00BE4F47" w14:paraId="653A6A7F"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604CD86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L05</w:t>
            </w:r>
          </w:p>
        </w:tc>
        <w:tc>
          <w:tcPr>
            <w:tcW w:w="2041" w:type="dxa"/>
            <w:tcBorders>
              <w:top w:val="single" w:sz="4" w:space="0" w:color="000000"/>
              <w:left w:val="single" w:sz="4" w:space="0" w:color="000000"/>
              <w:bottom w:val="single" w:sz="4" w:space="0" w:color="000000"/>
              <w:right w:val="single" w:sz="4" w:space="0" w:color="000000"/>
            </w:tcBorders>
          </w:tcPr>
          <w:p w14:paraId="7F160D8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Plan de vérification et de validation</w:t>
            </w:r>
          </w:p>
        </w:tc>
        <w:tc>
          <w:tcPr>
            <w:tcW w:w="901" w:type="dxa"/>
            <w:tcBorders>
              <w:top w:val="single" w:sz="4" w:space="0" w:color="000000"/>
              <w:left w:val="single" w:sz="4" w:space="0" w:color="000000"/>
              <w:bottom w:val="single" w:sz="4" w:space="0" w:color="000000"/>
              <w:right w:val="single" w:sz="4" w:space="0" w:color="000000"/>
            </w:tcBorders>
          </w:tcPr>
          <w:p w14:paraId="0C10E8E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7FC3B41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Contenu conforme à celui exigé par IEEE 1012 ; degré d’indépendance précisé.</w:t>
            </w:r>
          </w:p>
        </w:tc>
        <w:tc>
          <w:tcPr>
            <w:tcW w:w="643" w:type="dxa"/>
            <w:tcBorders>
              <w:top w:val="single" w:sz="4" w:space="0" w:color="000000"/>
              <w:left w:val="single" w:sz="4" w:space="0" w:color="000000"/>
              <w:bottom w:val="single" w:sz="4" w:space="0" w:color="000000"/>
              <w:right w:val="single" w:sz="4" w:space="0" w:color="000000"/>
            </w:tcBorders>
          </w:tcPr>
          <w:p w14:paraId="11DFDB5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J2</w:t>
            </w:r>
          </w:p>
        </w:tc>
        <w:tc>
          <w:tcPr>
            <w:tcW w:w="1523" w:type="dxa"/>
            <w:tcBorders>
              <w:top w:val="single" w:sz="4" w:space="0" w:color="000000"/>
              <w:left w:val="single" w:sz="4" w:space="0" w:color="000000"/>
              <w:bottom w:val="single" w:sz="4" w:space="0" w:color="000000"/>
              <w:right w:val="single" w:sz="4" w:space="0" w:color="000000"/>
            </w:tcBorders>
          </w:tcPr>
          <w:p w14:paraId="53EDCF66" w14:textId="1651434F"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r w:rsidR="00F50D70" w:rsidRPr="00BE4F47" w14:paraId="461E79D3"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0D14804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L06</w:t>
            </w:r>
          </w:p>
        </w:tc>
        <w:tc>
          <w:tcPr>
            <w:tcW w:w="2041" w:type="dxa"/>
            <w:tcBorders>
              <w:top w:val="single" w:sz="4" w:space="0" w:color="000000"/>
              <w:left w:val="single" w:sz="4" w:space="0" w:color="000000"/>
              <w:bottom w:val="single" w:sz="4" w:space="0" w:color="000000"/>
              <w:right w:val="single" w:sz="4" w:space="0" w:color="000000"/>
            </w:tcBorders>
          </w:tcPr>
          <w:p w14:paraId="668ACE9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Campagne d’essais et résultats</w:t>
            </w:r>
          </w:p>
        </w:tc>
        <w:tc>
          <w:tcPr>
            <w:tcW w:w="901" w:type="dxa"/>
            <w:tcBorders>
              <w:top w:val="single" w:sz="4" w:space="0" w:color="000000"/>
              <w:left w:val="single" w:sz="4" w:space="0" w:color="000000"/>
              <w:bottom w:val="single" w:sz="4" w:space="0" w:color="000000"/>
              <w:right w:val="single" w:sz="4" w:space="0" w:color="000000"/>
            </w:tcBorders>
          </w:tcPr>
          <w:p w14:paraId="7624F8D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Technique</w:t>
            </w:r>
          </w:p>
        </w:tc>
        <w:tc>
          <w:tcPr>
            <w:tcW w:w="2241" w:type="dxa"/>
            <w:tcBorders>
              <w:top w:val="single" w:sz="4" w:space="0" w:color="000000"/>
              <w:left w:val="single" w:sz="4" w:space="0" w:color="000000"/>
              <w:bottom w:val="single" w:sz="4" w:space="0" w:color="000000"/>
              <w:right w:val="single" w:sz="4" w:space="0" w:color="000000"/>
            </w:tcBorders>
          </w:tcPr>
          <w:p w14:paraId="036AEC2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 résultat consigné pour chaque exigence vérifiable du registre.</w:t>
            </w:r>
          </w:p>
        </w:tc>
        <w:tc>
          <w:tcPr>
            <w:tcW w:w="643" w:type="dxa"/>
            <w:tcBorders>
              <w:top w:val="single" w:sz="4" w:space="0" w:color="000000"/>
              <w:left w:val="single" w:sz="4" w:space="0" w:color="000000"/>
              <w:bottom w:val="single" w:sz="4" w:space="0" w:color="000000"/>
              <w:right w:val="single" w:sz="4" w:space="0" w:color="000000"/>
            </w:tcBorders>
          </w:tcPr>
          <w:p w14:paraId="37F1856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J4</w:t>
            </w:r>
          </w:p>
        </w:tc>
        <w:tc>
          <w:tcPr>
            <w:tcW w:w="1523" w:type="dxa"/>
            <w:tcBorders>
              <w:top w:val="single" w:sz="4" w:space="0" w:color="000000"/>
              <w:left w:val="single" w:sz="4" w:space="0" w:color="000000"/>
              <w:bottom w:val="single" w:sz="4" w:space="0" w:color="000000"/>
              <w:right w:val="single" w:sz="4" w:space="0" w:color="000000"/>
            </w:tcBorders>
          </w:tcPr>
          <w:p w14:paraId="4798A5D3" w14:textId="468FFB40"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r w:rsidR="00F50D70" w:rsidRPr="00BE4F47" w14:paraId="5555F80D" w14:textId="77777777">
        <w:trPr>
          <w:trHeight w:val="808"/>
        </w:trPr>
        <w:tc>
          <w:tcPr>
            <w:tcW w:w="532" w:type="dxa"/>
            <w:tcBorders>
              <w:top w:val="single" w:sz="4" w:space="0" w:color="000000"/>
              <w:left w:val="single" w:sz="4" w:space="0" w:color="000000"/>
              <w:bottom w:val="single" w:sz="4" w:space="0" w:color="000000"/>
              <w:right w:val="single" w:sz="4" w:space="0" w:color="000000"/>
            </w:tcBorders>
          </w:tcPr>
          <w:p w14:paraId="1A347C4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L07</w:t>
            </w:r>
          </w:p>
        </w:tc>
        <w:tc>
          <w:tcPr>
            <w:tcW w:w="2041" w:type="dxa"/>
            <w:tcBorders>
              <w:top w:val="single" w:sz="4" w:space="0" w:color="000000"/>
              <w:left w:val="single" w:sz="4" w:space="0" w:color="000000"/>
              <w:bottom w:val="single" w:sz="4" w:space="0" w:color="000000"/>
              <w:right w:val="single" w:sz="4" w:space="0" w:color="000000"/>
            </w:tcBorders>
          </w:tcPr>
          <w:p w14:paraId="6A8F92F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Plan de projet et documents de suivi</w:t>
            </w:r>
          </w:p>
        </w:tc>
        <w:tc>
          <w:tcPr>
            <w:tcW w:w="901" w:type="dxa"/>
            <w:tcBorders>
              <w:top w:val="single" w:sz="4" w:space="0" w:color="000000"/>
              <w:left w:val="single" w:sz="4" w:space="0" w:color="000000"/>
              <w:bottom w:val="single" w:sz="4" w:space="0" w:color="000000"/>
              <w:right w:val="single" w:sz="4" w:space="0" w:color="000000"/>
            </w:tcBorders>
          </w:tcPr>
          <w:p w14:paraId="2106074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Gestion</w:t>
            </w:r>
          </w:p>
        </w:tc>
        <w:tc>
          <w:tcPr>
            <w:tcW w:w="2241" w:type="dxa"/>
            <w:tcBorders>
              <w:top w:val="single" w:sz="4" w:space="0" w:color="000000"/>
              <w:left w:val="single" w:sz="4" w:space="0" w:color="000000"/>
              <w:bottom w:val="single" w:sz="4" w:space="0" w:color="000000"/>
              <w:right w:val="single" w:sz="4" w:space="0" w:color="000000"/>
            </w:tcBorders>
          </w:tcPr>
          <w:p w14:paraId="7F51870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Sections complétées, fusionnées et références consolidées.</w:t>
            </w:r>
          </w:p>
        </w:tc>
        <w:tc>
          <w:tcPr>
            <w:tcW w:w="643" w:type="dxa"/>
            <w:tcBorders>
              <w:top w:val="single" w:sz="4" w:space="0" w:color="000000"/>
              <w:left w:val="single" w:sz="4" w:space="0" w:color="000000"/>
              <w:bottom w:val="single" w:sz="4" w:space="0" w:color="000000"/>
              <w:right w:val="single" w:sz="4" w:space="0" w:color="000000"/>
            </w:tcBorders>
          </w:tcPr>
          <w:p w14:paraId="75B5204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J0, mis à jour à chaque jalon</w:t>
            </w:r>
          </w:p>
        </w:tc>
        <w:tc>
          <w:tcPr>
            <w:tcW w:w="1523" w:type="dxa"/>
            <w:tcBorders>
              <w:top w:val="single" w:sz="4" w:space="0" w:color="000000"/>
              <w:left w:val="single" w:sz="4" w:space="0" w:color="000000"/>
              <w:bottom w:val="single" w:sz="4" w:space="0" w:color="000000"/>
              <w:right w:val="single" w:sz="4" w:space="0" w:color="000000"/>
            </w:tcBorders>
          </w:tcPr>
          <w:p w14:paraId="40A35739" w14:textId="28921FBA" w:rsidR="00F50D70" w:rsidRPr="00BE4F47" w:rsidRDefault="005E5B35" w:rsidP="008E113B">
            <w:pPr>
              <w:spacing w:before="30" w:after="30" w:line="360" w:lineRule="auto"/>
              <w:ind w:left="0"/>
              <w:jc w:val="left"/>
              <w:outlineLvl w:val="9"/>
              <w:rPr>
                <w:rFonts w:ascii="Aptos" w:eastAsia="Calibri" w:hAnsi="Aptos" w:cs="Calibri"/>
                <w:color w:val="1A1A19"/>
                <w:sz w:val="20"/>
                <w:szCs w:val="20"/>
              </w:rPr>
            </w:pPr>
            <w:r>
              <w:rPr>
                <w:rFonts w:ascii="Aptos" w:eastAsia="Calibri" w:hAnsi="Aptos" w:cs="Calibri"/>
                <w:color w:val="1A1A19"/>
                <w:sz w:val="15"/>
                <w:szCs w:val="15"/>
              </w:rPr>
              <w:t>Christian et toute l’équipe</w:t>
            </w:r>
          </w:p>
        </w:tc>
      </w:tr>
      <w:tr w:rsidR="00F50D70" w:rsidRPr="00BE4F47" w14:paraId="43BACBA8"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5E19FC7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L08</w:t>
            </w:r>
          </w:p>
        </w:tc>
        <w:tc>
          <w:tcPr>
            <w:tcW w:w="2041" w:type="dxa"/>
            <w:tcBorders>
              <w:top w:val="single" w:sz="4" w:space="0" w:color="000000"/>
              <w:left w:val="single" w:sz="4" w:space="0" w:color="000000"/>
              <w:bottom w:val="single" w:sz="4" w:space="0" w:color="000000"/>
              <w:right w:val="single" w:sz="4" w:space="0" w:color="000000"/>
            </w:tcBorders>
          </w:tcPr>
          <w:p w14:paraId="25F730B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Rapport final et recommandation d’ingénierie</w:t>
            </w:r>
          </w:p>
        </w:tc>
        <w:tc>
          <w:tcPr>
            <w:tcW w:w="901" w:type="dxa"/>
            <w:tcBorders>
              <w:top w:val="single" w:sz="4" w:space="0" w:color="000000"/>
              <w:left w:val="single" w:sz="4" w:space="0" w:color="000000"/>
              <w:bottom w:val="single" w:sz="4" w:space="0" w:color="000000"/>
              <w:right w:val="single" w:sz="4" w:space="0" w:color="000000"/>
            </w:tcBorders>
          </w:tcPr>
          <w:p w14:paraId="1715451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Gestion</w:t>
            </w:r>
          </w:p>
        </w:tc>
        <w:tc>
          <w:tcPr>
            <w:tcW w:w="2241" w:type="dxa"/>
            <w:tcBorders>
              <w:top w:val="single" w:sz="4" w:space="0" w:color="000000"/>
              <w:left w:val="single" w:sz="4" w:space="0" w:color="000000"/>
              <w:bottom w:val="single" w:sz="4" w:space="0" w:color="000000"/>
              <w:right w:val="single" w:sz="4" w:space="0" w:color="000000"/>
            </w:tcBorders>
          </w:tcPr>
          <w:p w14:paraId="2607231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Limites documentées (EX-C-01) et enjeux traités (EX-C-03).</w:t>
            </w:r>
          </w:p>
        </w:tc>
        <w:tc>
          <w:tcPr>
            <w:tcW w:w="643" w:type="dxa"/>
            <w:tcBorders>
              <w:top w:val="single" w:sz="4" w:space="0" w:color="000000"/>
              <w:left w:val="single" w:sz="4" w:space="0" w:color="000000"/>
              <w:bottom w:val="single" w:sz="4" w:space="0" w:color="000000"/>
              <w:right w:val="single" w:sz="4" w:space="0" w:color="000000"/>
            </w:tcBorders>
          </w:tcPr>
          <w:p w14:paraId="7ADA36F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J5</w:t>
            </w:r>
          </w:p>
        </w:tc>
        <w:tc>
          <w:tcPr>
            <w:tcW w:w="1523" w:type="dxa"/>
            <w:tcBorders>
              <w:top w:val="single" w:sz="4" w:space="0" w:color="000000"/>
              <w:left w:val="single" w:sz="4" w:space="0" w:color="000000"/>
              <w:bottom w:val="single" w:sz="4" w:space="0" w:color="000000"/>
              <w:right w:val="single" w:sz="4" w:space="0" w:color="000000"/>
            </w:tcBorders>
          </w:tcPr>
          <w:p w14:paraId="207BAD79" w14:textId="08D7E110"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r w:rsidR="00F50D70" w:rsidRPr="00BE4F47" w14:paraId="64D0410A" w14:textId="77777777">
        <w:trPr>
          <w:trHeight w:val="431"/>
        </w:trPr>
        <w:tc>
          <w:tcPr>
            <w:tcW w:w="532" w:type="dxa"/>
            <w:tcBorders>
              <w:top w:val="single" w:sz="4" w:space="0" w:color="000000"/>
              <w:left w:val="single" w:sz="4" w:space="0" w:color="000000"/>
              <w:bottom w:val="single" w:sz="4" w:space="0" w:color="000000"/>
              <w:right w:val="single" w:sz="4" w:space="0" w:color="000000"/>
            </w:tcBorders>
          </w:tcPr>
          <w:p w14:paraId="7023B78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L09</w:t>
            </w:r>
          </w:p>
        </w:tc>
        <w:tc>
          <w:tcPr>
            <w:tcW w:w="2041" w:type="dxa"/>
            <w:tcBorders>
              <w:top w:val="single" w:sz="4" w:space="0" w:color="000000"/>
              <w:left w:val="single" w:sz="4" w:space="0" w:color="000000"/>
              <w:bottom w:val="single" w:sz="4" w:space="0" w:color="000000"/>
              <w:right w:val="single" w:sz="4" w:space="0" w:color="000000"/>
            </w:tcBorders>
          </w:tcPr>
          <w:p w14:paraId="2545C66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Présentation orale</w:t>
            </w:r>
          </w:p>
        </w:tc>
        <w:tc>
          <w:tcPr>
            <w:tcW w:w="901" w:type="dxa"/>
            <w:tcBorders>
              <w:top w:val="single" w:sz="4" w:space="0" w:color="000000"/>
              <w:left w:val="single" w:sz="4" w:space="0" w:color="000000"/>
              <w:bottom w:val="single" w:sz="4" w:space="0" w:color="000000"/>
              <w:right w:val="single" w:sz="4" w:space="0" w:color="000000"/>
            </w:tcBorders>
          </w:tcPr>
          <w:p w14:paraId="00D88AE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Gestion</w:t>
            </w:r>
          </w:p>
        </w:tc>
        <w:tc>
          <w:tcPr>
            <w:tcW w:w="2241" w:type="dxa"/>
            <w:tcBorders>
              <w:top w:val="single" w:sz="4" w:space="0" w:color="000000"/>
              <w:left w:val="single" w:sz="4" w:space="0" w:color="000000"/>
              <w:bottom w:val="single" w:sz="4" w:space="0" w:color="000000"/>
              <w:right w:val="single" w:sz="4" w:space="0" w:color="000000"/>
            </w:tcBorders>
          </w:tcPr>
          <w:p w14:paraId="0E565A1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Présentation répétée au moins une fois devant l’équipe complète.</w:t>
            </w:r>
          </w:p>
        </w:tc>
        <w:tc>
          <w:tcPr>
            <w:tcW w:w="643" w:type="dxa"/>
            <w:tcBorders>
              <w:top w:val="single" w:sz="4" w:space="0" w:color="000000"/>
              <w:left w:val="single" w:sz="4" w:space="0" w:color="000000"/>
              <w:bottom w:val="single" w:sz="4" w:space="0" w:color="000000"/>
              <w:right w:val="single" w:sz="4" w:space="0" w:color="000000"/>
            </w:tcBorders>
          </w:tcPr>
          <w:p w14:paraId="21CB4D2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J5</w:t>
            </w:r>
          </w:p>
        </w:tc>
        <w:tc>
          <w:tcPr>
            <w:tcW w:w="1523" w:type="dxa"/>
            <w:tcBorders>
              <w:top w:val="single" w:sz="4" w:space="0" w:color="000000"/>
              <w:left w:val="single" w:sz="4" w:space="0" w:color="000000"/>
              <w:bottom w:val="single" w:sz="4" w:space="0" w:color="000000"/>
              <w:right w:val="single" w:sz="4" w:space="0" w:color="000000"/>
            </w:tcBorders>
          </w:tcPr>
          <w:p w14:paraId="0F5C5908" w14:textId="5CE1E905"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bl>
    <w:p w14:paraId="245BF683" w14:textId="77777777" w:rsidR="00F50D70" w:rsidRPr="00BE4F47" w:rsidRDefault="00F50D70" w:rsidP="008E113B">
      <w:pPr>
        <w:spacing w:line="360" w:lineRule="auto"/>
        <w:rPr>
          <w:rFonts w:ascii="Aptos" w:hAnsi="Aptos"/>
        </w:rPr>
      </w:pPr>
    </w:p>
    <w:p w14:paraId="770CC186" w14:textId="77777777" w:rsidR="00F50D70" w:rsidRPr="00BE4F47" w:rsidRDefault="00000000" w:rsidP="008E113B">
      <w:pPr>
        <w:pStyle w:val="Titre2"/>
        <w:spacing w:line="360" w:lineRule="auto"/>
        <w:rPr>
          <w:rFonts w:ascii="Aptos" w:hAnsi="Aptos"/>
        </w:rPr>
      </w:pPr>
      <w:r w:rsidRPr="00BE4F47">
        <w:rPr>
          <w:rFonts w:ascii="Aptos" w:hAnsi="Aptos"/>
        </w:rPr>
        <w:t>Domaine de validité et contraintes</w:t>
      </w:r>
    </w:p>
    <w:p w14:paraId="3F692BE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 xml:space="preserve">Un livrable ne peut être accepté ou refusé que si l’on sait dans quelles conditions il est censé fonctionner. Le domaine de validité ci-dessous encadre tous les livrables du tableau précédent. </w:t>
      </w:r>
      <w:r w:rsidRPr="00BE4F47">
        <w:rPr>
          <w:rFonts w:ascii="Aptos" w:eastAsia="Calibri" w:hAnsi="Aptos" w:cs="Calibri"/>
          <w:color w:val="1A1A19"/>
          <w:sz w:val="20"/>
          <w:szCs w:val="20"/>
        </w:rPr>
        <w:lastRenderedPageBreak/>
        <w:t>Hors de ce domaine, les résultats du prototype ne sont pas valides et ne doivent pas être employés.</w:t>
      </w:r>
    </w:p>
    <w:p w14:paraId="40C58732" w14:textId="77777777" w:rsidR="00F50D70" w:rsidRPr="00BE4F47" w:rsidRDefault="00000000" w:rsidP="008E113B">
      <w:pPr>
        <w:pStyle w:val="Lgende"/>
        <w:spacing w:line="360" w:lineRule="auto"/>
        <w:rPr>
          <w:rFonts w:ascii="Aptos" w:hAnsi="Aptos"/>
        </w:rPr>
      </w:pPr>
      <w:r w:rsidRPr="00BE4F47">
        <w:rPr>
          <w:rFonts w:ascii="Aptos" w:hAnsi="Aptos"/>
        </w:rPr>
        <w:t>Tableau 2-2. Domaine de validité des livrables</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700"/>
        <w:gridCol w:w="4200"/>
        <w:gridCol w:w="2657"/>
      </w:tblGrid>
      <w:tr w:rsidR="00F50D70" w:rsidRPr="00BE4F47" w14:paraId="02ABE9F6" w14:textId="77777777" w:rsidTr="0036725C">
        <w:trPr>
          <w:trHeight w:val="227"/>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4E059E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Dimension</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DE71EA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Domaine dans lequel les livrables sont valides</w:t>
            </w:r>
          </w:p>
        </w:tc>
        <w:tc>
          <w:tcPr>
            <w:tcW w:w="26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690F8F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Hors domaine</w:t>
            </w:r>
          </w:p>
        </w:tc>
      </w:tr>
      <w:tr w:rsidR="00F50D70" w:rsidRPr="00BE4F47" w14:paraId="29D59AFF"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183B27C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Système représenté</w:t>
            </w:r>
          </w:p>
        </w:tc>
        <w:tc>
          <w:tcPr>
            <w:tcW w:w="4200" w:type="dxa"/>
            <w:tcBorders>
              <w:top w:val="single" w:sz="4" w:space="0" w:color="000000"/>
              <w:left w:val="single" w:sz="4" w:space="0" w:color="000000"/>
              <w:bottom w:val="single" w:sz="4" w:space="0" w:color="000000"/>
              <w:right w:val="single" w:sz="4" w:space="0" w:color="000000"/>
            </w:tcBorders>
          </w:tcPr>
          <w:p w14:paraId="3071097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Boucle thermohydraulique simplifiée, en circuit fermé, monophasique, inspirée d’un système de refroidissement.</w:t>
            </w:r>
          </w:p>
        </w:tc>
        <w:tc>
          <w:tcPr>
            <w:tcW w:w="2657" w:type="dxa"/>
            <w:tcBorders>
              <w:top w:val="single" w:sz="4" w:space="0" w:color="000000"/>
              <w:left w:val="single" w:sz="4" w:space="0" w:color="000000"/>
              <w:bottom w:val="single" w:sz="4" w:space="0" w:color="000000"/>
              <w:right w:val="single" w:sz="4" w:space="0" w:color="000000"/>
            </w:tcBorders>
          </w:tcPr>
          <w:p w14:paraId="7B849F0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Écoulement diphasique, circuit ouvert, géométrie complète d’une centrale.</w:t>
            </w:r>
          </w:p>
        </w:tc>
      </w:tr>
      <w:tr w:rsidR="00F50D70" w:rsidRPr="00BE4F47" w14:paraId="56D4E60F"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02A7FF2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Modélisation</w:t>
            </w:r>
          </w:p>
        </w:tc>
        <w:tc>
          <w:tcPr>
            <w:tcW w:w="4200" w:type="dxa"/>
            <w:tcBorders>
              <w:top w:val="single" w:sz="4" w:space="0" w:color="000000"/>
              <w:left w:val="single" w:sz="4" w:space="0" w:color="000000"/>
              <w:bottom w:val="single" w:sz="4" w:space="0" w:color="000000"/>
              <w:right w:val="single" w:sz="4" w:space="0" w:color="000000"/>
            </w:tcBorders>
          </w:tcPr>
          <w:p w14:paraId="01F559B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Approche 0D et 1D à paramètres concentrés.</w:t>
            </w:r>
          </w:p>
        </w:tc>
        <w:tc>
          <w:tcPr>
            <w:tcW w:w="2657" w:type="dxa"/>
            <w:tcBorders>
              <w:top w:val="single" w:sz="4" w:space="0" w:color="000000"/>
              <w:left w:val="single" w:sz="4" w:space="0" w:color="000000"/>
              <w:bottom w:val="single" w:sz="4" w:space="0" w:color="000000"/>
              <w:right w:val="single" w:sz="4" w:space="0" w:color="000000"/>
            </w:tcBorders>
          </w:tcPr>
          <w:p w14:paraId="3C7E5D7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Champs tridimensionnels, mécanique des fluides numérique détaillée.</w:t>
            </w:r>
          </w:p>
        </w:tc>
      </w:tr>
      <w:tr w:rsidR="00F50D70" w:rsidRPr="00BE4F47" w14:paraId="54A43894"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08AB05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Variables suivies</w:t>
            </w:r>
          </w:p>
        </w:tc>
        <w:tc>
          <w:tcPr>
            <w:tcW w:w="4200" w:type="dxa"/>
            <w:tcBorders>
              <w:top w:val="single" w:sz="4" w:space="0" w:color="000000"/>
              <w:left w:val="single" w:sz="4" w:space="0" w:color="000000"/>
              <w:bottom w:val="single" w:sz="4" w:space="0" w:color="000000"/>
              <w:right w:val="single" w:sz="4" w:space="0" w:color="000000"/>
            </w:tcBorders>
          </w:tcPr>
          <w:p w14:paraId="239C63E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Température, pression et débit.</w:t>
            </w:r>
          </w:p>
        </w:tc>
        <w:tc>
          <w:tcPr>
            <w:tcW w:w="2657" w:type="dxa"/>
            <w:tcBorders>
              <w:top w:val="single" w:sz="4" w:space="0" w:color="000000"/>
              <w:left w:val="single" w:sz="4" w:space="0" w:color="000000"/>
              <w:bottom w:val="single" w:sz="4" w:space="0" w:color="000000"/>
              <w:right w:val="single" w:sz="4" w:space="0" w:color="000000"/>
            </w:tcBorders>
          </w:tcPr>
          <w:p w14:paraId="41B194B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autre grandeur, notamment la radioactivité et les grandeurs neutroniques.</w:t>
            </w:r>
          </w:p>
        </w:tc>
      </w:tr>
      <w:tr w:rsidR="00F50D70" w:rsidRPr="00BE4F47" w14:paraId="6858782B"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3B1B73C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Données</w:t>
            </w:r>
          </w:p>
        </w:tc>
        <w:tc>
          <w:tcPr>
            <w:tcW w:w="4200" w:type="dxa"/>
            <w:tcBorders>
              <w:top w:val="single" w:sz="4" w:space="0" w:color="000000"/>
              <w:left w:val="single" w:sz="4" w:space="0" w:color="000000"/>
              <w:bottom w:val="single" w:sz="4" w:space="0" w:color="000000"/>
              <w:right w:val="single" w:sz="4" w:space="0" w:color="000000"/>
            </w:tcBorders>
          </w:tcPr>
          <w:p w14:paraId="2734CC3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Données synthétiques produites par le modèle, puis bruitées et dégradées de façon contrôlée.</w:t>
            </w:r>
          </w:p>
        </w:tc>
        <w:tc>
          <w:tcPr>
            <w:tcW w:w="2657" w:type="dxa"/>
            <w:tcBorders>
              <w:top w:val="single" w:sz="4" w:space="0" w:color="000000"/>
              <w:left w:val="single" w:sz="4" w:space="0" w:color="000000"/>
              <w:bottom w:val="single" w:sz="4" w:space="0" w:color="000000"/>
              <w:right w:val="single" w:sz="4" w:space="0" w:color="000000"/>
            </w:tcBorders>
          </w:tcPr>
          <w:p w14:paraId="2F8A512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Données d’exploitation d’une installation réelle.</w:t>
            </w:r>
          </w:p>
        </w:tc>
      </w:tr>
      <w:tr w:rsidR="00F50D70" w:rsidRPr="00BE4F47" w14:paraId="25A88E70"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2507078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Référence de comparaison</w:t>
            </w:r>
          </w:p>
        </w:tc>
        <w:tc>
          <w:tcPr>
            <w:tcW w:w="4200" w:type="dxa"/>
            <w:tcBorders>
              <w:top w:val="single" w:sz="4" w:space="0" w:color="000000"/>
              <w:left w:val="single" w:sz="4" w:space="0" w:color="000000"/>
              <w:bottom w:val="single" w:sz="4" w:space="0" w:color="000000"/>
              <w:right w:val="single" w:sz="4" w:space="0" w:color="000000"/>
            </w:tcBorders>
          </w:tcPr>
          <w:p w14:paraId="19B7995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Second modèle numérique de fidélité supérieure, développé indépendamment.</w:t>
            </w:r>
          </w:p>
        </w:tc>
        <w:tc>
          <w:tcPr>
            <w:tcW w:w="2657" w:type="dxa"/>
            <w:tcBorders>
              <w:top w:val="single" w:sz="4" w:space="0" w:color="000000"/>
              <w:left w:val="single" w:sz="4" w:space="0" w:color="000000"/>
              <w:bottom w:val="single" w:sz="4" w:space="0" w:color="000000"/>
              <w:right w:val="single" w:sz="4" w:space="0" w:color="000000"/>
            </w:tcBorders>
          </w:tcPr>
          <w:p w14:paraId="338237E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Banc d’essai physique instrumenté.</w:t>
            </w:r>
          </w:p>
        </w:tc>
      </w:tr>
      <w:tr w:rsidR="00F50D70" w:rsidRPr="00BE4F47" w14:paraId="2D26281A"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E6D248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Emploi</w:t>
            </w:r>
          </w:p>
        </w:tc>
        <w:tc>
          <w:tcPr>
            <w:tcW w:w="4200" w:type="dxa"/>
            <w:tcBorders>
              <w:top w:val="single" w:sz="4" w:space="0" w:color="000000"/>
              <w:left w:val="single" w:sz="4" w:space="0" w:color="000000"/>
              <w:bottom w:val="single" w:sz="4" w:space="0" w:color="000000"/>
              <w:right w:val="single" w:sz="4" w:space="0" w:color="000000"/>
            </w:tcBorders>
          </w:tcPr>
          <w:p w14:paraId="4C1EE73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Aide à la décision hors ligne, avec validation humaine obligatoire.</w:t>
            </w:r>
          </w:p>
        </w:tc>
        <w:tc>
          <w:tcPr>
            <w:tcW w:w="2657" w:type="dxa"/>
            <w:tcBorders>
              <w:top w:val="single" w:sz="4" w:space="0" w:color="000000"/>
              <w:left w:val="single" w:sz="4" w:space="0" w:color="000000"/>
              <w:bottom w:val="single" w:sz="4" w:space="0" w:color="000000"/>
              <w:right w:val="single" w:sz="4" w:space="0" w:color="000000"/>
            </w:tcBorders>
          </w:tcPr>
          <w:p w14:paraId="589A291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Conduite en temps réel, commande automatique, raccordement à un équipement réel.</w:t>
            </w:r>
          </w:p>
        </w:tc>
      </w:tr>
      <w:tr w:rsidR="00F50D70" w:rsidRPr="00BE4F47" w14:paraId="167E1F04"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2BDD266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Scénarios couverts</w:t>
            </w:r>
          </w:p>
        </w:tc>
        <w:tc>
          <w:tcPr>
            <w:tcW w:w="4200" w:type="dxa"/>
            <w:tcBorders>
              <w:top w:val="single" w:sz="4" w:space="0" w:color="000000"/>
              <w:left w:val="single" w:sz="4" w:space="0" w:color="000000"/>
              <w:bottom w:val="single" w:sz="4" w:space="0" w:color="000000"/>
              <w:right w:val="single" w:sz="4" w:space="0" w:color="000000"/>
            </w:tcBorders>
          </w:tcPr>
          <w:p w14:paraId="5E16A5F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scénarios listés à l’exigence EX-F-02, plus les cas de données manquantes.</w:t>
            </w:r>
          </w:p>
        </w:tc>
        <w:tc>
          <w:tcPr>
            <w:tcW w:w="2657" w:type="dxa"/>
            <w:tcBorders>
              <w:top w:val="single" w:sz="4" w:space="0" w:color="000000"/>
              <w:left w:val="single" w:sz="4" w:space="0" w:color="000000"/>
              <w:bottom w:val="single" w:sz="4" w:space="0" w:color="000000"/>
              <w:right w:val="single" w:sz="4" w:space="0" w:color="000000"/>
            </w:tcBorders>
          </w:tcPr>
          <w:p w14:paraId="25E9D43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 scénario non listé, en particulier les transitoires accidentels.</w:t>
            </w:r>
          </w:p>
        </w:tc>
      </w:tr>
    </w:tbl>
    <w:p w14:paraId="7F788D4E"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Ce domaine est repris dans la recommandation d’ingénierie du livrable L08 et conditionne l’acceptation de l’ensemble. Il répond à l’exigence EX-C-01 et au risque RT4. L’énoncer est une obligation professionnelle : livrer un outil sans dire où il cesse d’être valide reviendrait à en laisser l’usage se décider sans information.</w:t>
      </w:r>
    </w:p>
    <w:p w14:paraId="4ED1D3A9" w14:textId="77777777" w:rsidR="00F50D70" w:rsidRPr="00136F18" w:rsidRDefault="00000000" w:rsidP="008E113B">
      <w:pPr>
        <w:pStyle w:val="Titre2"/>
        <w:spacing w:line="360" w:lineRule="auto"/>
      </w:pPr>
      <w:bookmarkStart w:id="18" w:name="__RefHeading___Toc240715115"/>
      <w:bookmarkEnd w:id="18"/>
      <w:r w:rsidRPr="00136F18">
        <w:t>Exclusions</w:t>
      </w:r>
    </w:p>
    <w:p w14:paraId="62B1CAA4"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Ne font pas partie des livrables : la reproduction complète de Gentilly-2, un système destiné à être installé sur une centrale nucléaire réelle, la connexion à des équipements réels, et la commande automatique de l’installation. Ces exclusions correspondent aux exigences de périmètre EX-C-02 et au périmètre défini en 1.5.</w:t>
      </w:r>
    </w:p>
    <w:p w14:paraId="59B7E405" w14:textId="77777777" w:rsidR="00F50D70" w:rsidRPr="00136F18" w:rsidRDefault="00000000" w:rsidP="008E113B">
      <w:pPr>
        <w:pStyle w:val="Titre1"/>
        <w:spacing w:line="360" w:lineRule="auto"/>
      </w:pPr>
      <w:bookmarkStart w:id="19" w:name="__RefHeading___Toc240715117"/>
      <w:r w:rsidRPr="00136F18">
        <w:lastRenderedPageBreak/>
        <w:t>Description de l’équipe</w:t>
      </w:r>
      <w:bookmarkEnd w:id="19"/>
      <w:r w:rsidRPr="00136F18">
        <w:t xml:space="preserve"> </w:t>
      </w:r>
    </w:p>
    <w:p w14:paraId="7EB389FA" w14:textId="189CAF01" w:rsidR="00F50D70" w:rsidRPr="00BE4F47" w:rsidRDefault="005E5B35" w:rsidP="008E113B">
      <w:pPr>
        <w:spacing w:after="130" w:line="360" w:lineRule="auto"/>
        <w:ind w:left="360"/>
        <w:rPr>
          <w:rFonts w:ascii="Aptos" w:hAnsi="Aptos"/>
        </w:rPr>
      </w:pPr>
      <w:r w:rsidRPr="005E5B35">
        <w:rPr>
          <w:rFonts w:ascii="Aptos" w:eastAsia="Calibri" w:hAnsi="Aptos" w:cs="Calibri"/>
          <w:color w:val="1A1A19"/>
          <w:sz w:val="20"/>
          <w:szCs w:val="20"/>
        </w:rPr>
        <w:t>Le travail est réparti entre les huit membres du groupe. Chaque personne prend en charge un volet précis de la planification en fonction de ses points forts, assurant ainsi une couverture complète des exigences du projet.</w:t>
      </w:r>
    </w:p>
    <w:p w14:paraId="48C126D1" w14:textId="6DB01628" w:rsidR="00F50D70" w:rsidRDefault="00000000" w:rsidP="008E113B">
      <w:pPr>
        <w:pStyle w:val="Titre2"/>
        <w:numPr>
          <w:ilvl w:val="0"/>
          <w:numId w:val="13"/>
        </w:numPr>
        <w:spacing w:line="360" w:lineRule="auto"/>
        <w:rPr>
          <w:rFonts w:ascii="Aptos" w:hAnsi="Aptos"/>
        </w:rPr>
      </w:pPr>
      <w:bookmarkStart w:id="20" w:name="__RefHeading___Toc240715118"/>
      <w:bookmarkEnd w:id="20"/>
      <w:r w:rsidRPr="00BE4F47">
        <w:rPr>
          <w:rFonts w:ascii="Aptos" w:hAnsi="Aptos"/>
        </w:rPr>
        <w:t>Composition de l’équipe</w:t>
      </w:r>
      <w:r w:rsidR="005E5B35">
        <w:rPr>
          <w:rFonts w:ascii="Aptos" w:hAnsi="Aptos"/>
        </w:rPr>
        <w:t xml:space="preserve"> et d</w:t>
      </w:r>
      <w:r w:rsidR="005E5B35" w:rsidRPr="005E5B35">
        <w:rPr>
          <w:rFonts w:ascii="Aptos" w:hAnsi="Aptos"/>
        </w:rPr>
        <w:t>escription des compétences de chaque membre</w:t>
      </w:r>
    </w:p>
    <w:p w14:paraId="2F308D16" w14:textId="77777777" w:rsidR="008E113B" w:rsidRPr="008E113B" w:rsidRDefault="008E113B" w:rsidP="008E113B">
      <w:pPr>
        <w:spacing w:line="360" w:lineRule="auto"/>
        <w:ind w:left="360"/>
        <w:rPr>
          <w:rFonts w:ascii="Aptos" w:eastAsia="Calibri" w:hAnsi="Aptos" w:cs="Calibri"/>
          <w:b/>
          <w:bCs/>
          <w:color w:val="1A1A19"/>
          <w:sz w:val="20"/>
          <w:szCs w:val="20"/>
        </w:rPr>
      </w:pPr>
      <w:r w:rsidRPr="008E113B">
        <w:rPr>
          <w:rFonts w:ascii="Aptos" w:eastAsia="Calibri" w:hAnsi="Aptos" w:cs="Calibri"/>
          <w:b/>
          <w:bCs/>
          <w:color w:val="1A1A19"/>
          <w:sz w:val="20"/>
          <w:szCs w:val="20"/>
        </w:rPr>
        <w:t>Christian</w:t>
      </w:r>
    </w:p>
    <w:p w14:paraId="74A15AC8" w14:textId="77777777" w:rsidR="008E113B" w:rsidRDefault="008E113B" w:rsidP="008E113B">
      <w:pPr>
        <w:spacing w:line="360" w:lineRule="auto"/>
        <w:ind w:left="360"/>
        <w:rPr>
          <w:rFonts w:ascii="Aptos" w:eastAsia="Calibri" w:hAnsi="Aptos" w:cs="Calibri"/>
          <w:color w:val="1A1A19"/>
          <w:sz w:val="20"/>
          <w:szCs w:val="20"/>
        </w:rPr>
      </w:pPr>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agit comme coordonnateur général de l'équipe et prend en charge la structure globale, les ressources, l'échéancier, le contrôle des versions et les références. Ses compétences reposent sur la coordination et l'animation d'équipe, la planification des calendriers de travail, l'estimation des besoins en ressources, la maîtrise des outils de versionnement de fichiers, ainsi que la recherche et la validation des références documentaires.</w:t>
      </w:r>
    </w:p>
    <w:p w14:paraId="08770BC7" w14:textId="77777777" w:rsidR="008E113B" w:rsidRPr="008E113B" w:rsidRDefault="008E113B" w:rsidP="008E113B">
      <w:pPr>
        <w:spacing w:line="360" w:lineRule="auto"/>
        <w:ind w:left="360"/>
        <w:rPr>
          <w:rFonts w:ascii="Aptos" w:eastAsia="Calibri" w:hAnsi="Aptos" w:cs="Calibri"/>
          <w:color w:val="1A1A19"/>
          <w:sz w:val="20"/>
          <w:szCs w:val="20"/>
        </w:rPr>
      </w:pPr>
    </w:p>
    <w:p w14:paraId="6D24AA08" w14:textId="77777777" w:rsidR="008E113B" w:rsidRPr="008E113B" w:rsidRDefault="008E113B" w:rsidP="008E113B">
      <w:pPr>
        <w:spacing w:line="360" w:lineRule="auto"/>
        <w:ind w:left="360"/>
        <w:rPr>
          <w:rFonts w:ascii="Aptos" w:eastAsia="Calibri" w:hAnsi="Aptos" w:cs="Calibri"/>
          <w:b/>
          <w:bCs/>
          <w:color w:val="1A1A19"/>
          <w:sz w:val="20"/>
          <w:szCs w:val="20"/>
        </w:rPr>
      </w:pPr>
      <w:r w:rsidRPr="008E113B">
        <w:rPr>
          <w:rFonts w:ascii="Aptos" w:eastAsia="Calibri" w:hAnsi="Aptos" w:cs="Calibri"/>
          <w:b/>
          <w:bCs/>
          <w:color w:val="1A1A19"/>
          <w:sz w:val="20"/>
          <w:szCs w:val="20"/>
        </w:rPr>
        <w:t>Abdramane</w:t>
      </w:r>
    </w:p>
    <w:p w14:paraId="329BED04" w14:textId="77777777" w:rsidR="008E113B" w:rsidRDefault="008E113B" w:rsidP="008E113B">
      <w:pPr>
        <w:spacing w:line="360" w:lineRule="auto"/>
        <w:ind w:left="360"/>
        <w:rPr>
          <w:rFonts w:ascii="Aptos" w:eastAsia="Calibri" w:hAnsi="Aptos" w:cs="Calibri"/>
          <w:color w:val="1A1A19"/>
          <w:sz w:val="20"/>
          <w:szCs w:val="20"/>
        </w:rPr>
      </w:pPr>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assume le rôle de responsable de la description organisationnelle de l'équipe et de co-rédacteur de l'état de l'art. Il met à profit ses compétences en rédaction technique, en analyse documentaire, son esprit de synthèse ainsi que ses aptitudes en organisation et structuration des rôles.</w:t>
      </w:r>
    </w:p>
    <w:p w14:paraId="07F3FF9A" w14:textId="77777777" w:rsidR="008E113B" w:rsidRPr="008E113B" w:rsidRDefault="008E113B" w:rsidP="008E113B">
      <w:pPr>
        <w:spacing w:line="360" w:lineRule="auto"/>
        <w:ind w:left="360"/>
        <w:rPr>
          <w:rFonts w:ascii="Aptos" w:eastAsia="Calibri" w:hAnsi="Aptos" w:cs="Calibri"/>
          <w:color w:val="1A1A19"/>
          <w:sz w:val="20"/>
          <w:szCs w:val="20"/>
        </w:rPr>
      </w:pPr>
    </w:p>
    <w:p w14:paraId="22E092E3" w14:textId="77777777" w:rsidR="008E113B" w:rsidRPr="008E113B" w:rsidRDefault="008E113B" w:rsidP="008E113B">
      <w:pPr>
        <w:spacing w:line="360" w:lineRule="auto"/>
        <w:ind w:left="360"/>
        <w:rPr>
          <w:rFonts w:ascii="Aptos" w:eastAsia="Calibri" w:hAnsi="Aptos" w:cs="Calibri"/>
          <w:b/>
          <w:bCs/>
          <w:color w:val="1A1A19"/>
          <w:sz w:val="20"/>
          <w:szCs w:val="20"/>
        </w:rPr>
      </w:pPr>
      <w:r w:rsidRPr="008E113B">
        <w:rPr>
          <w:rFonts w:ascii="Aptos" w:eastAsia="Calibri" w:hAnsi="Aptos" w:cs="Calibri"/>
          <w:b/>
          <w:bCs/>
          <w:color w:val="1A1A19"/>
          <w:sz w:val="20"/>
          <w:szCs w:val="20"/>
        </w:rPr>
        <w:t>Ibrahima</w:t>
      </w:r>
    </w:p>
    <w:p w14:paraId="1C6FDF8A" w14:textId="77777777" w:rsidR="008E113B" w:rsidRDefault="008E113B" w:rsidP="008E113B">
      <w:pPr>
        <w:spacing w:line="360" w:lineRule="auto"/>
        <w:ind w:left="360"/>
        <w:rPr>
          <w:rFonts w:ascii="Aptos" w:eastAsia="Calibri" w:hAnsi="Aptos" w:cs="Calibri"/>
          <w:color w:val="1A1A19"/>
          <w:sz w:val="20"/>
          <w:szCs w:val="20"/>
        </w:rPr>
      </w:pPr>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est le responsable du cadrage des besoins et de la définition des livrables. Ses compétences s'articulent autour de l'écoute et de l'analyse des exigences des utilisateurs, de la formalisation des besoins fonctionnels et d'une grande rigueur dans la spécification des résultats attendus.</w:t>
      </w:r>
    </w:p>
    <w:p w14:paraId="6B53EDB2" w14:textId="77777777" w:rsidR="008E113B" w:rsidRPr="008E113B" w:rsidRDefault="008E113B" w:rsidP="008E113B">
      <w:pPr>
        <w:spacing w:line="360" w:lineRule="auto"/>
        <w:ind w:left="360"/>
        <w:rPr>
          <w:rFonts w:ascii="Aptos" w:eastAsia="Calibri" w:hAnsi="Aptos" w:cs="Calibri"/>
          <w:color w:val="1A1A19"/>
          <w:sz w:val="20"/>
          <w:szCs w:val="20"/>
        </w:rPr>
      </w:pPr>
    </w:p>
    <w:p w14:paraId="0ADF7924" w14:textId="77777777" w:rsidR="008E113B" w:rsidRPr="008E113B" w:rsidRDefault="008E113B" w:rsidP="008E113B">
      <w:pPr>
        <w:spacing w:line="360" w:lineRule="auto"/>
        <w:ind w:left="360"/>
        <w:rPr>
          <w:rFonts w:ascii="Aptos" w:eastAsia="Calibri" w:hAnsi="Aptos" w:cs="Calibri"/>
          <w:b/>
          <w:bCs/>
          <w:color w:val="1A1A19"/>
          <w:sz w:val="20"/>
          <w:szCs w:val="20"/>
        </w:rPr>
      </w:pPr>
      <w:r w:rsidRPr="008E113B">
        <w:rPr>
          <w:rFonts w:ascii="Aptos" w:eastAsia="Calibri" w:hAnsi="Aptos" w:cs="Calibri"/>
          <w:b/>
          <w:bCs/>
          <w:color w:val="1A1A19"/>
          <w:sz w:val="20"/>
          <w:szCs w:val="20"/>
        </w:rPr>
        <w:t>Rayane</w:t>
      </w:r>
    </w:p>
    <w:p w14:paraId="3A3722E9" w14:textId="77777777" w:rsidR="008E113B" w:rsidRDefault="008E113B" w:rsidP="008E113B">
      <w:pPr>
        <w:spacing w:line="360" w:lineRule="auto"/>
        <w:ind w:left="360"/>
        <w:rPr>
          <w:rFonts w:ascii="Aptos" w:eastAsia="Calibri" w:hAnsi="Aptos" w:cs="Calibri"/>
          <w:color w:val="1A1A19"/>
          <w:sz w:val="20"/>
          <w:szCs w:val="20"/>
        </w:rPr>
      </w:pPr>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intervient comme responsable de la recherche et de la veille technologique pour l'état de l'art. Il s'appuie sur de solides compétences en recherche bibliographique, en analyse comparative des solutions existantes sur le marché et sur son esprit critique.</w:t>
      </w:r>
    </w:p>
    <w:p w14:paraId="66601109" w14:textId="77777777" w:rsidR="008E113B" w:rsidRDefault="008E113B" w:rsidP="008E113B">
      <w:pPr>
        <w:spacing w:line="360" w:lineRule="auto"/>
        <w:ind w:left="360"/>
        <w:rPr>
          <w:rFonts w:ascii="Aptos" w:eastAsia="Calibri" w:hAnsi="Aptos" w:cs="Calibri"/>
          <w:color w:val="1A1A19"/>
          <w:sz w:val="20"/>
          <w:szCs w:val="20"/>
        </w:rPr>
      </w:pPr>
    </w:p>
    <w:p w14:paraId="0C24118A" w14:textId="77777777" w:rsidR="008E113B" w:rsidRPr="008E113B" w:rsidRDefault="008E113B" w:rsidP="008E113B">
      <w:pPr>
        <w:spacing w:line="360" w:lineRule="auto"/>
        <w:ind w:left="360"/>
        <w:rPr>
          <w:rFonts w:ascii="Aptos" w:eastAsia="Calibri" w:hAnsi="Aptos" w:cs="Calibri"/>
          <w:color w:val="1A1A19"/>
          <w:sz w:val="20"/>
          <w:szCs w:val="20"/>
        </w:rPr>
      </w:pPr>
    </w:p>
    <w:p w14:paraId="70430D66" w14:textId="77777777" w:rsidR="008E113B" w:rsidRPr="008E113B" w:rsidRDefault="008E113B" w:rsidP="008E113B">
      <w:pPr>
        <w:spacing w:line="360" w:lineRule="auto"/>
        <w:ind w:left="360"/>
        <w:rPr>
          <w:rFonts w:ascii="Aptos" w:eastAsia="Calibri" w:hAnsi="Aptos" w:cs="Calibri"/>
          <w:b/>
          <w:bCs/>
          <w:color w:val="1A1A19"/>
          <w:sz w:val="20"/>
          <w:szCs w:val="20"/>
        </w:rPr>
      </w:pPr>
      <w:r w:rsidRPr="008E113B">
        <w:rPr>
          <w:rFonts w:ascii="Aptos" w:eastAsia="Calibri" w:hAnsi="Aptos" w:cs="Calibri"/>
          <w:b/>
          <w:bCs/>
          <w:color w:val="1A1A19"/>
          <w:sz w:val="20"/>
          <w:szCs w:val="20"/>
        </w:rPr>
        <w:t>Raouf</w:t>
      </w:r>
    </w:p>
    <w:p w14:paraId="5765EA34" w14:textId="77777777" w:rsidR="008E113B" w:rsidRDefault="008E113B" w:rsidP="008E113B">
      <w:pPr>
        <w:spacing w:line="360" w:lineRule="auto"/>
        <w:ind w:left="360"/>
        <w:rPr>
          <w:rFonts w:ascii="Aptos" w:eastAsia="Calibri" w:hAnsi="Aptos" w:cs="Calibri"/>
          <w:color w:val="1A1A19"/>
          <w:sz w:val="20"/>
          <w:szCs w:val="20"/>
        </w:rPr>
      </w:pPr>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est responsable du volet réglementaire et des standards du projet. Il mobilise ses compétences dans la recherche et l'interprétation des normes industrielles, la rigueur d'analyse des critères de conformité et le contrôle de la qualité.</w:t>
      </w:r>
    </w:p>
    <w:p w14:paraId="43B0DB06" w14:textId="77777777" w:rsidR="008E113B" w:rsidRPr="008E113B" w:rsidRDefault="008E113B" w:rsidP="008E113B">
      <w:pPr>
        <w:spacing w:line="360" w:lineRule="auto"/>
        <w:ind w:left="360"/>
        <w:rPr>
          <w:rFonts w:ascii="Aptos" w:eastAsia="Calibri" w:hAnsi="Aptos" w:cs="Calibri"/>
          <w:color w:val="1A1A19"/>
          <w:sz w:val="20"/>
          <w:szCs w:val="20"/>
        </w:rPr>
      </w:pPr>
    </w:p>
    <w:p w14:paraId="7BD6B94F" w14:textId="77777777" w:rsidR="008E113B" w:rsidRPr="008E113B" w:rsidRDefault="008E113B" w:rsidP="008E113B">
      <w:pPr>
        <w:spacing w:line="360" w:lineRule="auto"/>
        <w:ind w:left="360"/>
        <w:rPr>
          <w:rFonts w:ascii="Aptos" w:eastAsia="Calibri" w:hAnsi="Aptos" w:cs="Calibri"/>
          <w:b/>
          <w:bCs/>
          <w:color w:val="1A1A19"/>
          <w:sz w:val="20"/>
          <w:szCs w:val="20"/>
        </w:rPr>
      </w:pPr>
      <w:r w:rsidRPr="008E113B">
        <w:rPr>
          <w:rFonts w:ascii="Aptos" w:eastAsia="Calibri" w:hAnsi="Aptos" w:cs="Calibri"/>
          <w:b/>
          <w:bCs/>
          <w:color w:val="1A1A19"/>
          <w:sz w:val="20"/>
          <w:szCs w:val="20"/>
        </w:rPr>
        <w:t>Wilson</w:t>
      </w:r>
    </w:p>
    <w:p w14:paraId="77900588" w14:textId="77777777" w:rsidR="008E113B" w:rsidRDefault="008E113B" w:rsidP="008E113B">
      <w:pPr>
        <w:spacing w:line="360" w:lineRule="auto"/>
        <w:ind w:left="360"/>
        <w:rPr>
          <w:rFonts w:ascii="Aptos" w:eastAsia="Calibri" w:hAnsi="Aptos" w:cs="Calibri"/>
          <w:color w:val="1A1A19"/>
          <w:sz w:val="20"/>
          <w:szCs w:val="20"/>
        </w:rPr>
      </w:pPr>
      <w:r w:rsidRPr="008E113B">
        <w:rPr>
          <w:rFonts w:ascii="Aptos" w:eastAsia="Calibri" w:hAnsi="Aptos" w:cs="Calibri"/>
          <w:color w:val="1A1A19"/>
          <w:sz w:val="20"/>
          <w:szCs w:val="20"/>
        </w:rPr>
        <w:lastRenderedPageBreak/>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agit en tant que responsable de l'estimation préliminaire des coûts et de l'élaboration du budget. Ses atouts reposent sur le chiffrage financier, le calcul prévisionnel des coûts, la rigueur budgétaire et l'analyse de viabilité économique.</w:t>
      </w:r>
    </w:p>
    <w:p w14:paraId="15A72989" w14:textId="77777777" w:rsidR="008E113B" w:rsidRPr="008E113B" w:rsidRDefault="008E113B" w:rsidP="008E113B">
      <w:pPr>
        <w:spacing w:line="360" w:lineRule="auto"/>
        <w:ind w:left="360"/>
        <w:rPr>
          <w:rFonts w:ascii="Aptos" w:eastAsia="Calibri" w:hAnsi="Aptos" w:cs="Calibri"/>
          <w:color w:val="1A1A19"/>
          <w:sz w:val="20"/>
          <w:szCs w:val="20"/>
        </w:rPr>
      </w:pPr>
    </w:p>
    <w:p w14:paraId="6B3119BB" w14:textId="77777777" w:rsidR="008E113B" w:rsidRPr="008E113B" w:rsidRDefault="008E113B" w:rsidP="008E113B">
      <w:pPr>
        <w:spacing w:line="360" w:lineRule="auto"/>
        <w:ind w:left="360"/>
        <w:rPr>
          <w:rFonts w:ascii="Aptos" w:eastAsia="Calibri" w:hAnsi="Aptos" w:cs="Calibri"/>
          <w:b/>
          <w:bCs/>
          <w:color w:val="1A1A19"/>
          <w:sz w:val="20"/>
          <w:szCs w:val="20"/>
        </w:rPr>
      </w:pPr>
      <w:r w:rsidRPr="008E113B">
        <w:rPr>
          <w:rFonts w:ascii="Aptos" w:eastAsia="Calibri" w:hAnsi="Aptos" w:cs="Calibri"/>
          <w:b/>
          <w:bCs/>
          <w:color w:val="1A1A19"/>
          <w:sz w:val="20"/>
          <w:szCs w:val="20"/>
        </w:rPr>
        <w:t>Sidiki</w:t>
      </w:r>
    </w:p>
    <w:p w14:paraId="55B5075B" w14:textId="77777777" w:rsidR="008E113B" w:rsidRDefault="008E113B" w:rsidP="008E113B">
      <w:pPr>
        <w:spacing w:line="360" w:lineRule="auto"/>
        <w:ind w:left="360"/>
        <w:rPr>
          <w:rFonts w:ascii="Aptos" w:eastAsia="Calibri" w:hAnsi="Aptos" w:cs="Calibri"/>
          <w:color w:val="1A1A19"/>
          <w:sz w:val="20"/>
          <w:szCs w:val="20"/>
        </w:rPr>
      </w:pPr>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a la charge de l'analyse des impacts, de la gestion des risques et de la modélisation conceptuelle. Ses compétences couvrent l'évaluation d'impacts, l'identification proactive des risques de projet, l'élaboration de plans d'atténuation ainsi que la modélisation à l'aide de diagrammes UML.</w:t>
      </w:r>
    </w:p>
    <w:p w14:paraId="667756A9" w14:textId="77777777" w:rsidR="008E113B" w:rsidRPr="008E113B" w:rsidRDefault="008E113B" w:rsidP="008E113B">
      <w:pPr>
        <w:spacing w:line="360" w:lineRule="auto"/>
        <w:ind w:left="360"/>
        <w:rPr>
          <w:rFonts w:ascii="Aptos" w:eastAsia="Calibri" w:hAnsi="Aptos" w:cs="Calibri"/>
          <w:color w:val="1A1A19"/>
          <w:sz w:val="20"/>
          <w:szCs w:val="20"/>
        </w:rPr>
      </w:pPr>
    </w:p>
    <w:p w14:paraId="1CE8019B" w14:textId="77777777" w:rsidR="008E113B" w:rsidRPr="008E113B" w:rsidRDefault="008E113B" w:rsidP="008E113B">
      <w:pPr>
        <w:spacing w:line="360" w:lineRule="auto"/>
        <w:ind w:left="360"/>
        <w:rPr>
          <w:rFonts w:ascii="Aptos" w:eastAsia="Calibri" w:hAnsi="Aptos" w:cs="Calibri"/>
          <w:b/>
          <w:bCs/>
          <w:color w:val="1A1A19"/>
          <w:sz w:val="20"/>
          <w:szCs w:val="20"/>
        </w:rPr>
      </w:pPr>
      <w:r w:rsidRPr="008E113B">
        <w:rPr>
          <w:rFonts w:ascii="Aptos" w:eastAsia="Calibri" w:hAnsi="Aptos" w:cs="Calibri"/>
          <w:b/>
          <w:bCs/>
          <w:color w:val="1A1A19"/>
          <w:sz w:val="20"/>
          <w:szCs w:val="20"/>
        </w:rPr>
        <w:t>Jérémie</w:t>
      </w:r>
    </w:p>
    <w:p w14:paraId="446B369A" w14:textId="0B925F18" w:rsidR="008E113B" w:rsidRPr="008E113B" w:rsidRDefault="008E113B" w:rsidP="008E113B">
      <w:pPr>
        <w:spacing w:line="360" w:lineRule="auto"/>
        <w:ind w:left="360"/>
        <w:rPr>
          <w:rFonts w:ascii="Aptos" w:eastAsia="Calibri" w:hAnsi="Aptos" w:cs="Calibri"/>
          <w:color w:val="1A1A19"/>
          <w:sz w:val="20"/>
          <w:szCs w:val="20"/>
        </w:rPr>
      </w:pPr>
      <w:r w:rsidRPr="008E113B">
        <w:rPr>
          <w:rFonts w:ascii="Aptos" w:eastAsia="Calibri" w:hAnsi="Aptos" w:cs="Calibri"/>
          <w:color w:val="1A1A19"/>
          <w:sz w:val="20"/>
          <w:szCs w:val="20"/>
        </w:rPr>
        <w:t>Étudiant en génie informatique en 3</w:t>
      </w:r>
      <w:r w:rsidRPr="008E113B">
        <w:rPr>
          <w:rFonts w:ascii="Arial" w:eastAsia="Calibri" w:hAnsi="Arial" w:cs="Arial"/>
          <w:color w:val="1A1A19"/>
          <w:sz w:val="20"/>
          <w:szCs w:val="20"/>
        </w:rPr>
        <w:t>ᵉ</w:t>
      </w:r>
      <w:r w:rsidRPr="008E113B">
        <w:rPr>
          <w:rFonts w:ascii="Aptos" w:eastAsia="Calibri" w:hAnsi="Aptos" w:cs="Calibri"/>
          <w:color w:val="1A1A19"/>
          <w:sz w:val="20"/>
          <w:szCs w:val="20"/>
        </w:rPr>
        <w:t xml:space="preserve"> année, il est responsable de la modélisation visuelle de l'échéancier et du calendrier. Il met à contribution sa maîtrise d'outils de planification tels que GanttProject, son sens de l'ordonnancement logique des activités et sa capacité de synthèse pour l'état de l'art.</w:t>
      </w:r>
    </w:p>
    <w:p w14:paraId="7C060F23" w14:textId="77777777" w:rsidR="00F50D70" w:rsidRPr="00BE4F47" w:rsidRDefault="00000000" w:rsidP="008E113B">
      <w:pPr>
        <w:pStyle w:val="Titre2"/>
        <w:numPr>
          <w:ilvl w:val="0"/>
          <w:numId w:val="13"/>
        </w:numPr>
        <w:spacing w:line="360" w:lineRule="auto"/>
        <w:rPr>
          <w:rFonts w:ascii="Aptos" w:hAnsi="Aptos"/>
        </w:rPr>
      </w:pPr>
      <w:bookmarkStart w:id="21" w:name="__RefHeading___Toc240715119"/>
      <w:r w:rsidRPr="00BE4F47">
        <w:rPr>
          <w:rFonts w:ascii="Aptos" w:hAnsi="Aptos"/>
        </w:rPr>
        <w:t>Rôles et responsabilités</w:t>
      </w:r>
      <w:bookmarkEnd w:id="21"/>
      <w:r w:rsidRPr="00BE4F47">
        <w:rPr>
          <w:rFonts w:ascii="Aptos" w:hAnsi="Aptos"/>
        </w:rPr>
        <w:t xml:space="preserve"> </w:t>
      </w:r>
    </w:p>
    <w:p w14:paraId="5BA66CB5" w14:textId="77777777" w:rsidR="00BE4F47" w:rsidRPr="00BE4F47" w:rsidRDefault="00BE4F47" w:rsidP="008E113B">
      <w:pPr>
        <w:spacing w:line="360" w:lineRule="auto"/>
      </w:pPr>
    </w:p>
    <w:p w14:paraId="3D996ED8" w14:textId="1B220961"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matrice RACI ci-dessous indique pour chaque tâche du plan qui est responsable de la produire, qui l’approuve, qui est consulté et qui est informé. Quatre lettres sont employées : R pour responsable, A pour approbateur, C pour consulté, I pour informé.</w:t>
      </w:r>
    </w:p>
    <w:p w14:paraId="423E3906"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Une règle tient l’ensemble : une tâche n’a qu’un seul responsable et qu’un seul approbateur. Le responsable produit, l’approbateur accepte. Les deux ne sont jamais la même personne sur une tâche donnée, ce qui rejoint la règle de relecture croisée de la section 4.</w:t>
      </w:r>
    </w:p>
    <w:p w14:paraId="681E6BE0" w14:textId="0F6A0FF9" w:rsidR="00F50D70" w:rsidRPr="00BE4F47" w:rsidRDefault="002A1CE1" w:rsidP="008E113B">
      <w:pPr>
        <w:pStyle w:val="Retraitcorpsdetexte3"/>
        <w:spacing w:line="360" w:lineRule="auto"/>
        <w:ind w:left="0" w:firstLine="0"/>
        <w:rPr>
          <w:rFonts w:ascii="Aptos" w:hAnsi="Aptos"/>
          <w:lang w:val="en-US" w:eastAsia="en-US"/>
        </w:rPr>
      </w:pPr>
      <w:r>
        <w:rPr>
          <w:rFonts w:ascii="Aptos" w:hAnsi="Aptos"/>
          <w:noProof/>
          <w:lang w:val="en-US" w:eastAsia="en-US"/>
        </w:rPr>
        <w:drawing>
          <wp:inline distT="0" distB="0" distL="0" distR="0" wp14:anchorId="76D65A0E" wp14:editId="2E5F0C5D">
            <wp:extent cx="5608320" cy="2872740"/>
            <wp:effectExtent l="0" t="0" r="0" b="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0">
                      <a:extLst>
                        <a:ext uri="{28A0092B-C50C-407E-A947-70E740481C1C}">
                          <a14:useLocalDpi xmlns:a14="http://schemas.microsoft.com/office/drawing/2010/main" val="0"/>
                        </a:ext>
                      </a:extLst>
                    </a:blip>
                    <a:srcRect l="-6" t="-12" r="-6" b="-12"/>
                    <a:stretch>
                      <a:fillRect/>
                    </a:stretch>
                  </pic:blipFill>
                  <pic:spPr bwMode="auto">
                    <a:xfrm>
                      <a:off x="0" y="0"/>
                      <a:ext cx="5608320" cy="2872740"/>
                    </a:xfrm>
                    <a:prstGeom prst="rect">
                      <a:avLst/>
                    </a:prstGeom>
                    <a:noFill/>
                    <a:ln>
                      <a:noFill/>
                    </a:ln>
                  </pic:spPr>
                </pic:pic>
              </a:graphicData>
            </a:graphic>
          </wp:inline>
        </w:drawing>
      </w:r>
    </w:p>
    <w:p w14:paraId="721D6243" w14:textId="77777777" w:rsidR="00F50D70" w:rsidRPr="00BE4F47" w:rsidRDefault="00000000" w:rsidP="008E113B">
      <w:pPr>
        <w:pStyle w:val="Lgende"/>
        <w:spacing w:line="360" w:lineRule="auto"/>
        <w:rPr>
          <w:rFonts w:ascii="Aptos" w:hAnsi="Aptos"/>
        </w:rPr>
      </w:pPr>
      <w:r w:rsidRPr="00BE4F47">
        <w:rPr>
          <w:rFonts w:ascii="Aptos" w:hAnsi="Aptos"/>
        </w:rPr>
        <w:t>Figure 3-1. Matrice RACI des tâches du plan de projet</w:t>
      </w:r>
    </w:p>
    <w:p w14:paraId="6C4FA823" w14:textId="77777777" w:rsidR="00F50D70" w:rsidRPr="00BE4F47" w:rsidRDefault="00000000" w:rsidP="008E113B">
      <w:pPr>
        <w:pStyle w:val="Titre2"/>
        <w:spacing w:line="360" w:lineRule="auto"/>
        <w:rPr>
          <w:rFonts w:ascii="Aptos" w:hAnsi="Aptos"/>
        </w:rPr>
      </w:pPr>
      <w:r w:rsidRPr="00BE4F47">
        <w:rPr>
          <w:rFonts w:ascii="Aptos" w:hAnsi="Aptos"/>
        </w:rPr>
        <w:lastRenderedPageBreak/>
        <w:t>Parties prenantes du projet</w:t>
      </w:r>
    </w:p>
    <w:p w14:paraId="46F23409"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cinq groupes de parties prenantes de la section 1 sont ceux qui portent une attente sur le système. Le tableau ci-dessous les complète par toutes les personnes qui interviennent dans la conduite du projet lui-même, y compris celles qui n’en sont pas demandeuses. Chaque ligne indique la position attendue, parce qu’une partie prenante neutre ou réservée demande une conduite différente d’une partie prenante acquise.</w:t>
      </w:r>
    </w:p>
    <w:p w14:paraId="54C317B5" w14:textId="77777777" w:rsidR="00F50D70" w:rsidRPr="00BE4F47" w:rsidRDefault="00000000" w:rsidP="008E113B">
      <w:pPr>
        <w:pStyle w:val="Lgende"/>
        <w:spacing w:line="360" w:lineRule="auto"/>
        <w:rPr>
          <w:rFonts w:ascii="Aptos" w:hAnsi="Aptos"/>
        </w:rPr>
      </w:pPr>
      <w:r w:rsidRPr="00BE4F47">
        <w:rPr>
          <w:rFonts w:ascii="Aptos" w:hAnsi="Aptos"/>
        </w:rPr>
        <w:t>Tableau 3-3. Parties prenantes, position attendue et conduite retenue</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2200"/>
        <w:gridCol w:w="2200"/>
        <w:gridCol w:w="2257"/>
      </w:tblGrid>
      <w:tr w:rsidR="00F50D70" w:rsidRPr="00BE4F47" w14:paraId="2F2B012E"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B715DC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Partie prenante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728ACF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Rôle dans le projet</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E8110C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Position attendue</w:t>
            </w:r>
          </w:p>
        </w:tc>
        <w:tc>
          <w:tcPr>
            <w:tcW w:w="22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86D2B8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Conduite retenue</w:t>
            </w:r>
          </w:p>
        </w:tc>
      </w:tr>
      <w:tr w:rsidR="00F50D70" w:rsidRPr="00BE4F47" w14:paraId="45D2215F"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FD90B3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Client fictif, Hydro-Québec</w:t>
            </w:r>
          </w:p>
        </w:tc>
        <w:tc>
          <w:tcPr>
            <w:tcW w:w="2200" w:type="dxa"/>
            <w:tcBorders>
              <w:top w:val="single" w:sz="4" w:space="0" w:color="000000"/>
              <w:left w:val="single" w:sz="4" w:space="0" w:color="000000"/>
              <w:bottom w:val="single" w:sz="4" w:space="0" w:color="000000"/>
              <w:right w:val="single" w:sz="4" w:space="0" w:color="000000"/>
            </w:tcBorders>
          </w:tcPr>
          <w:p w14:paraId="64901E1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Commande le mandat, accepte ou refuse les livrables aux jalons.</w:t>
            </w:r>
          </w:p>
        </w:tc>
        <w:tc>
          <w:tcPr>
            <w:tcW w:w="2200" w:type="dxa"/>
            <w:tcBorders>
              <w:top w:val="single" w:sz="4" w:space="0" w:color="000000"/>
              <w:left w:val="single" w:sz="4" w:space="0" w:color="000000"/>
              <w:bottom w:val="single" w:sz="4" w:space="0" w:color="000000"/>
              <w:right w:val="single" w:sz="4" w:space="0" w:color="000000"/>
            </w:tcBorders>
          </w:tcPr>
          <w:p w14:paraId="07DF1B6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Favorable, sous réserve du respect du périmètre.</w:t>
            </w:r>
          </w:p>
        </w:tc>
        <w:tc>
          <w:tcPr>
            <w:tcW w:w="2257" w:type="dxa"/>
            <w:tcBorders>
              <w:top w:val="single" w:sz="4" w:space="0" w:color="000000"/>
              <w:left w:val="single" w:sz="4" w:space="0" w:color="000000"/>
              <w:bottom w:val="single" w:sz="4" w:space="0" w:color="000000"/>
              <w:right w:val="single" w:sz="4" w:space="0" w:color="000000"/>
            </w:tcBorders>
          </w:tcPr>
          <w:p w14:paraId="152BA12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Validation du périmètre et du domaine de validité au jalon J1.</w:t>
            </w:r>
          </w:p>
        </w:tc>
      </w:tr>
      <w:tr w:rsidR="00F50D70" w:rsidRPr="00BE4F47" w14:paraId="581F60E2"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295708F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Conseiller de l’UQAC</w:t>
            </w:r>
          </w:p>
        </w:tc>
        <w:tc>
          <w:tcPr>
            <w:tcW w:w="2200" w:type="dxa"/>
            <w:tcBorders>
              <w:top w:val="single" w:sz="4" w:space="0" w:color="000000"/>
              <w:left w:val="single" w:sz="4" w:space="0" w:color="000000"/>
              <w:bottom w:val="single" w:sz="4" w:space="0" w:color="000000"/>
              <w:right w:val="single" w:sz="4" w:space="0" w:color="000000"/>
            </w:tcBorders>
          </w:tcPr>
          <w:p w14:paraId="0AFEA75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Oriente les choix techniques, approuve la diffusion de la proposition de services.</w:t>
            </w:r>
          </w:p>
        </w:tc>
        <w:tc>
          <w:tcPr>
            <w:tcW w:w="2200" w:type="dxa"/>
            <w:tcBorders>
              <w:top w:val="single" w:sz="4" w:space="0" w:color="000000"/>
              <w:left w:val="single" w:sz="4" w:space="0" w:color="000000"/>
              <w:bottom w:val="single" w:sz="4" w:space="0" w:color="000000"/>
              <w:right w:val="single" w:sz="4" w:space="0" w:color="000000"/>
            </w:tcBorders>
          </w:tcPr>
          <w:p w14:paraId="6666B1B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Favorable.</w:t>
            </w:r>
          </w:p>
        </w:tc>
        <w:tc>
          <w:tcPr>
            <w:tcW w:w="2257" w:type="dxa"/>
            <w:tcBorders>
              <w:top w:val="single" w:sz="4" w:space="0" w:color="000000"/>
              <w:left w:val="single" w:sz="4" w:space="0" w:color="000000"/>
              <w:bottom w:val="single" w:sz="4" w:space="0" w:color="000000"/>
              <w:right w:val="single" w:sz="4" w:space="0" w:color="000000"/>
            </w:tcBorders>
          </w:tcPr>
          <w:p w14:paraId="0CBD602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Consultation à chaque jalon, et avant tout choix engageant le périmètre.</w:t>
            </w:r>
          </w:p>
        </w:tc>
      </w:tr>
      <w:tr w:rsidR="00F50D70" w:rsidRPr="00BE4F47" w14:paraId="7B263189"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46D4A35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Coordonnateur du cours</w:t>
            </w:r>
          </w:p>
        </w:tc>
        <w:tc>
          <w:tcPr>
            <w:tcW w:w="2200" w:type="dxa"/>
            <w:tcBorders>
              <w:top w:val="single" w:sz="4" w:space="0" w:color="000000"/>
              <w:left w:val="single" w:sz="4" w:space="0" w:color="000000"/>
              <w:bottom w:val="single" w:sz="4" w:space="0" w:color="000000"/>
              <w:right w:val="single" w:sz="4" w:space="0" w:color="000000"/>
            </w:tcBorders>
          </w:tcPr>
          <w:p w14:paraId="668AB69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Fixe le cadre de remise et les critères d’évaluation.</w:t>
            </w:r>
          </w:p>
        </w:tc>
        <w:tc>
          <w:tcPr>
            <w:tcW w:w="2200" w:type="dxa"/>
            <w:tcBorders>
              <w:top w:val="single" w:sz="4" w:space="0" w:color="000000"/>
              <w:left w:val="single" w:sz="4" w:space="0" w:color="000000"/>
              <w:bottom w:val="single" w:sz="4" w:space="0" w:color="000000"/>
              <w:right w:val="single" w:sz="4" w:space="0" w:color="000000"/>
            </w:tcBorders>
          </w:tcPr>
          <w:p w14:paraId="728AA57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Neutre.</w:t>
            </w:r>
          </w:p>
        </w:tc>
        <w:tc>
          <w:tcPr>
            <w:tcW w:w="2257" w:type="dxa"/>
            <w:tcBorders>
              <w:top w:val="single" w:sz="4" w:space="0" w:color="000000"/>
              <w:left w:val="single" w:sz="4" w:space="0" w:color="000000"/>
              <w:bottom w:val="single" w:sz="4" w:space="0" w:color="000000"/>
              <w:right w:val="single" w:sz="4" w:space="0" w:color="000000"/>
            </w:tcBorders>
          </w:tcPr>
          <w:p w14:paraId="4BFB1A2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Respect des consignes du carnet et des dates de remise.</w:t>
            </w:r>
          </w:p>
        </w:tc>
      </w:tr>
      <w:tr w:rsidR="00F50D70" w:rsidRPr="00BE4F47" w14:paraId="77CB1E50"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34754E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Équipe de projet</w:t>
            </w:r>
          </w:p>
        </w:tc>
        <w:tc>
          <w:tcPr>
            <w:tcW w:w="2200" w:type="dxa"/>
            <w:tcBorders>
              <w:top w:val="single" w:sz="4" w:space="0" w:color="000000"/>
              <w:left w:val="single" w:sz="4" w:space="0" w:color="000000"/>
              <w:bottom w:val="single" w:sz="4" w:space="0" w:color="000000"/>
              <w:right w:val="single" w:sz="4" w:space="0" w:color="000000"/>
            </w:tcBorders>
          </w:tcPr>
          <w:p w14:paraId="6290C66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Produit l’ensemble des livrables.</w:t>
            </w:r>
          </w:p>
        </w:tc>
        <w:tc>
          <w:tcPr>
            <w:tcW w:w="2200" w:type="dxa"/>
            <w:tcBorders>
              <w:top w:val="single" w:sz="4" w:space="0" w:color="000000"/>
              <w:left w:val="single" w:sz="4" w:space="0" w:color="000000"/>
              <w:bottom w:val="single" w:sz="4" w:space="0" w:color="000000"/>
              <w:right w:val="single" w:sz="4" w:space="0" w:color="000000"/>
            </w:tcBorders>
          </w:tcPr>
          <w:p w14:paraId="67186F3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Favorable.</w:t>
            </w:r>
          </w:p>
        </w:tc>
        <w:tc>
          <w:tcPr>
            <w:tcW w:w="2257" w:type="dxa"/>
            <w:tcBorders>
              <w:top w:val="single" w:sz="4" w:space="0" w:color="000000"/>
              <w:left w:val="single" w:sz="4" w:space="0" w:color="000000"/>
              <w:bottom w:val="single" w:sz="4" w:space="0" w:color="000000"/>
              <w:right w:val="single" w:sz="4" w:space="0" w:color="000000"/>
            </w:tcBorders>
          </w:tcPr>
          <w:p w14:paraId="2F70070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Répartition par compétence, relecture croisée, rotation des relecteurs.</w:t>
            </w:r>
          </w:p>
        </w:tc>
      </w:tr>
      <w:tr w:rsidR="00F50D70" w:rsidRPr="00BE4F47" w14:paraId="2232B934"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4656E3C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Techniciens de laboratoire</w:t>
            </w:r>
          </w:p>
        </w:tc>
        <w:tc>
          <w:tcPr>
            <w:tcW w:w="2200" w:type="dxa"/>
            <w:tcBorders>
              <w:top w:val="single" w:sz="4" w:space="0" w:color="000000"/>
              <w:left w:val="single" w:sz="4" w:space="0" w:color="000000"/>
              <w:bottom w:val="single" w:sz="4" w:space="0" w:color="000000"/>
              <w:right w:val="single" w:sz="4" w:space="0" w:color="000000"/>
            </w:tcBorders>
          </w:tcPr>
          <w:p w14:paraId="0E6D989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Donnent accès aux postes, aux licences et aux environnements d’exécution.</w:t>
            </w:r>
          </w:p>
        </w:tc>
        <w:tc>
          <w:tcPr>
            <w:tcW w:w="2200" w:type="dxa"/>
            <w:tcBorders>
              <w:top w:val="single" w:sz="4" w:space="0" w:color="000000"/>
              <w:left w:val="single" w:sz="4" w:space="0" w:color="000000"/>
              <w:bottom w:val="single" w:sz="4" w:space="0" w:color="000000"/>
              <w:right w:val="single" w:sz="4" w:space="0" w:color="000000"/>
            </w:tcBorders>
          </w:tcPr>
          <w:p w14:paraId="1D84D63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Neutre, sollicités ponctuellement.</w:t>
            </w:r>
          </w:p>
        </w:tc>
        <w:tc>
          <w:tcPr>
            <w:tcW w:w="2257" w:type="dxa"/>
            <w:tcBorders>
              <w:top w:val="single" w:sz="4" w:space="0" w:color="000000"/>
              <w:left w:val="single" w:sz="4" w:space="0" w:color="000000"/>
              <w:bottom w:val="single" w:sz="4" w:space="0" w:color="000000"/>
              <w:right w:val="single" w:sz="4" w:space="0" w:color="000000"/>
            </w:tcBorders>
          </w:tcPr>
          <w:p w14:paraId="0C1BD12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Demandes groupées et planifiées, pour ne pas dépendre d’une disponibilité de dernière minute.</w:t>
            </w:r>
          </w:p>
        </w:tc>
      </w:tr>
      <w:tr w:rsidR="00F50D70" w:rsidRPr="00BE4F47" w14:paraId="24240FCE"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EF7CE0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Auxiliaires d’enseignement</w:t>
            </w:r>
          </w:p>
        </w:tc>
        <w:tc>
          <w:tcPr>
            <w:tcW w:w="2200" w:type="dxa"/>
            <w:tcBorders>
              <w:top w:val="single" w:sz="4" w:space="0" w:color="000000"/>
              <w:left w:val="single" w:sz="4" w:space="0" w:color="000000"/>
              <w:bottom w:val="single" w:sz="4" w:space="0" w:color="000000"/>
              <w:right w:val="single" w:sz="4" w:space="0" w:color="000000"/>
            </w:tcBorders>
          </w:tcPr>
          <w:p w14:paraId="53A840C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Répondent aux questions de méthode et relisent les travaux intermédiaires.</w:t>
            </w:r>
          </w:p>
        </w:tc>
        <w:tc>
          <w:tcPr>
            <w:tcW w:w="2200" w:type="dxa"/>
            <w:tcBorders>
              <w:top w:val="single" w:sz="4" w:space="0" w:color="000000"/>
              <w:left w:val="single" w:sz="4" w:space="0" w:color="000000"/>
              <w:bottom w:val="single" w:sz="4" w:space="0" w:color="000000"/>
              <w:right w:val="single" w:sz="4" w:space="0" w:color="000000"/>
            </w:tcBorders>
          </w:tcPr>
          <w:p w14:paraId="78CA08C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Favorable.</w:t>
            </w:r>
          </w:p>
        </w:tc>
        <w:tc>
          <w:tcPr>
            <w:tcW w:w="2257" w:type="dxa"/>
            <w:tcBorders>
              <w:top w:val="single" w:sz="4" w:space="0" w:color="000000"/>
              <w:left w:val="single" w:sz="4" w:space="0" w:color="000000"/>
              <w:bottom w:val="single" w:sz="4" w:space="0" w:color="000000"/>
              <w:right w:val="single" w:sz="4" w:space="0" w:color="000000"/>
            </w:tcBorders>
          </w:tcPr>
          <w:p w14:paraId="79BEB49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Sollicitation avant chaque jalon plutôt qu’après une difficulté.</w:t>
            </w:r>
          </w:p>
        </w:tc>
      </w:tr>
      <w:tr w:rsidR="00F50D70" w:rsidRPr="00BE4F47" w14:paraId="1D63EA31"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67F15C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Ingénieurs et opérateurs représentés</w:t>
            </w:r>
          </w:p>
        </w:tc>
        <w:tc>
          <w:tcPr>
            <w:tcW w:w="2200" w:type="dxa"/>
            <w:tcBorders>
              <w:top w:val="single" w:sz="4" w:space="0" w:color="000000"/>
              <w:left w:val="single" w:sz="4" w:space="0" w:color="000000"/>
              <w:bottom w:val="single" w:sz="4" w:space="0" w:color="000000"/>
              <w:right w:val="single" w:sz="4" w:space="0" w:color="000000"/>
            </w:tcBorders>
          </w:tcPr>
          <w:p w14:paraId="2474034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Utilisateurs cibles du système dans le scénario.</w:t>
            </w:r>
          </w:p>
        </w:tc>
        <w:tc>
          <w:tcPr>
            <w:tcW w:w="2200" w:type="dxa"/>
            <w:tcBorders>
              <w:top w:val="single" w:sz="4" w:space="0" w:color="000000"/>
              <w:left w:val="single" w:sz="4" w:space="0" w:color="000000"/>
              <w:bottom w:val="single" w:sz="4" w:space="0" w:color="000000"/>
              <w:right w:val="single" w:sz="4" w:space="0" w:color="000000"/>
            </w:tcBorders>
          </w:tcPr>
          <w:p w14:paraId="11AEC8A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Réservés : un outil d’aide à la décision mal expliqué est perçu comme une mise en cause du jugement humain.</w:t>
            </w:r>
          </w:p>
        </w:tc>
        <w:tc>
          <w:tcPr>
            <w:tcW w:w="2257" w:type="dxa"/>
            <w:tcBorders>
              <w:top w:val="single" w:sz="4" w:space="0" w:color="000000"/>
              <w:left w:val="single" w:sz="4" w:space="0" w:color="000000"/>
              <w:bottom w:val="single" w:sz="4" w:space="0" w:color="000000"/>
              <w:right w:val="single" w:sz="4" w:space="0" w:color="000000"/>
            </w:tcBorders>
          </w:tcPr>
          <w:p w14:paraId="7953C2C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Explicabilité imposée par EX-F-05 et validation humaine imposée par EX-F-08.</w:t>
            </w:r>
          </w:p>
        </w:tc>
      </w:tr>
      <w:tr w:rsidR="00F50D70" w:rsidRPr="00BE4F47" w14:paraId="733FFCB2"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D1C1F9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Autorité réglementaire représentée, CCSN</w:t>
            </w:r>
          </w:p>
        </w:tc>
        <w:tc>
          <w:tcPr>
            <w:tcW w:w="2200" w:type="dxa"/>
            <w:tcBorders>
              <w:top w:val="single" w:sz="4" w:space="0" w:color="000000"/>
              <w:left w:val="single" w:sz="4" w:space="0" w:color="000000"/>
              <w:bottom w:val="single" w:sz="4" w:space="0" w:color="000000"/>
              <w:right w:val="single" w:sz="4" w:space="0" w:color="000000"/>
            </w:tcBorders>
          </w:tcPr>
          <w:p w14:paraId="5AF38EE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Impose la traçabilité et la gestion documentaire dans le scénario.</w:t>
            </w:r>
          </w:p>
        </w:tc>
        <w:tc>
          <w:tcPr>
            <w:tcW w:w="2200" w:type="dxa"/>
            <w:tcBorders>
              <w:top w:val="single" w:sz="4" w:space="0" w:color="000000"/>
              <w:left w:val="single" w:sz="4" w:space="0" w:color="000000"/>
              <w:bottom w:val="single" w:sz="4" w:space="0" w:color="000000"/>
              <w:right w:val="single" w:sz="4" w:space="0" w:color="000000"/>
            </w:tcBorders>
          </w:tcPr>
          <w:p w14:paraId="4CBE51F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Neutre et exigeante.</w:t>
            </w:r>
          </w:p>
        </w:tc>
        <w:tc>
          <w:tcPr>
            <w:tcW w:w="2257" w:type="dxa"/>
            <w:tcBorders>
              <w:top w:val="single" w:sz="4" w:space="0" w:color="000000"/>
              <w:left w:val="single" w:sz="4" w:space="0" w:color="000000"/>
              <w:bottom w:val="single" w:sz="4" w:space="0" w:color="000000"/>
              <w:right w:val="single" w:sz="4" w:space="0" w:color="000000"/>
            </w:tcBorders>
          </w:tcPr>
          <w:p w14:paraId="3C5A677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Journalisation horodatée (EX-F-10) et gestion de configuration de la section 4.</w:t>
            </w:r>
          </w:p>
        </w:tc>
      </w:tr>
      <w:tr w:rsidR="00F50D70" w:rsidRPr="00BE4F47" w14:paraId="055DE6CB"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78CE28E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Population et communautés</w:t>
            </w:r>
          </w:p>
        </w:tc>
        <w:tc>
          <w:tcPr>
            <w:tcW w:w="2200" w:type="dxa"/>
            <w:tcBorders>
              <w:top w:val="single" w:sz="4" w:space="0" w:color="000000"/>
              <w:left w:val="single" w:sz="4" w:space="0" w:color="000000"/>
              <w:bottom w:val="single" w:sz="4" w:space="0" w:color="000000"/>
              <w:right w:val="single" w:sz="4" w:space="0" w:color="000000"/>
            </w:tcBorders>
          </w:tcPr>
          <w:p w14:paraId="18042A0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Concernées par une remise en service dans le scénario.</w:t>
            </w:r>
          </w:p>
        </w:tc>
        <w:tc>
          <w:tcPr>
            <w:tcW w:w="2200" w:type="dxa"/>
            <w:tcBorders>
              <w:top w:val="single" w:sz="4" w:space="0" w:color="000000"/>
              <w:left w:val="single" w:sz="4" w:space="0" w:color="000000"/>
              <w:bottom w:val="single" w:sz="4" w:space="0" w:color="000000"/>
              <w:right w:val="single" w:sz="4" w:space="0" w:color="000000"/>
            </w:tcBorders>
          </w:tcPr>
          <w:p w14:paraId="72CCBE4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Partagée, du soutien à l’opposition.</w:t>
            </w:r>
          </w:p>
        </w:tc>
        <w:tc>
          <w:tcPr>
            <w:tcW w:w="2257" w:type="dxa"/>
            <w:tcBorders>
              <w:top w:val="single" w:sz="4" w:space="0" w:color="000000"/>
              <w:left w:val="single" w:sz="4" w:space="0" w:color="000000"/>
              <w:bottom w:val="single" w:sz="4" w:space="0" w:color="000000"/>
              <w:right w:val="single" w:sz="4" w:space="0" w:color="000000"/>
            </w:tcBorders>
          </w:tcPr>
          <w:p w14:paraId="33ACC06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Traitement explicite des enjeux de confiance et de responsabilité au rapport final (EX-C-03).</w:t>
            </w:r>
          </w:p>
        </w:tc>
      </w:tr>
    </w:tbl>
    <w:p w14:paraId="7E6BB62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lastRenderedPageBreak/>
        <w:t>Deux positions appellent une vigilance particulière. Les utilisateurs cibles sont réservés, et c’est la raison pour laquelle l’explicabilité n’est pas traitée comme un agrément d’interface mais comme une exigence fonctionnelle. La population est partagée, et c’est la raison pour laquelle le rapport final doit énoncer les limites du système plutôt que ses seules performances.</w:t>
      </w:r>
    </w:p>
    <w:p w14:paraId="053745FE" w14:textId="77777777" w:rsidR="00F50D70" w:rsidRPr="00136F18" w:rsidRDefault="00000000" w:rsidP="008E113B">
      <w:pPr>
        <w:pStyle w:val="Titre1"/>
        <w:spacing w:line="360" w:lineRule="auto"/>
      </w:pPr>
      <w:bookmarkStart w:id="22" w:name="__RefHeading___Toc240715120"/>
      <w:bookmarkEnd w:id="22"/>
      <w:r w:rsidRPr="00136F18">
        <w:t>Stratégie de contrôle des versions</w:t>
      </w:r>
    </w:p>
    <w:p w14:paraId="3484DCB1"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Huit personnes produisent les livrables décrits à la section 2. Cette section explique comment leur travail est conservé, versionné et retrouvé, pour qu’un résultat d’essai reste rattachable à la version du modèle et des données qui l’a produit.</w:t>
      </w:r>
    </w:p>
    <w:p w14:paraId="68134DB6" w14:textId="77777777" w:rsidR="00F50D70" w:rsidRPr="00136F18" w:rsidRDefault="00000000" w:rsidP="008E113B">
      <w:pPr>
        <w:pStyle w:val="Titre2"/>
        <w:spacing w:line="360" w:lineRule="auto"/>
      </w:pPr>
      <w:r w:rsidRPr="00136F18">
        <w:t>Objet et portée</w:t>
      </w:r>
    </w:p>
    <w:p w14:paraId="47993009"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La consigne du carnet demande de décrire les outils et les mécanismes employés pour gérer les informations relatives au projet. Elle parle d’informations, pas seulement de code. La présente section couvre donc l’ensemble de ce que le projet produit : documents, code, modèles, diagrammes, jeux de données, résultats d’essais et références.</w:t>
      </w:r>
    </w:p>
    <w:p w14:paraId="5AD498D8"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Trois raisons rendent cette gestion nécessaire dans ce projet précis.</w:t>
      </w:r>
    </w:p>
    <w:p w14:paraId="28F86C90"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Huit personnes rédigent onze sections du même document. Sans règle de nommage et sans dépôt unique, les versions divergent en quelques jours.</w:t>
      </w:r>
    </w:p>
    <w:p w14:paraId="5D699ED6"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Un résultat d’essai n’a de valeur que s’il est rattachable à une version précise du modèle et du jeu de données. C’est la condition de la reproductibilité annoncée à la section 8 et exigée par EX-Q-05.</w:t>
      </w:r>
    </w:p>
    <w:p w14:paraId="37FF5F5E"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Le projet se place dans un cadre nucléaire simulé. La traçabilité documentaire est une attente explicite du système de gestion décrit par REGDOC-2.1.1 [1].</w:t>
      </w:r>
    </w:p>
    <w:p w14:paraId="5AFA7B01"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La démarche suit le processus de gestion de la configuration de la norme ISO/IEC/IEEE 12207 [2], déjà retenue au tableau des normes de la section 6. Ce processus comporte quatre activités : identifier les éléments de configuration, contrôler leurs modifications, enregistrer leur état, et vérifier que la configuration livrée est bien celle qui était prévue. La section suit cet ordre.</w:t>
      </w:r>
    </w:p>
    <w:p w14:paraId="564DB7BE"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L’équipe a retenu GitHub comme plateforme unique. Le dépôt contient le code, les modèles, les diagrammes et les sections du plan. GitHub Projects assure le suivi des tâches. Aucun autre outil de gestion n’est employé.</w:t>
      </w:r>
    </w:p>
    <w:p w14:paraId="7E8EE0D1" w14:textId="77777777" w:rsidR="00F50D70" w:rsidRPr="00BE4F47" w:rsidRDefault="00F50D70" w:rsidP="008E113B">
      <w:pPr>
        <w:spacing w:line="360" w:lineRule="auto"/>
        <w:ind w:left="720"/>
        <w:rPr>
          <w:rFonts w:ascii="Aptos" w:eastAsia="Calibri" w:hAnsi="Aptos" w:cs="Calibri"/>
          <w:color w:val="1A1A19"/>
          <w:sz w:val="20"/>
          <w:szCs w:val="20"/>
        </w:rPr>
      </w:pPr>
    </w:p>
    <w:p w14:paraId="4A53A83D" w14:textId="77777777" w:rsidR="00F50D70" w:rsidRPr="00136F18" w:rsidRDefault="00000000" w:rsidP="008E113B">
      <w:pPr>
        <w:pStyle w:val="Titre2"/>
        <w:spacing w:line="360" w:lineRule="auto"/>
      </w:pPr>
      <w:r w:rsidRPr="00136F18">
        <w:t>Inventaire de l’information à gérer</w:t>
      </w:r>
    </w:p>
    <w:p w14:paraId="0669FECF" w14:textId="77777777" w:rsidR="00F50D70" w:rsidRPr="00BE4F47" w:rsidRDefault="00000000" w:rsidP="008E113B">
      <w:pPr>
        <w:spacing w:after="130"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Toute information produite par le projet appartient à l’une des catégories ci-dessous. Chaque catégorie a un outil et un responsable.</w:t>
      </w:r>
    </w:p>
    <w:p w14:paraId="2B610C17" w14:textId="77777777" w:rsidR="00F50D70" w:rsidRPr="00BE4F47" w:rsidRDefault="00000000" w:rsidP="008E113B">
      <w:pPr>
        <w:pStyle w:val="Lgende"/>
        <w:spacing w:line="360" w:lineRule="auto"/>
        <w:rPr>
          <w:rFonts w:ascii="Aptos" w:hAnsi="Aptos"/>
        </w:rPr>
      </w:pPr>
      <w:r w:rsidRPr="00BE4F47">
        <w:rPr>
          <w:rFonts w:ascii="Aptos" w:hAnsi="Aptos"/>
        </w:rPr>
        <w:t>Tableau 4-1. Éléments de configuration du projet</w:t>
      </w:r>
    </w:p>
    <w:tbl>
      <w:tblPr>
        <w:tblW w:w="9360" w:type="dxa"/>
        <w:tblLayout w:type="fixed"/>
        <w:tblCellMar>
          <w:top w:w="55" w:type="dxa"/>
          <w:left w:w="85" w:type="dxa"/>
          <w:bottom w:w="55" w:type="dxa"/>
          <w:right w:w="85" w:type="dxa"/>
        </w:tblCellMar>
        <w:tblLook w:val="04A0" w:firstRow="1" w:lastRow="0" w:firstColumn="1" w:lastColumn="0" w:noHBand="0" w:noVBand="1"/>
      </w:tblPr>
      <w:tblGrid>
        <w:gridCol w:w="1900"/>
        <w:gridCol w:w="2700"/>
        <w:gridCol w:w="1900"/>
        <w:gridCol w:w="1500"/>
        <w:gridCol w:w="1360"/>
      </w:tblGrid>
      <w:tr w:rsidR="00F50D70" w:rsidRPr="00BE4F47" w14:paraId="74C3B9F4" w14:textId="77777777" w:rsidTr="0036725C">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198D5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lastRenderedPageBreak/>
              <w:t>Catégorie</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051462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Contenu</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8FC714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Emplacement</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7926BF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Responsable</w:t>
            </w:r>
          </w:p>
        </w:tc>
        <w:tc>
          <w:tcPr>
            <w:tcW w:w="136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7459DC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Historique</w:t>
            </w:r>
          </w:p>
        </w:tc>
      </w:tr>
      <w:tr w:rsidR="00F50D70" w:rsidRPr="00BE4F47" w14:paraId="1C78E979"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13C1C8D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Sections du plan de projet</w:t>
            </w:r>
          </w:p>
        </w:tc>
        <w:tc>
          <w:tcPr>
            <w:tcW w:w="2700" w:type="dxa"/>
            <w:tcBorders>
              <w:top w:val="single" w:sz="4" w:space="0" w:color="000000"/>
              <w:left w:val="single" w:sz="4" w:space="0" w:color="000000"/>
              <w:bottom w:val="single" w:sz="4" w:space="0" w:color="000000"/>
              <w:right w:val="single" w:sz="4" w:space="0" w:color="000000"/>
            </w:tcBorders>
          </w:tcPr>
          <w:p w14:paraId="0C42BC0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Onze sections rédigées en format Word</w:t>
            </w:r>
          </w:p>
        </w:tc>
        <w:tc>
          <w:tcPr>
            <w:tcW w:w="1900" w:type="dxa"/>
            <w:tcBorders>
              <w:top w:val="single" w:sz="4" w:space="0" w:color="000000"/>
              <w:left w:val="single" w:sz="4" w:space="0" w:color="000000"/>
              <w:bottom w:val="single" w:sz="4" w:space="0" w:color="000000"/>
              <w:right w:val="single" w:sz="4" w:space="0" w:color="000000"/>
            </w:tcBorders>
          </w:tcPr>
          <w:p w14:paraId="7734C6F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 dossier plan/</w:t>
            </w:r>
          </w:p>
        </w:tc>
        <w:tc>
          <w:tcPr>
            <w:tcW w:w="1500" w:type="dxa"/>
            <w:tcBorders>
              <w:top w:val="single" w:sz="4" w:space="0" w:color="000000"/>
              <w:left w:val="single" w:sz="4" w:space="0" w:color="000000"/>
              <w:bottom w:val="single" w:sz="4" w:space="0" w:color="000000"/>
              <w:right w:val="single" w:sz="4" w:space="0" w:color="000000"/>
            </w:tcBorders>
          </w:tcPr>
          <w:p w14:paraId="3EC1CAD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tc>
        <w:tc>
          <w:tcPr>
            <w:tcW w:w="1360" w:type="dxa"/>
            <w:tcBorders>
              <w:top w:val="single" w:sz="4" w:space="0" w:color="000000"/>
              <w:left w:val="single" w:sz="4" w:space="0" w:color="000000"/>
              <w:bottom w:val="single" w:sz="4" w:space="0" w:color="000000"/>
              <w:right w:val="single" w:sz="4" w:space="0" w:color="000000"/>
            </w:tcBorders>
          </w:tcPr>
          <w:p w14:paraId="2B8EB31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3852267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65A18D5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Code et scripts</w:t>
            </w:r>
          </w:p>
        </w:tc>
        <w:tc>
          <w:tcPr>
            <w:tcW w:w="2700" w:type="dxa"/>
            <w:tcBorders>
              <w:top w:val="single" w:sz="4" w:space="0" w:color="000000"/>
              <w:left w:val="single" w:sz="4" w:space="0" w:color="000000"/>
              <w:bottom w:val="single" w:sz="4" w:space="0" w:color="000000"/>
              <w:right w:val="single" w:sz="4" w:space="0" w:color="000000"/>
            </w:tcBorders>
          </w:tcPr>
          <w:p w14:paraId="01B7256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Noyau de simulation, détection, interface</w:t>
            </w:r>
          </w:p>
        </w:tc>
        <w:tc>
          <w:tcPr>
            <w:tcW w:w="1900" w:type="dxa"/>
            <w:tcBorders>
              <w:top w:val="single" w:sz="4" w:space="0" w:color="000000"/>
              <w:left w:val="single" w:sz="4" w:space="0" w:color="000000"/>
              <w:bottom w:val="single" w:sz="4" w:space="0" w:color="000000"/>
              <w:right w:val="single" w:sz="4" w:space="0" w:color="000000"/>
            </w:tcBorders>
          </w:tcPr>
          <w:p w14:paraId="6A22DD7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w:t>
            </w:r>
          </w:p>
        </w:tc>
        <w:tc>
          <w:tcPr>
            <w:tcW w:w="1500" w:type="dxa"/>
            <w:tcBorders>
              <w:top w:val="single" w:sz="4" w:space="0" w:color="000000"/>
              <w:left w:val="single" w:sz="4" w:space="0" w:color="000000"/>
              <w:bottom w:val="single" w:sz="4" w:space="0" w:color="000000"/>
              <w:right w:val="single" w:sz="4" w:space="0" w:color="000000"/>
            </w:tcBorders>
          </w:tcPr>
          <w:p w14:paraId="56974AD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w:t>
            </w:r>
          </w:p>
        </w:tc>
        <w:tc>
          <w:tcPr>
            <w:tcW w:w="1360" w:type="dxa"/>
            <w:tcBorders>
              <w:top w:val="single" w:sz="4" w:space="0" w:color="000000"/>
              <w:left w:val="single" w:sz="4" w:space="0" w:color="000000"/>
              <w:bottom w:val="single" w:sz="4" w:space="0" w:color="000000"/>
              <w:right w:val="single" w:sz="4" w:space="0" w:color="000000"/>
            </w:tcBorders>
          </w:tcPr>
          <w:p w14:paraId="0520045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5D563DB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429B507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Modèles</w:t>
            </w:r>
          </w:p>
        </w:tc>
        <w:tc>
          <w:tcPr>
            <w:tcW w:w="2700" w:type="dxa"/>
            <w:tcBorders>
              <w:top w:val="single" w:sz="4" w:space="0" w:color="000000"/>
              <w:left w:val="single" w:sz="4" w:space="0" w:color="000000"/>
              <w:bottom w:val="single" w:sz="4" w:space="0" w:color="000000"/>
              <w:right w:val="single" w:sz="4" w:space="0" w:color="000000"/>
            </w:tcBorders>
          </w:tcPr>
          <w:p w14:paraId="5B69E06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Fichiers Modelica de la boucle et du modèle de référence</w:t>
            </w:r>
          </w:p>
        </w:tc>
        <w:tc>
          <w:tcPr>
            <w:tcW w:w="1900" w:type="dxa"/>
            <w:tcBorders>
              <w:top w:val="single" w:sz="4" w:space="0" w:color="000000"/>
              <w:left w:val="single" w:sz="4" w:space="0" w:color="000000"/>
              <w:bottom w:val="single" w:sz="4" w:space="0" w:color="000000"/>
              <w:right w:val="single" w:sz="4" w:space="0" w:color="000000"/>
            </w:tcBorders>
          </w:tcPr>
          <w:p w14:paraId="07D1E79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w:t>
            </w:r>
          </w:p>
        </w:tc>
        <w:tc>
          <w:tcPr>
            <w:tcW w:w="1500" w:type="dxa"/>
            <w:tcBorders>
              <w:top w:val="single" w:sz="4" w:space="0" w:color="000000"/>
              <w:left w:val="single" w:sz="4" w:space="0" w:color="000000"/>
              <w:bottom w:val="single" w:sz="4" w:space="0" w:color="000000"/>
              <w:right w:val="single" w:sz="4" w:space="0" w:color="000000"/>
            </w:tcBorders>
          </w:tcPr>
          <w:p w14:paraId="1AAD88F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L4</w:t>
            </w:r>
          </w:p>
        </w:tc>
        <w:tc>
          <w:tcPr>
            <w:tcW w:w="1360" w:type="dxa"/>
            <w:tcBorders>
              <w:top w:val="single" w:sz="4" w:space="0" w:color="000000"/>
              <w:left w:val="single" w:sz="4" w:space="0" w:color="000000"/>
              <w:bottom w:val="single" w:sz="4" w:space="0" w:color="000000"/>
              <w:right w:val="single" w:sz="4" w:space="0" w:color="000000"/>
            </w:tcBorders>
          </w:tcPr>
          <w:p w14:paraId="0E6BEC5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675C70F7"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508B52B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Diagrammes</w:t>
            </w:r>
          </w:p>
        </w:tc>
        <w:tc>
          <w:tcPr>
            <w:tcW w:w="2700" w:type="dxa"/>
            <w:tcBorders>
              <w:top w:val="single" w:sz="4" w:space="0" w:color="000000"/>
              <w:left w:val="single" w:sz="4" w:space="0" w:color="000000"/>
              <w:bottom w:val="single" w:sz="4" w:space="0" w:color="000000"/>
              <w:right w:val="single" w:sz="4" w:space="0" w:color="000000"/>
            </w:tcBorders>
          </w:tcPr>
          <w:p w14:paraId="0BF185F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GEMMA, structure de découpage, arbre des risques, en format PlantUML</w:t>
            </w:r>
          </w:p>
        </w:tc>
        <w:tc>
          <w:tcPr>
            <w:tcW w:w="1900" w:type="dxa"/>
            <w:tcBorders>
              <w:top w:val="single" w:sz="4" w:space="0" w:color="000000"/>
              <w:left w:val="single" w:sz="4" w:space="0" w:color="000000"/>
              <w:bottom w:val="single" w:sz="4" w:space="0" w:color="000000"/>
              <w:right w:val="single" w:sz="4" w:space="0" w:color="000000"/>
            </w:tcBorders>
          </w:tcPr>
          <w:p w14:paraId="4BACE06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w:t>
            </w:r>
          </w:p>
        </w:tc>
        <w:tc>
          <w:tcPr>
            <w:tcW w:w="1500" w:type="dxa"/>
            <w:tcBorders>
              <w:top w:val="single" w:sz="4" w:space="0" w:color="000000"/>
              <w:left w:val="single" w:sz="4" w:space="0" w:color="000000"/>
              <w:bottom w:val="single" w:sz="4" w:space="0" w:color="000000"/>
              <w:right w:val="single" w:sz="4" w:space="0" w:color="000000"/>
            </w:tcBorders>
          </w:tcPr>
          <w:p w14:paraId="422A4F9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Auteur du diagramme</w:t>
            </w:r>
          </w:p>
        </w:tc>
        <w:tc>
          <w:tcPr>
            <w:tcW w:w="1360" w:type="dxa"/>
            <w:tcBorders>
              <w:top w:val="single" w:sz="4" w:space="0" w:color="000000"/>
              <w:left w:val="single" w:sz="4" w:space="0" w:color="000000"/>
              <w:bottom w:val="single" w:sz="4" w:space="0" w:color="000000"/>
              <w:right w:val="single" w:sz="4" w:space="0" w:color="000000"/>
            </w:tcBorders>
          </w:tcPr>
          <w:p w14:paraId="6C3C7B8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14FEF10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60669C1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Jeux de données d’essai</w:t>
            </w:r>
          </w:p>
        </w:tc>
        <w:tc>
          <w:tcPr>
            <w:tcW w:w="2700" w:type="dxa"/>
            <w:tcBorders>
              <w:top w:val="single" w:sz="4" w:space="0" w:color="000000"/>
              <w:left w:val="single" w:sz="4" w:space="0" w:color="000000"/>
              <w:bottom w:val="single" w:sz="4" w:space="0" w:color="000000"/>
              <w:right w:val="single" w:sz="4" w:space="0" w:color="000000"/>
            </w:tcBorders>
          </w:tcPr>
          <w:p w14:paraId="5B7F929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Données synthétiques générées, bruitées et dégradées</w:t>
            </w:r>
          </w:p>
        </w:tc>
        <w:tc>
          <w:tcPr>
            <w:tcW w:w="1900" w:type="dxa"/>
            <w:tcBorders>
              <w:top w:val="single" w:sz="4" w:space="0" w:color="000000"/>
              <w:left w:val="single" w:sz="4" w:space="0" w:color="000000"/>
              <w:bottom w:val="single" w:sz="4" w:space="0" w:color="000000"/>
              <w:right w:val="single" w:sz="4" w:space="0" w:color="000000"/>
            </w:tcBorders>
          </w:tcPr>
          <w:p w14:paraId="4828BD4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 via Git LFS si volumineux</w:t>
            </w:r>
          </w:p>
        </w:tc>
        <w:tc>
          <w:tcPr>
            <w:tcW w:w="1500" w:type="dxa"/>
            <w:tcBorders>
              <w:top w:val="single" w:sz="4" w:space="0" w:color="000000"/>
              <w:left w:val="single" w:sz="4" w:space="0" w:color="000000"/>
              <w:bottom w:val="single" w:sz="4" w:space="0" w:color="000000"/>
              <w:right w:val="single" w:sz="4" w:space="0" w:color="000000"/>
            </w:tcBorders>
          </w:tcPr>
          <w:p w14:paraId="5DF2D6C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L9</w:t>
            </w:r>
          </w:p>
        </w:tc>
        <w:tc>
          <w:tcPr>
            <w:tcW w:w="1360" w:type="dxa"/>
            <w:tcBorders>
              <w:top w:val="single" w:sz="4" w:space="0" w:color="000000"/>
              <w:left w:val="single" w:sz="4" w:space="0" w:color="000000"/>
              <w:bottom w:val="single" w:sz="4" w:space="0" w:color="000000"/>
              <w:right w:val="single" w:sz="4" w:space="0" w:color="000000"/>
            </w:tcBorders>
          </w:tcPr>
          <w:p w14:paraId="4826D67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 et empreinte</w:t>
            </w:r>
          </w:p>
        </w:tc>
      </w:tr>
      <w:tr w:rsidR="00F50D70" w:rsidRPr="00BE4F47" w14:paraId="0BAB68C4"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1371197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Résultats d’essais</w:t>
            </w:r>
          </w:p>
        </w:tc>
        <w:tc>
          <w:tcPr>
            <w:tcW w:w="2700" w:type="dxa"/>
            <w:tcBorders>
              <w:top w:val="single" w:sz="4" w:space="0" w:color="000000"/>
              <w:left w:val="single" w:sz="4" w:space="0" w:color="000000"/>
              <w:bottom w:val="single" w:sz="4" w:space="0" w:color="000000"/>
              <w:right w:val="single" w:sz="4" w:space="0" w:color="000000"/>
            </w:tcBorders>
          </w:tcPr>
          <w:p w14:paraId="74EAE37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Journaux, mesures, rapports de couverture</w:t>
            </w:r>
          </w:p>
        </w:tc>
        <w:tc>
          <w:tcPr>
            <w:tcW w:w="1900" w:type="dxa"/>
            <w:tcBorders>
              <w:top w:val="single" w:sz="4" w:space="0" w:color="000000"/>
              <w:left w:val="single" w:sz="4" w:space="0" w:color="000000"/>
              <w:bottom w:val="single" w:sz="4" w:space="0" w:color="000000"/>
              <w:right w:val="single" w:sz="4" w:space="0" w:color="000000"/>
            </w:tcBorders>
          </w:tcPr>
          <w:p w14:paraId="7225220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w:t>
            </w:r>
          </w:p>
        </w:tc>
        <w:tc>
          <w:tcPr>
            <w:tcW w:w="1500" w:type="dxa"/>
            <w:tcBorders>
              <w:top w:val="single" w:sz="4" w:space="0" w:color="000000"/>
              <w:left w:val="single" w:sz="4" w:space="0" w:color="000000"/>
              <w:bottom w:val="single" w:sz="4" w:space="0" w:color="000000"/>
              <w:right w:val="single" w:sz="4" w:space="0" w:color="000000"/>
            </w:tcBorders>
          </w:tcPr>
          <w:p w14:paraId="1597194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L9</w:t>
            </w:r>
          </w:p>
        </w:tc>
        <w:tc>
          <w:tcPr>
            <w:tcW w:w="1360" w:type="dxa"/>
            <w:tcBorders>
              <w:top w:val="single" w:sz="4" w:space="0" w:color="000000"/>
              <w:left w:val="single" w:sz="4" w:space="0" w:color="000000"/>
              <w:bottom w:val="single" w:sz="4" w:space="0" w:color="000000"/>
              <w:right w:val="single" w:sz="4" w:space="0" w:color="000000"/>
            </w:tcBorders>
          </w:tcPr>
          <w:p w14:paraId="60B144D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 et étiquette</w:t>
            </w:r>
          </w:p>
        </w:tc>
      </w:tr>
      <w:tr w:rsidR="00F50D70" w:rsidRPr="00BE4F47" w14:paraId="7E320C83"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49DEED8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Références bibliographiques</w:t>
            </w:r>
          </w:p>
        </w:tc>
        <w:tc>
          <w:tcPr>
            <w:tcW w:w="2700" w:type="dxa"/>
            <w:tcBorders>
              <w:top w:val="single" w:sz="4" w:space="0" w:color="000000"/>
              <w:left w:val="single" w:sz="4" w:space="0" w:color="000000"/>
              <w:bottom w:val="single" w:sz="4" w:space="0" w:color="000000"/>
              <w:right w:val="single" w:sz="4" w:space="0" w:color="000000"/>
            </w:tcBorders>
          </w:tcPr>
          <w:p w14:paraId="084C764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Bibliothèque des sources citées dans les onze sections</w:t>
            </w:r>
          </w:p>
        </w:tc>
        <w:tc>
          <w:tcPr>
            <w:tcW w:w="1900" w:type="dxa"/>
            <w:tcBorders>
              <w:top w:val="single" w:sz="4" w:space="0" w:color="000000"/>
              <w:left w:val="single" w:sz="4" w:space="0" w:color="000000"/>
              <w:bottom w:val="single" w:sz="4" w:space="0" w:color="000000"/>
              <w:right w:val="single" w:sz="4" w:space="0" w:color="000000"/>
            </w:tcBorders>
          </w:tcPr>
          <w:p w14:paraId="7862F1E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Zotero, avec export déposé au dépôt</w:t>
            </w:r>
          </w:p>
        </w:tc>
        <w:tc>
          <w:tcPr>
            <w:tcW w:w="1500" w:type="dxa"/>
            <w:tcBorders>
              <w:top w:val="single" w:sz="4" w:space="0" w:color="000000"/>
              <w:left w:val="single" w:sz="4" w:space="0" w:color="000000"/>
              <w:bottom w:val="single" w:sz="4" w:space="0" w:color="000000"/>
              <w:right w:val="single" w:sz="4" w:space="0" w:color="000000"/>
            </w:tcBorders>
          </w:tcPr>
          <w:p w14:paraId="06E8641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tc>
        <w:tc>
          <w:tcPr>
            <w:tcW w:w="1360" w:type="dxa"/>
            <w:tcBorders>
              <w:top w:val="single" w:sz="4" w:space="0" w:color="000000"/>
              <w:left w:val="single" w:sz="4" w:space="0" w:color="000000"/>
              <w:bottom w:val="single" w:sz="4" w:space="0" w:color="000000"/>
              <w:right w:val="single" w:sz="4" w:space="0" w:color="000000"/>
            </w:tcBorders>
          </w:tcPr>
          <w:p w14:paraId="1C54D9B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Export daté</w:t>
            </w:r>
          </w:p>
        </w:tc>
      </w:tr>
      <w:tr w:rsidR="00F50D70" w:rsidRPr="00BE4F47" w14:paraId="1AFB3BC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6116EA2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Suivi des tâches et des risques</w:t>
            </w:r>
          </w:p>
        </w:tc>
        <w:tc>
          <w:tcPr>
            <w:tcW w:w="2700" w:type="dxa"/>
            <w:tcBorders>
              <w:top w:val="single" w:sz="4" w:space="0" w:color="000000"/>
              <w:left w:val="single" w:sz="4" w:space="0" w:color="000000"/>
              <w:bottom w:val="single" w:sz="4" w:space="0" w:color="000000"/>
              <w:right w:val="single" w:sz="4" w:space="0" w:color="000000"/>
            </w:tcBorders>
          </w:tcPr>
          <w:p w14:paraId="4722086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Éléments de travail, affectations, listes de vérification</w:t>
            </w:r>
          </w:p>
        </w:tc>
        <w:tc>
          <w:tcPr>
            <w:tcW w:w="1900" w:type="dxa"/>
            <w:tcBorders>
              <w:top w:val="single" w:sz="4" w:space="0" w:color="000000"/>
              <w:left w:val="single" w:sz="4" w:space="0" w:color="000000"/>
              <w:bottom w:val="single" w:sz="4" w:space="0" w:color="000000"/>
              <w:right w:val="single" w:sz="4" w:space="0" w:color="000000"/>
            </w:tcBorders>
          </w:tcPr>
          <w:p w14:paraId="7FA830C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GitHub Projects et issues</w:t>
            </w:r>
          </w:p>
        </w:tc>
        <w:tc>
          <w:tcPr>
            <w:tcW w:w="1500" w:type="dxa"/>
            <w:tcBorders>
              <w:top w:val="single" w:sz="4" w:space="0" w:color="000000"/>
              <w:left w:val="single" w:sz="4" w:space="0" w:color="000000"/>
              <w:bottom w:val="single" w:sz="4" w:space="0" w:color="000000"/>
              <w:right w:val="single" w:sz="4" w:space="0" w:color="000000"/>
            </w:tcBorders>
          </w:tcPr>
          <w:p w14:paraId="72641D5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tc>
        <w:tc>
          <w:tcPr>
            <w:tcW w:w="1360" w:type="dxa"/>
            <w:tcBorders>
              <w:top w:val="single" w:sz="4" w:space="0" w:color="000000"/>
              <w:left w:val="single" w:sz="4" w:space="0" w:color="000000"/>
              <w:bottom w:val="single" w:sz="4" w:space="0" w:color="000000"/>
              <w:right w:val="single" w:sz="4" w:space="0" w:color="000000"/>
            </w:tcBorders>
          </w:tcPr>
          <w:p w14:paraId="05C6140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Journal des issues</w:t>
            </w:r>
          </w:p>
        </w:tc>
      </w:tr>
      <w:tr w:rsidR="00F50D70" w:rsidRPr="00BE4F47" w14:paraId="0881EFA7"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3330A54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Comptes rendus</w:t>
            </w:r>
          </w:p>
        </w:tc>
        <w:tc>
          <w:tcPr>
            <w:tcW w:w="2700" w:type="dxa"/>
            <w:tcBorders>
              <w:top w:val="single" w:sz="4" w:space="0" w:color="000000"/>
              <w:left w:val="single" w:sz="4" w:space="0" w:color="000000"/>
              <w:bottom w:val="single" w:sz="4" w:space="0" w:color="000000"/>
              <w:right w:val="single" w:sz="4" w:space="0" w:color="000000"/>
            </w:tcBorders>
          </w:tcPr>
          <w:p w14:paraId="6C41247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Minutes de laboratoire et d’atelier</w:t>
            </w:r>
          </w:p>
        </w:tc>
        <w:tc>
          <w:tcPr>
            <w:tcW w:w="1900" w:type="dxa"/>
            <w:tcBorders>
              <w:top w:val="single" w:sz="4" w:space="0" w:color="000000"/>
              <w:left w:val="single" w:sz="4" w:space="0" w:color="000000"/>
              <w:bottom w:val="single" w:sz="4" w:space="0" w:color="000000"/>
              <w:right w:val="single" w:sz="4" w:space="0" w:color="000000"/>
            </w:tcBorders>
          </w:tcPr>
          <w:p w14:paraId="1A204E8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 dossier comptes-rendus/</w:t>
            </w:r>
          </w:p>
        </w:tc>
        <w:tc>
          <w:tcPr>
            <w:tcW w:w="1500" w:type="dxa"/>
            <w:tcBorders>
              <w:top w:val="single" w:sz="4" w:space="0" w:color="000000"/>
              <w:left w:val="single" w:sz="4" w:space="0" w:color="000000"/>
              <w:bottom w:val="single" w:sz="4" w:space="0" w:color="000000"/>
              <w:right w:val="single" w:sz="4" w:space="0" w:color="000000"/>
            </w:tcBorders>
          </w:tcPr>
          <w:p w14:paraId="6472845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Secrétaire de séance</w:t>
            </w:r>
          </w:p>
        </w:tc>
        <w:tc>
          <w:tcPr>
            <w:tcW w:w="1360" w:type="dxa"/>
            <w:tcBorders>
              <w:top w:val="single" w:sz="4" w:space="0" w:color="000000"/>
              <w:left w:val="single" w:sz="4" w:space="0" w:color="000000"/>
              <w:bottom w:val="single" w:sz="4" w:space="0" w:color="000000"/>
              <w:right w:val="single" w:sz="4" w:space="0" w:color="000000"/>
            </w:tcBorders>
          </w:tcPr>
          <w:p w14:paraId="184ACC0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Git</w:t>
            </w:r>
          </w:p>
        </w:tc>
      </w:tr>
      <w:tr w:rsidR="00F50D70" w:rsidRPr="00BE4F47" w14:paraId="4A7B557B"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7BD39B9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Environnement d’exécution</w:t>
            </w:r>
          </w:p>
        </w:tc>
        <w:tc>
          <w:tcPr>
            <w:tcW w:w="2700" w:type="dxa"/>
            <w:tcBorders>
              <w:top w:val="single" w:sz="4" w:space="0" w:color="000000"/>
              <w:left w:val="single" w:sz="4" w:space="0" w:color="000000"/>
              <w:bottom w:val="single" w:sz="4" w:space="0" w:color="000000"/>
              <w:right w:val="single" w:sz="4" w:space="0" w:color="000000"/>
            </w:tcBorders>
          </w:tcPr>
          <w:p w14:paraId="00055D2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Versions des bibliothèques employées pour les essais</w:t>
            </w:r>
          </w:p>
        </w:tc>
        <w:tc>
          <w:tcPr>
            <w:tcW w:w="1900" w:type="dxa"/>
            <w:tcBorders>
              <w:top w:val="single" w:sz="4" w:space="0" w:color="000000"/>
              <w:left w:val="single" w:sz="4" w:space="0" w:color="000000"/>
              <w:bottom w:val="single" w:sz="4" w:space="0" w:color="000000"/>
              <w:right w:val="single" w:sz="4" w:space="0" w:color="000000"/>
            </w:tcBorders>
          </w:tcPr>
          <w:p w14:paraId="68D384E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Image Docker étiquetée, fichier au dépôt</w:t>
            </w:r>
          </w:p>
        </w:tc>
        <w:tc>
          <w:tcPr>
            <w:tcW w:w="1500" w:type="dxa"/>
            <w:tcBorders>
              <w:top w:val="single" w:sz="4" w:space="0" w:color="000000"/>
              <w:left w:val="single" w:sz="4" w:space="0" w:color="000000"/>
              <w:bottom w:val="single" w:sz="4" w:space="0" w:color="000000"/>
              <w:right w:val="single" w:sz="4" w:space="0" w:color="000000"/>
            </w:tcBorders>
          </w:tcPr>
          <w:p w14:paraId="159E3C5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L6</w:t>
            </w:r>
          </w:p>
        </w:tc>
        <w:tc>
          <w:tcPr>
            <w:tcW w:w="1360" w:type="dxa"/>
            <w:tcBorders>
              <w:top w:val="single" w:sz="4" w:space="0" w:color="000000"/>
              <w:left w:val="single" w:sz="4" w:space="0" w:color="000000"/>
              <w:bottom w:val="single" w:sz="4" w:space="0" w:color="000000"/>
              <w:right w:val="single" w:sz="4" w:space="0" w:color="000000"/>
            </w:tcBorders>
          </w:tcPr>
          <w:p w14:paraId="727D42D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Étiquette</w:t>
            </w:r>
          </w:p>
        </w:tc>
      </w:tr>
    </w:tbl>
    <w:p w14:paraId="788B1BE2" w14:textId="77777777" w:rsidR="00F50D70" w:rsidRPr="00BE4F47" w:rsidRDefault="00F50D70" w:rsidP="008E113B">
      <w:pPr>
        <w:spacing w:line="360" w:lineRule="auto"/>
        <w:ind w:left="360"/>
        <w:rPr>
          <w:rFonts w:ascii="Aptos" w:hAnsi="Aptos"/>
        </w:rPr>
      </w:pPr>
    </w:p>
    <w:p w14:paraId="0BB9A2E4" w14:textId="77777777" w:rsidR="00F50D70" w:rsidRPr="00BE4F47" w:rsidRDefault="00000000" w:rsidP="008E113B">
      <w:pPr>
        <w:spacing w:after="130" w:line="360" w:lineRule="auto"/>
        <w:ind w:left="0"/>
        <w:rPr>
          <w:rFonts w:ascii="Aptos" w:eastAsia="Calibri" w:hAnsi="Aptos" w:cs="Calibri"/>
          <w:color w:val="1A1A19"/>
          <w:sz w:val="20"/>
          <w:szCs w:val="20"/>
        </w:rPr>
      </w:pPr>
      <w:r w:rsidRPr="00BE4F47">
        <w:rPr>
          <w:rFonts w:ascii="Aptos" w:eastAsia="Calibri" w:hAnsi="Aptos" w:cs="Calibri"/>
          <w:color w:val="1A1A19"/>
          <w:sz w:val="20"/>
          <w:szCs w:val="20"/>
        </w:rPr>
        <w:t>Tout est au même endroit. Un seul dépôt contient la totalité de ce que le projet produit, à l’exception de la bibliothèque Zotero, dont un export est déposé au dépôt à chaque jalon.</w:t>
      </w:r>
    </w:p>
    <w:p w14:paraId="6BAACCFB" w14:textId="77777777" w:rsidR="00F50D70" w:rsidRPr="00BE4F47" w:rsidRDefault="00000000" w:rsidP="008E113B">
      <w:pPr>
        <w:spacing w:after="130" w:line="360" w:lineRule="auto"/>
        <w:ind w:left="0"/>
        <w:rPr>
          <w:rFonts w:ascii="Aptos" w:eastAsia="Calibri" w:hAnsi="Aptos" w:cs="Calibri"/>
          <w:color w:val="1A1A19"/>
          <w:sz w:val="20"/>
          <w:szCs w:val="20"/>
        </w:rPr>
      </w:pPr>
      <w:r w:rsidRPr="00BE4F47">
        <w:rPr>
          <w:rFonts w:ascii="Aptos" w:eastAsia="Calibri" w:hAnsi="Aptos" w:cs="Calibri"/>
          <w:color w:val="1A1A19"/>
          <w:sz w:val="20"/>
          <w:szCs w:val="20"/>
        </w:rPr>
        <w:t>Les notes personnelles des membres ne font pas partie des informations du projet et ne sont pas déposées.</w:t>
      </w:r>
    </w:p>
    <w:p w14:paraId="1286B651" w14:textId="77777777" w:rsidR="00F50D70" w:rsidRPr="00BE4F47" w:rsidRDefault="00F50D70" w:rsidP="008E113B">
      <w:pPr>
        <w:spacing w:line="360" w:lineRule="auto"/>
        <w:ind w:left="360"/>
        <w:rPr>
          <w:rFonts w:ascii="Aptos" w:hAnsi="Aptos"/>
        </w:rPr>
      </w:pPr>
    </w:p>
    <w:p w14:paraId="550D0217" w14:textId="77777777" w:rsidR="00F50D70" w:rsidRPr="00136F18" w:rsidRDefault="00000000" w:rsidP="008E113B">
      <w:pPr>
        <w:pStyle w:val="Titre2"/>
        <w:spacing w:line="360" w:lineRule="auto"/>
      </w:pPr>
      <w:r w:rsidRPr="00136F18">
        <w:t>Outils retenus</w:t>
      </w:r>
    </w:p>
    <w:p w14:paraId="6F15FCD3"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GitHub fournit la plupart des mécanismes. Les autres outils proviennent de la décision d’outillage de la section 8.</w:t>
      </w:r>
    </w:p>
    <w:p w14:paraId="39912E01" w14:textId="77777777" w:rsidR="00F50D70" w:rsidRPr="00BE4F47" w:rsidRDefault="00000000" w:rsidP="008E113B">
      <w:pPr>
        <w:pStyle w:val="Lgende"/>
        <w:spacing w:line="360" w:lineRule="auto"/>
        <w:rPr>
          <w:rFonts w:ascii="Aptos" w:hAnsi="Aptos"/>
        </w:rPr>
      </w:pPr>
      <w:r w:rsidRPr="00BE4F47">
        <w:rPr>
          <w:rFonts w:ascii="Aptos" w:hAnsi="Aptos"/>
        </w:rPr>
        <w:t>Tableau 4-2. Mécanismes de gestion et outil correspondant</w:t>
      </w:r>
    </w:p>
    <w:tbl>
      <w:tblPr>
        <w:tblW w:w="9337" w:type="dxa"/>
        <w:tblLayout w:type="fixed"/>
        <w:tblCellMar>
          <w:top w:w="55" w:type="dxa"/>
          <w:left w:w="85" w:type="dxa"/>
          <w:bottom w:w="55" w:type="dxa"/>
          <w:right w:w="85" w:type="dxa"/>
        </w:tblCellMar>
        <w:tblLook w:val="04A0" w:firstRow="1" w:lastRow="0" w:firstColumn="1" w:lastColumn="0" w:noHBand="0" w:noVBand="1"/>
      </w:tblPr>
      <w:tblGrid>
        <w:gridCol w:w="2594"/>
        <w:gridCol w:w="3391"/>
        <w:gridCol w:w="3352"/>
      </w:tblGrid>
      <w:tr w:rsidR="00F50D70" w:rsidRPr="00BE4F47" w14:paraId="72A60E30" w14:textId="77777777" w:rsidTr="0036725C">
        <w:trPr>
          <w:tblHeader/>
        </w:trPr>
        <w:tc>
          <w:tcPr>
            <w:tcW w:w="259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19E9FE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Mécanisme</w:t>
            </w:r>
          </w:p>
        </w:tc>
        <w:tc>
          <w:tcPr>
            <w:tcW w:w="339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D68211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Outil GitHub ou autre</w:t>
            </w:r>
          </w:p>
        </w:tc>
        <w:tc>
          <w:tcPr>
            <w:tcW w:w="335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ECABC4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Ce que cela apporte</w:t>
            </w:r>
          </w:p>
        </w:tc>
      </w:tr>
      <w:tr w:rsidR="00F50D70" w:rsidRPr="00BE4F47" w14:paraId="48CEEB08"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677B475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Historique et sauvegarde</w:t>
            </w:r>
          </w:p>
        </w:tc>
        <w:tc>
          <w:tcPr>
            <w:tcW w:w="3391" w:type="dxa"/>
            <w:tcBorders>
              <w:top w:val="single" w:sz="4" w:space="0" w:color="000000"/>
              <w:left w:val="single" w:sz="4" w:space="0" w:color="000000"/>
              <w:bottom w:val="single" w:sz="4" w:space="0" w:color="000000"/>
              <w:right w:val="single" w:sz="4" w:space="0" w:color="000000"/>
            </w:tcBorders>
          </w:tcPr>
          <w:p w14:paraId="7F6CB0D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 hébergé sur GitHub</w:t>
            </w:r>
          </w:p>
        </w:tc>
        <w:tc>
          <w:tcPr>
            <w:tcW w:w="3352" w:type="dxa"/>
            <w:tcBorders>
              <w:top w:val="single" w:sz="4" w:space="0" w:color="000000"/>
              <w:left w:val="single" w:sz="4" w:space="0" w:color="000000"/>
              <w:bottom w:val="single" w:sz="4" w:space="0" w:color="000000"/>
              <w:right w:val="single" w:sz="4" w:space="0" w:color="000000"/>
            </w:tcBorders>
          </w:tcPr>
          <w:p w14:paraId="07C918F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Chaque modification est datée et attribuée. Chaque membre détient une copie locale complète.</w:t>
            </w:r>
          </w:p>
        </w:tc>
      </w:tr>
      <w:tr w:rsidR="00F50D70" w:rsidRPr="00BE4F47" w14:paraId="5440650F"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451B7A0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Revue avant intégration</w:t>
            </w:r>
          </w:p>
        </w:tc>
        <w:tc>
          <w:tcPr>
            <w:tcW w:w="3391" w:type="dxa"/>
            <w:tcBorders>
              <w:top w:val="single" w:sz="4" w:space="0" w:color="000000"/>
              <w:left w:val="single" w:sz="4" w:space="0" w:color="000000"/>
              <w:bottom w:val="single" w:sz="4" w:space="0" w:color="000000"/>
              <w:right w:val="single" w:sz="4" w:space="0" w:color="000000"/>
            </w:tcBorders>
          </w:tcPr>
          <w:p w14:paraId="4A26575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Demande de tirage (pull request)</w:t>
            </w:r>
          </w:p>
        </w:tc>
        <w:tc>
          <w:tcPr>
            <w:tcW w:w="3352" w:type="dxa"/>
            <w:tcBorders>
              <w:top w:val="single" w:sz="4" w:space="0" w:color="000000"/>
              <w:left w:val="single" w:sz="4" w:space="0" w:color="000000"/>
              <w:bottom w:val="single" w:sz="4" w:space="0" w:color="000000"/>
              <w:right w:val="single" w:sz="4" w:space="0" w:color="000000"/>
            </w:tcBorders>
          </w:tcPr>
          <w:p w14:paraId="3BF229F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changement est lu avant d’entrer dans la branche principale.</w:t>
            </w:r>
          </w:p>
        </w:tc>
      </w:tr>
      <w:tr w:rsidR="00F50D70" w:rsidRPr="00BE4F47" w14:paraId="72A1F962"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4571CE1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Désignation du relecteur</w:t>
            </w:r>
          </w:p>
        </w:tc>
        <w:tc>
          <w:tcPr>
            <w:tcW w:w="3391" w:type="dxa"/>
            <w:tcBorders>
              <w:top w:val="single" w:sz="4" w:space="0" w:color="000000"/>
              <w:left w:val="single" w:sz="4" w:space="0" w:color="000000"/>
              <w:bottom w:val="single" w:sz="4" w:space="0" w:color="000000"/>
              <w:right w:val="single" w:sz="4" w:space="0" w:color="000000"/>
            </w:tcBorders>
          </w:tcPr>
          <w:p w14:paraId="39FCE3F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Fichier CODEOWNERS</w:t>
            </w:r>
          </w:p>
        </w:tc>
        <w:tc>
          <w:tcPr>
            <w:tcW w:w="3352" w:type="dxa"/>
            <w:tcBorders>
              <w:top w:val="single" w:sz="4" w:space="0" w:color="000000"/>
              <w:left w:val="single" w:sz="4" w:space="0" w:color="000000"/>
              <w:bottom w:val="single" w:sz="4" w:space="0" w:color="000000"/>
              <w:right w:val="single" w:sz="4" w:space="0" w:color="000000"/>
            </w:tcBorders>
          </w:tcPr>
          <w:p w14:paraId="35C21B6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relecteur de chaque dossier est déclaré une fois, puis assigné automatiquement.</w:t>
            </w:r>
          </w:p>
        </w:tc>
      </w:tr>
      <w:tr w:rsidR="00F50D70" w:rsidRPr="00BE4F47" w14:paraId="795EE27C"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4AE922E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Interdiction de fusionner son propre travail</w:t>
            </w:r>
          </w:p>
        </w:tc>
        <w:tc>
          <w:tcPr>
            <w:tcW w:w="3391" w:type="dxa"/>
            <w:tcBorders>
              <w:top w:val="single" w:sz="4" w:space="0" w:color="000000"/>
              <w:left w:val="single" w:sz="4" w:space="0" w:color="000000"/>
              <w:bottom w:val="single" w:sz="4" w:space="0" w:color="000000"/>
              <w:right w:val="single" w:sz="4" w:space="0" w:color="000000"/>
            </w:tcBorders>
          </w:tcPr>
          <w:p w14:paraId="6CEDE7E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Protection de la branche principale</w:t>
            </w:r>
          </w:p>
        </w:tc>
        <w:tc>
          <w:tcPr>
            <w:tcW w:w="3352" w:type="dxa"/>
            <w:tcBorders>
              <w:top w:val="single" w:sz="4" w:space="0" w:color="000000"/>
              <w:left w:val="single" w:sz="4" w:space="0" w:color="000000"/>
              <w:bottom w:val="single" w:sz="4" w:space="0" w:color="000000"/>
              <w:right w:val="single" w:sz="4" w:space="0" w:color="000000"/>
            </w:tcBorders>
          </w:tcPr>
          <w:p w14:paraId="7DE5F11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règle est appliquée par la plateforme et non par la bonne volonté de chacun.</w:t>
            </w:r>
          </w:p>
        </w:tc>
      </w:tr>
      <w:tr w:rsidR="00F50D70" w:rsidRPr="00BE4F47" w14:paraId="76E1CA5D"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482394E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Liste de vérification</w:t>
            </w:r>
          </w:p>
        </w:tc>
        <w:tc>
          <w:tcPr>
            <w:tcW w:w="3391" w:type="dxa"/>
            <w:tcBorders>
              <w:top w:val="single" w:sz="4" w:space="0" w:color="000000"/>
              <w:left w:val="single" w:sz="4" w:space="0" w:color="000000"/>
              <w:bottom w:val="single" w:sz="4" w:space="0" w:color="000000"/>
              <w:right w:val="single" w:sz="4" w:space="0" w:color="000000"/>
            </w:tcBorders>
          </w:tcPr>
          <w:p w14:paraId="1813298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Gabarit de demande de tirage</w:t>
            </w:r>
          </w:p>
        </w:tc>
        <w:tc>
          <w:tcPr>
            <w:tcW w:w="3352" w:type="dxa"/>
            <w:tcBorders>
              <w:top w:val="single" w:sz="4" w:space="0" w:color="000000"/>
              <w:left w:val="single" w:sz="4" w:space="0" w:color="000000"/>
              <w:bottom w:val="single" w:sz="4" w:space="0" w:color="000000"/>
              <w:right w:val="single" w:sz="4" w:space="0" w:color="000000"/>
            </w:tcBorders>
          </w:tcPr>
          <w:p w14:paraId="322CAC7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six points apparaissent automatiquement à chaque demande.</w:t>
            </w:r>
          </w:p>
        </w:tc>
      </w:tr>
      <w:tr w:rsidR="00F50D70" w:rsidRPr="00BE4F47" w14:paraId="6D7948E0"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4F1D504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Suivi des tâches</w:t>
            </w:r>
          </w:p>
        </w:tc>
        <w:tc>
          <w:tcPr>
            <w:tcW w:w="3391" w:type="dxa"/>
            <w:tcBorders>
              <w:top w:val="single" w:sz="4" w:space="0" w:color="000000"/>
              <w:left w:val="single" w:sz="4" w:space="0" w:color="000000"/>
              <w:bottom w:val="single" w:sz="4" w:space="0" w:color="000000"/>
              <w:right w:val="single" w:sz="4" w:space="0" w:color="000000"/>
            </w:tcBorders>
          </w:tcPr>
          <w:p w14:paraId="329D0B8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GitHub Projects et issues</w:t>
            </w:r>
          </w:p>
        </w:tc>
        <w:tc>
          <w:tcPr>
            <w:tcW w:w="3352" w:type="dxa"/>
            <w:tcBorders>
              <w:top w:val="single" w:sz="4" w:space="0" w:color="000000"/>
              <w:left w:val="single" w:sz="4" w:space="0" w:color="000000"/>
              <w:bottom w:val="single" w:sz="4" w:space="0" w:color="000000"/>
              <w:right w:val="single" w:sz="4" w:space="0" w:color="000000"/>
            </w:tcBorders>
          </w:tcPr>
          <w:p w14:paraId="4DD1320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 élément de travail par tâche, rattaché à un jalon et à un lot.</w:t>
            </w:r>
          </w:p>
        </w:tc>
      </w:tr>
      <w:tr w:rsidR="00F50D70" w:rsidRPr="00BE4F47" w14:paraId="28BC70EE"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60EDAFC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Jalons</w:t>
            </w:r>
          </w:p>
        </w:tc>
        <w:tc>
          <w:tcPr>
            <w:tcW w:w="3391" w:type="dxa"/>
            <w:tcBorders>
              <w:top w:val="single" w:sz="4" w:space="0" w:color="000000"/>
              <w:left w:val="single" w:sz="4" w:space="0" w:color="000000"/>
              <w:bottom w:val="single" w:sz="4" w:space="0" w:color="000000"/>
              <w:right w:val="single" w:sz="4" w:space="0" w:color="000000"/>
            </w:tcBorders>
          </w:tcPr>
          <w:p w14:paraId="197CA56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Milestones GitHub</w:t>
            </w:r>
          </w:p>
        </w:tc>
        <w:tc>
          <w:tcPr>
            <w:tcW w:w="3352" w:type="dxa"/>
            <w:tcBorders>
              <w:top w:val="single" w:sz="4" w:space="0" w:color="000000"/>
              <w:left w:val="single" w:sz="4" w:space="0" w:color="000000"/>
              <w:bottom w:val="single" w:sz="4" w:space="0" w:color="000000"/>
              <w:right w:val="single" w:sz="4" w:space="0" w:color="000000"/>
            </w:tcBorders>
          </w:tcPr>
          <w:p w14:paraId="5DE1566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J0 à J5 déclarés une fois. Chaque issue y est rattachée.</w:t>
            </w:r>
          </w:p>
        </w:tc>
      </w:tr>
      <w:tr w:rsidR="00F50D70" w:rsidRPr="00BE4F47" w14:paraId="3EAF959F"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6045273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Configurations de référence</w:t>
            </w:r>
          </w:p>
        </w:tc>
        <w:tc>
          <w:tcPr>
            <w:tcW w:w="3391" w:type="dxa"/>
            <w:tcBorders>
              <w:top w:val="single" w:sz="4" w:space="0" w:color="000000"/>
              <w:left w:val="single" w:sz="4" w:space="0" w:color="000000"/>
              <w:bottom w:val="single" w:sz="4" w:space="0" w:color="000000"/>
              <w:right w:val="single" w:sz="4" w:space="0" w:color="000000"/>
            </w:tcBorders>
          </w:tcPr>
          <w:p w14:paraId="57FD364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Étiquettes et publications (releases)</w:t>
            </w:r>
          </w:p>
        </w:tc>
        <w:tc>
          <w:tcPr>
            <w:tcW w:w="3352" w:type="dxa"/>
            <w:tcBorders>
              <w:top w:val="single" w:sz="4" w:space="0" w:color="000000"/>
              <w:left w:val="single" w:sz="4" w:space="0" w:color="000000"/>
              <w:bottom w:val="single" w:sz="4" w:space="0" w:color="000000"/>
              <w:right w:val="single" w:sz="4" w:space="0" w:color="000000"/>
            </w:tcBorders>
          </w:tcPr>
          <w:p w14:paraId="2818137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L’état exact du dépôt à chaque jalon est conservé et téléchargeable.</w:t>
            </w:r>
          </w:p>
        </w:tc>
      </w:tr>
      <w:tr w:rsidR="00F50D70" w:rsidRPr="00BE4F47" w14:paraId="468CE520"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710BC2F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Registre des changements</w:t>
            </w:r>
          </w:p>
        </w:tc>
        <w:tc>
          <w:tcPr>
            <w:tcW w:w="3391" w:type="dxa"/>
            <w:tcBorders>
              <w:top w:val="single" w:sz="4" w:space="0" w:color="000000"/>
              <w:left w:val="single" w:sz="4" w:space="0" w:color="000000"/>
              <w:bottom w:val="single" w:sz="4" w:space="0" w:color="000000"/>
              <w:right w:val="single" w:sz="4" w:space="0" w:color="000000"/>
            </w:tcBorders>
          </w:tcPr>
          <w:p w14:paraId="6B442FA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Issues portant l’étiquette changement</w:t>
            </w:r>
          </w:p>
        </w:tc>
        <w:tc>
          <w:tcPr>
            <w:tcW w:w="3352" w:type="dxa"/>
            <w:tcBorders>
              <w:top w:val="single" w:sz="4" w:space="0" w:color="000000"/>
              <w:left w:val="single" w:sz="4" w:space="0" w:color="000000"/>
              <w:bottom w:val="single" w:sz="4" w:space="0" w:color="000000"/>
              <w:right w:val="single" w:sz="4" w:space="0" w:color="000000"/>
            </w:tcBorders>
          </w:tcPr>
          <w:p w14:paraId="31E558D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Toute demande de fonction nouvelle après le jalon J3 y est versée.</w:t>
            </w:r>
          </w:p>
        </w:tc>
      </w:tr>
      <w:tr w:rsidR="00F50D70" w:rsidRPr="00BE4F47" w14:paraId="18330D3C"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263ED3F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Fichiers volumineux</w:t>
            </w:r>
          </w:p>
        </w:tc>
        <w:tc>
          <w:tcPr>
            <w:tcW w:w="3391" w:type="dxa"/>
            <w:tcBorders>
              <w:top w:val="single" w:sz="4" w:space="0" w:color="000000"/>
              <w:left w:val="single" w:sz="4" w:space="0" w:color="000000"/>
              <w:bottom w:val="single" w:sz="4" w:space="0" w:color="000000"/>
              <w:right w:val="single" w:sz="4" w:space="0" w:color="000000"/>
            </w:tcBorders>
          </w:tcPr>
          <w:p w14:paraId="5357892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 LFS</w:t>
            </w:r>
          </w:p>
        </w:tc>
        <w:tc>
          <w:tcPr>
            <w:tcW w:w="3352" w:type="dxa"/>
            <w:tcBorders>
              <w:top w:val="single" w:sz="4" w:space="0" w:color="000000"/>
              <w:left w:val="single" w:sz="4" w:space="0" w:color="000000"/>
              <w:bottom w:val="single" w:sz="4" w:space="0" w:color="000000"/>
              <w:right w:val="single" w:sz="4" w:space="0" w:color="000000"/>
            </w:tcBorders>
          </w:tcPr>
          <w:p w14:paraId="603624E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jeux de données dépassant la limite du dépôt ordinaire y sont stockés.</w:t>
            </w:r>
          </w:p>
        </w:tc>
      </w:tr>
      <w:tr w:rsidR="00F50D70" w:rsidRPr="00BE4F47" w14:paraId="7EC41393"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798F83A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Environnement d’exécution</w:t>
            </w:r>
          </w:p>
        </w:tc>
        <w:tc>
          <w:tcPr>
            <w:tcW w:w="3391" w:type="dxa"/>
            <w:tcBorders>
              <w:top w:val="single" w:sz="4" w:space="0" w:color="000000"/>
              <w:left w:val="single" w:sz="4" w:space="0" w:color="000000"/>
              <w:bottom w:val="single" w:sz="4" w:space="0" w:color="000000"/>
              <w:right w:val="single" w:sz="4" w:space="0" w:color="000000"/>
            </w:tcBorders>
          </w:tcPr>
          <w:p w14:paraId="11BB454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Fichier Docker au dépôt</w:t>
            </w:r>
          </w:p>
        </w:tc>
        <w:tc>
          <w:tcPr>
            <w:tcW w:w="3352" w:type="dxa"/>
            <w:tcBorders>
              <w:top w:val="single" w:sz="4" w:space="0" w:color="000000"/>
              <w:left w:val="single" w:sz="4" w:space="0" w:color="000000"/>
              <w:bottom w:val="single" w:sz="4" w:space="0" w:color="000000"/>
              <w:right w:val="single" w:sz="4" w:space="0" w:color="000000"/>
            </w:tcBorders>
          </w:tcPr>
          <w:p w14:paraId="585CE4D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Fige les versions des bibliothèques employées pour un essai.</w:t>
            </w:r>
          </w:p>
        </w:tc>
      </w:tr>
      <w:tr w:rsidR="00F50D70" w:rsidRPr="00BE4F47" w14:paraId="09EE28E1" w14:textId="77777777">
        <w:trPr>
          <w:cantSplit/>
        </w:trPr>
        <w:tc>
          <w:tcPr>
            <w:tcW w:w="2594" w:type="dxa"/>
            <w:tcBorders>
              <w:top w:val="single" w:sz="4" w:space="0" w:color="000000"/>
              <w:left w:val="single" w:sz="4" w:space="0" w:color="000000"/>
              <w:bottom w:val="single" w:sz="4" w:space="0" w:color="000000"/>
              <w:right w:val="single" w:sz="4" w:space="0" w:color="000000"/>
            </w:tcBorders>
          </w:tcPr>
          <w:p w14:paraId="432FD7D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Références bibliographiques</w:t>
            </w:r>
          </w:p>
        </w:tc>
        <w:tc>
          <w:tcPr>
            <w:tcW w:w="3391" w:type="dxa"/>
            <w:tcBorders>
              <w:top w:val="single" w:sz="4" w:space="0" w:color="000000"/>
              <w:left w:val="single" w:sz="4" w:space="0" w:color="000000"/>
              <w:bottom w:val="single" w:sz="4" w:space="0" w:color="000000"/>
              <w:right w:val="single" w:sz="4" w:space="0" w:color="000000"/>
            </w:tcBorders>
          </w:tcPr>
          <w:p w14:paraId="1D77A95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Zotero, style IEEE</w:t>
            </w:r>
          </w:p>
        </w:tc>
        <w:tc>
          <w:tcPr>
            <w:tcW w:w="3352" w:type="dxa"/>
            <w:tcBorders>
              <w:top w:val="single" w:sz="4" w:space="0" w:color="000000"/>
              <w:left w:val="single" w:sz="4" w:space="0" w:color="000000"/>
              <w:bottom w:val="single" w:sz="4" w:space="0" w:color="000000"/>
              <w:right w:val="single" w:sz="4" w:space="0" w:color="000000"/>
            </w:tcBorders>
          </w:tcPr>
          <w:p w14:paraId="12A974A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Bibliothèque unique tenue par le chargé de projet. Un export est déposé à chaque jalon.</w:t>
            </w:r>
          </w:p>
        </w:tc>
      </w:tr>
    </w:tbl>
    <w:p w14:paraId="10A30846" w14:textId="77777777" w:rsidR="00F50D70" w:rsidRPr="00BE4F47" w:rsidRDefault="00F50D70" w:rsidP="008E113B">
      <w:pPr>
        <w:spacing w:line="360" w:lineRule="auto"/>
        <w:ind w:left="0"/>
        <w:rPr>
          <w:rFonts w:ascii="Aptos" w:hAnsi="Aptos"/>
          <w:lang w:val="fr-FR"/>
        </w:rPr>
      </w:pPr>
    </w:p>
    <w:p w14:paraId="5981124F" w14:textId="77777777" w:rsidR="00F50D70" w:rsidRPr="00BE4F47" w:rsidRDefault="00F50D70" w:rsidP="008E113B">
      <w:pPr>
        <w:spacing w:line="360" w:lineRule="auto"/>
        <w:ind w:left="0"/>
        <w:rPr>
          <w:rFonts w:ascii="Aptos" w:hAnsi="Aptos"/>
          <w:lang w:val="fr-FR"/>
        </w:rPr>
      </w:pPr>
    </w:p>
    <w:p w14:paraId="47A85955" w14:textId="77777777" w:rsidR="00F50D70" w:rsidRPr="00136F18" w:rsidRDefault="00000000" w:rsidP="008E113B">
      <w:pPr>
        <w:pStyle w:val="Titre2"/>
        <w:spacing w:line="360" w:lineRule="auto"/>
      </w:pPr>
      <w:r w:rsidRPr="00136F18">
        <w:t>Flux de travail et revue par les pairs</w:t>
      </w:r>
    </w:p>
    <w:p w14:paraId="2077FCA7"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La branche principale est protégée par la configuration du dépôt. Personne ne peut y écrire directement, pas même le chargé de projet.</w:t>
      </w:r>
    </w:p>
    <w:p w14:paraId="3624664A"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Chaque travail se fait sur une branche dédiée, nommée d’après le lot et l’objet du travail.</w:t>
      </w:r>
    </w:p>
    <w:p w14:paraId="2D74F3A2"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L’intégration passe par une demande de tirage. C’est le point de revue. Le relecteur est désigné automatiquement par le fichier, qui associe chaque dossier à son relecteur selon la rotation du RACI de la section 3.</w:t>
      </w:r>
    </w:p>
    <w:p w14:paraId="7AB36404"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Une issue n’est fermée que par la fusion de la demande de tirage qui la traite. L’auteur ne ferme pas sa propre issue.</w:t>
      </w:r>
    </w:p>
    <w:p w14:paraId="4F10E94F" w14:textId="77777777" w:rsidR="00F50D70" w:rsidRPr="00BE4F47" w:rsidRDefault="00F50D70" w:rsidP="008E113B">
      <w:pPr>
        <w:spacing w:line="360" w:lineRule="auto"/>
        <w:ind w:left="720"/>
        <w:outlineLvl w:val="9"/>
        <w:rPr>
          <w:rFonts w:ascii="Aptos" w:hAnsi="Aptos"/>
        </w:rPr>
      </w:pPr>
    </w:p>
    <w:p w14:paraId="56D35F47" w14:textId="77777777" w:rsidR="00F50D70" w:rsidRPr="00136F18" w:rsidRDefault="00000000" w:rsidP="008E113B">
      <w:pPr>
        <w:pStyle w:val="Titre1"/>
        <w:spacing w:line="360" w:lineRule="auto"/>
      </w:pPr>
      <w:bookmarkStart w:id="23" w:name="__RefHeading___Toc240715125"/>
      <w:bookmarkEnd w:id="23"/>
      <w:r w:rsidRPr="00136F18">
        <w:lastRenderedPageBreak/>
        <w:t>Revue de l’état de l’art</w:t>
      </w:r>
    </w:p>
    <w:p w14:paraId="05FB0FFF"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dispositif de travail étant posé, il reste à savoir ce qui existe déjà. Cette section examine les travaux publiés et les brevets déposés sur les jumeaux numériques en contexte nucléaire, puis situe le projet par rapport à la solution la plus proche.</w:t>
      </w:r>
    </w:p>
    <w:p w14:paraId="0BA15E04" w14:textId="77777777" w:rsidR="00F50D70" w:rsidRPr="00BE4F47" w:rsidRDefault="00000000" w:rsidP="008E113B">
      <w:pPr>
        <w:spacing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La revue de l’état de l’art a pour objet d’établir ce qui existe déjà, d’en mesurer les limites, et de situer le projet par rapport à ces travaux. Elle porte sur les jumeaux numériques appliqués au domaine nucléaire, la modélisation thermohydraulique, la détection d’anomalies, la quantification de l’incertitude, la cybersécurité des systèmes industriels et l’aide à la décision.</w:t>
      </w:r>
    </w:p>
    <w:p w14:paraId="48A071A8" w14:textId="77777777" w:rsidR="00F50D70" w:rsidRPr="00BE4F47" w:rsidRDefault="00F50D70" w:rsidP="008E113B">
      <w:pPr>
        <w:spacing w:line="360" w:lineRule="auto"/>
        <w:ind w:left="0"/>
        <w:rPr>
          <w:rFonts w:ascii="Aptos" w:eastAsia="Calibri" w:hAnsi="Aptos" w:cs="Calibri"/>
          <w:color w:val="1A1A19"/>
          <w:sz w:val="20"/>
          <w:szCs w:val="20"/>
        </w:rPr>
      </w:pPr>
    </w:p>
    <w:p w14:paraId="4E350855" w14:textId="77777777" w:rsidR="00F50D70" w:rsidRPr="00256140" w:rsidRDefault="00000000" w:rsidP="008E113B">
      <w:pPr>
        <w:pStyle w:val="Titre2"/>
        <w:spacing w:line="360" w:lineRule="auto"/>
      </w:pPr>
      <w:r w:rsidRPr="00256140">
        <w:t xml:space="preserve"> </w:t>
      </w:r>
      <w:bookmarkStart w:id="24" w:name="__RefHeading___Toc240715127"/>
      <w:r w:rsidRPr="00256140">
        <w:t>Méthode de recherche</w:t>
      </w:r>
      <w:bookmarkEnd w:id="24"/>
    </w:p>
    <w:p w14:paraId="638D7799"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Une revue n’a de valeur que si elle est reproductible. Le protocole ci-dessous permet à un tiers de refaire la recherche et d’obtenir un résultat comparable.</w:t>
      </w:r>
    </w:p>
    <w:p w14:paraId="453216CD" w14:textId="77777777" w:rsidR="00F50D70" w:rsidRPr="00BE4F47" w:rsidRDefault="00000000" w:rsidP="008E113B">
      <w:pPr>
        <w:pStyle w:val="Lgende"/>
        <w:spacing w:line="360" w:lineRule="auto"/>
        <w:rPr>
          <w:rFonts w:ascii="Aptos" w:hAnsi="Aptos"/>
        </w:rPr>
      </w:pPr>
      <w:r w:rsidRPr="00BE4F47">
        <w:rPr>
          <w:rFonts w:ascii="Aptos" w:hAnsi="Aptos"/>
        </w:rPr>
        <w:t>Tableau 5-1. Protocole de la recherche documentaire</w:t>
      </w:r>
    </w:p>
    <w:tbl>
      <w:tblPr>
        <w:tblW w:w="8353" w:type="dxa"/>
        <w:tblInd w:w="690" w:type="dxa"/>
        <w:tblLayout w:type="fixed"/>
        <w:tblCellMar>
          <w:top w:w="60" w:type="dxa"/>
          <w:left w:w="90" w:type="dxa"/>
          <w:bottom w:w="60" w:type="dxa"/>
          <w:right w:w="90" w:type="dxa"/>
        </w:tblCellMar>
        <w:tblLook w:val="04A0" w:firstRow="1" w:lastRow="0" w:firstColumn="1" w:lastColumn="0" w:noHBand="0" w:noVBand="1"/>
      </w:tblPr>
      <w:tblGrid>
        <w:gridCol w:w="2052"/>
        <w:gridCol w:w="6301"/>
      </w:tblGrid>
      <w:tr w:rsidR="00F50D70" w:rsidRPr="00BE4F47" w14:paraId="5224DEDC" w14:textId="77777777" w:rsidTr="0036725C">
        <w:trPr>
          <w:trHeight w:val="236"/>
          <w:tblHeader/>
        </w:trPr>
        <w:tc>
          <w:tcPr>
            <w:tcW w:w="205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DA197B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Élément</w:t>
            </w:r>
          </w:p>
        </w:tc>
        <w:tc>
          <w:tcPr>
            <w:tcW w:w="630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B46B1E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Valeur</w:t>
            </w:r>
          </w:p>
        </w:tc>
      </w:tr>
      <w:tr w:rsidR="00F50D70" w:rsidRPr="00BE4F47" w14:paraId="27D52EF5" w14:textId="77777777">
        <w:trPr>
          <w:trHeight w:val="254"/>
        </w:trPr>
        <w:tc>
          <w:tcPr>
            <w:tcW w:w="2052" w:type="dxa"/>
            <w:tcBorders>
              <w:top w:val="single" w:sz="4" w:space="0" w:color="000000"/>
              <w:left w:val="single" w:sz="4" w:space="0" w:color="000000"/>
              <w:bottom w:val="single" w:sz="4" w:space="0" w:color="000000"/>
              <w:right w:val="single" w:sz="4" w:space="0" w:color="000000"/>
            </w:tcBorders>
          </w:tcPr>
          <w:p w14:paraId="6B86913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Date de la recherche</w:t>
            </w:r>
          </w:p>
        </w:tc>
        <w:tc>
          <w:tcPr>
            <w:tcW w:w="6301" w:type="dxa"/>
            <w:tcBorders>
              <w:top w:val="single" w:sz="4" w:space="0" w:color="000000"/>
              <w:left w:val="single" w:sz="4" w:space="0" w:color="000000"/>
              <w:bottom w:val="single" w:sz="4" w:space="0" w:color="000000"/>
              <w:right w:val="single" w:sz="4" w:space="0" w:color="000000"/>
            </w:tcBorders>
          </w:tcPr>
          <w:p w14:paraId="247E998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À COMPLÉTER ]</w:t>
            </w:r>
          </w:p>
        </w:tc>
      </w:tr>
      <w:tr w:rsidR="00F50D70" w:rsidRPr="00BE4F47" w14:paraId="40BF8521" w14:textId="77777777">
        <w:trPr>
          <w:trHeight w:val="244"/>
        </w:trPr>
        <w:tc>
          <w:tcPr>
            <w:tcW w:w="2052" w:type="dxa"/>
            <w:tcBorders>
              <w:top w:val="single" w:sz="4" w:space="0" w:color="000000"/>
              <w:left w:val="single" w:sz="4" w:space="0" w:color="000000"/>
              <w:bottom w:val="single" w:sz="4" w:space="0" w:color="000000"/>
              <w:right w:val="single" w:sz="4" w:space="0" w:color="000000"/>
            </w:tcBorders>
          </w:tcPr>
          <w:p w14:paraId="38772F1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Bases interrogées</w:t>
            </w:r>
          </w:p>
        </w:tc>
        <w:tc>
          <w:tcPr>
            <w:tcW w:w="6301" w:type="dxa"/>
            <w:tcBorders>
              <w:top w:val="single" w:sz="4" w:space="0" w:color="000000"/>
              <w:left w:val="single" w:sz="4" w:space="0" w:color="000000"/>
              <w:bottom w:val="single" w:sz="4" w:space="0" w:color="000000"/>
              <w:right w:val="single" w:sz="4" w:space="0" w:color="000000"/>
            </w:tcBorders>
          </w:tcPr>
          <w:p w14:paraId="4F56672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IEEE Xplore, Scopus, Google Scholar, ASME Digital Collection, Google Patents</w:t>
            </w:r>
          </w:p>
        </w:tc>
      </w:tr>
      <w:tr w:rsidR="00F50D70" w:rsidRPr="00BE4F47" w14:paraId="2B792A7C" w14:textId="77777777">
        <w:trPr>
          <w:trHeight w:val="1475"/>
        </w:trPr>
        <w:tc>
          <w:tcPr>
            <w:tcW w:w="2052" w:type="dxa"/>
            <w:tcBorders>
              <w:top w:val="single" w:sz="4" w:space="0" w:color="000000"/>
              <w:left w:val="single" w:sz="4" w:space="0" w:color="000000"/>
              <w:bottom w:val="single" w:sz="4" w:space="0" w:color="000000"/>
              <w:right w:val="single" w:sz="4" w:space="0" w:color="000000"/>
            </w:tcBorders>
          </w:tcPr>
          <w:p w14:paraId="0E630D8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Équations de recherche</w:t>
            </w:r>
          </w:p>
        </w:tc>
        <w:tc>
          <w:tcPr>
            <w:tcW w:w="6301" w:type="dxa"/>
            <w:tcBorders>
              <w:top w:val="single" w:sz="4" w:space="0" w:color="000000"/>
              <w:left w:val="single" w:sz="4" w:space="0" w:color="000000"/>
              <w:bottom w:val="single" w:sz="4" w:space="0" w:color="000000"/>
              <w:right w:val="single" w:sz="4" w:space="0" w:color="000000"/>
            </w:tcBorders>
          </w:tcPr>
          <w:p w14:paraId="090B5D1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digital twin » AND « nuclear »</w:t>
            </w:r>
          </w:p>
          <w:p w14:paraId="13FE51A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digital twin » AND « thermal-hydraulic »</w:t>
            </w:r>
          </w:p>
          <w:p w14:paraId="1E8E826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digital twin » AND « anomaly detection »</w:t>
            </w:r>
          </w:p>
          <w:p w14:paraId="5C2C848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digital twin » AND « uncertainty quantification »</w:t>
            </w:r>
          </w:p>
          <w:p w14:paraId="32E4045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digital twin » AND « SCADA » AND « cybersecurity »</w:t>
            </w:r>
          </w:p>
          <w:p w14:paraId="7087F97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(à confirmer et compléter par l’auteur : les équations réellement employées)</w:t>
            </w:r>
          </w:p>
        </w:tc>
      </w:tr>
      <w:tr w:rsidR="00F50D70" w:rsidRPr="00BE4F47" w14:paraId="449C6C89" w14:textId="77777777">
        <w:trPr>
          <w:trHeight w:val="244"/>
        </w:trPr>
        <w:tc>
          <w:tcPr>
            <w:tcW w:w="2052" w:type="dxa"/>
            <w:tcBorders>
              <w:top w:val="single" w:sz="4" w:space="0" w:color="000000"/>
              <w:left w:val="single" w:sz="4" w:space="0" w:color="000000"/>
              <w:bottom w:val="single" w:sz="4" w:space="0" w:color="000000"/>
              <w:right w:val="single" w:sz="4" w:space="0" w:color="000000"/>
            </w:tcBorders>
          </w:tcPr>
          <w:p w14:paraId="625FA6F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Période couverte</w:t>
            </w:r>
          </w:p>
        </w:tc>
        <w:tc>
          <w:tcPr>
            <w:tcW w:w="6301" w:type="dxa"/>
            <w:tcBorders>
              <w:top w:val="single" w:sz="4" w:space="0" w:color="000000"/>
              <w:left w:val="single" w:sz="4" w:space="0" w:color="000000"/>
              <w:bottom w:val="single" w:sz="4" w:space="0" w:color="000000"/>
              <w:right w:val="single" w:sz="4" w:space="0" w:color="000000"/>
            </w:tcBorders>
          </w:tcPr>
          <w:p w14:paraId="0A96573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2020 à 2026, avec conservation de références antérieures lorsqu’elles sont fondatrices</w:t>
            </w:r>
          </w:p>
        </w:tc>
      </w:tr>
      <w:tr w:rsidR="00F50D70" w:rsidRPr="00BE4F47" w14:paraId="3E68EB82" w14:textId="77777777">
        <w:trPr>
          <w:trHeight w:val="438"/>
        </w:trPr>
        <w:tc>
          <w:tcPr>
            <w:tcW w:w="2052" w:type="dxa"/>
            <w:tcBorders>
              <w:top w:val="single" w:sz="4" w:space="0" w:color="000000"/>
              <w:left w:val="single" w:sz="4" w:space="0" w:color="000000"/>
              <w:bottom w:val="single" w:sz="4" w:space="0" w:color="000000"/>
              <w:right w:val="single" w:sz="4" w:space="0" w:color="000000"/>
            </w:tcBorders>
          </w:tcPr>
          <w:p w14:paraId="3FFCAD4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Critères d’inclusion</w:t>
            </w:r>
          </w:p>
        </w:tc>
        <w:tc>
          <w:tcPr>
            <w:tcW w:w="6301" w:type="dxa"/>
            <w:tcBorders>
              <w:top w:val="single" w:sz="4" w:space="0" w:color="000000"/>
              <w:left w:val="single" w:sz="4" w:space="0" w:color="000000"/>
              <w:bottom w:val="single" w:sz="4" w:space="0" w:color="000000"/>
              <w:right w:val="single" w:sz="4" w:space="0" w:color="000000"/>
            </w:tcBorders>
          </w:tcPr>
          <w:p w14:paraId="5B90005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Pertinence avec un lot technique du projet ; publication dans une revue avec comité de lecture ou par un organisme reconnu ; texte intégral accessible</w:t>
            </w:r>
          </w:p>
        </w:tc>
      </w:tr>
      <w:tr w:rsidR="00F50D70" w:rsidRPr="00BE4F47" w14:paraId="757D0DDF" w14:textId="77777777">
        <w:trPr>
          <w:trHeight w:val="438"/>
        </w:trPr>
        <w:tc>
          <w:tcPr>
            <w:tcW w:w="2052" w:type="dxa"/>
            <w:tcBorders>
              <w:top w:val="single" w:sz="4" w:space="0" w:color="000000"/>
              <w:left w:val="single" w:sz="4" w:space="0" w:color="000000"/>
              <w:bottom w:val="single" w:sz="4" w:space="0" w:color="000000"/>
              <w:right w:val="single" w:sz="4" w:space="0" w:color="000000"/>
            </w:tcBorders>
          </w:tcPr>
          <w:p w14:paraId="5A1FAA0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Critères d’exclusion</w:t>
            </w:r>
          </w:p>
        </w:tc>
        <w:tc>
          <w:tcPr>
            <w:tcW w:w="6301" w:type="dxa"/>
            <w:tcBorders>
              <w:top w:val="single" w:sz="4" w:space="0" w:color="000000"/>
              <w:left w:val="single" w:sz="4" w:space="0" w:color="000000"/>
              <w:bottom w:val="single" w:sz="4" w:space="0" w:color="000000"/>
              <w:right w:val="single" w:sz="4" w:space="0" w:color="000000"/>
            </w:tcBorders>
          </w:tcPr>
          <w:p w14:paraId="0BCA932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Travaux limités à un domaine sans transposition possible ; documents sans méthode explicite ; doublons et préprints dont la version publiée est disponible</w:t>
            </w:r>
          </w:p>
        </w:tc>
      </w:tr>
      <w:tr w:rsidR="00F50D70" w:rsidRPr="00BE4F47" w14:paraId="63FEDF05" w14:textId="77777777">
        <w:trPr>
          <w:trHeight w:val="254"/>
        </w:trPr>
        <w:tc>
          <w:tcPr>
            <w:tcW w:w="2052" w:type="dxa"/>
            <w:tcBorders>
              <w:top w:val="single" w:sz="4" w:space="0" w:color="000000"/>
              <w:left w:val="single" w:sz="4" w:space="0" w:color="000000"/>
              <w:bottom w:val="single" w:sz="4" w:space="0" w:color="000000"/>
              <w:right w:val="single" w:sz="4" w:space="0" w:color="000000"/>
            </w:tcBorders>
          </w:tcPr>
          <w:p w14:paraId="598A0CC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Résultats obtenus</w:t>
            </w:r>
          </w:p>
        </w:tc>
        <w:tc>
          <w:tcPr>
            <w:tcW w:w="6301" w:type="dxa"/>
            <w:tcBorders>
              <w:top w:val="single" w:sz="4" w:space="0" w:color="000000"/>
              <w:left w:val="single" w:sz="4" w:space="0" w:color="000000"/>
              <w:bottom w:val="single" w:sz="4" w:space="0" w:color="000000"/>
              <w:right w:val="single" w:sz="4" w:space="0" w:color="000000"/>
            </w:tcBorders>
          </w:tcPr>
          <w:p w14:paraId="20186C4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 À COMPLÉTER : nombre total de résultats ] ]</w:t>
            </w:r>
          </w:p>
        </w:tc>
      </w:tr>
      <w:tr w:rsidR="00F50D70" w:rsidRPr="00BE4F47" w14:paraId="5173C0F2" w14:textId="77777777">
        <w:trPr>
          <w:trHeight w:val="438"/>
        </w:trPr>
        <w:tc>
          <w:tcPr>
            <w:tcW w:w="2052" w:type="dxa"/>
            <w:tcBorders>
              <w:top w:val="single" w:sz="4" w:space="0" w:color="000000"/>
              <w:left w:val="single" w:sz="4" w:space="0" w:color="000000"/>
              <w:bottom w:val="single" w:sz="4" w:space="0" w:color="000000"/>
              <w:right w:val="single" w:sz="4" w:space="0" w:color="000000"/>
            </w:tcBorders>
          </w:tcPr>
          <w:p w14:paraId="43BEACF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Retenus après lecture du résumé</w:t>
            </w:r>
          </w:p>
        </w:tc>
        <w:tc>
          <w:tcPr>
            <w:tcW w:w="6301" w:type="dxa"/>
            <w:tcBorders>
              <w:top w:val="single" w:sz="4" w:space="0" w:color="000000"/>
              <w:left w:val="single" w:sz="4" w:space="0" w:color="000000"/>
              <w:bottom w:val="single" w:sz="4" w:space="0" w:color="000000"/>
              <w:right w:val="single" w:sz="4" w:space="0" w:color="000000"/>
            </w:tcBorders>
          </w:tcPr>
          <w:p w14:paraId="04FF4E8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À COMPLÉTER</w:t>
            </w:r>
          </w:p>
        </w:tc>
      </w:tr>
      <w:tr w:rsidR="00F50D70" w:rsidRPr="00BE4F47" w14:paraId="59235624" w14:textId="77777777">
        <w:trPr>
          <w:trHeight w:val="254"/>
        </w:trPr>
        <w:tc>
          <w:tcPr>
            <w:tcW w:w="2052" w:type="dxa"/>
            <w:tcBorders>
              <w:top w:val="single" w:sz="4" w:space="0" w:color="000000"/>
              <w:left w:val="single" w:sz="4" w:space="0" w:color="000000"/>
              <w:bottom w:val="single" w:sz="4" w:space="0" w:color="000000"/>
              <w:right w:val="single" w:sz="4" w:space="0" w:color="000000"/>
            </w:tcBorders>
          </w:tcPr>
          <w:p w14:paraId="60BDD71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Retenus après lecture intégrale</w:t>
            </w:r>
          </w:p>
        </w:tc>
        <w:tc>
          <w:tcPr>
            <w:tcW w:w="6301" w:type="dxa"/>
            <w:tcBorders>
              <w:top w:val="single" w:sz="4" w:space="0" w:color="000000"/>
              <w:left w:val="single" w:sz="4" w:space="0" w:color="000000"/>
              <w:bottom w:val="single" w:sz="4" w:space="0" w:color="000000"/>
              <w:right w:val="single" w:sz="4" w:space="0" w:color="000000"/>
            </w:tcBorders>
          </w:tcPr>
          <w:p w14:paraId="6DF1324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 articles et 5 brevets</w:t>
            </w:r>
          </w:p>
        </w:tc>
      </w:tr>
    </w:tbl>
    <w:p w14:paraId="3BAC7653" w14:textId="77777777" w:rsidR="00F50D70" w:rsidRPr="00BE4F47" w:rsidRDefault="00F50D70" w:rsidP="008E113B">
      <w:pPr>
        <w:spacing w:after="150" w:line="360" w:lineRule="auto"/>
        <w:ind w:left="425"/>
        <w:rPr>
          <w:rFonts w:ascii="Aptos" w:eastAsia="Calibri" w:hAnsi="Aptos" w:cs="Calibri"/>
          <w:color w:val="1A1A19"/>
          <w:sz w:val="20"/>
          <w:szCs w:val="20"/>
        </w:rPr>
      </w:pPr>
    </w:p>
    <w:p w14:paraId="6244206C" w14:textId="77777777" w:rsidR="00F50D70" w:rsidRPr="00BE4F47" w:rsidRDefault="00000000" w:rsidP="008E113B">
      <w:pPr>
        <w:spacing w:after="150" w:line="360" w:lineRule="auto"/>
        <w:ind w:left="425"/>
        <w:rPr>
          <w:rFonts w:ascii="Aptos" w:hAnsi="Aptos"/>
        </w:rPr>
      </w:pPr>
      <w:r w:rsidRPr="00BE4F47">
        <w:rPr>
          <w:rFonts w:ascii="Aptos" w:eastAsia="Calibri" w:hAnsi="Aptos" w:cs="Calibri"/>
          <w:color w:val="1A1A19"/>
          <w:sz w:val="20"/>
          <w:szCs w:val="20"/>
        </w:rPr>
        <w:lastRenderedPageBreak/>
        <w:t>Les documents retenus ont été sélectionnés en fonction de leur rattachement aux lots techniques du projet : modèle de référence thermohydraulique (L4), architecture logicielle et cybersécurité (L5), acquisition des données et noyau de simulation (L6), détection d’anomalies et quantification de l’incertitude (L7), interface d’aide à la décision (L8) et vérification et validation (L9).</w:t>
      </w:r>
    </w:p>
    <w:p w14:paraId="6A9CBA01" w14:textId="77777777" w:rsidR="00F50D70" w:rsidRPr="00BE4F47" w:rsidRDefault="00F50D70" w:rsidP="008E113B">
      <w:pPr>
        <w:spacing w:line="360" w:lineRule="auto"/>
        <w:ind w:left="0"/>
        <w:rPr>
          <w:rFonts w:ascii="Aptos" w:hAnsi="Aptos"/>
        </w:rPr>
      </w:pPr>
    </w:p>
    <w:p w14:paraId="1998B259" w14:textId="77777777" w:rsidR="00F50D70" w:rsidRPr="00256140" w:rsidRDefault="00000000" w:rsidP="008E113B">
      <w:pPr>
        <w:pStyle w:val="Titre2"/>
        <w:spacing w:line="360" w:lineRule="auto"/>
      </w:pPr>
      <w:bookmarkStart w:id="25" w:name="__RefHeading___Toc240715130"/>
      <w:bookmarkEnd w:id="25"/>
      <w:r w:rsidRPr="00256140">
        <w:t>Solutions existantes</w:t>
      </w:r>
    </w:p>
    <w:p w14:paraId="11FECF16" w14:textId="77777777" w:rsidR="00F50D70" w:rsidRPr="00256140" w:rsidRDefault="00000000" w:rsidP="008E113B">
      <w:pPr>
        <w:pStyle w:val="Titre4"/>
        <w:spacing w:line="360" w:lineRule="auto"/>
      </w:pPr>
      <w:bookmarkStart w:id="26" w:name="__RefHeading___Toc240715131"/>
      <w:bookmarkEnd w:id="26"/>
      <w:r w:rsidRPr="00256140">
        <w:t>Jumeaux numériques dans le domaine nucléaire</w:t>
      </w:r>
    </w:p>
    <w:p w14:paraId="775B2ECB"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Les jumeaux numériques sont de plus en plus étudiés dans le secteur nucléaire pour représenter numériquement le comportement d’un système physique et utiliser cette représentation aux fins de surveillance, de diagnostic, de maintenance et d’aide à la décision.</w:t>
      </w:r>
    </w:p>
    <w:p w14:paraId="001F1D9B"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M. Hu et ses coauteurs proposent une revue des architectures de jumeaux numériques appliquées au domaine nucléaire. Ils montrent que les solutions actuelles cherchent principalement à intégrer des modèles physiques, des données de fonctionnement et des fonctions d’analyse dans une architecture numérique cohérente, et soulignent l’importance des modèles thermohydrauliques pour représenter le comportement des systèmes nucléaires [3].</w:t>
      </w:r>
    </w:p>
    <w:p w14:paraId="44BF8086"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Q. Huang et ses coauteurs montrent, dans une revue publiée en 2025, que les jumeaux numériques appliqués aux réacteurs nucléaires restent à des niveaux de maturité faibles à intermédiaires. Ils distinguent quatre familles de solutions : les modèles fondés sur la physique, les approches fondées sur les données, les modèles fondés sur les connaissances expertes, et les approches hybrides combinant plusieurs de ces méthodes [4].</w:t>
      </w:r>
    </w:p>
    <w:p w14:paraId="01B27DE2"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Sur le plan normatif, la norme ISO 23247-1 définit un cadre de référence pour les jumeaux numériques et une décomposition en entité observable, éléments de collecte et de commande, entité numérique et applications utilisatrices. Elle a été établie pour le domaine de la fabrication et elle est employée ici par analogie, hors de son domaine d’application déclaré. Cette limite est traitée dans la déclaration d’applicabilité de la section des normes.</w:t>
      </w:r>
    </w:p>
    <w:p w14:paraId="379409DD"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Ces travaux montrent que le jumeau numérique constitue une approche pertinente pour la surveillance d’une boucle thermohydraulique, mais qu’il présente encore des difficultés liées à la fidélité des modèles, à la disponibilité des données et à l’interprétation des résultats.</w:t>
      </w:r>
    </w:p>
    <w:p w14:paraId="454B370F" w14:textId="77777777" w:rsidR="00F50D70" w:rsidRPr="00BE4F47" w:rsidRDefault="00000000" w:rsidP="008E113B">
      <w:pPr>
        <w:pStyle w:val="Titre4"/>
        <w:spacing w:line="360" w:lineRule="auto"/>
        <w:rPr>
          <w:rFonts w:eastAsia="Calibri"/>
        </w:rPr>
      </w:pPr>
      <w:bookmarkStart w:id="27" w:name="__RefHeading___Toc240715137"/>
      <w:bookmarkEnd w:id="27"/>
      <w:r w:rsidRPr="00BE4F47">
        <w:lastRenderedPageBreak/>
        <w:t>Modélisation thermohydraulique</w:t>
      </w:r>
    </w:p>
    <w:p w14:paraId="718C07C6"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La représentation numérique du comportement physique constitue l’élément central d’un jumeau numérique. Dans une boucle thermohydraulique, le modèle doit représenter l’évolution de la température, de la pression et du débit, qui sont les trois variables retenues par l’exigence EX-F-01.</w:t>
      </w:r>
    </w:p>
    <w:p w14:paraId="24132227"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Les modèles de haute fidélité fournissent une représentation détaillée du comportement du système, au prix d’un coût de calcul élevé. Cette contrainte devient déterminante lorsque le modèle doit être exploité dans un contexte de surveillance ou d’aide à la décision en temps réel, situation dans laquelle se place le prototype [3], [4].</w:t>
      </w:r>
    </w:p>
    <w:p w14:paraId="0D120950"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Ce constat justifie le recours à un modèle simplifié de type 0D/1D à paramètres concentrés. L’objectif n’est pas de reproduire l’ensemble de la centrale, mais de disposer d’un modèle suffisamment représentatif pour servir de référence lors des essais du jumeau numérique, conformément au périmètre défini à la section 1.</w:t>
      </w:r>
    </w:p>
    <w:p w14:paraId="07FBFF0F" w14:textId="77777777" w:rsidR="00F50D70" w:rsidRPr="00BE4F47" w:rsidRDefault="00000000" w:rsidP="008E113B">
      <w:pPr>
        <w:pStyle w:val="Titre4"/>
        <w:spacing w:line="360" w:lineRule="auto"/>
      </w:pPr>
      <w:bookmarkStart w:id="28" w:name="__RefHeading___Toc240715141"/>
      <w:bookmarkEnd w:id="28"/>
      <w:r w:rsidRPr="00BE4F47">
        <w:t>Détection d’anomalies</w:t>
      </w:r>
    </w:p>
    <w:p w14:paraId="69749061"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La détection d’anomalies est l’une des principales applications des jumeaux numériques. Le principe consiste à comparer les données observées aux données attendues produites par le modèle numérique, ce que reprend l’exigence EX-F-03.</w:t>
      </w:r>
    </w:p>
    <w:p w14:paraId="37D3C057"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H. Huang et ses coauteurs proposent une approche de détection d’anomalies en ligne fondée sur un jumeau numérique et des données en temps réel, dans un contexte de système d’automatisation. Leurs travaux montrent qu’un modèle numérique peut servir de référence pour détecter un comportement qui s’écarte du fonctionnement normal [5].</w:t>
      </w:r>
    </w:p>
    <w:p w14:paraId="5186A10C"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C. Alcaraz et J. Lopez élargissent cette approche aux scénarios industriels et montrent que le jumeau numérique peut servir de mécanisme complémentaire de détection, y compris pour des comportements d’origine cyber [6].</w:t>
      </w:r>
    </w:p>
    <w:p w14:paraId="34DD223A" w14:textId="77777777" w:rsidR="00F50D70" w:rsidRPr="00BE4F47" w:rsidRDefault="00000000" w:rsidP="008E113B">
      <w:pPr>
        <w:pStyle w:val="Retraitcorpsdetexte3"/>
        <w:spacing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Dans le GEMMA de l’équipe, cette fonction correspond à la transition de l’état F1 vers l’état D2, franchie dès qu’une dérive ou une anomalie est confirmée en fonctionnement.</w:t>
      </w:r>
    </w:p>
    <w:p w14:paraId="2276CEE2" w14:textId="77777777" w:rsidR="00F50D70" w:rsidRPr="00BE4F47" w:rsidRDefault="00F50D70" w:rsidP="008E113B">
      <w:pPr>
        <w:pStyle w:val="Retraitcorpsdetexte3"/>
        <w:spacing w:line="360" w:lineRule="auto"/>
        <w:ind w:left="992"/>
        <w:rPr>
          <w:rFonts w:ascii="Aptos" w:eastAsia="Calibri" w:hAnsi="Aptos" w:cs="Calibri"/>
          <w:color w:val="1A1A19"/>
          <w:sz w:val="20"/>
          <w:szCs w:val="20"/>
        </w:rPr>
      </w:pPr>
    </w:p>
    <w:p w14:paraId="42EB7657" w14:textId="77777777" w:rsidR="00F50D70" w:rsidRPr="00BE4F47" w:rsidRDefault="00000000" w:rsidP="008E113B">
      <w:pPr>
        <w:pStyle w:val="Titre4"/>
        <w:spacing w:line="360" w:lineRule="auto"/>
        <w:rPr>
          <w:rFonts w:eastAsia="Calibri"/>
        </w:rPr>
      </w:pPr>
      <w:bookmarkStart w:id="29" w:name="__RefHeading___Toc240715146"/>
      <w:bookmarkEnd w:id="29"/>
      <w:r w:rsidRPr="00BE4F47">
        <w:t>Quantification de l’incertitude</w:t>
      </w:r>
    </w:p>
    <w:p w14:paraId="5E27B0F5"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Dans un système d’aide à la décision, produire un diagnostic ne suffit pas. Il faut également évaluer le niveau de confiance associé au résultat, ce qu’exige EX-F-07.</w:t>
      </w:r>
    </w:p>
    <w:p w14:paraId="33BCA08A"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K. Kobayashi, D. Kumar et S. B. Alam ont étudié l’emploi de techniques de quantification de l’incertitude pour les technologies de jumeaux numériques nucléaires. Leurs travaux montrent l’importance d’estimer les incertitudes associées aux paramètres et aux modèles, afin d’éviter qu’un résultat numérique soit interprété avec une certitude qu’il n’a pas [7].</w:t>
      </w:r>
    </w:p>
    <w:p w14:paraId="6667996F"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lastRenderedPageBreak/>
        <w:t>La norme ASME V&amp;V 20 apporte à ce point le complément méthodologique que la littérature laisse ouvert. Elle décompose l’écart entre le modèle et la référence en trois contributions, l’erreur numérique de résolution, l’erreur de modélisation et l’incertitude des données de référence, et fournit la méthode permettant de les combiner en une incertitude de validation. Cette décomposition est reprise dans la section des normes et détermine la forme des résultats de la campagne d’essais.</w:t>
      </w:r>
    </w:p>
    <w:p w14:paraId="50AB70D7" w14:textId="77777777" w:rsidR="00B03F2E"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 niveau de confiance affiché par le prototype pourra dépendre des éléments suivants :</w:t>
      </w:r>
    </w:p>
    <w:p w14:paraId="2F762638" w14:textId="6BA4F668" w:rsidR="00F50D70" w:rsidRPr="00BE4F47" w:rsidRDefault="00000000" w:rsidP="008E113B">
      <w:pPr>
        <w:numPr>
          <w:ilvl w:val="0"/>
          <w:numId w:val="22"/>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La disponibilité des données</w:t>
      </w:r>
    </w:p>
    <w:p w14:paraId="62A50596" w14:textId="77777777" w:rsidR="00F50D70" w:rsidRPr="00BE4F47" w:rsidRDefault="00000000" w:rsidP="008E113B">
      <w:pPr>
        <w:numPr>
          <w:ilvl w:val="0"/>
          <w:numId w:val="21"/>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La qualité des mesures ;</w:t>
      </w:r>
    </w:p>
    <w:p w14:paraId="6FD44420" w14:textId="77777777" w:rsidR="00F50D70" w:rsidRPr="00BE4F47" w:rsidRDefault="00000000" w:rsidP="008E113B">
      <w:pPr>
        <w:numPr>
          <w:ilvl w:val="0"/>
          <w:numId w:val="21"/>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L’écart entre le modèle et les données ;</w:t>
      </w:r>
    </w:p>
    <w:p w14:paraId="3D466A66" w14:textId="77777777" w:rsidR="00F50D70" w:rsidRPr="00BE4F47" w:rsidRDefault="00000000" w:rsidP="008E113B">
      <w:pPr>
        <w:numPr>
          <w:ilvl w:val="0"/>
          <w:numId w:val="21"/>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Le nombre de capteur cohérents entre eux ;</w:t>
      </w:r>
    </w:p>
    <w:p w14:paraId="516C9EC0" w14:textId="77777777" w:rsidR="00F50D70" w:rsidRPr="00BE4F47" w:rsidRDefault="00000000" w:rsidP="008E113B">
      <w:pPr>
        <w:numPr>
          <w:ilvl w:val="0"/>
          <w:numId w:val="21"/>
        </w:numPr>
        <w:spacing w:after="130" w:line="360" w:lineRule="auto"/>
        <w:rPr>
          <w:rFonts w:ascii="Aptos" w:eastAsia="Times New Roman" w:hAnsi="Aptos"/>
        </w:rPr>
      </w:pPr>
      <w:r w:rsidRPr="00BE4F47">
        <w:rPr>
          <w:rFonts w:ascii="Aptos" w:eastAsia="Calibri" w:hAnsi="Aptos" w:cs="Calibri"/>
          <w:color w:val="1A1A19"/>
          <w:sz w:val="20"/>
          <w:szCs w:val="20"/>
        </w:rPr>
        <w:t>Le domaine de validité du modèle .</w:t>
      </w:r>
    </w:p>
    <w:p w14:paraId="4F130178" w14:textId="77777777" w:rsidR="00F50D70" w:rsidRPr="00BE4F47" w:rsidRDefault="00000000" w:rsidP="008E113B">
      <w:pPr>
        <w:pStyle w:val="Titre4"/>
        <w:spacing w:line="360" w:lineRule="auto"/>
        <w:rPr>
          <w:rFonts w:eastAsia="Calibri"/>
        </w:rPr>
      </w:pPr>
      <w:r w:rsidRPr="00BE4F47">
        <w:t>Cybersécurité et cyber-</w:t>
      </w:r>
      <w:r w:rsidRPr="00BE4F47">
        <w:rPr>
          <w:rFonts w:eastAsia="Calibri"/>
        </w:rPr>
        <w:t>résilience</w:t>
      </w:r>
    </w:p>
    <w:p w14:paraId="272C2AA4"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La cybersécurité constitue un enjeu majeur pour les jumeaux numériques industriels. Une donnée falsifiée, retardée ou supprimée peut entraîner une représentation erronée de l’état du système, et donc une décision erronée de l’opérateur.</w:t>
      </w:r>
    </w:p>
    <w:p w14:paraId="646CAB72"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A. Sayghe propose une architecture de détection d’intrusions reposant sur un jumeau numérique d’un système SCADA. Le jumeau permet de simuler le procédé, d’y injecter différents types de cyberattaques et d’en évaluer l’incidence [8]. C. Alcaraz et J. Lopez montrent de leur côté que les jumeaux numériques peuvent servir de mécanisme complémentaire de détection dans les systèmes cyberphysiques [6].</w:t>
      </w:r>
    </w:p>
    <w:p w14:paraId="37FA1466" w14:textId="77777777" w:rsidR="00F50D70" w:rsidRPr="00BE4F47" w:rsidRDefault="00000000" w:rsidP="008E113B">
      <w:pPr>
        <w:pStyle w:val="Retraitcorpsdetexte3"/>
        <w:spacing w:line="360" w:lineRule="auto"/>
        <w:ind w:left="992" w:firstLine="0"/>
        <w:rPr>
          <w:rFonts w:ascii="Aptos" w:eastAsia="Calibri" w:hAnsi="Aptos" w:cs="Calibri"/>
          <w:color w:val="1A1A19"/>
          <w:sz w:val="20"/>
          <w:szCs w:val="20"/>
        </w:rPr>
      </w:pPr>
      <w:r w:rsidRPr="00BE4F47">
        <w:rPr>
          <w:rFonts w:ascii="Aptos" w:eastAsia="Calibri" w:hAnsi="Aptos" w:cs="Calibri"/>
          <w:color w:val="1A1A19"/>
          <w:sz w:val="20"/>
          <w:szCs w:val="20"/>
        </w:rPr>
        <w:t xml:space="preserve">Pour le projet, la cyber-résilience ne se limite donc pas à empêcher une attaque. Elle signifie que le système doit être capable : </w:t>
      </w:r>
    </w:p>
    <w:p w14:paraId="0FED5AAF"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1FBCA5F2" w14:textId="77777777" w:rsidR="00F50D70" w:rsidRPr="00BE4F47" w:rsidRDefault="00000000" w:rsidP="008E113B">
      <w:pPr>
        <w:pStyle w:val="Retraitcorpsdetexte3"/>
        <w:numPr>
          <w:ilvl w:val="0"/>
          <w:numId w:val="9"/>
        </w:numPr>
        <w:spacing w:line="360" w:lineRule="auto"/>
        <w:rPr>
          <w:rFonts w:ascii="Aptos" w:eastAsia="Calibri" w:hAnsi="Aptos" w:cs="Calibri"/>
          <w:color w:val="1A1A19"/>
          <w:sz w:val="20"/>
          <w:szCs w:val="20"/>
        </w:rPr>
      </w:pPr>
      <w:r w:rsidRPr="00BE4F47">
        <w:rPr>
          <w:rFonts w:ascii="Aptos" w:eastAsia="Calibri" w:hAnsi="Aptos" w:cs="Calibri"/>
          <w:color w:val="1A1A19"/>
          <w:sz w:val="20"/>
          <w:szCs w:val="20"/>
        </w:rPr>
        <w:t>D’identifier une donnée incohérente</w:t>
      </w:r>
    </w:p>
    <w:p w14:paraId="2336FB80"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0F5B1506" w14:textId="77777777" w:rsidR="00F50D70" w:rsidRPr="00BE4F47" w:rsidRDefault="00000000" w:rsidP="008E113B">
      <w:pPr>
        <w:pStyle w:val="Retraitcorpsdetexte3"/>
        <w:numPr>
          <w:ilvl w:val="0"/>
          <w:numId w:val="9"/>
        </w:numPr>
        <w:spacing w:line="360" w:lineRule="auto"/>
        <w:rPr>
          <w:rFonts w:ascii="Aptos" w:eastAsia="Calibri" w:hAnsi="Aptos" w:cs="Calibri"/>
          <w:color w:val="1A1A19"/>
          <w:sz w:val="20"/>
          <w:szCs w:val="20"/>
        </w:rPr>
      </w:pPr>
      <w:r w:rsidRPr="00BE4F47">
        <w:rPr>
          <w:rFonts w:ascii="Aptos" w:eastAsia="Calibri" w:hAnsi="Aptos" w:cs="Calibri"/>
          <w:color w:val="1A1A19"/>
          <w:sz w:val="20"/>
          <w:szCs w:val="20"/>
        </w:rPr>
        <w:t>De détecter une perte de communication;</w:t>
      </w:r>
    </w:p>
    <w:p w14:paraId="34425182"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6F3DC942" w14:textId="77777777" w:rsidR="00F50D70" w:rsidRPr="00BE4F47" w:rsidRDefault="00000000" w:rsidP="008E113B">
      <w:pPr>
        <w:pStyle w:val="Retraitcorpsdetexte3"/>
        <w:numPr>
          <w:ilvl w:val="0"/>
          <w:numId w:val="9"/>
        </w:numPr>
        <w:spacing w:line="360" w:lineRule="auto"/>
        <w:rPr>
          <w:rFonts w:ascii="Aptos" w:eastAsia="Segoe UI Symbol" w:hAnsi="Aptos" w:cs="Calibri"/>
          <w:color w:val="1A1A19"/>
          <w:sz w:val="20"/>
          <w:szCs w:val="20"/>
        </w:rPr>
      </w:pPr>
      <w:r w:rsidRPr="00BE4F47">
        <w:rPr>
          <w:rFonts w:ascii="Aptos" w:eastAsia="Calibri" w:hAnsi="Aptos" w:cs="Calibri"/>
          <w:color w:val="1A1A19"/>
          <w:sz w:val="20"/>
          <w:szCs w:val="20"/>
        </w:rPr>
        <w:t>De reconnaitre une mesure potentiellement falsifi</w:t>
      </w:r>
      <w:r w:rsidRPr="00BE4F47">
        <w:rPr>
          <w:rFonts w:ascii="Aptos" w:eastAsia="Segoe UI Symbol" w:hAnsi="Aptos" w:cs="Calibri"/>
          <w:color w:val="1A1A19"/>
          <w:sz w:val="20"/>
          <w:szCs w:val="20"/>
        </w:rPr>
        <w:t>ée;</w:t>
      </w:r>
    </w:p>
    <w:p w14:paraId="305ECB6F" w14:textId="77777777" w:rsidR="00F50D70" w:rsidRPr="00BE4F47" w:rsidRDefault="00F50D70" w:rsidP="008E113B">
      <w:pPr>
        <w:pStyle w:val="Retraitcorpsdetexte3"/>
        <w:spacing w:line="360" w:lineRule="auto"/>
        <w:ind w:left="992" w:firstLine="0"/>
        <w:rPr>
          <w:rFonts w:ascii="Aptos" w:eastAsia="Segoe UI Symbol" w:hAnsi="Aptos" w:cs="Calibri"/>
          <w:color w:val="1A1A19"/>
          <w:sz w:val="20"/>
          <w:szCs w:val="20"/>
        </w:rPr>
      </w:pPr>
    </w:p>
    <w:p w14:paraId="3FAF2EE0" w14:textId="77777777" w:rsidR="00F50D70" w:rsidRPr="00BE4F47" w:rsidRDefault="00000000" w:rsidP="008E113B">
      <w:pPr>
        <w:pStyle w:val="Retraitcorpsdetexte3"/>
        <w:numPr>
          <w:ilvl w:val="0"/>
          <w:numId w:val="9"/>
        </w:numPr>
        <w:spacing w:line="360" w:lineRule="auto"/>
        <w:rPr>
          <w:rFonts w:ascii="Aptos" w:eastAsia="Segoe UI Symbol" w:hAnsi="Aptos" w:cs="Calibri"/>
          <w:color w:val="1A1A19"/>
          <w:sz w:val="20"/>
          <w:szCs w:val="20"/>
        </w:rPr>
      </w:pPr>
      <w:r w:rsidRPr="00BE4F47">
        <w:rPr>
          <w:rFonts w:ascii="Aptos" w:eastAsia="Segoe UI Symbol" w:hAnsi="Aptos" w:cs="Calibri"/>
          <w:color w:val="1A1A19"/>
          <w:sz w:val="20"/>
          <w:szCs w:val="20"/>
        </w:rPr>
        <w:t>De continuer à fonctionner en mode dégradé lorsque cela reste sur ;</w:t>
      </w:r>
    </w:p>
    <w:p w14:paraId="3EA62124" w14:textId="77777777" w:rsidR="00F50D70" w:rsidRPr="00BE4F47" w:rsidRDefault="00F50D70" w:rsidP="008E113B">
      <w:pPr>
        <w:pStyle w:val="Retraitcorpsdetexte3"/>
        <w:spacing w:line="360" w:lineRule="auto"/>
        <w:ind w:left="992" w:firstLine="0"/>
        <w:rPr>
          <w:rFonts w:ascii="Aptos" w:eastAsia="Segoe UI Symbol" w:hAnsi="Aptos" w:cs="Calibri"/>
          <w:color w:val="1A1A19"/>
          <w:sz w:val="20"/>
          <w:szCs w:val="20"/>
        </w:rPr>
      </w:pPr>
    </w:p>
    <w:p w14:paraId="06522CC9" w14:textId="77777777" w:rsidR="00F50D70" w:rsidRPr="00BE4F47" w:rsidRDefault="00000000" w:rsidP="008E113B">
      <w:pPr>
        <w:pStyle w:val="Retraitcorpsdetexte3"/>
        <w:numPr>
          <w:ilvl w:val="0"/>
          <w:numId w:val="9"/>
        </w:numPr>
        <w:spacing w:line="360" w:lineRule="auto"/>
        <w:rPr>
          <w:rFonts w:ascii="Aptos" w:eastAsia="Segoe UI Symbol" w:hAnsi="Aptos" w:cs="Segoe UI Symbol"/>
          <w:lang w:eastAsia="ja-JP"/>
        </w:rPr>
      </w:pPr>
      <w:r w:rsidRPr="00BE4F47">
        <w:rPr>
          <w:rFonts w:ascii="Aptos" w:eastAsia="Segoe UI Symbol" w:hAnsi="Aptos" w:cs="Calibri"/>
          <w:color w:val="1A1A19"/>
          <w:sz w:val="20"/>
          <w:szCs w:val="20"/>
        </w:rPr>
        <w:t>Ou d’indiquer clairement qu’un diagnostic fiable n’est plus possible.</w:t>
      </w:r>
    </w:p>
    <w:p w14:paraId="198CD22B" w14:textId="77777777" w:rsidR="00F50D70" w:rsidRPr="00BE4F47" w:rsidRDefault="00F50D70" w:rsidP="008E113B">
      <w:pPr>
        <w:pStyle w:val="Retraitcorpsdetexte3"/>
        <w:spacing w:line="360" w:lineRule="auto"/>
        <w:ind w:left="0" w:firstLine="0"/>
        <w:rPr>
          <w:rFonts w:ascii="Aptos" w:eastAsia="Segoe UI Symbol" w:hAnsi="Aptos" w:cs="Segoe UI Symbol"/>
          <w:lang w:eastAsia="ja-JP"/>
        </w:rPr>
      </w:pPr>
    </w:p>
    <w:p w14:paraId="4A678979" w14:textId="77777777" w:rsidR="00F50D70" w:rsidRPr="00BE4F47" w:rsidRDefault="00000000" w:rsidP="008E113B">
      <w:pPr>
        <w:spacing w:after="130" w:line="360" w:lineRule="auto"/>
        <w:ind w:left="720"/>
        <w:rPr>
          <w:rFonts w:ascii="Aptos" w:hAnsi="Aptos"/>
        </w:rPr>
      </w:pPr>
      <w:r w:rsidRPr="00BE4F47">
        <w:rPr>
          <w:rFonts w:ascii="Aptos" w:eastAsia="Calibri" w:hAnsi="Aptos" w:cs="Calibri"/>
          <w:color w:val="1A1A19"/>
          <w:sz w:val="20"/>
          <w:szCs w:val="20"/>
        </w:rPr>
        <w:lastRenderedPageBreak/>
        <w:t>Ces cinq comportements correspondent aux exigences EX-Q-04 et EX-F-06 et, dans le GEMMA, aux états D2 et D3. La norme IEC 62859 ajoute une contrainte que la littérature n’énonce pas : une mesure de cybersécurité ne doit jamais empêcher l’opérateur de percevoir l’état réel du système. Une coupure de flux décidée pour des motifs de sécurité doit donc être signalée, et non silencieuse.</w:t>
      </w:r>
    </w:p>
    <w:p w14:paraId="0111B63C" w14:textId="77777777" w:rsidR="00F50D70" w:rsidRPr="00BE4F47" w:rsidRDefault="00000000" w:rsidP="008E113B">
      <w:pPr>
        <w:pStyle w:val="Titre4"/>
        <w:spacing w:line="360" w:lineRule="auto"/>
      </w:pPr>
      <w:bookmarkStart w:id="30" w:name="__RefHeading___Toc240715165"/>
      <w:bookmarkEnd w:id="30"/>
      <w:r w:rsidRPr="00BE4F47">
        <w:t>Aide à la décision et explicabilité</w:t>
      </w:r>
    </w:p>
    <w:p w14:paraId="1F88D605"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L’une des limites relevées dans la littérature concerne l’interprétabilité des résultats produits par les modèles numériques, en particulier lorsque des techniques d’apprentissage automatique sont employées [4].</w:t>
      </w:r>
    </w:p>
    <w:p w14:paraId="5F873676"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En contexte nucléaire, une simple indication « normal » ou « anormal » est insuffisante. L’opérateur doit pouvoir comprendre quelles variables ont conduit au diagnostic. L’interface du projet doit donc présenter l’état estimé du système, les variables importantes, les écarts entre valeur observée et valeur attendue, les anomalies détectées, le niveau de confiance et l’état de qualité des données. Ces éléments sont repris par les exigences EX-F-04, EX-F-05 et EX-F-07.</w:t>
      </w:r>
    </w:p>
    <w:p w14:paraId="61413E7F"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 système demeure un outil d’aide à la décision. La décision finale reste sous la responsabilité de l’opérateur, ce que traduit l’exigence EX-F-08 et ce qu’impose la norme ISO 9241-210 sur la conception centrée sur l’opérateur humain.</w:t>
      </w:r>
    </w:p>
    <w:p w14:paraId="1F076668" w14:textId="77777777" w:rsidR="00F50D70" w:rsidRPr="00BE4F47" w:rsidRDefault="00F50D70" w:rsidP="008E113B">
      <w:pPr>
        <w:pStyle w:val="Retraitcorpsdetexte3"/>
        <w:spacing w:line="360" w:lineRule="auto"/>
        <w:rPr>
          <w:rFonts w:ascii="Aptos" w:hAnsi="Aptos"/>
        </w:rPr>
      </w:pPr>
    </w:p>
    <w:p w14:paraId="79F05634" w14:textId="77777777" w:rsidR="00F50D70" w:rsidRPr="00B03F2E" w:rsidRDefault="00000000" w:rsidP="008E113B">
      <w:pPr>
        <w:pStyle w:val="Titre2"/>
        <w:spacing w:line="360" w:lineRule="auto"/>
      </w:pPr>
      <w:r w:rsidRPr="00B03F2E">
        <w:t xml:space="preserve"> </w:t>
      </w:r>
      <w:bookmarkStart w:id="31" w:name="__RefHeading___Toc240715169"/>
      <w:r w:rsidRPr="00B03F2E">
        <w:t>Recherche de brevets</w:t>
      </w:r>
      <w:bookmarkEnd w:id="31"/>
    </w:p>
    <w:p w14:paraId="14281276" w14:textId="77777777" w:rsidR="00F50D70" w:rsidRPr="00BE4F47" w:rsidRDefault="00000000" w:rsidP="008E113B">
      <w:pPr>
        <w:pStyle w:val="Titre4"/>
        <w:spacing w:line="360" w:lineRule="auto"/>
      </w:pPr>
      <w:bookmarkStart w:id="32" w:name="__RefHeading___Toc240715170"/>
      <w:bookmarkEnd w:id="32"/>
      <w:r w:rsidRPr="00BE4F47">
        <w:t>Portée et limites de la recherche</w:t>
      </w:r>
    </w:p>
    <w:p w14:paraId="6058FF39" w14:textId="77777777" w:rsidR="00F50D70" w:rsidRPr="00BE4F47" w:rsidRDefault="00000000" w:rsidP="008E113B">
      <w:pPr>
        <w:pStyle w:val="Retraitcorpsdetexte3"/>
        <w:spacing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La recherche a été menée dans Google Patents. Elle constitue une recherche préliminaire d’antériorité, destinée à établir ce qui est déjà connu dans le domaine. Elle ne constitue pas une analyse de liberté d’exploitation, laquelle suppose l’examen des revendications de chaque brevet, la vérification de son statut juridique à la date considérée et la détermination des territoires où il est en vigueur. Une telle analyse relève d’un agent de brevets.</w:t>
      </w:r>
    </w:p>
    <w:p w14:paraId="51441D0D" w14:textId="77777777" w:rsidR="00F50D70" w:rsidRPr="00BE4F47" w:rsidRDefault="00F50D70" w:rsidP="008E113B">
      <w:pPr>
        <w:pStyle w:val="Retraitcorpsdetexte3"/>
        <w:spacing w:line="360" w:lineRule="auto"/>
        <w:ind w:left="992"/>
        <w:rPr>
          <w:rFonts w:ascii="Aptos" w:eastAsia="Calibri" w:hAnsi="Aptos" w:cs="Calibri"/>
          <w:color w:val="1A1A19"/>
          <w:sz w:val="20"/>
          <w:szCs w:val="20"/>
        </w:rPr>
      </w:pPr>
    </w:p>
    <w:p w14:paraId="3D1B526A" w14:textId="77777777" w:rsidR="00F50D70" w:rsidRPr="00BE4F47" w:rsidRDefault="00000000" w:rsidP="008E113B">
      <w:pPr>
        <w:pStyle w:val="Titre4"/>
        <w:spacing w:line="360" w:lineRule="auto"/>
      </w:pPr>
      <w:bookmarkStart w:id="33" w:name="__RefHeading___Toc240715172"/>
      <w:bookmarkEnd w:id="33"/>
      <w:r w:rsidRPr="00BE4F47">
        <w:t>Brevets identifiés</w:t>
      </w:r>
    </w:p>
    <w:p w14:paraId="5C358C6A" w14:textId="77777777" w:rsidR="00F50D70" w:rsidRDefault="00000000" w:rsidP="008E113B">
      <w:pPr>
        <w:spacing w:after="15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Cinq brevets présentent des similitudes avec des composantes du projet. Le statut et la juridiction ont été vérifiés le 18 septembre 2026.</w:t>
      </w:r>
    </w:p>
    <w:p w14:paraId="1A43DC29" w14:textId="77777777" w:rsidR="0036725C" w:rsidRDefault="0036725C" w:rsidP="008E113B">
      <w:pPr>
        <w:spacing w:after="150" w:line="360" w:lineRule="auto"/>
        <w:ind w:left="992"/>
        <w:rPr>
          <w:rFonts w:ascii="Aptos" w:eastAsia="Calibri" w:hAnsi="Aptos" w:cs="Calibri"/>
          <w:color w:val="1A1A19"/>
          <w:sz w:val="20"/>
          <w:szCs w:val="20"/>
        </w:rPr>
      </w:pPr>
    </w:p>
    <w:p w14:paraId="1D3DD994" w14:textId="77777777" w:rsidR="0036725C" w:rsidRDefault="0036725C" w:rsidP="008E113B">
      <w:pPr>
        <w:spacing w:after="150" w:line="360" w:lineRule="auto"/>
        <w:ind w:left="992"/>
        <w:rPr>
          <w:rFonts w:ascii="Aptos" w:eastAsia="Calibri" w:hAnsi="Aptos" w:cs="Calibri"/>
          <w:color w:val="1A1A19"/>
          <w:sz w:val="20"/>
          <w:szCs w:val="20"/>
        </w:rPr>
      </w:pPr>
    </w:p>
    <w:p w14:paraId="2B67A920" w14:textId="77777777" w:rsidR="0036725C" w:rsidRDefault="0036725C" w:rsidP="008E113B">
      <w:pPr>
        <w:spacing w:after="150" w:line="360" w:lineRule="auto"/>
        <w:ind w:left="992"/>
        <w:rPr>
          <w:rFonts w:ascii="Aptos" w:eastAsia="Calibri" w:hAnsi="Aptos" w:cs="Calibri"/>
          <w:color w:val="1A1A19"/>
          <w:sz w:val="20"/>
          <w:szCs w:val="20"/>
        </w:rPr>
      </w:pPr>
    </w:p>
    <w:p w14:paraId="41149594" w14:textId="77777777" w:rsidR="0036725C" w:rsidRPr="00BE4F47" w:rsidRDefault="0036725C" w:rsidP="008E113B">
      <w:pPr>
        <w:spacing w:after="150" w:line="360" w:lineRule="auto"/>
        <w:ind w:left="992"/>
        <w:rPr>
          <w:rFonts w:ascii="Aptos" w:hAnsi="Aptos"/>
        </w:rPr>
      </w:pPr>
    </w:p>
    <w:p w14:paraId="0D58AB88" w14:textId="77777777" w:rsidR="00F50D70" w:rsidRPr="00BE4F47" w:rsidRDefault="00000000" w:rsidP="008E113B">
      <w:pPr>
        <w:pStyle w:val="Lgende"/>
        <w:spacing w:line="360" w:lineRule="auto"/>
        <w:rPr>
          <w:rFonts w:ascii="Aptos" w:hAnsi="Aptos"/>
        </w:rPr>
      </w:pPr>
      <w:r w:rsidRPr="00BE4F47">
        <w:rPr>
          <w:rFonts w:ascii="Aptos" w:hAnsi="Aptos"/>
        </w:rPr>
        <w:t>Tableau 5-2. Brevets identifiés et différence avec le projet</w:t>
      </w:r>
    </w:p>
    <w:tbl>
      <w:tblPr>
        <w:tblW w:w="7894" w:type="dxa"/>
        <w:tblInd w:w="936" w:type="dxa"/>
        <w:tblLayout w:type="fixed"/>
        <w:tblCellMar>
          <w:top w:w="60" w:type="dxa"/>
          <w:left w:w="90" w:type="dxa"/>
          <w:bottom w:w="60" w:type="dxa"/>
          <w:right w:w="90" w:type="dxa"/>
        </w:tblCellMar>
        <w:tblLook w:val="04A0" w:firstRow="1" w:lastRow="0" w:firstColumn="1" w:lastColumn="0" w:noHBand="0" w:noVBand="1"/>
      </w:tblPr>
      <w:tblGrid>
        <w:gridCol w:w="1197"/>
        <w:gridCol w:w="1839"/>
        <w:gridCol w:w="1434"/>
        <w:gridCol w:w="1316"/>
        <w:gridCol w:w="2108"/>
      </w:tblGrid>
      <w:tr w:rsidR="00F50D70" w:rsidRPr="00BE4F47" w14:paraId="1C3F607B" w14:textId="77777777" w:rsidTr="0036725C">
        <w:trPr>
          <w:trHeight w:val="229"/>
          <w:tblHeader/>
        </w:trPr>
        <w:tc>
          <w:tcPr>
            <w:tcW w:w="119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DB93EE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Numéro</w:t>
            </w:r>
          </w:p>
        </w:tc>
        <w:tc>
          <w:tcPr>
            <w:tcW w:w="1839"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6AEC3C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Objet</w:t>
            </w:r>
          </w:p>
        </w:tc>
        <w:tc>
          <w:tcPr>
            <w:tcW w:w="143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998F13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Titulaire</w:t>
            </w:r>
          </w:p>
        </w:tc>
        <w:tc>
          <w:tcPr>
            <w:tcW w:w="1316"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B6BDCD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Statut et juridiction</w:t>
            </w:r>
          </w:p>
        </w:tc>
        <w:tc>
          <w:tcPr>
            <w:tcW w:w="210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403437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Différence avec le projet</w:t>
            </w:r>
          </w:p>
        </w:tc>
      </w:tr>
      <w:tr w:rsidR="00F50D70" w:rsidRPr="00BE4F47" w14:paraId="2FB7F88B" w14:textId="77777777">
        <w:trPr>
          <w:cantSplit/>
          <w:trHeight w:val="748"/>
        </w:trPr>
        <w:tc>
          <w:tcPr>
            <w:tcW w:w="1197" w:type="dxa"/>
            <w:tcBorders>
              <w:top w:val="single" w:sz="4" w:space="0" w:color="000000"/>
              <w:left w:val="single" w:sz="4" w:space="0" w:color="000000"/>
              <w:bottom w:val="single" w:sz="4" w:space="0" w:color="000000"/>
              <w:right w:val="single" w:sz="4" w:space="0" w:color="000000"/>
            </w:tcBorders>
          </w:tcPr>
          <w:p w14:paraId="4665100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CN118709527B</w:t>
            </w:r>
          </w:p>
        </w:tc>
        <w:tc>
          <w:tcPr>
            <w:tcW w:w="1839" w:type="dxa"/>
            <w:tcBorders>
              <w:top w:val="single" w:sz="4" w:space="0" w:color="000000"/>
              <w:left w:val="single" w:sz="4" w:space="0" w:color="000000"/>
              <w:bottom w:val="single" w:sz="4" w:space="0" w:color="000000"/>
              <w:right w:val="single" w:sz="4" w:space="0" w:color="000000"/>
            </w:tcBorders>
          </w:tcPr>
          <w:p w14:paraId="2E2478A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Modèle de jumeau numérique de centrale nucléaire à approche hybride physique-données [9]</w:t>
            </w:r>
          </w:p>
        </w:tc>
        <w:tc>
          <w:tcPr>
            <w:tcW w:w="1434" w:type="dxa"/>
            <w:tcBorders>
              <w:top w:val="single" w:sz="4" w:space="0" w:color="000000"/>
              <w:left w:val="single" w:sz="4" w:space="0" w:color="000000"/>
              <w:bottom w:val="single" w:sz="4" w:space="0" w:color="000000"/>
              <w:right w:val="single" w:sz="4" w:space="0" w:color="000000"/>
            </w:tcBorders>
          </w:tcPr>
          <w:p w14:paraId="483509D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Université Jiao Tong de Shanghai</w:t>
            </w:r>
          </w:p>
        </w:tc>
        <w:tc>
          <w:tcPr>
            <w:tcW w:w="1316" w:type="dxa"/>
            <w:tcBorders>
              <w:top w:val="single" w:sz="4" w:space="0" w:color="000000"/>
              <w:left w:val="single" w:sz="4" w:space="0" w:color="000000"/>
              <w:bottom w:val="single" w:sz="4" w:space="0" w:color="000000"/>
              <w:right w:val="single" w:sz="4" w:space="0" w:color="000000"/>
            </w:tcBorders>
          </w:tcPr>
          <w:p w14:paraId="35C743E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Délivré, actif</w:t>
            </w:r>
          </w:p>
          <w:p w14:paraId="3885346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Chine</w:t>
            </w:r>
          </w:p>
          <w:p w14:paraId="69396AA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2024-06-04</w:t>
            </w:r>
          </w:p>
        </w:tc>
        <w:tc>
          <w:tcPr>
            <w:tcW w:w="2108" w:type="dxa"/>
            <w:tcBorders>
              <w:top w:val="single" w:sz="4" w:space="0" w:color="000000"/>
              <w:left w:val="single" w:sz="4" w:space="0" w:color="000000"/>
              <w:bottom w:val="single" w:sz="4" w:space="0" w:color="000000"/>
              <w:right w:val="single" w:sz="4" w:space="0" w:color="000000"/>
            </w:tcBorders>
          </w:tcPr>
          <w:p w14:paraId="5ABD6AD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Centré sur la construction du modèle numérique, non sur la surveillance et la décision.</w:t>
            </w:r>
          </w:p>
        </w:tc>
      </w:tr>
      <w:tr w:rsidR="00F50D70" w:rsidRPr="00BE4F47" w14:paraId="0A7846ED" w14:textId="77777777">
        <w:trPr>
          <w:cantSplit/>
          <w:trHeight w:val="1020"/>
        </w:trPr>
        <w:tc>
          <w:tcPr>
            <w:tcW w:w="1197" w:type="dxa"/>
            <w:tcBorders>
              <w:top w:val="single" w:sz="4" w:space="0" w:color="000000"/>
              <w:left w:val="single" w:sz="4" w:space="0" w:color="000000"/>
              <w:bottom w:val="single" w:sz="4" w:space="0" w:color="000000"/>
              <w:right w:val="single" w:sz="4" w:space="0" w:color="000000"/>
            </w:tcBorders>
          </w:tcPr>
          <w:p w14:paraId="3FC6C8C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CN118228587A</w:t>
            </w:r>
          </w:p>
        </w:tc>
        <w:tc>
          <w:tcPr>
            <w:tcW w:w="1839" w:type="dxa"/>
            <w:tcBorders>
              <w:top w:val="single" w:sz="4" w:space="0" w:color="000000"/>
              <w:left w:val="single" w:sz="4" w:space="0" w:color="000000"/>
              <w:bottom w:val="single" w:sz="4" w:space="0" w:color="000000"/>
              <w:right w:val="single" w:sz="4" w:space="0" w:color="000000"/>
            </w:tcBorders>
          </w:tcPr>
          <w:p w14:paraId="48127EA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Analyse d’incertitude d’un jumeau numérique de cœur par méthode MCMC [10]</w:t>
            </w:r>
          </w:p>
        </w:tc>
        <w:tc>
          <w:tcPr>
            <w:tcW w:w="1434" w:type="dxa"/>
            <w:tcBorders>
              <w:top w:val="single" w:sz="4" w:space="0" w:color="000000"/>
              <w:left w:val="single" w:sz="4" w:space="0" w:color="000000"/>
              <w:bottom w:val="single" w:sz="4" w:space="0" w:color="000000"/>
              <w:right w:val="single" w:sz="4" w:space="0" w:color="000000"/>
            </w:tcBorders>
          </w:tcPr>
          <w:p w14:paraId="08916AC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Université Jiao Tong de Shanghai</w:t>
            </w:r>
          </w:p>
        </w:tc>
        <w:tc>
          <w:tcPr>
            <w:tcW w:w="1316" w:type="dxa"/>
            <w:tcBorders>
              <w:top w:val="single" w:sz="4" w:space="0" w:color="000000"/>
              <w:left w:val="single" w:sz="4" w:space="0" w:color="000000"/>
              <w:bottom w:val="single" w:sz="4" w:space="0" w:color="000000"/>
              <w:right w:val="single" w:sz="4" w:space="0" w:color="000000"/>
            </w:tcBorders>
          </w:tcPr>
          <w:p w14:paraId="4DBAA1F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Demande publiée, rejetée après publication</w:t>
            </w:r>
          </w:p>
          <w:p w14:paraId="0BE4981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Chine</w:t>
            </w:r>
          </w:p>
          <w:p w14:paraId="5BAB5A8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2024-03-26</w:t>
            </w:r>
          </w:p>
        </w:tc>
        <w:tc>
          <w:tcPr>
            <w:tcW w:w="2108" w:type="dxa"/>
            <w:tcBorders>
              <w:top w:val="single" w:sz="4" w:space="0" w:color="000000"/>
              <w:left w:val="single" w:sz="4" w:space="0" w:color="000000"/>
              <w:bottom w:val="single" w:sz="4" w:space="0" w:color="000000"/>
              <w:right w:val="single" w:sz="4" w:space="0" w:color="000000"/>
            </w:tcBorders>
          </w:tcPr>
          <w:p w14:paraId="57BD0BB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Centré sur une méthode statistique d’analyse de l’incertitude du cœur.</w:t>
            </w:r>
          </w:p>
        </w:tc>
      </w:tr>
      <w:tr w:rsidR="00F50D70" w:rsidRPr="00BE4F47" w14:paraId="5FEEFA21" w14:textId="77777777">
        <w:trPr>
          <w:cantSplit/>
          <w:trHeight w:val="849"/>
        </w:trPr>
        <w:tc>
          <w:tcPr>
            <w:tcW w:w="1197" w:type="dxa"/>
            <w:tcBorders>
              <w:top w:val="single" w:sz="4" w:space="0" w:color="000000"/>
              <w:left w:val="single" w:sz="4" w:space="0" w:color="000000"/>
              <w:bottom w:val="single" w:sz="4" w:space="0" w:color="000000"/>
              <w:right w:val="single" w:sz="4" w:space="0" w:color="000000"/>
            </w:tcBorders>
          </w:tcPr>
          <w:p w14:paraId="4345AFD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CN118779601A</w:t>
            </w:r>
          </w:p>
        </w:tc>
        <w:tc>
          <w:tcPr>
            <w:tcW w:w="1839" w:type="dxa"/>
            <w:tcBorders>
              <w:top w:val="single" w:sz="4" w:space="0" w:color="000000"/>
              <w:left w:val="single" w:sz="4" w:space="0" w:color="000000"/>
              <w:bottom w:val="single" w:sz="4" w:space="0" w:color="000000"/>
              <w:right w:val="single" w:sz="4" w:space="0" w:color="000000"/>
            </w:tcBorders>
          </w:tcPr>
          <w:p w14:paraId="6377985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Prédiction en ligne à long terme et analyse d’incertitude multiparamètre [11]</w:t>
            </w:r>
          </w:p>
        </w:tc>
        <w:tc>
          <w:tcPr>
            <w:tcW w:w="1434" w:type="dxa"/>
            <w:tcBorders>
              <w:top w:val="single" w:sz="4" w:space="0" w:color="000000"/>
              <w:left w:val="single" w:sz="4" w:space="0" w:color="000000"/>
              <w:bottom w:val="single" w:sz="4" w:space="0" w:color="000000"/>
              <w:right w:val="single" w:sz="4" w:space="0" w:color="000000"/>
            </w:tcBorders>
          </w:tcPr>
          <w:p w14:paraId="7E1CBF4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Université Jiao Tong de Shanghai</w:t>
            </w:r>
          </w:p>
        </w:tc>
        <w:tc>
          <w:tcPr>
            <w:tcW w:w="1316" w:type="dxa"/>
            <w:tcBorders>
              <w:top w:val="single" w:sz="4" w:space="0" w:color="000000"/>
              <w:left w:val="single" w:sz="4" w:space="0" w:color="000000"/>
              <w:bottom w:val="single" w:sz="4" w:space="0" w:color="000000"/>
              <w:right w:val="single" w:sz="4" w:space="0" w:color="000000"/>
            </w:tcBorders>
          </w:tcPr>
          <w:p w14:paraId="2FE43B4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Demande publiée, en instance</w:t>
            </w:r>
          </w:p>
          <w:p w14:paraId="61C1E25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Chine</w:t>
            </w:r>
          </w:p>
          <w:p w14:paraId="6614E02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2024-06-14</w:t>
            </w:r>
          </w:p>
        </w:tc>
        <w:tc>
          <w:tcPr>
            <w:tcW w:w="2108" w:type="dxa"/>
            <w:tcBorders>
              <w:top w:val="single" w:sz="4" w:space="0" w:color="000000"/>
              <w:left w:val="single" w:sz="4" w:space="0" w:color="000000"/>
              <w:bottom w:val="single" w:sz="4" w:space="0" w:color="000000"/>
              <w:right w:val="single" w:sz="4" w:space="0" w:color="000000"/>
            </w:tcBorders>
          </w:tcPr>
          <w:p w14:paraId="49E7E2A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Axé sur la prédiction à long terme, non sur la détection en temps réel.</w:t>
            </w:r>
          </w:p>
        </w:tc>
      </w:tr>
      <w:tr w:rsidR="00F50D70" w:rsidRPr="00BE4F47" w14:paraId="42158331" w14:textId="77777777">
        <w:trPr>
          <w:cantSplit/>
          <w:trHeight w:val="918"/>
        </w:trPr>
        <w:tc>
          <w:tcPr>
            <w:tcW w:w="1197" w:type="dxa"/>
            <w:tcBorders>
              <w:top w:val="single" w:sz="4" w:space="0" w:color="000000"/>
              <w:left w:val="single" w:sz="4" w:space="0" w:color="000000"/>
              <w:bottom w:val="single" w:sz="4" w:space="0" w:color="000000"/>
              <w:right w:val="single" w:sz="4" w:space="0" w:color="000000"/>
            </w:tcBorders>
          </w:tcPr>
          <w:p w14:paraId="6DFEBF8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CN118068765A</w:t>
            </w:r>
          </w:p>
        </w:tc>
        <w:tc>
          <w:tcPr>
            <w:tcW w:w="1839" w:type="dxa"/>
            <w:tcBorders>
              <w:top w:val="single" w:sz="4" w:space="0" w:color="000000"/>
              <w:left w:val="single" w:sz="4" w:space="0" w:color="000000"/>
              <w:bottom w:val="single" w:sz="4" w:space="0" w:color="000000"/>
              <w:right w:val="single" w:sz="4" w:space="0" w:color="000000"/>
            </w:tcBorders>
          </w:tcPr>
          <w:p w14:paraId="6107257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Construction d’un modèle de détection d’anomalies pour systèmes de contrôle industriels à partir d’un jumeau numérique [12]</w:t>
            </w:r>
          </w:p>
        </w:tc>
        <w:tc>
          <w:tcPr>
            <w:tcW w:w="1434" w:type="dxa"/>
            <w:tcBorders>
              <w:top w:val="single" w:sz="4" w:space="0" w:color="000000"/>
              <w:left w:val="single" w:sz="4" w:space="0" w:color="000000"/>
              <w:bottom w:val="single" w:sz="4" w:space="0" w:color="000000"/>
              <w:right w:val="single" w:sz="4" w:space="0" w:color="000000"/>
            </w:tcBorders>
          </w:tcPr>
          <w:p w14:paraId="6A361F2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Université des sciences et technologies de Huazhong</w:t>
            </w:r>
          </w:p>
        </w:tc>
        <w:tc>
          <w:tcPr>
            <w:tcW w:w="1316" w:type="dxa"/>
            <w:tcBorders>
              <w:top w:val="single" w:sz="4" w:space="0" w:color="000000"/>
              <w:left w:val="single" w:sz="4" w:space="0" w:color="000000"/>
              <w:bottom w:val="single" w:sz="4" w:space="0" w:color="000000"/>
              <w:right w:val="single" w:sz="4" w:space="0" w:color="000000"/>
            </w:tcBorders>
          </w:tcPr>
          <w:p w14:paraId="3954EBF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Demande publiée, en instance</w:t>
            </w:r>
          </w:p>
          <w:p w14:paraId="09EE08D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Chine</w:t>
            </w:r>
          </w:p>
          <w:p w14:paraId="0BD55E2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2024-03-08</w:t>
            </w:r>
          </w:p>
        </w:tc>
        <w:tc>
          <w:tcPr>
            <w:tcW w:w="2108" w:type="dxa"/>
            <w:tcBorders>
              <w:top w:val="single" w:sz="4" w:space="0" w:color="000000"/>
              <w:left w:val="single" w:sz="4" w:space="0" w:color="000000"/>
              <w:bottom w:val="single" w:sz="4" w:space="0" w:color="000000"/>
              <w:right w:val="single" w:sz="4" w:space="0" w:color="000000"/>
            </w:tcBorders>
          </w:tcPr>
          <w:p w14:paraId="138A777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Industries de procédés en général, non spécifique au nucléaire.</w:t>
            </w:r>
          </w:p>
        </w:tc>
      </w:tr>
      <w:tr w:rsidR="00F50D70" w:rsidRPr="00BE4F47" w14:paraId="65F89432" w14:textId="77777777">
        <w:trPr>
          <w:cantSplit/>
          <w:trHeight w:val="748"/>
        </w:trPr>
        <w:tc>
          <w:tcPr>
            <w:tcW w:w="1197" w:type="dxa"/>
            <w:tcBorders>
              <w:top w:val="single" w:sz="4" w:space="0" w:color="000000"/>
              <w:left w:val="single" w:sz="4" w:space="0" w:color="000000"/>
              <w:bottom w:val="single" w:sz="4" w:space="0" w:color="000000"/>
              <w:right w:val="single" w:sz="4" w:space="0" w:color="000000"/>
            </w:tcBorders>
          </w:tcPr>
          <w:p w14:paraId="4E56D7C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US12093818B2</w:t>
            </w:r>
          </w:p>
        </w:tc>
        <w:tc>
          <w:tcPr>
            <w:tcW w:w="1839" w:type="dxa"/>
            <w:tcBorders>
              <w:top w:val="single" w:sz="4" w:space="0" w:color="000000"/>
              <w:left w:val="single" w:sz="4" w:space="0" w:color="000000"/>
              <w:bottom w:val="single" w:sz="4" w:space="0" w:color="000000"/>
              <w:right w:val="single" w:sz="4" w:space="0" w:color="000000"/>
            </w:tcBorders>
          </w:tcPr>
          <w:p w14:paraId="74A0B32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Détection semi-supervisée d’anomalies à partir de données de simulation issues d’un jumeau numérique [13]</w:t>
            </w:r>
          </w:p>
        </w:tc>
        <w:tc>
          <w:tcPr>
            <w:tcW w:w="1434" w:type="dxa"/>
            <w:tcBorders>
              <w:top w:val="single" w:sz="4" w:space="0" w:color="000000"/>
              <w:left w:val="single" w:sz="4" w:space="0" w:color="000000"/>
              <w:bottom w:val="single" w:sz="4" w:space="0" w:color="000000"/>
              <w:right w:val="single" w:sz="4" w:space="0" w:color="000000"/>
            </w:tcBorders>
          </w:tcPr>
          <w:p w14:paraId="5404B78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Honda Motor Co.</w:t>
            </w:r>
          </w:p>
        </w:tc>
        <w:tc>
          <w:tcPr>
            <w:tcW w:w="1316" w:type="dxa"/>
            <w:tcBorders>
              <w:top w:val="single" w:sz="4" w:space="0" w:color="000000"/>
              <w:left w:val="single" w:sz="4" w:space="0" w:color="000000"/>
              <w:bottom w:val="single" w:sz="4" w:space="0" w:color="000000"/>
              <w:right w:val="single" w:sz="4" w:space="0" w:color="000000"/>
            </w:tcBorders>
          </w:tcPr>
          <w:p w14:paraId="54028FD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Délivré, actif</w:t>
            </w:r>
          </w:p>
          <w:p w14:paraId="0154E90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États-Unis</w:t>
            </w:r>
          </w:p>
          <w:p w14:paraId="317B59D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Dépôt : 2020-10-13</w:t>
            </w:r>
          </w:p>
        </w:tc>
        <w:tc>
          <w:tcPr>
            <w:tcW w:w="2108" w:type="dxa"/>
            <w:tcBorders>
              <w:top w:val="single" w:sz="4" w:space="0" w:color="000000"/>
              <w:left w:val="single" w:sz="4" w:space="0" w:color="000000"/>
              <w:bottom w:val="single" w:sz="4" w:space="0" w:color="000000"/>
              <w:right w:val="single" w:sz="4" w:space="0" w:color="000000"/>
            </w:tcBorders>
          </w:tcPr>
          <w:p w14:paraId="6431CFA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5"/>
                <w:szCs w:val="15"/>
              </w:rPr>
              <w:t>Application industrielle générale, fondée sur l’apprentissage semi-supervisé.</w:t>
            </w:r>
          </w:p>
        </w:tc>
      </w:tr>
    </w:tbl>
    <w:p w14:paraId="0C5A25D2" w14:textId="77777777" w:rsidR="00F50D70" w:rsidRPr="00BE4F47" w:rsidRDefault="00F50D70" w:rsidP="008E113B">
      <w:pPr>
        <w:spacing w:after="150" w:line="360" w:lineRule="auto"/>
        <w:ind w:left="992"/>
        <w:rPr>
          <w:rFonts w:ascii="Aptos" w:hAnsi="Aptos"/>
        </w:rPr>
      </w:pPr>
    </w:p>
    <w:p w14:paraId="7969B317" w14:textId="77777777" w:rsidR="00F50D70" w:rsidRPr="00BE4F47" w:rsidRDefault="00000000" w:rsidP="008E113B">
      <w:pPr>
        <w:pStyle w:val="Titre4"/>
        <w:spacing w:line="360" w:lineRule="auto"/>
      </w:pPr>
      <w:bookmarkStart w:id="34" w:name="__RefHeading___Toc240715174"/>
      <w:bookmarkEnd w:id="34"/>
      <w:r w:rsidRPr="00BE4F47">
        <w:t>Conséquences sur le projet</w:t>
      </w:r>
    </w:p>
    <w:p w14:paraId="67087655"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Trois constats se dégagent.</w:t>
      </w:r>
    </w:p>
    <w:p w14:paraId="4AB09A2F"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b/>
          <w:bCs/>
          <w:color w:val="1A1A19"/>
          <w:sz w:val="20"/>
          <w:szCs w:val="20"/>
        </w:rPr>
        <w:t xml:space="preserve">Les composantes existent séparément. </w:t>
      </w:r>
      <w:r w:rsidRPr="00BE4F47">
        <w:rPr>
          <w:rFonts w:ascii="Aptos" w:eastAsia="Calibri" w:hAnsi="Aptos" w:cs="Calibri"/>
          <w:color w:val="1A1A19"/>
          <w:sz w:val="20"/>
          <w:szCs w:val="20"/>
        </w:rPr>
        <w:t>Modélisation, quantification de l’incertitude, prédiction et détection d’anomalies font chacune l’objet de brevets. Aucun de ces documents ne décrit toutefois un système combinant la surveillance, la détection, l’évaluation de la confiance et la gestion explicite des données compromises dans un même prototype.</w:t>
      </w:r>
    </w:p>
    <w:p w14:paraId="7417C7DA"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b/>
          <w:bCs/>
          <w:color w:val="1A1A19"/>
          <w:sz w:val="20"/>
          <w:szCs w:val="20"/>
        </w:rPr>
        <w:lastRenderedPageBreak/>
        <w:t xml:space="preserve">Aucun de ces brevets n’est opposable au Canada. </w:t>
      </w:r>
      <w:r w:rsidRPr="00BE4F47">
        <w:rPr>
          <w:rFonts w:ascii="Aptos" w:eastAsia="Calibri" w:hAnsi="Aptos" w:cs="Calibri"/>
          <w:color w:val="1A1A19"/>
          <w:sz w:val="20"/>
          <w:szCs w:val="20"/>
        </w:rPr>
        <w:t>Quatre sont chinois et ne produisent d’effet que sur le territoire chinois. Le cinquième est américain. Un brevet ne confère de droits que dans la juridiction qui l’a délivré ; l’équipe devrait vérifier l’existence d’éventuels membres canadiens de ces familles de brevets si la question devenait pertinente.</w:t>
      </w:r>
    </w:p>
    <w:p w14:paraId="4F5ADAAC" w14:textId="77777777" w:rsidR="00F50D70" w:rsidRPr="00BE4F47" w:rsidRDefault="00000000" w:rsidP="008E113B">
      <w:pPr>
        <w:pStyle w:val="Retraitcorpsdetexte3"/>
        <w:spacing w:line="360" w:lineRule="auto"/>
        <w:ind w:left="992" w:firstLine="0"/>
        <w:rPr>
          <w:rFonts w:ascii="Aptos" w:hAnsi="Aptos"/>
        </w:rPr>
      </w:pPr>
      <w:r w:rsidRPr="00BE4F47">
        <w:rPr>
          <w:rFonts w:ascii="Aptos" w:eastAsia="Calibri" w:hAnsi="Aptos" w:cs="Calibri"/>
          <w:b/>
          <w:bCs/>
          <w:color w:val="1A1A19"/>
          <w:sz w:val="20"/>
          <w:szCs w:val="20"/>
        </w:rPr>
        <w:t xml:space="preserve">Le projet n’est pas une exploitation commerciale. </w:t>
      </w:r>
      <w:r w:rsidRPr="00BE4F47">
        <w:rPr>
          <w:rFonts w:ascii="Aptos" w:eastAsia="Calibri" w:hAnsi="Aptos" w:cs="Calibri"/>
          <w:color w:val="1A1A19"/>
          <w:sz w:val="20"/>
          <w:szCs w:val="20"/>
        </w:rPr>
        <w:t>Le prototype est un livrable universitaire, entièrement simulé, non destiné à la vente ni au raccordement à une installation réelle, conformément à l’exigence EX-C-02. La question du versement d’une redevance ne se poserait que dans l’hypothèse d’une exploitation commerciale, et supposerait alors l’analyse de liberté d’exploitation décrite en 5.3.1.</w:t>
      </w:r>
    </w:p>
    <w:p w14:paraId="6B83E8A6"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3E812549" w14:textId="77777777" w:rsidR="00F50D70" w:rsidRPr="00B03F2E" w:rsidRDefault="00000000" w:rsidP="008E113B">
      <w:pPr>
        <w:pStyle w:val="Titre2"/>
        <w:spacing w:line="360" w:lineRule="auto"/>
      </w:pPr>
      <w:bookmarkStart w:id="35" w:name="__RefHeading___Toc240715179"/>
      <w:bookmarkEnd w:id="35"/>
      <w:r w:rsidRPr="00B03F2E">
        <w:t>Positionnement du projet</w:t>
      </w:r>
    </w:p>
    <w:p w14:paraId="7B803A75" w14:textId="77777777" w:rsidR="00F50D70" w:rsidRPr="00BE4F47" w:rsidRDefault="00F50D70" w:rsidP="008E113B">
      <w:pPr>
        <w:spacing w:line="360" w:lineRule="auto"/>
        <w:ind w:left="0"/>
        <w:outlineLvl w:val="9"/>
        <w:rPr>
          <w:rFonts w:ascii="Aptos" w:hAnsi="Aptos"/>
        </w:rPr>
      </w:pPr>
    </w:p>
    <w:p w14:paraId="014F8BA6" w14:textId="77777777" w:rsidR="00F50D70" w:rsidRPr="00BE4F47" w:rsidRDefault="00000000" w:rsidP="008E113B">
      <w:pPr>
        <w:pStyle w:val="Titre4"/>
        <w:spacing w:line="360" w:lineRule="auto"/>
      </w:pPr>
      <w:bookmarkStart w:id="36" w:name="__RefHeading___Toc240715180"/>
      <w:bookmarkEnd w:id="36"/>
      <w:r w:rsidRPr="00BE4F47">
        <w:t>La solution existante la plus proche</w:t>
      </w:r>
    </w:p>
    <w:p w14:paraId="63AD1D91"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Trois des cinq brevets identifiés appartiennent à la même équipe, celle de l’Université Jiao Tong de Shanghai [9], [10], [11]. Pris ensemble, ils couvrent la construction du modèle hybride, la quantification de l’incertitude du cœur et la prédiction multiparamètre avec intervalle de confiance. C’est donc l’ensemble le plus proche du projet, et c’est à lui qu’il convient de se comparer.</w:t>
      </w:r>
    </w:p>
    <w:p w14:paraId="035441B6"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Deux écarts le séparent du prototype envisagé. Cet ensemble porte sur le cœur du réacteur et vise la prédiction du comportement à long terme, alors que le projet porte sur une boucle thermohydraulique simplifiée et vise la détection en temps réel. Surtout, il ne traite pas le cas des données compromises ou manquantes : l’incertitude y est traitée comme une propriété du modèle, non comme une conséquence possible d’un capteur défaillant ou d’un événement de cybersécurité.</w:t>
      </w:r>
    </w:p>
    <w:p w14:paraId="52698FA0"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C’est précisément cet écart que le projet occupe.</w:t>
      </w:r>
    </w:p>
    <w:p w14:paraId="36B7C2EC" w14:textId="77777777" w:rsidR="00F50D70" w:rsidRPr="00BE4F47" w:rsidRDefault="00000000" w:rsidP="008E113B">
      <w:pPr>
        <w:pStyle w:val="Titre4"/>
        <w:spacing w:line="360" w:lineRule="auto"/>
      </w:pPr>
      <w:bookmarkStart w:id="37" w:name="__RefHeading___Toc240715184"/>
      <w:bookmarkEnd w:id="37"/>
      <w:r w:rsidRPr="00BE4F47">
        <w:t>Cinq distinctions</w:t>
      </w:r>
    </w:p>
    <w:p w14:paraId="42BDA164"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L’analyse montre que plusieurs composantes du projet sont déjà étudiées dans la littérature, mais qu’elles y sont développées séparément ou pour des objectifs distincts. Les travaux sur les jumeaux numériques nucléaires portent surtout sur la fidélité des modèles et la maintenance prédictive [3], [4] ; ceux sur la détection d’anomalies sur la comparaison entre données réelles et valeurs attendues [5], [6] ; ceux sur l’incertitude sur la confiance associée aux résultats [7] ; ceux de cybersécurité exploitent le jumeau comme référence de détection [6], [8].</w:t>
      </w:r>
    </w:p>
    <w:p w14:paraId="7FE54201" w14:textId="77777777" w:rsidR="00F50D70" w:rsidRPr="00BE4F47" w:rsidRDefault="00000000" w:rsidP="008E113B">
      <w:pPr>
        <w:pStyle w:val="Retraitcorpsdetexte3"/>
        <w:spacing w:line="360" w:lineRule="auto"/>
        <w:ind w:left="272" w:firstLine="720"/>
        <w:rPr>
          <w:rFonts w:ascii="Aptos" w:eastAsia="Calibri" w:hAnsi="Aptos" w:cs="Calibri"/>
          <w:color w:val="1A1A19"/>
          <w:sz w:val="20"/>
          <w:szCs w:val="20"/>
        </w:rPr>
      </w:pPr>
      <w:r w:rsidRPr="00BE4F47">
        <w:rPr>
          <w:rFonts w:ascii="Aptos" w:eastAsia="Calibri" w:hAnsi="Aptos" w:cs="Calibri"/>
          <w:color w:val="1A1A19"/>
          <w:sz w:val="20"/>
          <w:szCs w:val="20"/>
        </w:rPr>
        <w:t>Le projet se situe à l’intersection de ces approches. Cinq caractéristiques le distinguent.</w:t>
      </w:r>
    </w:p>
    <w:p w14:paraId="192227E9" w14:textId="77777777" w:rsidR="00F50D70" w:rsidRPr="00BE4F47" w:rsidRDefault="00F50D70" w:rsidP="008E113B">
      <w:pPr>
        <w:pStyle w:val="Retraitcorpsdetexte3"/>
        <w:spacing w:line="360" w:lineRule="auto"/>
        <w:ind w:left="272" w:firstLine="720"/>
        <w:rPr>
          <w:rFonts w:ascii="Aptos" w:eastAsia="Calibri" w:hAnsi="Aptos" w:cs="Calibri"/>
          <w:color w:val="1A1A19"/>
          <w:sz w:val="20"/>
          <w:szCs w:val="20"/>
        </w:rPr>
      </w:pPr>
    </w:p>
    <w:p w14:paraId="4E61DFC0" w14:textId="77777777" w:rsidR="00F50D70" w:rsidRPr="00BE4F47" w:rsidRDefault="00000000" w:rsidP="008E113B">
      <w:pPr>
        <w:pStyle w:val="Lgende"/>
        <w:spacing w:line="360" w:lineRule="auto"/>
        <w:rPr>
          <w:rFonts w:ascii="Aptos" w:hAnsi="Aptos"/>
        </w:rPr>
      </w:pPr>
      <w:r w:rsidRPr="00BE4F47">
        <w:rPr>
          <w:rFonts w:ascii="Aptos" w:hAnsi="Aptos"/>
        </w:rPr>
        <w:lastRenderedPageBreak/>
        <w:t>Tableau 5-3. Cinq distinctions entre le projet et la solution la plus proche</w:t>
      </w:r>
    </w:p>
    <w:tbl>
      <w:tblPr>
        <w:tblW w:w="7890" w:type="dxa"/>
        <w:tblInd w:w="1188" w:type="dxa"/>
        <w:tblLayout w:type="fixed"/>
        <w:tblCellMar>
          <w:top w:w="60" w:type="dxa"/>
          <w:left w:w="90" w:type="dxa"/>
          <w:bottom w:w="60" w:type="dxa"/>
          <w:right w:w="90" w:type="dxa"/>
        </w:tblCellMar>
        <w:tblLook w:val="04A0" w:firstRow="1" w:lastRow="0" w:firstColumn="1" w:lastColumn="0" w:noHBand="0" w:noVBand="1"/>
      </w:tblPr>
      <w:tblGrid>
        <w:gridCol w:w="471"/>
        <w:gridCol w:w="2445"/>
        <w:gridCol w:w="4974"/>
      </w:tblGrid>
      <w:tr w:rsidR="00F50D70" w:rsidRPr="00BE4F47" w14:paraId="63330B71" w14:textId="77777777" w:rsidTr="0036725C">
        <w:trPr>
          <w:trHeight w:val="293"/>
          <w:tblHeader/>
        </w:trPr>
        <w:tc>
          <w:tcPr>
            <w:tcW w:w="47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BD194E1" w14:textId="77777777" w:rsidR="00F50D70" w:rsidRPr="00BE4F47" w:rsidRDefault="00F50D70" w:rsidP="008E113B">
            <w:pPr>
              <w:snapToGrid w:val="0"/>
              <w:spacing w:before="30" w:after="30" w:line="360" w:lineRule="auto"/>
              <w:ind w:left="0"/>
              <w:jc w:val="left"/>
              <w:outlineLvl w:val="9"/>
              <w:rPr>
                <w:rFonts w:ascii="Aptos" w:eastAsia="Calibri" w:hAnsi="Aptos" w:cs="Calibri"/>
                <w:color w:val="1A1A19"/>
                <w:sz w:val="20"/>
                <w:szCs w:val="20"/>
              </w:rPr>
            </w:pPr>
          </w:p>
        </w:tc>
        <w:tc>
          <w:tcPr>
            <w:tcW w:w="244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249443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Caractéristique</w:t>
            </w:r>
          </w:p>
        </w:tc>
        <w:tc>
          <w:tcPr>
            <w:tcW w:w="497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FC9FE7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Contenu et rattachement</w:t>
            </w:r>
          </w:p>
        </w:tc>
      </w:tr>
      <w:tr w:rsidR="00F50D70" w:rsidRPr="00BE4F47" w14:paraId="259A7FDE" w14:textId="77777777">
        <w:trPr>
          <w:cantSplit/>
          <w:trHeight w:val="803"/>
        </w:trPr>
        <w:tc>
          <w:tcPr>
            <w:tcW w:w="471" w:type="dxa"/>
            <w:tcBorders>
              <w:top w:val="single" w:sz="4" w:space="0" w:color="000000"/>
              <w:left w:val="single" w:sz="4" w:space="0" w:color="000000"/>
              <w:bottom w:val="single" w:sz="4" w:space="0" w:color="000000"/>
              <w:right w:val="single" w:sz="4" w:space="0" w:color="000000"/>
            </w:tcBorders>
          </w:tcPr>
          <w:p w14:paraId="384AD87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w:t>
            </w:r>
          </w:p>
        </w:tc>
        <w:tc>
          <w:tcPr>
            <w:tcW w:w="2445" w:type="dxa"/>
            <w:tcBorders>
              <w:top w:val="single" w:sz="4" w:space="0" w:color="000000"/>
              <w:left w:val="single" w:sz="4" w:space="0" w:color="000000"/>
              <w:bottom w:val="single" w:sz="4" w:space="0" w:color="000000"/>
              <w:right w:val="single" w:sz="4" w:space="0" w:color="000000"/>
            </w:tcBorders>
          </w:tcPr>
          <w:p w14:paraId="2A5E8AE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Portée du modèle</w:t>
            </w:r>
          </w:p>
        </w:tc>
        <w:tc>
          <w:tcPr>
            <w:tcW w:w="4974" w:type="dxa"/>
            <w:tcBorders>
              <w:top w:val="single" w:sz="4" w:space="0" w:color="000000"/>
              <w:left w:val="single" w:sz="4" w:space="0" w:color="000000"/>
              <w:bottom w:val="single" w:sz="4" w:space="0" w:color="000000"/>
              <w:right w:val="single" w:sz="4" w:space="0" w:color="000000"/>
            </w:tcBorders>
          </w:tcPr>
          <w:p w14:paraId="08043CB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Boucle thermohydraulique simplifiée, modélisation 0D/1D à paramètres concentrés, plutôt qu’une représentation détaillée d’un réacteur. Complexité compatible avec un prototype universitaire tout en couvrant les trois variables de fonctionnement (EX-F-01).</w:t>
            </w:r>
          </w:p>
        </w:tc>
      </w:tr>
      <w:tr w:rsidR="00F50D70" w:rsidRPr="00BE4F47" w14:paraId="4E4A371D" w14:textId="77777777">
        <w:trPr>
          <w:cantSplit/>
          <w:trHeight w:val="803"/>
        </w:trPr>
        <w:tc>
          <w:tcPr>
            <w:tcW w:w="471" w:type="dxa"/>
            <w:tcBorders>
              <w:top w:val="single" w:sz="4" w:space="0" w:color="000000"/>
              <w:left w:val="single" w:sz="4" w:space="0" w:color="000000"/>
              <w:bottom w:val="single" w:sz="4" w:space="0" w:color="000000"/>
              <w:right w:val="single" w:sz="4" w:space="0" w:color="000000"/>
            </w:tcBorders>
          </w:tcPr>
          <w:p w14:paraId="3328286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w:t>
            </w:r>
          </w:p>
        </w:tc>
        <w:tc>
          <w:tcPr>
            <w:tcW w:w="2445" w:type="dxa"/>
            <w:tcBorders>
              <w:top w:val="single" w:sz="4" w:space="0" w:color="000000"/>
              <w:left w:val="single" w:sz="4" w:space="0" w:color="000000"/>
              <w:bottom w:val="single" w:sz="4" w:space="0" w:color="000000"/>
              <w:right w:val="single" w:sz="4" w:space="0" w:color="000000"/>
            </w:tcBorders>
          </w:tcPr>
          <w:p w14:paraId="26A2356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Nature des anomalies détectées</w:t>
            </w:r>
          </w:p>
        </w:tc>
        <w:tc>
          <w:tcPr>
            <w:tcW w:w="4974" w:type="dxa"/>
            <w:tcBorders>
              <w:top w:val="single" w:sz="4" w:space="0" w:color="000000"/>
              <w:left w:val="single" w:sz="4" w:space="0" w:color="000000"/>
              <w:bottom w:val="single" w:sz="4" w:space="0" w:color="000000"/>
              <w:right w:val="single" w:sz="4" w:space="0" w:color="000000"/>
            </w:tcBorders>
          </w:tcPr>
          <w:p w14:paraId="37E7AFA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ne vise pas seulement la défaillance physique, mais aussi les incohérences dues à un capteur défectueux, à des données manquantes, à une désynchronisation ou à une altération malveillante. La cohérence entre le modèle et les données devient elle-même un mécanisme de surveillance (EX-Q-04).</w:t>
            </w:r>
          </w:p>
        </w:tc>
      </w:tr>
      <w:tr w:rsidR="00F50D70" w:rsidRPr="00BE4F47" w14:paraId="026FD66D" w14:textId="77777777">
        <w:trPr>
          <w:cantSplit/>
          <w:trHeight w:val="613"/>
        </w:trPr>
        <w:tc>
          <w:tcPr>
            <w:tcW w:w="471" w:type="dxa"/>
            <w:tcBorders>
              <w:top w:val="single" w:sz="4" w:space="0" w:color="000000"/>
              <w:left w:val="single" w:sz="4" w:space="0" w:color="000000"/>
              <w:bottom w:val="single" w:sz="4" w:space="0" w:color="000000"/>
              <w:right w:val="single" w:sz="4" w:space="0" w:color="000000"/>
            </w:tcBorders>
          </w:tcPr>
          <w:p w14:paraId="10313C2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w:t>
            </w:r>
          </w:p>
        </w:tc>
        <w:tc>
          <w:tcPr>
            <w:tcW w:w="2445" w:type="dxa"/>
            <w:tcBorders>
              <w:top w:val="single" w:sz="4" w:space="0" w:color="000000"/>
              <w:left w:val="single" w:sz="4" w:space="0" w:color="000000"/>
              <w:bottom w:val="single" w:sz="4" w:space="0" w:color="000000"/>
              <w:right w:val="single" w:sz="4" w:space="0" w:color="000000"/>
            </w:tcBorders>
          </w:tcPr>
          <w:p w14:paraId="4BDCD41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 explicite des modes dégradés</w:t>
            </w:r>
          </w:p>
        </w:tc>
        <w:tc>
          <w:tcPr>
            <w:tcW w:w="4974" w:type="dxa"/>
            <w:tcBorders>
              <w:top w:val="single" w:sz="4" w:space="0" w:color="000000"/>
              <w:left w:val="single" w:sz="4" w:space="0" w:color="000000"/>
              <w:bottom w:val="single" w:sz="4" w:space="0" w:color="000000"/>
              <w:right w:val="single" w:sz="4" w:space="0" w:color="000000"/>
            </w:tcBorders>
          </w:tcPr>
          <w:p w14:paraId="71C089B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système doit pouvoir déclarer qu’il ne dispose pas d’informations suffisantes pour établir un diagnostic fiable, et distinguer fonctionnement normal, état anormal, donnée suspecte et état non déterminable (EX-F-06 ; états D2 et D3 du GEMMA).</w:t>
            </w:r>
          </w:p>
        </w:tc>
      </w:tr>
      <w:tr w:rsidR="00F50D70" w:rsidRPr="00BE4F47" w14:paraId="34C860A2" w14:textId="77777777">
        <w:trPr>
          <w:cantSplit/>
          <w:trHeight w:val="621"/>
        </w:trPr>
        <w:tc>
          <w:tcPr>
            <w:tcW w:w="471" w:type="dxa"/>
            <w:tcBorders>
              <w:top w:val="single" w:sz="4" w:space="0" w:color="000000"/>
              <w:left w:val="single" w:sz="4" w:space="0" w:color="000000"/>
              <w:bottom w:val="single" w:sz="4" w:space="0" w:color="000000"/>
              <w:right w:val="single" w:sz="4" w:space="0" w:color="000000"/>
            </w:tcBorders>
          </w:tcPr>
          <w:p w14:paraId="1781B5D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w:t>
            </w:r>
          </w:p>
        </w:tc>
        <w:tc>
          <w:tcPr>
            <w:tcW w:w="2445" w:type="dxa"/>
            <w:tcBorders>
              <w:top w:val="single" w:sz="4" w:space="0" w:color="000000"/>
              <w:left w:val="single" w:sz="4" w:space="0" w:color="000000"/>
              <w:bottom w:val="single" w:sz="4" w:space="0" w:color="000000"/>
              <w:right w:val="single" w:sz="4" w:space="0" w:color="000000"/>
            </w:tcBorders>
          </w:tcPr>
          <w:p w14:paraId="6629D35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Quantification de l’incertitude</w:t>
            </w:r>
          </w:p>
        </w:tc>
        <w:tc>
          <w:tcPr>
            <w:tcW w:w="4974" w:type="dxa"/>
            <w:tcBorders>
              <w:top w:val="single" w:sz="4" w:space="0" w:color="000000"/>
              <w:left w:val="single" w:sz="4" w:space="0" w:color="000000"/>
              <w:bottom w:val="single" w:sz="4" w:space="0" w:color="000000"/>
              <w:right w:val="single" w:sz="4" w:space="0" w:color="000000"/>
            </w:tcBorders>
          </w:tcPr>
          <w:p w14:paraId="6D9CD5F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estimation d’état est accompagnée d’un niveau de confiance, de façon qu’une information incertaine ne soit pas interprétée comme une conclusion définitive (EX-F-07 ; méthode d’ASME V&amp;V 20).</w:t>
            </w:r>
          </w:p>
        </w:tc>
      </w:tr>
      <w:tr w:rsidR="00F50D70" w:rsidRPr="00BE4F47" w14:paraId="4E5D8F35" w14:textId="77777777">
        <w:trPr>
          <w:cantSplit/>
          <w:trHeight w:val="613"/>
        </w:trPr>
        <w:tc>
          <w:tcPr>
            <w:tcW w:w="471" w:type="dxa"/>
            <w:tcBorders>
              <w:top w:val="single" w:sz="4" w:space="0" w:color="000000"/>
              <w:left w:val="single" w:sz="4" w:space="0" w:color="000000"/>
              <w:bottom w:val="single" w:sz="4" w:space="0" w:color="000000"/>
              <w:right w:val="single" w:sz="4" w:space="0" w:color="000000"/>
            </w:tcBorders>
          </w:tcPr>
          <w:p w14:paraId="062FF7D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w:t>
            </w:r>
          </w:p>
        </w:tc>
        <w:tc>
          <w:tcPr>
            <w:tcW w:w="2445" w:type="dxa"/>
            <w:tcBorders>
              <w:top w:val="single" w:sz="4" w:space="0" w:color="000000"/>
              <w:left w:val="single" w:sz="4" w:space="0" w:color="000000"/>
              <w:bottom w:val="single" w:sz="4" w:space="0" w:color="000000"/>
              <w:right w:val="single" w:sz="4" w:space="0" w:color="000000"/>
            </w:tcBorders>
          </w:tcPr>
          <w:p w14:paraId="7944273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Rôle de l’opérateur</w:t>
            </w:r>
          </w:p>
        </w:tc>
        <w:tc>
          <w:tcPr>
            <w:tcW w:w="4974" w:type="dxa"/>
            <w:tcBorders>
              <w:top w:val="single" w:sz="4" w:space="0" w:color="000000"/>
              <w:left w:val="single" w:sz="4" w:space="0" w:color="000000"/>
              <w:bottom w:val="single" w:sz="4" w:space="0" w:color="000000"/>
              <w:right w:val="single" w:sz="4" w:space="0" w:color="000000"/>
            </w:tcBorders>
          </w:tcPr>
          <w:p w14:paraId="46A1F5C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Outil d’aide à la décision et non système de commande autonome. L’interface montre les variables ayant contribué au diagnostic, les anomalies détectées et le niveau de confiance associé (EX-F-05, EX-F-08 ; ISO 9241-210).</w:t>
            </w:r>
          </w:p>
        </w:tc>
      </w:tr>
    </w:tbl>
    <w:p w14:paraId="764BB087" w14:textId="77777777" w:rsidR="00F50D70" w:rsidRPr="00BE4F47" w:rsidRDefault="00F50D70" w:rsidP="008E113B">
      <w:pPr>
        <w:pStyle w:val="Retraitcorpsdetexte3"/>
        <w:spacing w:line="360" w:lineRule="auto"/>
        <w:ind w:left="0" w:firstLine="0"/>
        <w:rPr>
          <w:rFonts w:ascii="Aptos" w:hAnsi="Aptos"/>
        </w:rPr>
      </w:pPr>
    </w:p>
    <w:p w14:paraId="50C027CC" w14:textId="77777777" w:rsidR="00F50D70" w:rsidRPr="00BE4F47" w:rsidRDefault="00000000" w:rsidP="008E113B">
      <w:pPr>
        <w:pStyle w:val="Titre4"/>
        <w:spacing w:line="360" w:lineRule="auto"/>
      </w:pPr>
      <w:bookmarkStart w:id="38" w:name="__RefHeading___Toc240715187"/>
      <w:r w:rsidRPr="00BE4F47">
        <w:t>Ce que le projet ne revendique pas</w:t>
      </w:r>
      <w:bookmarkEnd w:id="38"/>
      <w:r w:rsidRPr="00BE4F47">
        <w:t xml:space="preserve"> </w:t>
      </w:r>
    </w:p>
    <w:p w14:paraId="76C3A794"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 projet ne prétend pas qu’aucune de ces technologies n’existe. Son apport réside dans l’intégration cohérente de plusieurs fonctions dans un même démonstrateur, appliqué à une boucle thermohydraulique simplifiée. Cette intégration vise à évaluer non seulement le comportement nominal du jumeau numérique, mais aussi sa capacité à demeurer utile lorsque les données deviennent incertaines, incomplètes ou potentiellement compromises.</w:t>
      </w:r>
    </w:p>
    <w:p w14:paraId="4B00DD3D"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Il ne revendique donc aucune nouveauté sur les méthodes employées prises isolément, ni aucune performance supérieure aux travaux cités. Il revendique une combinaison de fonctions et un comportement documenté aux limites de validité du modèle.</w:t>
      </w:r>
    </w:p>
    <w:p w14:paraId="7B344C64" w14:textId="77777777" w:rsidR="00F50D70" w:rsidRPr="00BE4F47" w:rsidRDefault="00F50D70" w:rsidP="008E113B">
      <w:pPr>
        <w:spacing w:after="130" w:line="360" w:lineRule="auto"/>
        <w:ind w:left="992"/>
        <w:rPr>
          <w:rFonts w:ascii="Aptos" w:eastAsia="Calibri" w:hAnsi="Aptos" w:cs="Calibri"/>
          <w:color w:val="1A1A19"/>
          <w:sz w:val="20"/>
          <w:szCs w:val="20"/>
        </w:rPr>
      </w:pPr>
    </w:p>
    <w:p w14:paraId="2063935D" w14:textId="77777777" w:rsidR="00F50D70" w:rsidRPr="00B03F2E" w:rsidRDefault="00000000" w:rsidP="008E113B">
      <w:pPr>
        <w:pStyle w:val="Titre2"/>
        <w:spacing w:line="360" w:lineRule="auto"/>
      </w:pPr>
      <w:r w:rsidRPr="00B03F2E">
        <w:lastRenderedPageBreak/>
        <w:t>Solutions commerciales et outils existants</w:t>
      </w:r>
    </w:p>
    <w:p w14:paraId="27191427"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revue qui précède porte sur les travaux publiés et sur les brevets. Elle doit être complétée par ce qui existe sur le marché, car un plan de projet doit dire pourquoi il construit plutôt que d’acheter. Quatre familles de solutions ont été examinées.</w:t>
      </w:r>
    </w:p>
    <w:p w14:paraId="0826ECF2" w14:textId="77777777" w:rsidR="00F50D70" w:rsidRPr="00BE4F47" w:rsidRDefault="00000000" w:rsidP="008E113B">
      <w:pPr>
        <w:pStyle w:val="Lgende"/>
        <w:spacing w:line="360" w:lineRule="auto"/>
        <w:rPr>
          <w:rFonts w:ascii="Aptos" w:hAnsi="Aptos"/>
        </w:rPr>
      </w:pPr>
      <w:r w:rsidRPr="00BE4F47">
        <w:rPr>
          <w:rFonts w:ascii="Aptos" w:hAnsi="Aptos"/>
        </w:rPr>
        <w:t>Tableau 5-4. Solutions existantes et raison de la décision</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1500"/>
        <w:gridCol w:w="2600"/>
        <w:gridCol w:w="2557"/>
      </w:tblGrid>
      <w:tr w:rsidR="00F50D70" w:rsidRPr="00BE4F47" w14:paraId="05206D0D"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85CAC0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Solution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64121A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Nature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BB5B11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apporte</w:t>
            </w:r>
          </w:p>
        </w:tc>
        <w:tc>
          <w:tcPr>
            <w:tcW w:w="25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45828C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Pourquoi elle n’est pas retenue</w:t>
            </w:r>
          </w:p>
        </w:tc>
      </w:tr>
      <w:tr w:rsidR="00F50D70" w:rsidRPr="00BE4F47" w14:paraId="2321C612"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480445A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Ansys Twin Builder [14]</w:t>
            </w:r>
          </w:p>
        </w:tc>
        <w:tc>
          <w:tcPr>
            <w:tcW w:w="1500" w:type="dxa"/>
            <w:tcBorders>
              <w:top w:val="single" w:sz="4" w:space="0" w:color="000000"/>
              <w:left w:val="single" w:sz="4" w:space="0" w:color="000000"/>
              <w:bottom w:val="single" w:sz="4" w:space="0" w:color="000000"/>
              <w:right w:val="single" w:sz="4" w:space="0" w:color="000000"/>
            </w:tcBorders>
          </w:tcPr>
          <w:p w14:paraId="66F08E1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Plateforme commerciale de jumeaux numériques.</w:t>
            </w:r>
          </w:p>
        </w:tc>
        <w:tc>
          <w:tcPr>
            <w:tcW w:w="2600" w:type="dxa"/>
            <w:tcBorders>
              <w:top w:val="single" w:sz="4" w:space="0" w:color="000000"/>
              <w:left w:val="single" w:sz="4" w:space="0" w:color="000000"/>
              <w:bottom w:val="single" w:sz="4" w:space="0" w:color="000000"/>
              <w:right w:val="single" w:sz="4" w:space="0" w:color="000000"/>
            </w:tcBorders>
          </w:tcPr>
          <w:p w14:paraId="3587658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Chaîne complète, de la modélisation au déploiement, avec réduction de modèle et connexion aux données d’exploitation.</w:t>
            </w:r>
          </w:p>
        </w:tc>
        <w:tc>
          <w:tcPr>
            <w:tcW w:w="2557" w:type="dxa"/>
            <w:tcBorders>
              <w:top w:val="single" w:sz="4" w:space="0" w:color="000000"/>
              <w:left w:val="single" w:sz="4" w:space="0" w:color="000000"/>
              <w:bottom w:val="single" w:sz="4" w:space="0" w:color="000000"/>
              <w:right w:val="single" w:sz="4" w:space="0" w:color="000000"/>
            </w:tcBorders>
          </w:tcPr>
          <w:p w14:paraId="264E410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Licence commerciale hors du budget du mandat. Outil fermé, ce qui empêcherait de démontrer la reproductibilité exigée par EX-Q-05.</w:t>
            </w:r>
          </w:p>
        </w:tc>
      </w:tr>
      <w:tr w:rsidR="00F50D70" w:rsidRPr="00BE4F47" w14:paraId="6204E934"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1B8652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Siemens Simcenter Amesim [15]</w:t>
            </w:r>
          </w:p>
        </w:tc>
        <w:tc>
          <w:tcPr>
            <w:tcW w:w="1500" w:type="dxa"/>
            <w:tcBorders>
              <w:top w:val="single" w:sz="4" w:space="0" w:color="000000"/>
              <w:left w:val="single" w:sz="4" w:space="0" w:color="000000"/>
              <w:bottom w:val="single" w:sz="4" w:space="0" w:color="000000"/>
              <w:right w:val="single" w:sz="4" w:space="0" w:color="000000"/>
            </w:tcBorders>
          </w:tcPr>
          <w:p w14:paraId="7A0E318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commercial de simulation de systèmes.</w:t>
            </w:r>
          </w:p>
        </w:tc>
        <w:tc>
          <w:tcPr>
            <w:tcW w:w="2600" w:type="dxa"/>
            <w:tcBorders>
              <w:top w:val="single" w:sz="4" w:space="0" w:color="000000"/>
              <w:left w:val="single" w:sz="4" w:space="0" w:color="000000"/>
              <w:bottom w:val="single" w:sz="4" w:space="0" w:color="000000"/>
              <w:right w:val="single" w:sz="4" w:space="0" w:color="000000"/>
            </w:tcBorders>
          </w:tcPr>
          <w:p w14:paraId="0D8E30F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Bibliothèques thermiques et hydrauliques éprouvées, adaptées à une boucle de refroidissement.</w:t>
            </w:r>
          </w:p>
        </w:tc>
        <w:tc>
          <w:tcPr>
            <w:tcW w:w="2557" w:type="dxa"/>
            <w:tcBorders>
              <w:top w:val="single" w:sz="4" w:space="0" w:color="000000"/>
              <w:left w:val="single" w:sz="4" w:space="0" w:color="000000"/>
              <w:bottom w:val="single" w:sz="4" w:space="0" w:color="000000"/>
              <w:right w:val="single" w:sz="4" w:space="0" w:color="000000"/>
            </w:tcBorders>
          </w:tcPr>
          <w:p w14:paraId="22F9BE4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Même obstacle de licence. La compétence d’équipe sur cet outil est nulle, ce qui consommerait le lot L4 en apprentissage.</w:t>
            </w:r>
          </w:p>
        </w:tc>
      </w:tr>
      <w:tr w:rsidR="00F50D70" w:rsidRPr="00BE4F47" w14:paraId="63F803A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71735A1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OpenModelica et la bibliothèque ThermoPower [16]</w:t>
            </w:r>
          </w:p>
        </w:tc>
        <w:tc>
          <w:tcPr>
            <w:tcW w:w="1500" w:type="dxa"/>
            <w:tcBorders>
              <w:top w:val="single" w:sz="4" w:space="0" w:color="000000"/>
              <w:left w:val="single" w:sz="4" w:space="0" w:color="000000"/>
              <w:bottom w:val="single" w:sz="4" w:space="0" w:color="000000"/>
              <w:right w:val="single" w:sz="4" w:space="0" w:color="000000"/>
            </w:tcBorders>
          </w:tcPr>
          <w:p w14:paraId="7153006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et bibliothèque libres.</w:t>
            </w:r>
          </w:p>
        </w:tc>
        <w:tc>
          <w:tcPr>
            <w:tcW w:w="2600" w:type="dxa"/>
            <w:tcBorders>
              <w:top w:val="single" w:sz="4" w:space="0" w:color="000000"/>
              <w:left w:val="single" w:sz="4" w:space="0" w:color="000000"/>
              <w:bottom w:val="single" w:sz="4" w:space="0" w:color="000000"/>
              <w:right w:val="single" w:sz="4" w:space="0" w:color="000000"/>
            </w:tcBorders>
          </w:tcPr>
          <w:p w14:paraId="1843ABD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Modélisation dynamique des centrales thermiques, langage normalisé à équations acausales, code lisible et vérifiable.</w:t>
            </w:r>
          </w:p>
        </w:tc>
        <w:tc>
          <w:tcPr>
            <w:tcW w:w="2557" w:type="dxa"/>
            <w:tcBorders>
              <w:top w:val="single" w:sz="4" w:space="0" w:color="000000"/>
              <w:left w:val="single" w:sz="4" w:space="0" w:color="000000"/>
              <w:bottom w:val="single" w:sz="4" w:space="0" w:color="000000"/>
              <w:right w:val="single" w:sz="4" w:space="0" w:color="000000"/>
            </w:tcBorders>
          </w:tcPr>
          <w:p w14:paraId="7725108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Retenue. C’est la solution employée par le projet.</w:t>
            </w:r>
          </w:p>
        </w:tc>
      </w:tr>
      <w:tr w:rsidR="00F50D70" w:rsidRPr="00BE4F47" w14:paraId="32FBEB84"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CB1EEC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Codes TRACE et RELAP5 de la NRC [17]</w:t>
            </w:r>
          </w:p>
        </w:tc>
        <w:tc>
          <w:tcPr>
            <w:tcW w:w="1500" w:type="dxa"/>
            <w:tcBorders>
              <w:top w:val="single" w:sz="4" w:space="0" w:color="000000"/>
              <w:left w:val="single" w:sz="4" w:space="0" w:color="000000"/>
              <w:bottom w:val="single" w:sz="4" w:space="0" w:color="000000"/>
              <w:right w:val="single" w:sz="4" w:space="0" w:color="000000"/>
            </w:tcBorders>
          </w:tcPr>
          <w:p w14:paraId="1121DD2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Codes de référence en thermohydraulique nucléaire.</w:t>
            </w:r>
          </w:p>
        </w:tc>
        <w:tc>
          <w:tcPr>
            <w:tcW w:w="2600" w:type="dxa"/>
            <w:tcBorders>
              <w:top w:val="single" w:sz="4" w:space="0" w:color="000000"/>
              <w:left w:val="single" w:sz="4" w:space="0" w:color="000000"/>
              <w:bottom w:val="single" w:sz="4" w:space="0" w:color="000000"/>
              <w:right w:val="single" w:sz="4" w:space="0" w:color="000000"/>
            </w:tcBorders>
          </w:tcPr>
          <w:p w14:paraId="5B2CDB2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Référence reconnue pour l’analyse des transitoires de réacteurs à eau sous pression et à eau bouillante.</w:t>
            </w:r>
          </w:p>
        </w:tc>
        <w:tc>
          <w:tcPr>
            <w:tcW w:w="2557" w:type="dxa"/>
            <w:tcBorders>
              <w:top w:val="single" w:sz="4" w:space="0" w:color="000000"/>
              <w:left w:val="single" w:sz="4" w:space="0" w:color="000000"/>
              <w:bottom w:val="single" w:sz="4" w:space="0" w:color="000000"/>
              <w:right w:val="single" w:sz="4" w:space="0" w:color="000000"/>
            </w:tcBorders>
          </w:tcPr>
          <w:p w14:paraId="62DF7E4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Distribution soumise à une entente institutionnelle, et non librement accessible. Domaine d’emploi très au-delà du périmètre du prototype.</w:t>
            </w:r>
          </w:p>
        </w:tc>
      </w:tr>
    </w:tbl>
    <w:p w14:paraId="0587079D"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décision est de construire sur une base libre plutôt que d’acheter. Trois raisons la soutiennent. Le budget du mandat ne comporte aucun poste de licence, ce que l’hypothèse H-05 de la section 8 énonce. La reproductibilité exigée par EX-Q-05 suppose que le correcteur puisse relancer les calculs sans acquérir un logiciel. Et le projet est un exercice de conception, pas un exercice d’intégration : employer une plateforme qui fait déjà le travail viderait les lots L4, L6 et L7 de leur contenu.</w:t>
      </w:r>
    </w:p>
    <w:p w14:paraId="283BD1A7"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Cette décision a un coût qu’il faut reconnaître. Les outils libres retenus offrent moins de garanties de support et de validation industrielle que les plateformes commerciales, et la charge de vérification retombe entièrement sur le lot L9.</w:t>
      </w:r>
    </w:p>
    <w:p w14:paraId="19E6AF50" w14:textId="77777777" w:rsidR="00F50D70" w:rsidRPr="00BE4F47" w:rsidRDefault="00000000" w:rsidP="008E113B">
      <w:pPr>
        <w:pStyle w:val="Titre4"/>
        <w:spacing w:line="360" w:lineRule="auto"/>
      </w:pPr>
      <w:r w:rsidRPr="00BE4F47">
        <w:t>Licences, droits et redevances</w:t>
      </w:r>
    </w:p>
    <w:p w14:paraId="41E05A04" w14:textId="77777777" w:rsidR="00F50D70" w:rsidRDefault="00000000" w:rsidP="008E113B">
      <w:pPr>
        <w:spacing w:after="130"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La question des droits se pose à deux endroits : sur les outils employés, et sur les techniques mises en œuvre.</w:t>
      </w:r>
    </w:p>
    <w:p w14:paraId="296502A5" w14:textId="77777777" w:rsidR="0036725C" w:rsidRPr="00BE4F47" w:rsidRDefault="0036725C" w:rsidP="008E113B">
      <w:pPr>
        <w:spacing w:after="130" w:line="360" w:lineRule="auto"/>
        <w:ind w:left="360"/>
        <w:rPr>
          <w:rFonts w:ascii="Aptos" w:hAnsi="Aptos"/>
        </w:rPr>
      </w:pPr>
    </w:p>
    <w:p w14:paraId="56EA3001" w14:textId="77777777" w:rsidR="00F50D70" w:rsidRPr="00BE4F47" w:rsidRDefault="00000000" w:rsidP="008E113B">
      <w:pPr>
        <w:pStyle w:val="Lgende"/>
        <w:spacing w:line="360" w:lineRule="auto"/>
        <w:rPr>
          <w:rFonts w:ascii="Aptos" w:hAnsi="Aptos"/>
        </w:rPr>
      </w:pPr>
      <w:r w:rsidRPr="00BE4F47">
        <w:rPr>
          <w:rFonts w:ascii="Aptos" w:hAnsi="Aptos"/>
        </w:rPr>
        <w:lastRenderedPageBreak/>
        <w:t>Tableau 5-5. Régime de droits des outils et des techniques employés</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3400"/>
        <w:gridCol w:w="3257"/>
      </w:tblGrid>
      <w:tr w:rsidR="00F50D70" w:rsidRPr="00BE4F47" w14:paraId="55363BB2"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1408D6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Objet</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47E5A2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Régime de droits</w:t>
            </w:r>
          </w:p>
        </w:tc>
        <w:tc>
          <w:tcPr>
            <w:tcW w:w="32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545B1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pour le mandat</w:t>
            </w:r>
          </w:p>
        </w:tc>
      </w:tr>
      <w:tr w:rsidR="00F50D70" w:rsidRPr="00BE4F47" w14:paraId="4EBADDAE"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C9CEF1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OpenModelica et ThermoPower</w:t>
            </w:r>
          </w:p>
        </w:tc>
        <w:tc>
          <w:tcPr>
            <w:tcW w:w="3400" w:type="dxa"/>
            <w:tcBorders>
              <w:top w:val="single" w:sz="4" w:space="0" w:color="000000"/>
              <w:left w:val="single" w:sz="4" w:space="0" w:color="000000"/>
              <w:bottom w:val="single" w:sz="4" w:space="0" w:color="000000"/>
              <w:right w:val="single" w:sz="4" w:space="0" w:color="000000"/>
            </w:tcBorders>
          </w:tcPr>
          <w:p w14:paraId="4B8BF2A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Diffusion libre. La licence exacte de chaque composant doit être vérifiée et consignée avant la première livraison.</w:t>
            </w:r>
          </w:p>
        </w:tc>
        <w:tc>
          <w:tcPr>
            <w:tcW w:w="3257" w:type="dxa"/>
            <w:tcBorders>
              <w:top w:val="single" w:sz="4" w:space="0" w:color="000000"/>
              <w:left w:val="single" w:sz="4" w:space="0" w:color="000000"/>
              <w:bottom w:val="single" w:sz="4" w:space="0" w:color="000000"/>
              <w:right w:val="single" w:sz="4" w:space="0" w:color="000000"/>
            </w:tcBorders>
          </w:tcPr>
          <w:p w14:paraId="52E8F99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prévue. Vérification inscrite au lot L9 avant le jalon J2.</w:t>
            </w:r>
          </w:p>
        </w:tc>
      </w:tr>
      <w:tr w:rsidR="00F50D70" w:rsidRPr="00BE4F47" w14:paraId="54CF08A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71D74A4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Bibliothèques de calcul et d’apprentissage automatique</w:t>
            </w:r>
          </w:p>
        </w:tc>
        <w:tc>
          <w:tcPr>
            <w:tcW w:w="3400" w:type="dxa"/>
            <w:tcBorders>
              <w:top w:val="single" w:sz="4" w:space="0" w:color="000000"/>
              <w:left w:val="single" w:sz="4" w:space="0" w:color="000000"/>
              <w:bottom w:val="single" w:sz="4" w:space="0" w:color="000000"/>
              <w:right w:val="single" w:sz="4" w:space="0" w:color="000000"/>
            </w:tcBorders>
          </w:tcPr>
          <w:p w14:paraId="6B497F7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Licences libres permissives.</w:t>
            </w:r>
          </w:p>
        </w:tc>
        <w:tc>
          <w:tcPr>
            <w:tcW w:w="3257" w:type="dxa"/>
            <w:tcBorders>
              <w:top w:val="single" w:sz="4" w:space="0" w:color="000000"/>
              <w:left w:val="single" w:sz="4" w:space="0" w:color="000000"/>
              <w:bottom w:val="single" w:sz="4" w:space="0" w:color="000000"/>
              <w:right w:val="single" w:sz="4" w:space="0" w:color="000000"/>
            </w:tcBorders>
          </w:tcPr>
          <w:p w14:paraId="7DAC448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Les licences sont consignées dans le dépôt, conformément à la section 4.</w:t>
            </w:r>
          </w:p>
        </w:tc>
      </w:tr>
      <w:tr w:rsidR="00F50D70" w:rsidRPr="00BE4F47" w14:paraId="6A3B2848"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258CAFE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Normes consultées</w:t>
            </w:r>
          </w:p>
        </w:tc>
        <w:tc>
          <w:tcPr>
            <w:tcW w:w="3400" w:type="dxa"/>
            <w:tcBorders>
              <w:top w:val="single" w:sz="4" w:space="0" w:color="000000"/>
              <w:left w:val="single" w:sz="4" w:space="0" w:color="000000"/>
              <w:bottom w:val="single" w:sz="4" w:space="0" w:color="000000"/>
              <w:right w:val="single" w:sz="4" w:space="0" w:color="000000"/>
            </w:tcBorders>
          </w:tcPr>
          <w:p w14:paraId="2144658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Accès par l’abonnement institutionnel de l’UQAC. Le texte des normes ne peut pas être reproduit dans les livrables.</w:t>
            </w:r>
          </w:p>
        </w:tc>
        <w:tc>
          <w:tcPr>
            <w:tcW w:w="3257" w:type="dxa"/>
            <w:tcBorders>
              <w:top w:val="single" w:sz="4" w:space="0" w:color="000000"/>
              <w:left w:val="single" w:sz="4" w:space="0" w:color="000000"/>
              <w:bottom w:val="single" w:sz="4" w:space="0" w:color="000000"/>
              <w:right w:val="single" w:sz="4" w:space="0" w:color="000000"/>
            </w:tcBorders>
          </w:tcPr>
          <w:p w14:paraId="57F8435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 coût imputé au mandat. Les normes sont citées, jamais recopiées.</w:t>
            </w:r>
          </w:p>
        </w:tc>
      </w:tr>
      <w:tr w:rsidR="00F50D70" w:rsidRPr="00BE4F47" w14:paraId="1163605C"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7A85324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Brevets recensés au tableau des brevets</w:t>
            </w:r>
          </w:p>
        </w:tc>
        <w:tc>
          <w:tcPr>
            <w:tcW w:w="3400" w:type="dxa"/>
            <w:tcBorders>
              <w:top w:val="single" w:sz="4" w:space="0" w:color="000000"/>
              <w:left w:val="single" w:sz="4" w:space="0" w:color="000000"/>
              <w:bottom w:val="single" w:sz="4" w:space="0" w:color="000000"/>
              <w:right w:val="single" w:sz="4" w:space="0" w:color="000000"/>
            </w:tcBorders>
          </w:tcPr>
          <w:p w14:paraId="62E71C7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Quatre demandes chinoises et un brevet états-unien, sans protection en vigueur au Canada à la date de la revue.</w:t>
            </w:r>
          </w:p>
        </w:tc>
        <w:tc>
          <w:tcPr>
            <w:tcW w:w="3257" w:type="dxa"/>
            <w:tcBorders>
              <w:top w:val="single" w:sz="4" w:space="0" w:color="000000"/>
              <w:left w:val="single" w:sz="4" w:space="0" w:color="000000"/>
              <w:bottom w:val="single" w:sz="4" w:space="0" w:color="000000"/>
              <w:right w:val="single" w:sz="4" w:space="0" w:color="000000"/>
            </w:tcBorders>
          </w:tcPr>
          <w:p w14:paraId="573B1A0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exigible dans le contexte du mandat, qui est une démonstration universitaire sans exploitation commerciale.</w:t>
            </w:r>
          </w:p>
        </w:tc>
      </w:tr>
      <w:tr w:rsidR="00F50D70" w:rsidRPr="00BE4F47" w14:paraId="07E1BDAE"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2C7451A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Exploitation ultérieure du prototype</w:t>
            </w:r>
          </w:p>
        </w:tc>
        <w:tc>
          <w:tcPr>
            <w:tcW w:w="3400" w:type="dxa"/>
            <w:tcBorders>
              <w:top w:val="single" w:sz="4" w:space="0" w:color="000000"/>
              <w:left w:val="single" w:sz="4" w:space="0" w:color="000000"/>
              <w:bottom w:val="single" w:sz="4" w:space="0" w:color="000000"/>
              <w:right w:val="single" w:sz="4" w:space="0" w:color="000000"/>
            </w:tcBorders>
          </w:tcPr>
          <w:p w14:paraId="056D88A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Non couverte par le présent mandat.</w:t>
            </w:r>
          </w:p>
        </w:tc>
        <w:tc>
          <w:tcPr>
            <w:tcW w:w="3257" w:type="dxa"/>
            <w:tcBorders>
              <w:top w:val="single" w:sz="4" w:space="0" w:color="000000"/>
              <w:left w:val="single" w:sz="4" w:space="0" w:color="000000"/>
              <w:bottom w:val="single" w:sz="4" w:space="0" w:color="000000"/>
              <w:right w:val="single" w:sz="4" w:space="0" w:color="000000"/>
            </w:tcBorders>
          </w:tcPr>
          <w:p w14:paraId="561F3FD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Une exploitation commerciale exigerait une recherche de liberté d’exploitation, qui n’est pas au périmètre. Cette réserve figure au rapport final.</w:t>
            </w:r>
          </w:p>
        </w:tc>
      </w:tr>
    </w:tbl>
    <w:p w14:paraId="7A367F1E"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conclusion est qu’aucune redevance n’est à prévoir au budget du mandat. Cette conclusion vaut pour le périmètre académique défini à la section 1 et pour lui seul. Elle ne constitue pas un avis de liberté d’exploitation, lequel relèverait d’un conseil juridique spécialisé.</w:t>
      </w:r>
    </w:p>
    <w:p w14:paraId="17B7A9F9" w14:textId="77777777" w:rsidR="00F50D70" w:rsidRPr="00B03F2E" w:rsidRDefault="00000000" w:rsidP="008E113B">
      <w:pPr>
        <w:pStyle w:val="Titre2"/>
        <w:spacing w:line="360" w:lineRule="auto"/>
      </w:pPr>
      <w:bookmarkStart w:id="39" w:name="__RefHeading___Toc240715190"/>
      <w:r w:rsidRPr="00B03F2E">
        <w:t>Lacunes de notre revue</w:t>
      </w:r>
      <w:bookmarkEnd w:id="39"/>
      <w:r w:rsidRPr="00B03F2E">
        <w:t xml:space="preserve"> </w:t>
      </w:r>
    </w:p>
    <w:p w14:paraId="7C006389"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Une revue de l’état de l’art gagne à déclarer ses propres limites. Quatre sont identifiées.</w:t>
      </w:r>
    </w:p>
    <w:p w14:paraId="35F773CF" w14:textId="77777777" w:rsidR="00F50D70" w:rsidRPr="00BE4F47" w:rsidRDefault="00000000" w:rsidP="008E113B">
      <w:pPr>
        <w:pStyle w:val="Lgende"/>
        <w:spacing w:line="360" w:lineRule="auto"/>
        <w:rPr>
          <w:rFonts w:ascii="Aptos" w:hAnsi="Aptos"/>
        </w:rPr>
      </w:pPr>
      <w:r w:rsidRPr="00BE4F47">
        <w:rPr>
          <w:rFonts w:ascii="Aptos" w:hAnsi="Aptos"/>
        </w:rPr>
        <w:t>Tableau 5-6. Lacunes de la revue et traitement prévu</w:t>
      </w:r>
    </w:p>
    <w:tbl>
      <w:tblPr>
        <w:tblW w:w="8534" w:type="dxa"/>
        <w:tblInd w:w="454" w:type="dxa"/>
        <w:tblLayout w:type="fixed"/>
        <w:tblCellMar>
          <w:top w:w="60" w:type="dxa"/>
          <w:left w:w="90" w:type="dxa"/>
          <w:bottom w:w="60" w:type="dxa"/>
          <w:right w:w="90" w:type="dxa"/>
        </w:tblCellMar>
        <w:tblLook w:val="04A0" w:firstRow="1" w:lastRow="0" w:firstColumn="1" w:lastColumn="0" w:noHBand="0" w:noVBand="1"/>
      </w:tblPr>
      <w:tblGrid>
        <w:gridCol w:w="2735"/>
        <w:gridCol w:w="5799"/>
      </w:tblGrid>
      <w:tr w:rsidR="00F50D70" w:rsidRPr="00BE4F47" w14:paraId="03926430" w14:textId="77777777" w:rsidTr="0036725C">
        <w:trPr>
          <w:trHeight w:val="486"/>
          <w:tblHeader/>
        </w:trPr>
        <w:tc>
          <w:tcPr>
            <w:tcW w:w="273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1229B8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Lacune</w:t>
            </w:r>
          </w:p>
        </w:tc>
        <w:tc>
          <w:tcPr>
            <w:tcW w:w="5799"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7B6316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et traitement</w:t>
            </w:r>
          </w:p>
        </w:tc>
      </w:tr>
      <w:tr w:rsidR="00F50D70" w:rsidRPr="00BE4F47" w14:paraId="5FD70DC4" w14:textId="77777777">
        <w:trPr>
          <w:cantSplit/>
          <w:trHeight w:val="899"/>
        </w:trPr>
        <w:tc>
          <w:tcPr>
            <w:tcW w:w="2735" w:type="dxa"/>
            <w:tcBorders>
              <w:top w:val="single" w:sz="4" w:space="0" w:color="000000"/>
              <w:left w:val="single" w:sz="4" w:space="0" w:color="000000"/>
              <w:bottom w:val="single" w:sz="4" w:space="0" w:color="000000"/>
              <w:right w:val="single" w:sz="4" w:space="0" w:color="000000"/>
            </w:tcBorders>
          </w:tcPr>
          <w:p w14:paraId="221A2D2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Quatre des six articles retenus sont des revues de littérature.</w:t>
            </w:r>
          </w:p>
        </w:tc>
        <w:tc>
          <w:tcPr>
            <w:tcW w:w="5799" w:type="dxa"/>
            <w:tcBorders>
              <w:top w:val="single" w:sz="4" w:space="0" w:color="000000"/>
              <w:left w:val="single" w:sz="4" w:space="0" w:color="000000"/>
              <w:bottom w:val="single" w:sz="4" w:space="0" w:color="000000"/>
              <w:right w:val="single" w:sz="4" w:space="0" w:color="000000"/>
            </w:tcBorders>
          </w:tcPr>
          <w:p w14:paraId="6142EEF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revue hérite en partie des choix et des angles morts de ces travaux. À compenser par des références primaires lors de la conception détaillée.</w:t>
            </w:r>
          </w:p>
        </w:tc>
      </w:tr>
      <w:tr w:rsidR="00F50D70" w:rsidRPr="00BE4F47" w14:paraId="63C37553" w14:textId="77777777">
        <w:trPr>
          <w:cantSplit/>
          <w:trHeight w:val="899"/>
        </w:trPr>
        <w:tc>
          <w:tcPr>
            <w:tcW w:w="2735" w:type="dxa"/>
            <w:tcBorders>
              <w:top w:val="single" w:sz="4" w:space="0" w:color="000000"/>
              <w:left w:val="single" w:sz="4" w:space="0" w:color="000000"/>
              <w:bottom w:val="single" w:sz="4" w:space="0" w:color="000000"/>
              <w:right w:val="single" w:sz="4" w:space="0" w:color="000000"/>
            </w:tcBorders>
          </w:tcPr>
          <w:p w14:paraId="5837F85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modélisation thermohydraulique est sous-documentée.</w:t>
            </w:r>
          </w:p>
        </w:tc>
        <w:tc>
          <w:tcPr>
            <w:tcW w:w="5799" w:type="dxa"/>
            <w:tcBorders>
              <w:top w:val="single" w:sz="4" w:space="0" w:color="000000"/>
              <w:left w:val="single" w:sz="4" w:space="0" w:color="000000"/>
              <w:bottom w:val="single" w:sz="4" w:space="0" w:color="000000"/>
              <w:right w:val="single" w:sz="4" w:space="0" w:color="000000"/>
            </w:tcBorders>
          </w:tcPr>
          <w:p w14:paraId="763ED6C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C’est le cœur technique du projet. Deux à trois références propres au domaine sont à ajouter, ainsi que la documentation de l’outil retenu.</w:t>
            </w:r>
          </w:p>
        </w:tc>
      </w:tr>
      <w:tr w:rsidR="00F50D70" w:rsidRPr="00BE4F47" w14:paraId="1D357B39" w14:textId="77777777">
        <w:trPr>
          <w:cantSplit/>
          <w:trHeight w:val="899"/>
        </w:trPr>
        <w:tc>
          <w:tcPr>
            <w:tcW w:w="2735" w:type="dxa"/>
            <w:tcBorders>
              <w:top w:val="single" w:sz="4" w:space="0" w:color="000000"/>
              <w:left w:val="single" w:sz="4" w:space="0" w:color="000000"/>
              <w:bottom w:val="single" w:sz="4" w:space="0" w:color="000000"/>
              <w:right w:val="single" w:sz="4" w:space="0" w:color="000000"/>
            </w:tcBorders>
          </w:tcPr>
          <w:p w14:paraId="5C78DEE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source propre au parc canadien ni à la filière CANDU.</w:t>
            </w:r>
          </w:p>
        </w:tc>
        <w:tc>
          <w:tcPr>
            <w:tcW w:w="5799" w:type="dxa"/>
            <w:tcBorders>
              <w:top w:val="single" w:sz="4" w:space="0" w:color="000000"/>
              <w:left w:val="single" w:sz="4" w:space="0" w:color="000000"/>
              <w:bottom w:val="single" w:sz="4" w:space="0" w:color="000000"/>
              <w:right w:val="single" w:sz="4" w:space="0" w:color="000000"/>
            </w:tcBorders>
          </w:tcPr>
          <w:p w14:paraId="240CE18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scénario retenu porte sur une installation CANDU. Une source sur la thermohydraulique de cette filière renforcerait la pertinence du modèle.</w:t>
            </w:r>
          </w:p>
        </w:tc>
      </w:tr>
      <w:tr w:rsidR="00F50D70" w:rsidRPr="00BE4F47" w14:paraId="5F27EF44" w14:textId="77777777">
        <w:trPr>
          <w:cantSplit/>
          <w:trHeight w:val="899"/>
        </w:trPr>
        <w:tc>
          <w:tcPr>
            <w:tcW w:w="2735" w:type="dxa"/>
            <w:tcBorders>
              <w:top w:val="single" w:sz="4" w:space="0" w:color="000000"/>
              <w:left w:val="single" w:sz="4" w:space="0" w:color="000000"/>
              <w:bottom w:val="single" w:sz="4" w:space="0" w:color="000000"/>
              <w:right w:val="single" w:sz="4" w:space="0" w:color="000000"/>
            </w:tcBorders>
          </w:tcPr>
          <w:p w14:paraId="27C4F88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La recherche de brevets s’est limitée à Google Patents.</w:t>
            </w:r>
          </w:p>
        </w:tc>
        <w:tc>
          <w:tcPr>
            <w:tcW w:w="5799" w:type="dxa"/>
            <w:tcBorders>
              <w:top w:val="single" w:sz="4" w:space="0" w:color="000000"/>
              <w:left w:val="single" w:sz="4" w:space="0" w:color="000000"/>
              <w:bottom w:val="single" w:sz="4" w:space="0" w:color="000000"/>
              <w:right w:val="single" w:sz="4" w:space="0" w:color="000000"/>
            </w:tcBorders>
          </w:tcPr>
          <w:p w14:paraId="4A7E023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Suffisant pour une antériorité préliminaire. Une recherche dans les bases nationales serait nécessaire pour toute analyse de liberté d’exploitation.</w:t>
            </w:r>
          </w:p>
        </w:tc>
      </w:tr>
    </w:tbl>
    <w:p w14:paraId="1A12E423" w14:textId="77777777" w:rsidR="00F50D70" w:rsidRPr="00BE4F47" w:rsidRDefault="00F50D70" w:rsidP="008E113B">
      <w:pPr>
        <w:spacing w:after="130" w:line="360" w:lineRule="auto"/>
        <w:ind w:left="425"/>
        <w:rPr>
          <w:rFonts w:ascii="Aptos" w:hAnsi="Aptos"/>
        </w:rPr>
      </w:pPr>
    </w:p>
    <w:p w14:paraId="61C6E3C9" w14:textId="77777777" w:rsidR="00F50D70" w:rsidRPr="00BE4F47" w:rsidRDefault="00F50D70" w:rsidP="008E113B">
      <w:pPr>
        <w:pStyle w:val="Retraitcorpsdetexte3"/>
        <w:spacing w:line="360" w:lineRule="auto"/>
        <w:ind w:left="0" w:firstLine="0"/>
        <w:rPr>
          <w:rFonts w:ascii="Aptos" w:hAnsi="Aptos"/>
        </w:rPr>
      </w:pPr>
    </w:p>
    <w:p w14:paraId="261D8464" w14:textId="77777777" w:rsidR="00F50D70" w:rsidRPr="00B03F2E" w:rsidRDefault="00000000" w:rsidP="008E113B">
      <w:pPr>
        <w:pStyle w:val="Titre1"/>
        <w:spacing w:line="360" w:lineRule="auto"/>
      </w:pPr>
      <w:bookmarkStart w:id="40" w:name="__RefHeading___Toc240715192"/>
      <w:bookmarkEnd w:id="40"/>
      <w:r w:rsidRPr="00B03F2E">
        <w:t>Normes, codes et standards</w:t>
      </w:r>
    </w:p>
    <w:p w14:paraId="556CB928"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revue a montré ce que d’autres ont fait. Cette section établit le cadre dans lequel le projet doit le faire. Elle part de la loi, passe par la réglementation, retient les normes applicables, et en tire des conséquences directes sur la conception.</w:t>
      </w:r>
    </w:p>
    <w:p w14:paraId="470822A6" w14:textId="77777777" w:rsidR="00F50D70" w:rsidRPr="00BE4F47" w:rsidRDefault="00F50D70" w:rsidP="008E113B">
      <w:pPr>
        <w:spacing w:line="360" w:lineRule="auto"/>
        <w:ind w:left="0"/>
        <w:rPr>
          <w:rFonts w:ascii="Aptos" w:hAnsi="Aptos"/>
        </w:rPr>
      </w:pPr>
    </w:p>
    <w:p w14:paraId="1E262275" w14:textId="77777777" w:rsidR="00F50D70" w:rsidRPr="00BE4F47" w:rsidRDefault="00000000" w:rsidP="008E113B">
      <w:pPr>
        <w:spacing w:line="360" w:lineRule="auto"/>
        <w:ind w:left="0"/>
        <w:rPr>
          <w:rFonts w:ascii="Aptos" w:hAnsi="Aptos"/>
        </w:rPr>
      </w:pPr>
      <w:r w:rsidRPr="00BE4F47">
        <w:rPr>
          <w:rFonts w:ascii="Aptos" w:eastAsia="Calibri" w:hAnsi="Aptos" w:cs="Calibri"/>
          <w:color w:val="1A1A19"/>
          <w:sz w:val="20"/>
          <w:szCs w:val="20"/>
        </w:rPr>
        <w:t>Le projet comprend des activités d’ingénierie des exigences, de modélisation de la boucle thermohydraulique, de conception logicielle, de cybersécurité, d’acquisition de données, de détection d’anomalies, de quantification de l’incertitude, de conception d’une interface homme-machine ainsi que de vérification et de validation. Les lois, règlements et normes retenus ont été sélectionnés en fonction de leur pertinence pour ces activités. Ils sont utilisés comme références d’ingénierie, de conception et de validation.</w:t>
      </w:r>
    </w:p>
    <w:p w14:paraId="3804A86A" w14:textId="77777777" w:rsidR="00F50D70" w:rsidRPr="00BE4F47" w:rsidRDefault="00000000" w:rsidP="008E113B">
      <w:pPr>
        <w:spacing w:line="360" w:lineRule="auto"/>
        <w:ind w:left="0"/>
        <w:rPr>
          <w:rFonts w:ascii="Aptos" w:hAnsi="Aptos"/>
        </w:rPr>
      </w:pPr>
      <w:r w:rsidRPr="00BE4F47">
        <w:rPr>
          <w:rFonts w:ascii="Aptos" w:eastAsia="Calibri" w:hAnsi="Aptos" w:cs="Calibri"/>
          <w:color w:val="1A1A19"/>
          <w:sz w:val="20"/>
          <w:szCs w:val="20"/>
        </w:rPr>
        <w:t>La revue distingue trois niveaux : le cadre législatif, qui détermine ce qui relève de l’exercice de l’ingénierie ; le cadre réglementaire, qui encadre les installations nucléaires canadiennes ; et les normes techniques, qui orientent les choix de conception et fournissent les critères de validation.</w:t>
      </w:r>
    </w:p>
    <w:p w14:paraId="25BDB00B" w14:textId="77777777" w:rsidR="00F50D70" w:rsidRPr="00BE4F47" w:rsidRDefault="00F50D70" w:rsidP="008E113B">
      <w:pPr>
        <w:spacing w:line="360" w:lineRule="auto"/>
        <w:rPr>
          <w:rFonts w:ascii="Aptos" w:hAnsi="Aptos" w:cs="Calibri"/>
        </w:rPr>
      </w:pPr>
    </w:p>
    <w:p w14:paraId="79175F0C" w14:textId="77777777" w:rsidR="00F50D70" w:rsidRPr="00BE4F47" w:rsidRDefault="00F50D70" w:rsidP="008E113B">
      <w:pPr>
        <w:spacing w:line="360" w:lineRule="auto"/>
        <w:ind w:left="0"/>
        <w:rPr>
          <w:rFonts w:ascii="Aptos" w:hAnsi="Aptos" w:cs="Calibri"/>
        </w:rPr>
      </w:pPr>
    </w:p>
    <w:p w14:paraId="10A65363" w14:textId="77777777" w:rsidR="00F50D70" w:rsidRPr="00B03F2E" w:rsidRDefault="00000000" w:rsidP="008E113B">
      <w:pPr>
        <w:pStyle w:val="Titre2"/>
        <w:spacing w:line="360" w:lineRule="auto"/>
      </w:pPr>
      <w:bookmarkStart w:id="41" w:name="__RefHeading___Toc240715195"/>
      <w:bookmarkEnd w:id="41"/>
      <w:r w:rsidRPr="00B03F2E">
        <w:t>Cadre législatif</w:t>
      </w:r>
    </w:p>
    <w:p w14:paraId="57D9B28A" w14:textId="77777777" w:rsidR="00F50D70" w:rsidRPr="00BE4F47" w:rsidRDefault="00F50D70" w:rsidP="008E113B">
      <w:pPr>
        <w:spacing w:line="360" w:lineRule="auto"/>
        <w:ind w:left="720"/>
        <w:rPr>
          <w:rFonts w:ascii="Aptos" w:hAnsi="Aptos" w:cs="Calibri"/>
        </w:rPr>
      </w:pPr>
    </w:p>
    <w:p w14:paraId="55A32D1A" w14:textId="77777777" w:rsidR="00F50D70" w:rsidRPr="00BE4F47" w:rsidRDefault="00000000" w:rsidP="008E113B">
      <w:pPr>
        <w:spacing w:line="360" w:lineRule="auto"/>
        <w:ind w:left="360"/>
        <w:rPr>
          <w:rFonts w:ascii="Aptos" w:hAnsi="Aptos"/>
        </w:rPr>
      </w:pPr>
      <w:r w:rsidRPr="00BE4F47">
        <w:rPr>
          <w:rFonts w:ascii="Aptos" w:eastAsia="Calibri" w:hAnsi="Aptos" w:cs="Calibri"/>
          <w:color w:val="1A1A19"/>
          <w:sz w:val="20"/>
          <w:szCs w:val="20"/>
        </w:rPr>
        <w:t>Au Québec, l’exercice de l’ingénierie est encadré par la Loi sur les ingénieurs, RLRQ, chapitre I-9 [18]. L’Ordre des ingénieurs du Québec rappelle que cette loi définit l’exercice de l’ingénierie, les activités réservées, les ouvrages auxquels elles se rapportent ainsi que certaines responsabilités professionnelles [19]. Elle s’inscrit dans la mission de protection du public du système professionnel québécois. Quatre dispositions concernent directement le projet.</w:t>
      </w:r>
    </w:p>
    <w:p w14:paraId="70061788" w14:textId="77777777" w:rsidR="00F50D70" w:rsidRPr="00BE4F47" w:rsidRDefault="00000000" w:rsidP="008E113B">
      <w:pPr>
        <w:pStyle w:val="Lgende"/>
        <w:spacing w:line="360" w:lineRule="auto"/>
        <w:rPr>
          <w:rFonts w:ascii="Aptos" w:hAnsi="Aptos"/>
        </w:rPr>
      </w:pPr>
      <w:r w:rsidRPr="00BE4F47">
        <w:rPr>
          <w:rFonts w:ascii="Aptos" w:hAnsi="Aptos"/>
        </w:rPr>
        <w:t>Tableau 6-1. Cadre législatif applicable</w:t>
      </w:r>
    </w:p>
    <w:tbl>
      <w:tblPr>
        <w:tblpPr w:leftFromText="141" w:rightFromText="141" w:vertAnchor="text" w:horzAnchor="page" w:tblpX="2066" w:tblpY="230"/>
        <w:tblW w:w="8672" w:type="dxa"/>
        <w:tblLayout w:type="fixed"/>
        <w:tblCellMar>
          <w:top w:w="70" w:type="dxa"/>
          <w:left w:w="100" w:type="dxa"/>
          <w:bottom w:w="70" w:type="dxa"/>
          <w:right w:w="100" w:type="dxa"/>
        </w:tblCellMar>
        <w:tblLook w:val="04A0" w:firstRow="1" w:lastRow="0" w:firstColumn="1" w:lastColumn="0" w:noHBand="0" w:noVBand="1"/>
      </w:tblPr>
      <w:tblGrid>
        <w:gridCol w:w="1389"/>
        <w:gridCol w:w="3614"/>
        <w:gridCol w:w="3669"/>
      </w:tblGrid>
      <w:tr w:rsidR="00F50D70" w:rsidRPr="00BE4F47" w14:paraId="4C6B179B" w14:textId="77777777" w:rsidTr="0036725C">
        <w:trPr>
          <w:trHeight w:val="232"/>
          <w:tblHeader/>
        </w:trPr>
        <w:tc>
          <w:tcPr>
            <w:tcW w:w="138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4C1BB7C"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lastRenderedPageBreak/>
              <w:t>Disposition</w:t>
            </w:r>
          </w:p>
        </w:tc>
        <w:tc>
          <w:tcPr>
            <w:tcW w:w="3614"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0742604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Portée</w:t>
            </w:r>
          </w:p>
        </w:tc>
        <w:tc>
          <w:tcPr>
            <w:tcW w:w="366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18749B00"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Lien avec le projet</w:t>
            </w:r>
          </w:p>
        </w:tc>
      </w:tr>
      <w:tr w:rsidR="00F50D70" w:rsidRPr="00BE4F47" w14:paraId="5B1DA85B" w14:textId="77777777">
        <w:trPr>
          <w:cantSplit/>
          <w:trHeight w:val="621"/>
        </w:trPr>
        <w:tc>
          <w:tcPr>
            <w:tcW w:w="1389" w:type="dxa"/>
            <w:tcBorders>
              <w:top w:val="single" w:sz="4" w:space="0" w:color="000000"/>
              <w:left w:val="single" w:sz="4" w:space="0" w:color="000000"/>
              <w:bottom w:val="single" w:sz="4" w:space="0" w:color="000000"/>
              <w:right w:val="single" w:sz="4" w:space="0" w:color="000000"/>
            </w:tcBorders>
            <w:vAlign w:val="center"/>
          </w:tcPr>
          <w:p w14:paraId="43756F86"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Article 2 (1°)</w:t>
            </w:r>
          </w:p>
        </w:tc>
        <w:tc>
          <w:tcPr>
            <w:tcW w:w="3614" w:type="dxa"/>
            <w:tcBorders>
              <w:top w:val="single" w:sz="4" w:space="0" w:color="000000"/>
              <w:left w:val="single" w:sz="4" w:space="0" w:color="000000"/>
              <w:bottom w:val="single" w:sz="4" w:space="0" w:color="000000"/>
              <w:right w:val="single" w:sz="4" w:space="0" w:color="000000"/>
            </w:tcBorders>
            <w:vAlign w:val="center"/>
          </w:tcPr>
          <w:p w14:paraId="0B4435D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Déterminer les concepts, les paramètres, les équations ou les modèles permettant d’anticiper le comportement des procédés ou des systèmes.</w:t>
            </w:r>
          </w:p>
        </w:tc>
        <w:tc>
          <w:tcPr>
            <w:tcW w:w="3669" w:type="dxa"/>
            <w:tcBorders>
              <w:top w:val="single" w:sz="4" w:space="0" w:color="000000"/>
              <w:left w:val="single" w:sz="4" w:space="0" w:color="000000"/>
              <w:bottom w:val="single" w:sz="4" w:space="0" w:color="000000"/>
              <w:right w:val="single" w:sz="4" w:space="0" w:color="000000"/>
            </w:tcBorders>
            <w:vAlign w:val="center"/>
          </w:tcPr>
          <w:p w14:paraId="52D1F12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Modélisation de la boucle thermohydraulique, définition de ses paramètres et construction du jumeau numérique.</w:t>
            </w:r>
          </w:p>
        </w:tc>
      </w:tr>
      <w:tr w:rsidR="00F50D70" w:rsidRPr="00BE4F47" w14:paraId="402D6624" w14:textId="77777777">
        <w:trPr>
          <w:cantSplit/>
          <w:trHeight w:val="422"/>
        </w:trPr>
        <w:tc>
          <w:tcPr>
            <w:tcW w:w="1389" w:type="dxa"/>
            <w:tcBorders>
              <w:top w:val="single" w:sz="4" w:space="0" w:color="000000"/>
              <w:left w:val="single" w:sz="4" w:space="0" w:color="000000"/>
              <w:bottom w:val="single" w:sz="4" w:space="0" w:color="000000"/>
              <w:right w:val="single" w:sz="4" w:space="0" w:color="000000"/>
            </w:tcBorders>
            <w:vAlign w:val="center"/>
          </w:tcPr>
          <w:p w14:paraId="1BD08B9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Article 2 (2°)</w:t>
            </w:r>
          </w:p>
        </w:tc>
        <w:tc>
          <w:tcPr>
            <w:tcW w:w="3614" w:type="dxa"/>
            <w:tcBorders>
              <w:top w:val="single" w:sz="4" w:space="0" w:color="000000"/>
              <w:left w:val="single" w:sz="4" w:space="0" w:color="000000"/>
              <w:bottom w:val="single" w:sz="4" w:space="0" w:color="000000"/>
              <w:right w:val="single" w:sz="4" w:space="0" w:color="000000"/>
            </w:tcBorders>
            <w:vAlign w:val="center"/>
          </w:tcPr>
          <w:p w14:paraId="2A8711B8"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Effectuer des essais ou des calculs nécessitant le recours à des modèles issus de principes d’ingénierie.</w:t>
            </w:r>
          </w:p>
        </w:tc>
        <w:tc>
          <w:tcPr>
            <w:tcW w:w="3669" w:type="dxa"/>
            <w:tcBorders>
              <w:top w:val="single" w:sz="4" w:space="0" w:color="000000"/>
              <w:left w:val="single" w:sz="4" w:space="0" w:color="000000"/>
              <w:bottom w:val="single" w:sz="4" w:space="0" w:color="000000"/>
              <w:right w:val="single" w:sz="4" w:space="0" w:color="000000"/>
            </w:tcBorders>
            <w:vAlign w:val="center"/>
          </w:tcPr>
          <w:p w14:paraId="1ABF83BB"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Simulations, calculs, injection d’anomalies et campagne de vérification et de validation.</w:t>
            </w:r>
          </w:p>
        </w:tc>
      </w:tr>
      <w:tr w:rsidR="00F50D70" w:rsidRPr="00BE4F47" w14:paraId="5C812C6E" w14:textId="77777777">
        <w:trPr>
          <w:cantSplit/>
          <w:trHeight w:val="432"/>
        </w:trPr>
        <w:tc>
          <w:tcPr>
            <w:tcW w:w="1389" w:type="dxa"/>
            <w:tcBorders>
              <w:top w:val="single" w:sz="4" w:space="0" w:color="000000"/>
              <w:left w:val="single" w:sz="4" w:space="0" w:color="000000"/>
              <w:bottom w:val="single" w:sz="4" w:space="0" w:color="000000"/>
              <w:right w:val="single" w:sz="4" w:space="0" w:color="000000"/>
            </w:tcBorders>
            <w:vAlign w:val="center"/>
          </w:tcPr>
          <w:p w14:paraId="28B43850"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Article 2 (6°)</w:t>
            </w:r>
          </w:p>
        </w:tc>
        <w:tc>
          <w:tcPr>
            <w:tcW w:w="3614" w:type="dxa"/>
            <w:tcBorders>
              <w:top w:val="single" w:sz="4" w:space="0" w:color="000000"/>
              <w:left w:val="single" w:sz="4" w:space="0" w:color="000000"/>
              <w:bottom w:val="single" w:sz="4" w:space="0" w:color="000000"/>
              <w:right w:val="single" w:sz="4" w:space="0" w:color="000000"/>
            </w:tcBorders>
            <w:vAlign w:val="center"/>
          </w:tcPr>
          <w:p w14:paraId="24E1289C"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Donner un avis relatif à une activité professionnelle d’ingénierie.</w:t>
            </w:r>
          </w:p>
        </w:tc>
        <w:tc>
          <w:tcPr>
            <w:tcW w:w="3669" w:type="dxa"/>
            <w:tcBorders>
              <w:top w:val="single" w:sz="4" w:space="0" w:color="000000"/>
              <w:left w:val="single" w:sz="4" w:space="0" w:color="000000"/>
              <w:bottom w:val="single" w:sz="4" w:space="0" w:color="000000"/>
              <w:right w:val="single" w:sz="4" w:space="0" w:color="000000"/>
            </w:tcBorders>
            <w:vAlign w:val="center"/>
          </w:tcPr>
          <w:p w14:paraId="6CDFB07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Analyse des résultats, interprétation et recommandation d’ingénierie remise en fin de projet.</w:t>
            </w:r>
          </w:p>
        </w:tc>
      </w:tr>
      <w:tr w:rsidR="00F50D70" w:rsidRPr="00BE4F47" w14:paraId="4E6C9008" w14:textId="77777777">
        <w:trPr>
          <w:cantSplit/>
          <w:trHeight w:val="989"/>
        </w:trPr>
        <w:tc>
          <w:tcPr>
            <w:tcW w:w="1389" w:type="dxa"/>
            <w:tcBorders>
              <w:top w:val="single" w:sz="4" w:space="0" w:color="000000"/>
              <w:left w:val="single" w:sz="4" w:space="0" w:color="000000"/>
              <w:bottom w:val="single" w:sz="4" w:space="0" w:color="000000"/>
              <w:right w:val="single" w:sz="4" w:space="0" w:color="000000"/>
            </w:tcBorders>
            <w:vAlign w:val="center"/>
          </w:tcPr>
          <w:p w14:paraId="62924D27"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Article 3 (3°)</w:t>
            </w:r>
          </w:p>
        </w:tc>
        <w:tc>
          <w:tcPr>
            <w:tcW w:w="3614" w:type="dxa"/>
            <w:tcBorders>
              <w:top w:val="single" w:sz="4" w:space="0" w:color="000000"/>
              <w:left w:val="single" w:sz="4" w:space="0" w:color="000000"/>
              <w:bottom w:val="single" w:sz="4" w:space="0" w:color="000000"/>
              <w:right w:val="single" w:sz="4" w:space="0" w:color="000000"/>
            </w:tcBorders>
            <w:vAlign w:val="center"/>
          </w:tcPr>
          <w:p w14:paraId="21A6BF2A"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Système de génération, d’accumulation, de transmission, d’utilisation ou de distribution d’énergie sous forme électrique, mécanique ou thermique, à l’exclusion d’un système dont le dysfonctionnement ne présente pas de risque pour la sécurité des personnes.</w:t>
            </w:r>
          </w:p>
        </w:tc>
        <w:tc>
          <w:tcPr>
            <w:tcW w:w="3669" w:type="dxa"/>
            <w:tcBorders>
              <w:top w:val="single" w:sz="4" w:space="0" w:color="000000"/>
              <w:left w:val="single" w:sz="4" w:space="0" w:color="000000"/>
              <w:bottom w:val="single" w:sz="4" w:space="0" w:color="000000"/>
              <w:right w:val="single" w:sz="4" w:space="0" w:color="000000"/>
            </w:tcBorders>
            <w:vAlign w:val="center"/>
          </w:tcPr>
          <w:p w14:paraId="15007A9D"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Boucle thermohydraulique : les phénomènes thermiques et mécaniques constituent le cœur du modèle. Applicabilité discutée en 5.1.1.</w:t>
            </w:r>
          </w:p>
        </w:tc>
      </w:tr>
    </w:tbl>
    <w:p w14:paraId="35DE692F" w14:textId="77777777" w:rsidR="00F50D70" w:rsidRPr="00BE4F47" w:rsidRDefault="00F50D70" w:rsidP="008E113B">
      <w:pPr>
        <w:spacing w:line="360" w:lineRule="auto"/>
        <w:ind w:left="720"/>
        <w:rPr>
          <w:rFonts w:ascii="Aptos" w:hAnsi="Aptos" w:cs="Calibri"/>
        </w:rPr>
      </w:pPr>
    </w:p>
    <w:p w14:paraId="30760797" w14:textId="77777777" w:rsidR="00F50D70" w:rsidRPr="00BE4F47" w:rsidRDefault="00F50D70" w:rsidP="008E113B">
      <w:pPr>
        <w:spacing w:line="360" w:lineRule="auto"/>
        <w:ind w:left="720"/>
        <w:rPr>
          <w:rFonts w:ascii="Aptos" w:hAnsi="Aptos" w:cs="Calibri"/>
        </w:rPr>
      </w:pPr>
    </w:p>
    <w:p w14:paraId="3B0E0BB0" w14:textId="77777777" w:rsidR="00F50D70" w:rsidRPr="00BE4F47" w:rsidRDefault="00F50D70" w:rsidP="008E113B">
      <w:pPr>
        <w:spacing w:line="360" w:lineRule="auto"/>
        <w:ind w:left="720"/>
        <w:rPr>
          <w:rFonts w:ascii="Aptos" w:hAnsi="Aptos" w:cs="Calibri"/>
        </w:rPr>
      </w:pPr>
    </w:p>
    <w:p w14:paraId="24E344FE" w14:textId="77777777" w:rsidR="00F50D70" w:rsidRPr="00BE4F47" w:rsidRDefault="00000000" w:rsidP="008E113B">
      <w:pPr>
        <w:pStyle w:val="Titre3"/>
        <w:spacing w:line="360" w:lineRule="auto"/>
        <w:rPr>
          <w:rFonts w:ascii="Aptos" w:hAnsi="Aptos"/>
        </w:rPr>
      </w:pPr>
      <w:r w:rsidRPr="00BE4F47">
        <w:rPr>
          <w:rFonts w:ascii="Aptos" w:eastAsia="Times" w:hAnsi="Aptos"/>
        </w:rPr>
        <w:t xml:space="preserve"> </w:t>
      </w:r>
      <w:bookmarkStart w:id="42" w:name="__RefHeading___Toc240715197"/>
      <w:r w:rsidRPr="00BE4F47">
        <w:rPr>
          <w:rFonts w:ascii="Aptos" w:hAnsi="Aptos"/>
        </w:rPr>
        <w:t>Applicabilité de l’article 3 (3</w:t>
      </w:r>
      <w:r w:rsidRPr="00BE4F47">
        <w:rPr>
          <w:rFonts w:ascii="Aptos" w:hAnsi="Aptos"/>
          <w:vertAlign w:val="superscript"/>
        </w:rPr>
        <w:t>0</w:t>
      </w:r>
      <w:r w:rsidRPr="00BE4F47">
        <w:rPr>
          <w:rFonts w:ascii="Aptos" w:hAnsi="Aptos"/>
        </w:rPr>
        <w:t>) et portée de la clause d’exclusion</w:t>
      </w:r>
      <w:bookmarkEnd w:id="42"/>
    </w:p>
    <w:p w14:paraId="3DDA86E3" w14:textId="77777777" w:rsidR="00F50D70" w:rsidRPr="00BE4F47" w:rsidRDefault="00F50D70" w:rsidP="008E113B">
      <w:pPr>
        <w:spacing w:line="360" w:lineRule="auto"/>
        <w:ind w:left="1224"/>
        <w:rPr>
          <w:rFonts w:ascii="Aptos" w:hAnsi="Aptos" w:cs="Calibri"/>
        </w:rPr>
      </w:pPr>
    </w:p>
    <w:p w14:paraId="0375784D" w14:textId="77777777" w:rsidR="00F50D70" w:rsidRPr="00BE4F47" w:rsidRDefault="00000000" w:rsidP="008E113B">
      <w:pPr>
        <w:spacing w:line="360" w:lineRule="auto"/>
        <w:ind w:left="720"/>
        <w:rPr>
          <w:rFonts w:ascii="Aptos" w:hAnsi="Aptos"/>
        </w:rPr>
      </w:pPr>
      <w:r w:rsidRPr="00BE4F47">
        <w:rPr>
          <w:rFonts w:ascii="Aptos" w:eastAsia="Calibri" w:hAnsi="Aptos" w:cs="Calibri"/>
          <w:color w:val="1A1A19"/>
          <w:sz w:val="20"/>
          <w:szCs w:val="20"/>
        </w:rPr>
        <w:t>L’article 3 (3) ne s’applique qu’à deux conditions cumulatives : le système doit appartenir à la catégorie décrite , et la clause d’exclusion finale ne doit pas jouer. Les deux conditions sont examinées séparément.</w:t>
      </w:r>
    </w:p>
    <w:p w14:paraId="4C94E08A" w14:textId="77777777" w:rsidR="00F50D70" w:rsidRPr="00BE4F47" w:rsidRDefault="00000000" w:rsidP="008E113B">
      <w:pPr>
        <w:spacing w:line="360" w:lineRule="auto"/>
        <w:ind w:left="720"/>
        <w:rPr>
          <w:rFonts w:ascii="Aptos" w:hAnsi="Aptos" w:cs="Calibri"/>
        </w:rPr>
      </w:pPr>
      <w:r w:rsidRPr="00BE4F47">
        <w:rPr>
          <w:rFonts w:ascii="Aptos" w:eastAsia="Calibri" w:hAnsi="Aptos" w:cs="Calibri"/>
          <w:b/>
          <w:bCs/>
          <w:color w:val="1A1A19"/>
          <w:sz w:val="20"/>
          <w:szCs w:val="20"/>
        </w:rPr>
        <w:lastRenderedPageBreak/>
        <w:t xml:space="preserve">Première condition : appartenance à la catégorie . </w:t>
      </w:r>
      <w:r w:rsidRPr="00BE4F47">
        <w:rPr>
          <w:rFonts w:ascii="Aptos" w:eastAsia="Calibri" w:hAnsi="Aptos" w:cs="Calibri"/>
          <w:color w:val="1A1A19"/>
          <w:sz w:val="20"/>
          <w:szCs w:val="20"/>
        </w:rPr>
        <w:t>Le texte vise l’énergie « sous forme électrique » [--].La boucle thermohydraulique est un système d’utilisation et de transmission d’énergie thermique et mécanique : la mention explicite de ces deux formes d’énergie suffit à établir l’appartenance, sans avoir à invoquer une quelconque composante électrique.</w:t>
      </w:r>
    </w:p>
    <w:p w14:paraId="0676DB50" w14:textId="77777777" w:rsidR="00F50D70" w:rsidRPr="00BE4F47" w:rsidRDefault="00000000" w:rsidP="008E113B">
      <w:pPr>
        <w:spacing w:line="360" w:lineRule="auto"/>
        <w:ind w:left="720"/>
        <w:rPr>
          <w:rFonts w:ascii="Aptos" w:hAnsi="Aptos"/>
        </w:rPr>
      </w:pPr>
      <w:r w:rsidRPr="00BE4F47">
        <w:rPr>
          <w:rFonts w:ascii="Aptos" w:eastAsia="Calibri" w:hAnsi="Aptos" w:cs="Calibri"/>
          <w:b/>
          <w:bCs/>
          <w:color w:val="1A1A19"/>
          <w:sz w:val="20"/>
          <w:szCs w:val="20"/>
        </w:rPr>
        <w:t>Seconde condition : La clause d’exclusion</w:t>
      </w:r>
      <w:r w:rsidRPr="00BE4F47">
        <w:rPr>
          <w:rFonts w:ascii="Aptos" w:eastAsia="Calibri" w:hAnsi="Aptos" w:cs="Calibri"/>
          <w:color w:val="1A1A19"/>
          <w:sz w:val="20"/>
          <w:szCs w:val="20"/>
        </w:rPr>
        <w:t xml:space="preserve"> . Le législateur écarte les systèmes « dont le dysfonctionnement ne présente pas de risque pour la sécurité des personnes ». Il faut donc démontrer que le dysfonctionnement du système conçu présente un tel risque. Le jumeau numérique ne commande aucun équipement, mais il produit une estimation de l’état de l’installation sur laquelle un opérateur fonde une décision. Trois modes de dysfonctionnement conduisent à un risque pour les personnes : une anomalie réelle non détectée, présentée comme un fonctionnement normal ; une estimation d’état erronée provenant d’un capteur défaillant ou de données altérées ; et l’indisponibilité du système à un moment où l’opérateur s’attend à en disposer. Dans les trois cas, la défaillance se propage à la décision humaine et, de là, à la sécurité des personnes. La clause d’exclusion ne s’applique donc pas.</w:t>
      </w:r>
    </w:p>
    <w:p w14:paraId="18C842FD" w14:textId="77777777" w:rsidR="00F50D70" w:rsidRPr="00BE4F47" w:rsidRDefault="00F50D70" w:rsidP="008E113B">
      <w:pPr>
        <w:spacing w:line="360" w:lineRule="auto"/>
        <w:ind w:left="1224"/>
        <w:rPr>
          <w:rFonts w:ascii="Aptos" w:hAnsi="Aptos" w:cs="Calibri"/>
        </w:rPr>
      </w:pPr>
    </w:p>
    <w:p w14:paraId="55BE9CDB" w14:textId="77777777" w:rsidR="00F50D70" w:rsidRPr="00B03F2E" w:rsidRDefault="00000000" w:rsidP="008E113B">
      <w:pPr>
        <w:pStyle w:val="Titre2"/>
        <w:spacing w:line="360" w:lineRule="auto"/>
      </w:pPr>
      <w:bookmarkStart w:id="43" w:name="__RefHeading___Toc240715201"/>
      <w:bookmarkEnd w:id="43"/>
      <w:r w:rsidRPr="00B03F2E">
        <w:t>Cadre règlementaire</w:t>
      </w:r>
    </w:p>
    <w:p w14:paraId="0C945933" w14:textId="77777777" w:rsidR="00F50D70" w:rsidRPr="00BE4F47" w:rsidRDefault="00F50D70" w:rsidP="008E113B">
      <w:pPr>
        <w:spacing w:line="360" w:lineRule="auto"/>
        <w:ind w:left="720"/>
        <w:rPr>
          <w:rFonts w:ascii="Aptos" w:hAnsi="Aptos" w:cs="Calibri"/>
        </w:rPr>
      </w:pPr>
    </w:p>
    <w:p w14:paraId="322EB2A0" w14:textId="77777777" w:rsidR="00F50D70" w:rsidRPr="00BE4F47" w:rsidRDefault="00000000" w:rsidP="008E113B">
      <w:pPr>
        <w:spacing w:line="360" w:lineRule="auto"/>
        <w:ind w:left="360"/>
        <w:rPr>
          <w:rFonts w:ascii="Aptos" w:hAnsi="Aptos"/>
        </w:rPr>
      </w:pPr>
      <w:r w:rsidRPr="00BE4F47">
        <w:rPr>
          <w:rFonts w:ascii="Aptos" w:eastAsia="Calibri" w:hAnsi="Aptos" w:cs="Calibri"/>
          <w:color w:val="1A1A19"/>
          <w:sz w:val="20"/>
          <w:szCs w:val="20"/>
        </w:rPr>
        <w:t>Le projet s’inscrit dans un scénario lié au domaine nucléaire canadien. Même si le prototype reste entièrement simulé, le cadre réglementaire applicable aux installations nucléaires est pertinent : il détermine les attentes envers un système réel de même fonction. La Loi sur la sûreté et la réglementation nucléaires [20] constitue la base du régime fédéral. Elle est mise en œuvre par le Règlement général sur la sûreté et la réglementation nucléaire [21] et, pour les centrales, par le Règlement sur les installations nucléaires de catégorie I [22].</w:t>
      </w:r>
    </w:p>
    <w:p w14:paraId="44876756" w14:textId="77777777" w:rsidR="00F50D70" w:rsidRPr="00BE4F47" w:rsidRDefault="00F50D70" w:rsidP="008E113B">
      <w:pPr>
        <w:spacing w:line="360" w:lineRule="auto"/>
        <w:ind w:left="360"/>
        <w:rPr>
          <w:rFonts w:ascii="Aptos" w:hAnsi="Aptos" w:cs="Calibri"/>
        </w:rPr>
      </w:pPr>
    </w:p>
    <w:p w14:paraId="19942576"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Ces textes sont toutefois des instruments de portée générale. Les attentes techniques de la Commission canadienne de sûreté nucléaire s’expriment dans ses documents d’application. Deux d’entre eux concernent directement le projet, et c’est par les conditions de permis qu’ils rendent opposables des normes comme CSA N290.7 [23].</w:t>
      </w:r>
    </w:p>
    <w:p w14:paraId="636DE3D3" w14:textId="77777777" w:rsidR="00F50D70" w:rsidRPr="00BE4F47" w:rsidRDefault="00000000" w:rsidP="008E113B">
      <w:pPr>
        <w:pStyle w:val="Lgende"/>
        <w:spacing w:line="360" w:lineRule="auto"/>
        <w:rPr>
          <w:rFonts w:ascii="Aptos" w:hAnsi="Aptos"/>
        </w:rPr>
      </w:pPr>
      <w:r w:rsidRPr="00BE4F47">
        <w:rPr>
          <w:rFonts w:ascii="Aptos" w:hAnsi="Aptos"/>
        </w:rPr>
        <w:t>Tableau 6-2. Cadre réglementaire applicable</w:t>
      </w:r>
    </w:p>
    <w:tbl>
      <w:tblPr>
        <w:tblW w:w="8449" w:type="dxa"/>
        <w:tblInd w:w="526" w:type="dxa"/>
        <w:tblLayout w:type="fixed"/>
        <w:tblCellMar>
          <w:top w:w="70" w:type="dxa"/>
          <w:left w:w="100" w:type="dxa"/>
          <w:bottom w:w="70" w:type="dxa"/>
          <w:right w:w="100" w:type="dxa"/>
        </w:tblCellMar>
        <w:tblLook w:val="04A0" w:firstRow="1" w:lastRow="0" w:firstColumn="1" w:lastColumn="0" w:noHBand="0" w:noVBand="1"/>
      </w:tblPr>
      <w:tblGrid>
        <w:gridCol w:w="2063"/>
        <w:gridCol w:w="3068"/>
        <w:gridCol w:w="3318"/>
      </w:tblGrid>
      <w:tr w:rsidR="00F50D70" w:rsidRPr="00BE4F47" w14:paraId="063F56B9" w14:textId="77777777" w:rsidTr="0036725C">
        <w:trPr>
          <w:trHeight w:val="249"/>
          <w:tblHeader/>
        </w:trPr>
        <w:tc>
          <w:tcPr>
            <w:tcW w:w="2063"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09CA0C3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Référence</w:t>
            </w:r>
          </w:p>
        </w:tc>
        <w:tc>
          <w:tcPr>
            <w:tcW w:w="3068"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274274E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Objet</w:t>
            </w:r>
          </w:p>
        </w:tc>
        <w:tc>
          <w:tcPr>
            <w:tcW w:w="3318"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B8C08E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Lien avec le projet</w:t>
            </w:r>
          </w:p>
        </w:tc>
      </w:tr>
      <w:tr w:rsidR="00F50D70" w:rsidRPr="00BE4F47" w14:paraId="31DC6A4B" w14:textId="77777777">
        <w:trPr>
          <w:cantSplit/>
          <w:trHeight w:val="462"/>
        </w:trPr>
        <w:tc>
          <w:tcPr>
            <w:tcW w:w="2063" w:type="dxa"/>
            <w:tcBorders>
              <w:top w:val="single" w:sz="4" w:space="0" w:color="000000"/>
              <w:left w:val="single" w:sz="4" w:space="0" w:color="000000"/>
              <w:bottom w:val="single" w:sz="4" w:space="0" w:color="000000"/>
              <w:right w:val="single" w:sz="4" w:space="0" w:color="000000"/>
            </w:tcBorders>
            <w:vAlign w:val="center"/>
          </w:tcPr>
          <w:p w14:paraId="46EEBCE4"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Loi sur la sûreté et la réglementation nucléaires [20]</w:t>
            </w:r>
          </w:p>
        </w:tc>
        <w:tc>
          <w:tcPr>
            <w:tcW w:w="3068" w:type="dxa"/>
            <w:tcBorders>
              <w:top w:val="single" w:sz="4" w:space="0" w:color="000000"/>
              <w:left w:val="single" w:sz="4" w:space="0" w:color="000000"/>
              <w:bottom w:val="single" w:sz="4" w:space="0" w:color="000000"/>
              <w:right w:val="single" w:sz="4" w:space="0" w:color="000000"/>
            </w:tcBorders>
            <w:vAlign w:val="center"/>
          </w:tcPr>
          <w:p w14:paraId="4FD14DD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Cadre fédéral applicable aux activités et installations nucléaires.</w:t>
            </w:r>
          </w:p>
        </w:tc>
        <w:tc>
          <w:tcPr>
            <w:tcW w:w="3318" w:type="dxa"/>
            <w:tcBorders>
              <w:top w:val="single" w:sz="4" w:space="0" w:color="000000"/>
              <w:left w:val="single" w:sz="4" w:space="0" w:color="000000"/>
              <w:bottom w:val="single" w:sz="4" w:space="0" w:color="000000"/>
              <w:right w:val="single" w:sz="4" w:space="0" w:color="000000"/>
            </w:tcBorders>
            <w:vAlign w:val="center"/>
          </w:tcPr>
          <w:p w14:paraId="2BA346B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Établit le contexte de sûreté, de responsabilité et de protection du public.</w:t>
            </w:r>
          </w:p>
        </w:tc>
      </w:tr>
      <w:tr w:rsidR="00F50D70" w:rsidRPr="00BE4F47" w14:paraId="70943305" w14:textId="77777777">
        <w:trPr>
          <w:cantSplit/>
          <w:trHeight w:val="652"/>
        </w:trPr>
        <w:tc>
          <w:tcPr>
            <w:tcW w:w="2063" w:type="dxa"/>
            <w:tcBorders>
              <w:top w:val="single" w:sz="4" w:space="0" w:color="000000"/>
              <w:left w:val="single" w:sz="4" w:space="0" w:color="000000"/>
              <w:bottom w:val="single" w:sz="4" w:space="0" w:color="000000"/>
              <w:right w:val="single" w:sz="4" w:space="0" w:color="000000"/>
            </w:tcBorders>
            <w:vAlign w:val="center"/>
          </w:tcPr>
          <w:p w14:paraId="6FE67F3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lastRenderedPageBreak/>
              <w:t>Règlement général sur la sûreté et la réglementation nucléaires [21]</w:t>
            </w:r>
          </w:p>
        </w:tc>
        <w:tc>
          <w:tcPr>
            <w:tcW w:w="3068" w:type="dxa"/>
            <w:tcBorders>
              <w:top w:val="single" w:sz="4" w:space="0" w:color="000000"/>
              <w:left w:val="single" w:sz="4" w:space="0" w:color="000000"/>
              <w:bottom w:val="single" w:sz="4" w:space="0" w:color="000000"/>
              <w:right w:val="single" w:sz="4" w:space="0" w:color="000000"/>
            </w:tcBorders>
            <w:vAlign w:val="center"/>
          </w:tcPr>
          <w:p w14:paraId="78ABFF47"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Exigences générales applicables aux activités réglementées et aux titulaires de permis.</w:t>
            </w:r>
          </w:p>
        </w:tc>
        <w:tc>
          <w:tcPr>
            <w:tcW w:w="3318" w:type="dxa"/>
            <w:tcBorders>
              <w:top w:val="single" w:sz="4" w:space="0" w:color="000000"/>
              <w:left w:val="single" w:sz="4" w:space="0" w:color="000000"/>
              <w:bottom w:val="single" w:sz="4" w:space="0" w:color="000000"/>
              <w:right w:val="single" w:sz="4" w:space="0" w:color="000000"/>
            </w:tcBorders>
            <w:vAlign w:val="center"/>
          </w:tcPr>
          <w:p w14:paraId="796D48F1"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Fonde les exigences de documentation, de traçabilité et de gestion de l’information du projet.</w:t>
            </w:r>
          </w:p>
        </w:tc>
      </w:tr>
      <w:tr w:rsidR="00F50D70" w:rsidRPr="00BE4F47" w14:paraId="5A925B92" w14:textId="77777777">
        <w:trPr>
          <w:cantSplit/>
          <w:trHeight w:val="664"/>
        </w:trPr>
        <w:tc>
          <w:tcPr>
            <w:tcW w:w="2063" w:type="dxa"/>
            <w:tcBorders>
              <w:top w:val="single" w:sz="4" w:space="0" w:color="000000"/>
              <w:left w:val="single" w:sz="4" w:space="0" w:color="000000"/>
              <w:bottom w:val="single" w:sz="4" w:space="0" w:color="000000"/>
              <w:right w:val="single" w:sz="4" w:space="0" w:color="000000"/>
            </w:tcBorders>
            <w:vAlign w:val="center"/>
          </w:tcPr>
          <w:p w14:paraId="00762F3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Règlement sur les installations nucléaires de catégorie I [22]</w:t>
            </w:r>
          </w:p>
        </w:tc>
        <w:tc>
          <w:tcPr>
            <w:tcW w:w="3068" w:type="dxa"/>
            <w:tcBorders>
              <w:top w:val="single" w:sz="4" w:space="0" w:color="000000"/>
              <w:left w:val="single" w:sz="4" w:space="0" w:color="000000"/>
              <w:bottom w:val="single" w:sz="4" w:space="0" w:color="000000"/>
              <w:right w:val="single" w:sz="4" w:space="0" w:color="000000"/>
            </w:tcBorders>
            <w:vAlign w:val="center"/>
          </w:tcPr>
          <w:p w14:paraId="50FD45B0"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Encadre les phases de vie d’une installation de catégorie I, y compris l’examen périodique de sûreté.</w:t>
            </w:r>
          </w:p>
        </w:tc>
        <w:tc>
          <w:tcPr>
            <w:tcW w:w="3318" w:type="dxa"/>
            <w:tcBorders>
              <w:top w:val="single" w:sz="4" w:space="0" w:color="000000"/>
              <w:left w:val="single" w:sz="4" w:space="0" w:color="000000"/>
              <w:bottom w:val="single" w:sz="4" w:space="0" w:color="000000"/>
              <w:right w:val="single" w:sz="4" w:space="0" w:color="000000"/>
            </w:tcBorders>
            <w:vAlign w:val="center"/>
          </w:tcPr>
          <w:p w14:paraId="1F67577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Replace le jumeau numérique dans un cycle de vie : exploitation, surveillance, validation, déclassement.</w:t>
            </w:r>
          </w:p>
        </w:tc>
      </w:tr>
      <w:tr w:rsidR="00F50D70" w:rsidRPr="00BE4F47" w14:paraId="66CB35E1" w14:textId="77777777">
        <w:trPr>
          <w:cantSplit/>
          <w:trHeight w:val="652"/>
        </w:trPr>
        <w:tc>
          <w:tcPr>
            <w:tcW w:w="2063" w:type="dxa"/>
            <w:tcBorders>
              <w:top w:val="single" w:sz="4" w:space="0" w:color="000000"/>
              <w:left w:val="single" w:sz="4" w:space="0" w:color="000000"/>
              <w:bottom w:val="single" w:sz="4" w:space="0" w:color="000000"/>
              <w:right w:val="single" w:sz="4" w:space="0" w:color="000000"/>
            </w:tcBorders>
            <w:vAlign w:val="center"/>
          </w:tcPr>
          <w:p w14:paraId="3BCFE1D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REGDOC-2.5.2, Conception d’installations dotées de réacteurs [1]</w:t>
            </w:r>
          </w:p>
        </w:tc>
        <w:tc>
          <w:tcPr>
            <w:tcW w:w="3068" w:type="dxa"/>
            <w:tcBorders>
              <w:top w:val="single" w:sz="4" w:space="0" w:color="000000"/>
              <w:left w:val="single" w:sz="4" w:space="0" w:color="000000"/>
              <w:bottom w:val="single" w:sz="4" w:space="0" w:color="000000"/>
              <w:right w:val="single" w:sz="4" w:space="0" w:color="000000"/>
            </w:tcBorders>
            <w:vAlign w:val="center"/>
          </w:tcPr>
          <w:p w14:paraId="31186507"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Attentes de conception, dont celles visant l’instrumentation et le contrôle.</w:t>
            </w:r>
          </w:p>
        </w:tc>
        <w:tc>
          <w:tcPr>
            <w:tcW w:w="3318" w:type="dxa"/>
            <w:tcBorders>
              <w:top w:val="single" w:sz="4" w:space="0" w:color="000000"/>
              <w:left w:val="single" w:sz="4" w:space="0" w:color="000000"/>
              <w:bottom w:val="single" w:sz="4" w:space="0" w:color="000000"/>
              <w:right w:val="single" w:sz="4" w:space="0" w:color="000000"/>
            </w:tcBorders>
            <w:vAlign w:val="center"/>
          </w:tcPr>
          <w:p w14:paraId="0FE8888D"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Source des attentes envers un système d’aide à la décision raccordé à une installation réelle.</w:t>
            </w:r>
          </w:p>
        </w:tc>
      </w:tr>
      <w:tr w:rsidR="00F50D70" w:rsidRPr="00BE4F47" w14:paraId="2E605342" w14:textId="77777777">
        <w:trPr>
          <w:cantSplit/>
          <w:trHeight w:val="450"/>
        </w:trPr>
        <w:tc>
          <w:tcPr>
            <w:tcW w:w="2063" w:type="dxa"/>
            <w:tcBorders>
              <w:top w:val="single" w:sz="4" w:space="0" w:color="000000"/>
              <w:left w:val="single" w:sz="4" w:space="0" w:color="000000"/>
              <w:bottom w:val="single" w:sz="4" w:space="0" w:color="000000"/>
              <w:right w:val="single" w:sz="4" w:space="0" w:color="000000"/>
            </w:tcBorders>
            <w:vAlign w:val="center"/>
          </w:tcPr>
          <w:p w14:paraId="1CDEDC78"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REGDOC-2.1.1, Système de gestion [1]</w:t>
            </w:r>
          </w:p>
        </w:tc>
        <w:tc>
          <w:tcPr>
            <w:tcW w:w="3068" w:type="dxa"/>
            <w:tcBorders>
              <w:top w:val="single" w:sz="4" w:space="0" w:color="000000"/>
              <w:left w:val="single" w:sz="4" w:space="0" w:color="000000"/>
              <w:bottom w:val="single" w:sz="4" w:space="0" w:color="000000"/>
              <w:right w:val="single" w:sz="4" w:space="0" w:color="000000"/>
            </w:tcBorders>
            <w:vAlign w:val="center"/>
          </w:tcPr>
          <w:p w14:paraId="2CBCB85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Exigences relatives au système de gestion du titulaire de permis.</w:t>
            </w:r>
          </w:p>
        </w:tc>
        <w:tc>
          <w:tcPr>
            <w:tcW w:w="3318" w:type="dxa"/>
            <w:tcBorders>
              <w:top w:val="single" w:sz="4" w:space="0" w:color="000000"/>
              <w:left w:val="single" w:sz="4" w:space="0" w:color="000000"/>
              <w:bottom w:val="single" w:sz="4" w:space="0" w:color="000000"/>
              <w:right w:val="single" w:sz="4" w:space="0" w:color="000000"/>
            </w:tcBorders>
            <w:vAlign w:val="center"/>
          </w:tcPr>
          <w:p w14:paraId="5EF9C0A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Cadre la gestion documentaire, le contrôle des versions et la traçabilité des résultats d’essai.</w:t>
            </w:r>
          </w:p>
        </w:tc>
      </w:tr>
    </w:tbl>
    <w:p w14:paraId="4066D23C" w14:textId="77777777" w:rsidR="00F50D70" w:rsidRPr="00BE4F47" w:rsidRDefault="00F50D70" w:rsidP="008E113B">
      <w:pPr>
        <w:spacing w:line="360" w:lineRule="auto"/>
        <w:ind w:left="0"/>
        <w:rPr>
          <w:rFonts w:ascii="Aptos" w:hAnsi="Aptos" w:cs="Calibri"/>
        </w:rPr>
      </w:pPr>
    </w:p>
    <w:p w14:paraId="439C17AC" w14:textId="77777777" w:rsidR="00F50D70" w:rsidRPr="00BE4F47" w:rsidRDefault="00F50D70" w:rsidP="008E113B">
      <w:pPr>
        <w:spacing w:line="360" w:lineRule="auto"/>
        <w:ind w:left="720"/>
        <w:rPr>
          <w:rFonts w:ascii="Aptos" w:hAnsi="Aptos" w:cs="Calibri"/>
        </w:rPr>
      </w:pPr>
    </w:p>
    <w:p w14:paraId="5644ED16" w14:textId="77777777" w:rsidR="00F50D70" w:rsidRPr="00B03F2E" w:rsidRDefault="00000000" w:rsidP="008E113B">
      <w:pPr>
        <w:pStyle w:val="Titre2"/>
        <w:spacing w:line="360" w:lineRule="auto"/>
      </w:pPr>
      <w:bookmarkStart w:id="44" w:name="__RefHeading___Toc240715204"/>
      <w:bookmarkEnd w:id="44"/>
      <w:r w:rsidRPr="00B03F2E">
        <w:t>Normes applicables</w:t>
      </w:r>
    </w:p>
    <w:p w14:paraId="2D484966" w14:textId="77777777" w:rsidR="00F50D70" w:rsidRPr="00BE4F47" w:rsidRDefault="00F50D70" w:rsidP="008E113B">
      <w:pPr>
        <w:spacing w:line="360" w:lineRule="auto"/>
        <w:ind w:left="360"/>
        <w:rPr>
          <w:rFonts w:ascii="Aptos" w:hAnsi="Aptos" w:cs="Calibri"/>
        </w:rPr>
      </w:pPr>
    </w:p>
    <w:p w14:paraId="493490D1" w14:textId="77777777" w:rsidR="00F50D70" w:rsidRPr="00BE4F47" w:rsidRDefault="00000000" w:rsidP="008E113B">
      <w:pPr>
        <w:spacing w:line="360" w:lineRule="auto"/>
        <w:ind w:left="360"/>
        <w:rPr>
          <w:rFonts w:ascii="Aptos" w:hAnsi="Aptos"/>
        </w:rPr>
      </w:pPr>
      <w:r w:rsidRPr="00BE4F47">
        <w:rPr>
          <w:rFonts w:ascii="Aptos" w:eastAsia="Calibri" w:hAnsi="Aptos" w:cs="Calibri"/>
          <w:color w:val="1A1A19"/>
          <w:sz w:val="20"/>
          <w:szCs w:val="20"/>
        </w:rPr>
        <w:t>La revue couvre les principaux aspects techniques du projet : cycle de vie du système et du logiciel, cadre du jumeau numérique, qualité, gestion des risques, vérification et validation des modèles numériques, cybersécurité, sûreté nucléaire, instrumentation et contrôle, et interface homme-machine. Dix-sept normes ont été retenues et sont présentées au tableau de la section 5.3.2.</w:t>
      </w:r>
    </w:p>
    <w:p w14:paraId="00A475B3" w14:textId="77777777" w:rsidR="00F50D70" w:rsidRPr="00BE4F47" w:rsidRDefault="00F50D70" w:rsidP="008E113B">
      <w:pPr>
        <w:spacing w:line="360" w:lineRule="auto"/>
        <w:ind w:left="720"/>
        <w:rPr>
          <w:rFonts w:ascii="Aptos" w:hAnsi="Aptos" w:cs="Calibri"/>
        </w:rPr>
      </w:pPr>
    </w:p>
    <w:p w14:paraId="40440A5A"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p>
    <w:p w14:paraId="0D4DECA0"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p>
    <w:p w14:paraId="017B7179"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p>
    <w:p w14:paraId="77BCDD09"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p>
    <w:p w14:paraId="23789750" w14:textId="77777777" w:rsidR="00F50D70" w:rsidRPr="00BE4F47" w:rsidRDefault="00F50D70" w:rsidP="008E113B">
      <w:pPr>
        <w:pStyle w:val="Paragraphedeliste"/>
        <w:numPr>
          <w:ilvl w:val="0"/>
          <w:numId w:val="12"/>
        </w:numPr>
        <w:spacing w:after="0" w:line="360" w:lineRule="auto"/>
        <w:contextualSpacing w:val="0"/>
        <w:jc w:val="both"/>
        <w:outlineLvl w:val="2"/>
        <w:rPr>
          <w:rFonts w:ascii="Aptos" w:eastAsia="Times New Roman" w:hAnsi="Aptos" w:cs="Calibri"/>
          <w:vanish/>
          <w:lang w:val="fr-CA" w:eastAsia="fr-FR" w:bidi="ar-SA"/>
        </w:rPr>
      </w:pPr>
    </w:p>
    <w:p w14:paraId="64518C6F" w14:textId="77777777" w:rsidR="00F50D70" w:rsidRPr="00BE4F47" w:rsidRDefault="00F50D70" w:rsidP="008E113B">
      <w:pPr>
        <w:pStyle w:val="Paragraphedeliste"/>
        <w:numPr>
          <w:ilvl w:val="1"/>
          <w:numId w:val="12"/>
        </w:numPr>
        <w:spacing w:after="0" w:line="360" w:lineRule="auto"/>
        <w:contextualSpacing w:val="0"/>
        <w:jc w:val="both"/>
        <w:outlineLvl w:val="2"/>
        <w:rPr>
          <w:rFonts w:ascii="Aptos" w:eastAsia="Times New Roman" w:hAnsi="Aptos" w:cs="Calibri"/>
          <w:vanish/>
          <w:lang w:val="fr-CA" w:eastAsia="fr-FR" w:bidi="ar-SA"/>
        </w:rPr>
      </w:pPr>
    </w:p>
    <w:p w14:paraId="27857D41" w14:textId="77777777" w:rsidR="00F50D70" w:rsidRPr="00BE4F47" w:rsidRDefault="00F50D70" w:rsidP="008E113B">
      <w:pPr>
        <w:pStyle w:val="Paragraphedeliste"/>
        <w:numPr>
          <w:ilvl w:val="1"/>
          <w:numId w:val="12"/>
        </w:numPr>
        <w:spacing w:after="0" w:line="360" w:lineRule="auto"/>
        <w:contextualSpacing w:val="0"/>
        <w:jc w:val="both"/>
        <w:outlineLvl w:val="2"/>
        <w:rPr>
          <w:rFonts w:ascii="Aptos" w:eastAsia="Times New Roman" w:hAnsi="Aptos" w:cs="Calibri"/>
          <w:vanish/>
          <w:lang w:val="fr-CA" w:eastAsia="fr-FR" w:bidi="ar-SA"/>
        </w:rPr>
      </w:pPr>
    </w:p>
    <w:p w14:paraId="4722F4EA" w14:textId="77777777" w:rsidR="00F50D70" w:rsidRPr="00BE4F47" w:rsidRDefault="00F50D70" w:rsidP="008E113B">
      <w:pPr>
        <w:pStyle w:val="Paragraphedeliste"/>
        <w:numPr>
          <w:ilvl w:val="1"/>
          <w:numId w:val="12"/>
        </w:numPr>
        <w:spacing w:after="0" w:line="360" w:lineRule="auto"/>
        <w:contextualSpacing w:val="0"/>
        <w:jc w:val="both"/>
        <w:outlineLvl w:val="2"/>
        <w:rPr>
          <w:rFonts w:ascii="Aptos" w:eastAsia="Times New Roman" w:hAnsi="Aptos" w:cs="Calibri"/>
          <w:vanish/>
          <w:lang w:val="fr-CA" w:eastAsia="fr-FR" w:bidi="ar-SA"/>
        </w:rPr>
      </w:pPr>
    </w:p>
    <w:p w14:paraId="231A87BB" w14:textId="77777777" w:rsidR="00F50D70" w:rsidRPr="00BE4F47" w:rsidRDefault="00000000" w:rsidP="008E113B">
      <w:pPr>
        <w:pStyle w:val="Titre4"/>
        <w:spacing w:line="360" w:lineRule="auto"/>
      </w:pPr>
      <w:bookmarkStart w:id="45" w:name="__RefHeading___Toc240715214"/>
      <w:bookmarkEnd w:id="45"/>
      <w:r w:rsidRPr="00BE4F47">
        <w:t>Déclaration d’applicabilité</w:t>
      </w:r>
    </w:p>
    <w:p w14:paraId="4BD5D8CA" w14:textId="77777777" w:rsidR="00F50D70" w:rsidRPr="00BE4F47" w:rsidRDefault="00F50D70" w:rsidP="008E113B">
      <w:pPr>
        <w:spacing w:line="360" w:lineRule="auto"/>
        <w:ind w:left="1224"/>
        <w:rPr>
          <w:rFonts w:ascii="Aptos" w:hAnsi="Aptos" w:cs="Calibri"/>
        </w:rPr>
      </w:pPr>
    </w:p>
    <w:p w14:paraId="65EA9EA3" w14:textId="77777777" w:rsidR="00F50D70" w:rsidRPr="00BE4F47" w:rsidRDefault="00000000" w:rsidP="008E113B">
      <w:pPr>
        <w:spacing w:line="360" w:lineRule="auto"/>
        <w:ind w:left="720"/>
        <w:rPr>
          <w:rFonts w:ascii="Aptos" w:hAnsi="Aptos" w:cs="Calibri"/>
        </w:rPr>
      </w:pPr>
      <w:r w:rsidRPr="00BE4F47">
        <w:rPr>
          <w:rFonts w:ascii="Aptos" w:eastAsia="Calibri" w:hAnsi="Aptos" w:cs="Calibri"/>
          <w:color w:val="1A1A19"/>
          <w:sz w:val="20"/>
          <w:szCs w:val="20"/>
        </w:rPr>
        <w:lastRenderedPageBreak/>
        <w:t>La revue normative distingue les normes retenues pour application dans le projet des normes consultées à titre de référence. Cette distinction permet d’éviter de revendiquer une conformité qui ne peut pas encore être démontrée, notamment lorsque le texte intégral d’une norme n’est pas accessible gratuitement.</w:t>
      </w:r>
    </w:p>
    <w:p w14:paraId="74D4CA93" w14:textId="77777777" w:rsidR="00F50D70" w:rsidRPr="00BE4F47" w:rsidRDefault="00F50D70" w:rsidP="008E113B">
      <w:pPr>
        <w:spacing w:line="360" w:lineRule="auto"/>
        <w:ind w:left="720"/>
        <w:rPr>
          <w:rFonts w:ascii="Aptos" w:hAnsi="Aptos" w:cs="Calibri"/>
        </w:rPr>
      </w:pPr>
    </w:p>
    <w:p w14:paraId="226C50CE" w14:textId="77777777" w:rsidR="00F50D70" w:rsidRPr="00BE4F47" w:rsidRDefault="00000000" w:rsidP="008E113B">
      <w:pPr>
        <w:spacing w:after="140" w:line="360" w:lineRule="auto"/>
        <w:ind w:left="720"/>
        <w:outlineLvl w:val="9"/>
        <w:rPr>
          <w:rFonts w:ascii="Aptos" w:hAnsi="Aptos"/>
        </w:rPr>
      </w:pPr>
      <w:r w:rsidRPr="00BE4F47">
        <w:rPr>
          <w:rFonts w:ascii="Aptos" w:eastAsia="Calibri" w:hAnsi="Aptos" w:cs="Calibri"/>
          <w:b/>
          <w:bCs/>
          <w:color w:val="1A1A19"/>
          <w:sz w:val="20"/>
          <w:szCs w:val="20"/>
        </w:rPr>
        <w:t>Normes retenues pour application dans le projet</w:t>
      </w:r>
      <w:r w:rsidRPr="00BE4F47">
        <w:rPr>
          <w:rFonts w:ascii="Aptos" w:eastAsia="Calibri" w:hAnsi="Aptos" w:cs="Calibri"/>
          <w:color w:val="1A1A19"/>
          <w:sz w:val="20"/>
          <w:szCs w:val="20"/>
        </w:rPr>
        <w:t>. Huit normes structurent directement les travaux de conception, de développement, de vérification et de validation. L’équipe en retient les principes et exigences pertinents pour les traduire en critères de conception ou d’essai. Les articles et exigences précis seront confirmés lorsque le texte intégral de la norme aura pu être consulté dans une version autorisée.</w:t>
      </w:r>
    </w:p>
    <w:p w14:paraId="3064BBCA" w14:textId="77777777" w:rsidR="00F50D70" w:rsidRPr="00BE4F47" w:rsidRDefault="00000000" w:rsidP="008E113B">
      <w:pPr>
        <w:spacing w:line="360" w:lineRule="auto"/>
        <w:ind w:left="720"/>
        <w:rPr>
          <w:rFonts w:ascii="Aptos" w:hAnsi="Aptos"/>
        </w:rPr>
      </w:pPr>
      <w:r w:rsidRPr="00BE4F47">
        <w:rPr>
          <w:rFonts w:ascii="Aptos" w:eastAsia="Calibri" w:hAnsi="Aptos" w:cs="Calibri"/>
          <w:b/>
          <w:bCs/>
          <w:color w:val="1A1A19"/>
          <w:sz w:val="20"/>
          <w:szCs w:val="20"/>
        </w:rPr>
        <w:t>Normes consultées</w:t>
      </w:r>
      <w:r w:rsidRPr="00BE4F47">
        <w:rPr>
          <w:rFonts w:ascii="Aptos" w:eastAsia="Calibri" w:hAnsi="Aptos" w:cs="Calibri"/>
          <w:color w:val="1A1A19"/>
          <w:sz w:val="20"/>
          <w:szCs w:val="20"/>
        </w:rPr>
        <w:t>. Les neuf normes ci-dessous s'adressent à l'exploitant d'une installation nucléaire réelle, titulaire d'un permis. Le prototype n'entre pas dans leur domaine d'application déclaré : aucune de leurs exigences n'est reprise comme critère d'acceptation, et le rapport final n'en démontrera pas la conformité.</w:t>
      </w:r>
    </w:p>
    <w:p w14:paraId="2384FCC4" w14:textId="77777777" w:rsidR="00F50D70" w:rsidRPr="00BE4F47" w:rsidRDefault="00F50D70" w:rsidP="008E113B">
      <w:pPr>
        <w:spacing w:line="360" w:lineRule="auto"/>
        <w:ind w:left="720"/>
        <w:rPr>
          <w:rFonts w:ascii="Aptos" w:eastAsia="Calibri" w:hAnsi="Aptos" w:cs="Calibri"/>
          <w:color w:val="1A1A19"/>
        </w:rPr>
      </w:pPr>
    </w:p>
    <w:p w14:paraId="3FE1B083" w14:textId="77777777" w:rsidR="00F50D70" w:rsidRDefault="00000000" w:rsidP="008E113B">
      <w:pPr>
        <w:spacing w:line="360" w:lineRule="auto"/>
        <w:ind w:left="720"/>
        <w:rPr>
          <w:rFonts w:ascii="Aptos" w:eastAsia="Calibri" w:hAnsi="Aptos" w:cs="Calibri"/>
          <w:color w:val="1A1A19"/>
          <w:sz w:val="20"/>
          <w:szCs w:val="20"/>
        </w:rPr>
      </w:pPr>
      <w:r w:rsidRPr="00BE4F47">
        <w:rPr>
          <w:rFonts w:ascii="Aptos" w:eastAsia="Calibri" w:hAnsi="Aptos" w:cs="Calibri"/>
          <w:color w:val="1A1A19"/>
          <w:sz w:val="20"/>
          <w:szCs w:val="20"/>
        </w:rPr>
        <w:t>L'équipe en retient quatre principes de conception, inscrits au registre des exigences comme exigences internes du projet : séparation des fonctions, intégrité des données, journalisation des événements, coordination entre sûreté et cybersécurité. Leur respect sera vérifié par la campagne d'essais du lot L9, au même titre que les autres exigences internes.</w:t>
      </w:r>
    </w:p>
    <w:p w14:paraId="5722E315" w14:textId="77777777" w:rsidR="0036725C" w:rsidRDefault="0036725C" w:rsidP="008E113B">
      <w:pPr>
        <w:spacing w:line="360" w:lineRule="auto"/>
        <w:ind w:left="720"/>
        <w:rPr>
          <w:rFonts w:ascii="Aptos" w:eastAsia="Calibri" w:hAnsi="Aptos" w:cs="Calibri"/>
          <w:color w:val="1A1A19"/>
          <w:sz w:val="20"/>
          <w:szCs w:val="20"/>
        </w:rPr>
      </w:pPr>
    </w:p>
    <w:p w14:paraId="5BDD0792" w14:textId="77777777" w:rsidR="0036725C" w:rsidRDefault="0036725C" w:rsidP="008E113B">
      <w:pPr>
        <w:spacing w:line="360" w:lineRule="auto"/>
        <w:ind w:left="720"/>
        <w:rPr>
          <w:rFonts w:ascii="Aptos" w:eastAsia="Calibri" w:hAnsi="Aptos" w:cs="Calibri"/>
          <w:color w:val="1A1A19"/>
          <w:sz w:val="20"/>
          <w:szCs w:val="20"/>
        </w:rPr>
      </w:pPr>
    </w:p>
    <w:p w14:paraId="281783A7" w14:textId="77777777" w:rsidR="0036725C" w:rsidRDefault="0036725C" w:rsidP="008E113B">
      <w:pPr>
        <w:spacing w:line="360" w:lineRule="auto"/>
        <w:ind w:left="720"/>
        <w:rPr>
          <w:rFonts w:ascii="Aptos" w:eastAsia="Calibri" w:hAnsi="Aptos" w:cs="Calibri"/>
          <w:color w:val="1A1A19"/>
          <w:sz w:val="20"/>
          <w:szCs w:val="20"/>
        </w:rPr>
      </w:pPr>
    </w:p>
    <w:p w14:paraId="250884AF" w14:textId="77777777" w:rsidR="0036725C" w:rsidRDefault="0036725C" w:rsidP="008E113B">
      <w:pPr>
        <w:spacing w:line="360" w:lineRule="auto"/>
        <w:ind w:left="720"/>
        <w:rPr>
          <w:rFonts w:ascii="Aptos" w:eastAsia="Calibri" w:hAnsi="Aptos" w:cs="Calibri"/>
          <w:color w:val="1A1A19"/>
          <w:sz w:val="20"/>
          <w:szCs w:val="20"/>
        </w:rPr>
      </w:pPr>
    </w:p>
    <w:p w14:paraId="1B41E1D7" w14:textId="77777777" w:rsidR="0036725C" w:rsidRDefault="0036725C" w:rsidP="008E113B">
      <w:pPr>
        <w:spacing w:line="360" w:lineRule="auto"/>
        <w:ind w:left="720"/>
        <w:rPr>
          <w:rFonts w:ascii="Aptos" w:eastAsia="Calibri" w:hAnsi="Aptos" w:cs="Calibri"/>
          <w:color w:val="1A1A19"/>
          <w:sz w:val="20"/>
          <w:szCs w:val="20"/>
        </w:rPr>
      </w:pPr>
    </w:p>
    <w:p w14:paraId="12A53A55" w14:textId="77777777" w:rsidR="0036725C" w:rsidRDefault="0036725C" w:rsidP="008E113B">
      <w:pPr>
        <w:spacing w:line="360" w:lineRule="auto"/>
        <w:ind w:left="720"/>
        <w:rPr>
          <w:rFonts w:ascii="Aptos" w:eastAsia="Calibri" w:hAnsi="Aptos" w:cs="Calibri"/>
          <w:color w:val="1A1A19"/>
          <w:sz w:val="20"/>
          <w:szCs w:val="20"/>
        </w:rPr>
      </w:pPr>
    </w:p>
    <w:p w14:paraId="20DD9F37" w14:textId="77777777" w:rsidR="0036725C" w:rsidRDefault="0036725C" w:rsidP="008E113B">
      <w:pPr>
        <w:spacing w:line="360" w:lineRule="auto"/>
        <w:ind w:left="720"/>
        <w:rPr>
          <w:rFonts w:ascii="Aptos" w:eastAsia="Calibri" w:hAnsi="Aptos" w:cs="Calibri"/>
          <w:color w:val="1A1A19"/>
          <w:sz w:val="20"/>
          <w:szCs w:val="20"/>
        </w:rPr>
      </w:pPr>
    </w:p>
    <w:p w14:paraId="1B7477B6" w14:textId="77777777" w:rsidR="0036725C" w:rsidRDefault="0036725C" w:rsidP="008E113B">
      <w:pPr>
        <w:spacing w:line="360" w:lineRule="auto"/>
        <w:ind w:left="720"/>
        <w:rPr>
          <w:rFonts w:ascii="Aptos" w:eastAsia="Calibri" w:hAnsi="Aptos" w:cs="Calibri"/>
          <w:color w:val="1A1A19"/>
          <w:sz w:val="20"/>
          <w:szCs w:val="20"/>
        </w:rPr>
      </w:pPr>
    </w:p>
    <w:p w14:paraId="3E77D406" w14:textId="77777777" w:rsidR="0036725C" w:rsidRPr="00BE4F47" w:rsidRDefault="0036725C" w:rsidP="008E113B">
      <w:pPr>
        <w:spacing w:line="360" w:lineRule="auto"/>
        <w:ind w:left="720"/>
        <w:rPr>
          <w:rFonts w:ascii="Aptos" w:eastAsia="Calibri" w:hAnsi="Aptos" w:cs="Calibri"/>
          <w:color w:val="1A1A19"/>
        </w:rPr>
      </w:pPr>
    </w:p>
    <w:p w14:paraId="503D6C1A" w14:textId="77777777" w:rsidR="00F50D70" w:rsidRPr="00BE4F47" w:rsidRDefault="00F50D70" w:rsidP="008E113B">
      <w:pPr>
        <w:spacing w:line="360" w:lineRule="auto"/>
        <w:ind w:left="720"/>
        <w:rPr>
          <w:rFonts w:ascii="Aptos" w:eastAsia="Calibri" w:hAnsi="Aptos" w:cs="Calibri"/>
          <w:color w:val="1A1A19"/>
        </w:rPr>
      </w:pPr>
    </w:p>
    <w:p w14:paraId="5F690B78" w14:textId="77777777" w:rsidR="00F50D70" w:rsidRPr="00BE4F47" w:rsidRDefault="00000000" w:rsidP="008E113B">
      <w:pPr>
        <w:pStyle w:val="Lgende"/>
        <w:spacing w:line="360" w:lineRule="auto"/>
        <w:rPr>
          <w:rFonts w:ascii="Aptos" w:hAnsi="Aptos"/>
        </w:rPr>
      </w:pPr>
      <w:r w:rsidRPr="00BE4F47">
        <w:rPr>
          <w:rFonts w:ascii="Aptos" w:hAnsi="Aptos"/>
        </w:rPr>
        <w:t>Tableau 6-3. Bilan de la déclaration d’applicabilité</w:t>
      </w:r>
    </w:p>
    <w:tbl>
      <w:tblPr>
        <w:tblW w:w="9360" w:type="dxa"/>
        <w:tblLayout w:type="fixed"/>
        <w:tblCellMar>
          <w:top w:w="70" w:type="dxa"/>
          <w:left w:w="100" w:type="dxa"/>
          <w:bottom w:w="70" w:type="dxa"/>
          <w:right w:w="100" w:type="dxa"/>
        </w:tblCellMar>
        <w:tblLook w:val="04A0" w:firstRow="1" w:lastRow="0" w:firstColumn="1" w:lastColumn="0" w:noHBand="0" w:noVBand="1"/>
      </w:tblPr>
      <w:tblGrid>
        <w:gridCol w:w="4680"/>
        <w:gridCol w:w="4680"/>
      </w:tblGrid>
      <w:tr w:rsidR="00F50D70" w:rsidRPr="00BE4F47" w14:paraId="0919D7D4" w14:textId="77777777" w:rsidTr="0036725C">
        <w:trPr>
          <w:tblHeader/>
        </w:trPr>
        <w:tc>
          <w:tcPr>
            <w:tcW w:w="4680"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BE9D54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Normes retenues pour application dans le projet</w:t>
            </w:r>
          </w:p>
        </w:tc>
        <w:tc>
          <w:tcPr>
            <w:tcW w:w="4680"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4A7169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Normes consultées - principes retenus, conformité non revendiquée</w:t>
            </w:r>
          </w:p>
        </w:tc>
      </w:tr>
      <w:tr w:rsidR="00F50D70" w:rsidRPr="00BE4F47" w14:paraId="572EAE4E" w14:textId="77777777">
        <w:trPr>
          <w:cantSplit/>
        </w:trPr>
        <w:tc>
          <w:tcPr>
            <w:tcW w:w="4680" w:type="dxa"/>
            <w:tcBorders>
              <w:top w:val="single" w:sz="4" w:space="0" w:color="000000"/>
              <w:left w:val="single" w:sz="4" w:space="0" w:color="000000"/>
              <w:bottom w:val="single" w:sz="4" w:space="0" w:color="000000"/>
              <w:right w:val="single" w:sz="4" w:space="0" w:color="000000"/>
            </w:tcBorders>
            <w:vAlign w:val="center"/>
          </w:tcPr>
          <w:p w14:paraId="3F798C00" w14:textId="77777777" w:rsidR="00F50D70" w:rsidRPr="00BE4F47" w:rsidRDefault="00000000" w:rsidP="008E113B">
            <w:pPr>
              <w:spacing w:before="30" w:after="30" w:line="360" w:lineRule="auto"/>
              <w:ind w:left="0"/>
              <w:outlineLvl w:val="9"/>
              <w:rPr>
                <w:rFonts w:ascii="Aptos" w:eastAsia="Calibri" w:hAnsi="Aptos" w:cs="Calibri"/>
                <w:color w:val="1A1A19"/>
                <w:lang w:val="en-CA"/>
              </w:rPr>
            </w:pPr>
            <w:r w:rsidRPr="00BE4F47">
              <w:rPr>
                <w:rFonts w:ascii="Aptos" w:eastAsia="Calibri" w:hAnsi="Aptos" w:cs="Calibri"/>
                <w:color w:val="1A1A19"/>
                <w:lang w:val="en-CA"/>
              </w:rPr>
              <w:lastRenderedPageBreak/>
              <w:t>ISO/IEC/IEEE 15288:2023 [24]</w:t>
            </w:r>
          </w:p>
          <w:p w14:paraId="34FCA761" w14:textId="77777777" w:rsidR="00F50D70" w:rsidRPr="00BE4F47" w:rsidRDefault="00000000" w:rsidP="008E113B">
            <w:pPr>
              <w:spacing w:before="30" w:after="30" w:line="360" w:lineRule="auto"/>
              <w:ind w:left="0"/>
              <w:outlineLvl w:val="9"/>
              <w:rPr>
                <w:rFonts w:ascii="Aptos" w:eastAsia="Calibri" w:hAnsi="Aptos" w:cs="Calibri"/>
                <w:color w:val="1A1A19"/>
                <w:lang w:val="en-CA"/>
              </w:rPr>
            </w:pPr>
            <w:r w:rsidRPr="00BE4F47">
              <w:rPr>
                <w:rFonts w:ascii="Aptos" w:eastAsia="Calibri" w:hAnsi="Aptos" w:cs="Calibri"/>
                <w:color w:val="1A1A19"/>
                <w:lang w:val="en-CA"/>
              </w:rPr>
              <w:t>ISO/IEC/IEEE 12207:2026 [2]</w:t>
            </w:r>
          </w:p>
          <w:p w14:paraId="5BAE03BC" w14:textId="77777777" w:rsidR="00F50D70" w:rsidRPr="00BE4F47" w:rsidRDefault="00000000" w:rsidP="008E113B">
            <w:pPr>
              <w:spacing w:before="30" w:after="30" w:line="360" w:lineRule="auto"/>
              <w:ind w:left="0"/>
              <w:outlineLvl w:val="9"/>
              <w:rPr>
                <w:rFonts w:ascii="Aptos" w:eastAsia="Calibri" w:hAnsi="Aptos" w:cs="Calibri"/>
                <w:color w:val="1A1A19"/>
                <w:lang w:val="en-CA"/>
              </w:rPr>
            </w:pPr>
            <w:r w:rsidRPr="00BE4F47">
              <w:rPr>
                <w:rFonts w:ascii="Aptos" w:eastAsia="Calibri" w:hAnsi="Aptos" w:cs="Calibri"/>
                <w:color w:val="1A1A19"/>
                <w:lang w:val="en-CA"/>
              </w:rPr>
              <w:t>ISO 23247-1:2021 [25]</w:t>
            </w:r>
          </w:p>
          <w:p w14:paraId="3DD238C9" w14:textId="77777777" w:rsidR="00F50D70" w:rsidRPr="00BE4F47" w:rsidRDefault="00000000" w:rsidP="008E113B">
            <w:pPr>
              <w:spacing w:before="30" w:after="30" w:line="360" w:lineRule="auto"/>
              <w:ind w:left="0"/>
              <w:outlineLvl w:val="9"/>
              <w:rPr>
                <w:rFonts w:ascii="Aptos" w:eastAsia="Calibri" w:hAnsi="Aptos" w:cs="Calibri"/>
                <w:color w:val="1A1A19"/>
                <w:lang w:val="en-CA"/>
              </w:rPr>
            </w:pPr>
            <w:r w:rsidRPr="00BE4F47">
              <w:rPr>
                <w:rFonts w:ascii="Aptos" w:eastAsia="Calibri" w:hAnsi="Aptos" w:cs="Calibri"/>
                <w:color w:val="1A1A19"/>
                <w:lang w:val="en-CA"/>
              </w:rPr>
              <w:t>ISO/IEC 25010:2023 [26]</w:t>
            </w:r>
          </w:p>
          <w:p w14:paraId="44D949AA" w14:textId="77777777" w:rsidR="00F50D70" w:rsidRPr="00BE4F47" w:rsidRDefault="00000000" w:rsidP="008E113B">
            <w:pPr>
              <w:spacing w:before="30" w:after="30" w:line="360" w:lineRule="auto"/>
              <w:ind w:left="0"/>
              <w:outlineLvl w:val="9"/>
              <w:rPr>
                <w:rFonts w:ascii="Aptos" w:eastAsia="Calibri" w:hAnsi="Aptos" w:cs="Calibri"/>
                <w:color w:val="1A1A19"/>
                <w:lang w:val="en-CA"/>
              </w:rPr>
            </w:pPr>
            <w:r w:rsidRPr="00BE4F47">
              <w:rPr>
                <w:rFonts w:ascii="Aptos" w:eastAsia="Calibri" w:hAnsi="Aptos" w:cs="Calibri"/>
                <w:color w:val="1A1A19"/>
                <w:lang w:val="en-CA"/>
              </w:rPr>
              <w:t>ISO 31000:2018 [27]</w:t>
            </w:r>
          </w:p>
          <w:p w14:paraId="5EEBE602" w14:textId="77777777" w:rsidR="00F50D70" w:rsidRPr="00BE4F47" w:rsidRDefault="00000000" w:rsidP="008E113B">
            <w:pPr>
              <w:spacing w:before="30" w:after="30" w:line="360" w:lineRule="auto"/>
              <w:ind w:left="0"/>
              <w:outlineLvl w:val="9"/>
              <w:rPr>
                <w:rFonts w:ascii="Aptos" w:eastAsia="Calibri" w:hAnsi="Aptos" w:cs="Calibri"/>
                <w:color w:val="1A1A19"/>
                <w:lang w:val="en-CA"/>
              </w:rPr>
            </w:pPr>
            <w:r w:rsidRPr="00BE4F47">
              <w:rPr>
                <w:rFonts w:ascii="Aptos" w:eastAsia="Calibri" w:hAnsi="Aptos" w:cs="Calibri"/>
                <w:color w:val="1A1A19"/>
                <w:lang w:val="en-CA"/>
              </w:rPr>
              <w:t>ASME V&amp;V 20-2009 (R2021) [28]</w:t>
            </w:r>
          </w:p>
          <w:p w14:paraId="1AE3C01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IEEE 1012-2024 [29]</w:t>
            </w:r>
          </w:p>
          <w:p w14:paraId="2E4D9C6F"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ISO 9241-210:2019 [30]</w:t>
            </w:r>
          </w:p>
        </w:tc>
        <w:tc>
          <w:tcPr>
            <w:tcW w:w="4680" w:type="dxa"/>
            <w:tcBorders>
              <w:top w:val="single" w:sz="4" w:space="0" w:color="000000"/>
              <w:left w:val="single" w:sz="4" w:space="0" w:color="000000"/>
              <w:bottom w:val="single" w:sz="4" w:space="0" w:color="000000"/>
              <w:right w:val="single" w:sz="4" w:space="0" w:color="000000"/>
            </w:tcBorders>
            <w:vAlign w:val="center"/>
          </w:tcPr>
          <w:p w14:paraId="727712E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CSA N290.7:21 [23]</w:t>
            </w:r>
          </w:p>
          <w:p w14:paraId="5D1C49A8"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IEC 62645:2019 [31]</w:t>
            </w:r>
          </w:p>
          <w:p w14:paraId="21429F0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IEC 63096:2020 [32]</w:t>
            </w:r>
          </w:p>
          <w:p w14:paraId="13DC9A94"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IEC 62859:2016 + A1:2019 [33]</w:t>
            </w:r>
          </w:p>
          <w:p w14:paraId="1122E5F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IEC 61513:2026 [34]</w:t>
            </w:r>
          </w:p>
          <w:p w14:paraId="02DD62D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IEC 60880:2006 [35]</w:t>
            </w:r>
          </w:p>
          <w:p w14:paraId="02269739"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IEC 62138:2018 [36]</w:t>
            </w:r>
          </w:p>
          <w:p w14:paraId="1D841E8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ISO/IEC 27001:2022 [37]</w:t>
            </w:r>
          </w:p>
          <w:p w14:paraId="70931F8F"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ISO/IEC 27005:2022 [38]</w:t>
            </w:r>
          </w:p>
        </w:tc>
      </w:tr>
    </w:tbl>
    <w:p w14:paraId="34E1BBD5" w14:textId="77777777" w:rsidR="00F50D70" w:rsidRPr="00BE4F47" w:rsidRDefault="00F50D70" w:rsidP="008E113B">
      <w:pPr>
        <w:spacing w:line="360" w:lineRule="auto"/>
        <w:ind w:left="720"/>
        <w:rPr>
          <w:rFonts w:ascii="Aptos" w:eastAsia="Calibri" w:hAnsi="Aptos" w:cs="Calibri"/>
          <w:color w:val="1A1A19"/>
        </w:rPr>
      </w:pPr>
    </w:p>
    <w:p w14:paraId="52EF9785" w14:textId="77777777" w:rsidR="00F50D70" w:rsidRPr="00BE4F47" w:rsidRDefault="00F50D70" w:rsidP="008E113B">
      <w:pPr>
        <w:spacing w:line="360" w:lineRule="auto"/>
        <w:ind w:left="1224"/>
        <w:rPr>
          <w:rFonts w:ascii="Aptos" w:eastAsia="Calibri" w:hAnsi="Aptos" w:cs="Calibri"/>
          <w:color w:val="1A1A19"/>
        </w:rPr>
      </w:pPr>
    </w:p>
    <w:p w14:paraId="4C94AB8C" w14:textId="77777777" w:rsidR="00F50D70" w:rsidRPr="00BE4F47" w:rsidRDefault="00F50D70" w:rsidP="008E113B">
      <w:pPr>
        <w:spacing w:line="360" w:lineRule="auto"/>
        <w:ind w:left="1224"/>
        <w:rPr>
          <w:rFonts w:ascii="Aptos" w:hAnsi="Aptos" w:cs="Calibri"/>
        </w:rPr>
      </w:pPr>
    </w:p>
    <w:p w14:paraId="7E85F8B7" w14:textId="77777777" w:rsidR="00F50D70" w:rsidRPr="00BE4F47" w:rsidRDefault="00000000" w:rsidP="008E113B">
      <w:pPr>
        <w:pStyle w:val="Titre4"/>
        <w:spacing w:line="360" w:lineRule="auto"/>
      </w:pPr>
      <w:bookmarkStart w:id="46" w:name="__RefHeading___Toc240715218"/>
      <w:bookmarkEnd w:id="46"/>
      <w:r w:rsidRPr="00BE4F47">
        <w:t>Tableau des normes retenues</w:t>
      </w:r>
    </w:p>
    <w:p w14:paraId="74A38308" w14:textId="77777777" w:rsidR="00F50D70" w:rsidRPr="00BE4F47" w:rsidRDefault="00F50D70" w:rsidP="008E113B">
      <w:pPr>
        <w:spacing w:line="360" w:lineRule="auto"/>
        <w:ind w:left="0"/>
        <w:rPr>
          <w:rFonts w:ascii="Aptos" w:hAnsi="Aptos" w:cs="Calibri"/>
        </w:rPr>
      </w:pPr>
    </w:p>
    <w:p w14:paraId="3FE6C22B" w14:textId="77777777" w:rsidR="00F50D70" w:rsidRPr="00BE4F47" w:rsidRDefault="00000000" w:rsidP="008E113B">
      <w:pPr>
        <w:pStyle w:val="Lgende"/>
        <w:spacing w:line="360" w:lineRule="auto"/>
        <w:rPr>
          <w:rFonts w:ascii="Aptos" w:hAnsi="Aptos"/>
        </w:rPr>
      </w:pPr>
      <w:r w:rsidRPr="00BE4F47">
        <w:rPr>
          <w:rFonts w:ascii="Aptos" w:hAnsi="Aptos"/>
        </w:rPr>
        <w:t>Tableau 6-4. Normes retenues et incidence sur la conception</w:t>
      </w:r>
    </w:p>
    <w:tbl>
      <w:tblPr>
        <w:tblW w:w="9072" w:type="dxa"/>
        <w:tblLayout w:type="fixed"/>
        <w:tblCellMar>
          <w:top w:w="70" w:type="dxa"/>
          <w:left w:w="100" w:type="dxa"/>
          <w:bottom w:w="70" w:type="dxa"/>
          <w:right w:w="100" w:type="dxa"/>
        </w:tblCellMar>
        <w:tblLook w:val="04A0" w:firstRow="1" w:lastRow="0" w:firstColumn="1" w:lastColumn="0" w:noHBand="0" w:noVBand="1"/>
      </w:tblPr>
      <w:tblGrid>
        <w:gridCol w:w="1364"/>
        <w:gridCol w:w="1097"/>
        <w:gridCol w:w="1929"/>
        <w:gridCol w:w="1735"/>
        <w:gridCol w:w="2947"/>
      </w:tblGrid>
      <w:tr w:rsidR="00F50D70" w:rsidRPr="00BE4F47" w14:paraId="0FEE3784" w14:textId="77777777" w:rsidTr="0036725C">
        <w:trPr>
          <w:trHeight w:val="578"/>
          <w:tblHeader/>
        </w:trPr>
        <w:tc>
          <w:tcPr>
            <w:tcW w:w="1364"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12B3B3A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Norme</w:t>
            </w:r>
          </w:p>
        </w:tc>
        <w:tc>
          <w:tcPr>
            <w:tcW w:w="109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12FEF05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Millésime</w:t>
            </w:r>
          </w:p>
        </w:tc>
        <w:tc>
          <w:tcPr>
            <w:tcW w:w="192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956428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Objet principal</w:t>
            </w:r>
          </w:p>
        </w:tc>
        <w:tc>
          <w:tcPr>
            <w:tcW w:w="1735"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D43B6A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Éléments retenus</w:t>
            </w:r>
          </w:p>
        </w:tc>
        <w:tc>
          <w:tcPr>
            <w:tcW w:w="294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09C2C437"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Incidence sur la conception</w:t>
            </w:r>
          </w:p>
        </w:tc>
      </w:tr>
      <w:tr w:rsidR="00F50D70" w:rsidRPr="00BE4F47" w14:paraId="48D5A5E5"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40D48C0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ISO/IEC/IEEE 15288 [24]</w:t>
            </w:r>
          </w:p>
        </w:tc>
        <w:tc>
          <w:tcPr>
            <w:tcW w:w="1097" w:type="dxa"/>
            <w:tcBorders>
              <w:top w:val="single" w:sz="4" w:space="0" w:color="000000"/>
              <w:left w:val="single" w:sz="4" w:space="0" w:color="000000"/>
              <w:bottom w:val="single" w:sz="4" w:space="0" w:color="000000"/>
              <w:right w:val="single" w:sz="4" w:space="0" w:color="000000"/>
            </w:tcBorders>
            <w:vAlign w:val="center"/>
          </w:tcPr>
          <w:p w14:paraId="350C066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2023</w:t>
            </w:r>
          </w:p>
        </w:tc>
        <w:tc>
          <w:tcPr>
            <w:tcW w:w="1929" w:type="dxa"/>
            <w:tcBorders>
              <w:top w:val="single" w:sz="4" w:space="0" w:color="000000"/>
              <w:left w:val="single" w:sz="4" w:space="0" w:color="000000"/>
              <w:bottom w:val="single" w:sz="4" w:space="0" w:color="000000"/>
              <w:right w:val="single" w:sz="4" w:space="0" w:color="000000"/>
            </w:tcBorders>
            <w:vAlign w:val="center"/>
          </w:tcPr>
          <w:p w14:paraId="295DDFC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Processus du cycle de vie des systèmes</w:t>
            </w:r>
          </w:p>
        </w:tc>
        <w:tc>
          <w:tcPr>
            <w:tcW w:w="1735" w:type="dxa"/>
            <w:tcBorders>
              <w:top w:val="single" w:sz="4" w:space="0" w:color="000000"/>
              <w:left w:val="single" w:sz="4" w:space="0" w:color="000000"/>
              <w:bottom w:val="single" w:sz="4" w:space="0" w:color="000000"/>
              <w:right w:val="single" w:sz="4" w:space="0" w:color="000000"/>
            </w:tcBorders>
            <w:vAlign w:val="center"/>
          </w:tcPr>
          <w:p w14:paraId="115DB626"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Besoins, architecture, intégration, V&amp;V</w:t>
            </w:r>
          </w:p>
        </w:tc>
        <w:tc>
          <w:tcPr>
            <w:tcW w:w="2947" w:type="dxa"/>
            <w:tcBorders>
              <w:top w:val="single" w:sz="4" w:space="0" w:color="000000"/>
              <w:left w:val="single" w:sz="4" w:space="0" w:color="000000"/>
              <w:bottom w:val="single" w:sz="4" w:space="0" w:color="000000"/>
              <w:right w:val="single" w:sz="4" w:space="0" w:color="000000"/>
            </w:tcBorders>
            <w:vAlign w:val="center"/>
          </w:tcPr>
          <w:p w14:paraId="53218AC6"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Structure la démarche d’ingénierie : analyse des besoins, architecture globale, intégration et validation du jumeau numérique.</w:t>
            </w:r>
          </w:p>
        </w:tc>
      </w:tr>
      <w:tr w:rsidR="00F50D70" w:rsidRPr="00BE4F47" w14:paraId="04C52EEC" w14:textId="77777777">
        <w:trPr>
          <w:cantSplit/>
          <w:trHeight w:val="1613"/>
        </w:trPr>
        <w:tc>
          <w:tcPr>
            <w:tcW w:w="1364" w:type="dxa"/>
            <w:tcBorders>
              <w:top w:val="single" w:sz="4" w:space="0" w:color="000000"/>
              <w:left w:val="single" w:sz="4" w:space="0" w:color="000000"/>
              <w:bottom w:val="single" w:sz="4" w:space="0" w:color="000000"/>
              <w:right w:val="single" w:sz="4" w:space="0" w:color="000000"/>
            </w:tcBorders>
            <w:vAlign w:val="center"/>
          </w:tcPr>
          <w:p w14:paraId="474A2579"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lastRenderedPageBreak/>
              <w:t>ISO/IEC/IEEE 12207 [2]</w:t>
            </w:r>
          </w:p>
        </w:tc>
        <w:tc>
          <w:tcPr>
            <w:tcW w:w="1097" w:type="dxa"/>
            <w:tcBorders>
              <w:top w:val="single" w:sz="4" w:space="0" w:color="000000"/>
              <w:left w:val="single" w:sz="4" w:space="0" w:color="000000"/>
              <w:bottom w:val="single" w:sz="4" w:space="0" w:color="000000"/>
              <w:right w:val="single" w:sz="4" w:space="0" w:color="000000"/>
            </w:tcBorders>
            <w:vAlign w:val="center"/>
          </w:tcPr>
          <w:p w14:paraId="028C6049"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2026</w:t>
            </w:r>
          </w:p>
        </w:tc>
        <w:tc>
          <w:tcPr>
            <w:tcW w:w="1929" w:type="dxa"/>
            <w:tcBorders>
              <w:top w:val="single" w:sz="4" w:space="0" w:color="000000"/>
              <w:left w:val="single" w:sz="4" w:space="0" w:color="000000"/>
              <w:bottom w:val="single" w:sz="4" w:space="0" w:color="000000"/>
              <w:right w:val="single" w:sz="4" w:space="0" w:color="000000"/>
            </w:tcBorders>
            <w:vAlign w:val="center"/>
          </w:tcPr>
          <w:p w14:paraId="5E56956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Processus du cycle de vie du logiciel</w:t>
            </w:r>
          </w:p>
        </w:tc>
        <w:tc>
          <w:tcPr>
            <w:tcW w:w="1735" w:type="dxa"/>
            <w:tcBorders>
              <w:top w:val="single" w:sz="4" w:space="0" w:color="000000"/>
              <w:left w:val="single" w:sz="4" w:space="0" w:color="000000"/>
              <w:bottom w:val="single" w:sz="4" w:space="0" w:color="000000"/>
              <w:right w:val="single" w:sz="4" w:space="0" w:color="000000"/>
            </w:tcBorders>
            <w:vAlign w:val="center"/>
          </w:tcPr>
          <w:p w14:paraId="3AAD814F"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Développement, intégration, essais, maintenance</w:t>
            </w:r>
          </w:p>
        </w:tc>
        <w:tc>
          <w:tcPr>
            <w:tcW w:w="2947" w:type="dxa"/>
            <w:tcBorders>
              <w:top w:val="single" w:sz="4" w:space="0" w:color="000000"/>
              <w:left w:val="single" w:sz="4" w:space="0" w:color="000000"/>
              <w:bottom w:val="single" w:sz="4" w:space="0" w:color="000000"/>
              <w:right w:val="single" w:sz="4" w:space="0" w:color="000000"/>
            </w:tcBorders>
            <w:vAlign w:val="center"/>
          </w:tcPr>
          <w:p w14:paraId="2D4680BA"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Structure les activités logicielles : développement, simulation, intégration des modules et essais. Édition 2 publiée en avril 2026, remplace l’édition 2017 annulée.</w:t>
            </w:r>
          </w:p>
        </w:tc>
      </w:tr>
      <w:tr w:rsidR="00F50D70" w:rsidRPr="00BE4F47" w14:paraId="11F1BDD3" w14:textId="77777777">
        <w:trPr>
          <w:cantSplit/>
          <w:trHeight w:val="1876"/>
        </w:trPr>
        <w:tc>
          <w:tcPr>
            <w:tcW w:w="1364" w:type="dxa"/>
            <w:tcBorders>
              <w:top w:val="single" w:sz="4" w:space="0" w:color="000000"/>
              <w:left w:val="single" w:sz="4" w:space="0" w:color="000000"/>
              <w:bottom w:val="single" w:sz="4" w:space="0" w:color="000000"/>
              <w:right w:val="single" w:sz="4" w:space="0" w:color="000000"/>
            </w:tcBorders>
            <w:vAlign w:val="center"/>
          </w:tcPr>
          <w:p w14:paraId="1BA5D4ED"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ISO 23247-1 [25]</w:t>
            </w:r>
          </w:p>
        </w:tc>
        <w:tc>
          <w:tcPr>
            <w:tcW w:w="1097" w:type="dxa"/>
            <w:tcBorders>
              <w:top w:val="single" w:sz="4" w:space="0" w:color="000000"/>
              <w:left w:val="single" w:sz="4" w:space="0" w:color="000000"/>
              <w:bottom w:val="single" w:sz="4" w:space="0" w:color="000000"/>
              <w:right w:val="single" w:sz="4" w:space="0" w:color="000000"/>
            </w:tcBorders>
            <w:vAlign w:val="center"/>
          </w:tcPr>
          <w:p w14:paraId="43E63C9F"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2021</w:t>
            </w:r>
          </w:p>
        </w:tc>
        <w:tc>
          <w:tcPr>
            <w:tcW w:w="1929" w:type="dxa"/>
            <w:tcBorders>
              <w:top w:val="single" w:sz="4" w:space="0" w:color="000000"/>
              <w:left w:val="single" w:sz="4" w:space="0" w:color="000000"/>
              <w:bottom w:val="single" w:sz="4" w:space="0" w:color="000000"/>
              <w:right w:val="single" w:sz="4" w:space="0" w:color="000000"/>
            </w:tcBorders>
            <w:vAlign w:val="center"/>
          </w:tcPr>
          <w:p w14:paraId="72B0864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Cadre du jumeau numérique</w:t>
            </w:r>
          </w:p>
        </w:tc>
        <w:tc>
          <w:tcPr>
            <w:tcW w:w="1735" w:type="dxa"/>
            <w:tcBorders>
              <w:top w:val="single" w:sz="4" w:space="0" w:color="000000"/>
              <w:left w:val="single" w:sz="4" w:space="0" w:color="000000"/>
              <w:bottom w:val="single" w:sz="4" w:space="0" w:color="000000"/>
              <w:right w:val="single" w:sz="4" w:space="0" w:color="000000"/>
            </w:tcBorders>
            <w:vAlign w:val="center"/>
          </w:tcPr>
          <w:p w14:paraId="791BA4C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Principes généraux et architecture de référence</w:t>
            </w:r>
          </w:p>
        </w:tc>
        <w:tc>
          <w:tcPr>
            <w:tcW w:w="2947" w:type="dxa"/>
            <w:tcBorders>
              <w:top w:val="single" w:sz="4" w:space="0" w:color="000000"/>
              <w:left w:val="single" w:sz="4" w:space="0" w:color="000000"/>
              <w:bottom w:val="single" w:sz="4" w:space="0" w:color="000000"/>
              <w:right w:val="single" w:sz="4" w:space="0" w:color="000000"/>
            </w:tcBorders>
            <w:vAlign w:val="center"/>
          </w:tcPr>
          <w:p w14:paraId="348CA06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Sépare les composantes : boucle simulée, acquisition, modèle numérique, analyse, interface. Norme établie pour la fabrication ; employée ici par analogie, hors de son domaine d’application déclaré.</w:t>
            </w:r>
          </w:p>
        </w:tc>
      </w:tr>
      <w:tr w:rsidR="00F50D70" w:rsidRPr="00BE4F47" w14:paraId="5E504A77"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020C028D"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ISO/IEC 25010 [26]</w:t>
            </w:r>
          </w:p>
        </w:tc>
        <w:tc>
          <w:tcPr>
            <w:tcW w:w="1097" w:type="dxa"/>
            <w:tcBorders>
              <w:top w:val="single" w:sz="4" w:space="0" w:color="000000"/>
              <w:left w:val="single" w:sz="4" w:space="0" w:color="000000"/>
              <w:bottom w:val="single" w:sz="4" w:space="0" w:color="000000"/>
              <w:right w:val="single" w:sz="4" w:space="0" w:color="000000"/>
            </w:tcBorders>
            <w:vAlign w:val="center"/>
          </w:tcPr>
          <w:p w14:paraId="21CA85DC"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2023</w:t>
            </w:r>
          </w:p>
        </w:tc>
        <w:tc>
          <w:tcPr>
            <w:tcW w:w="1929" w:type="dxa"/>
            <w:tcBorders>
              <w:top w:val="single" w:sz="4" w:space="0" w:color="000000"/>
              <w:left w:val="single" w:sz="4" w:space="0" w:color="000000"/>
              <w:bottom w:val="single" w:sz="4" w:space="0" w:color="000000"/>
              <w:right w:val="single" w:sz="4" w:space="0" w:color="000000"/>
            </w:tcBorders>
            <w:vAlign w:val="center"/>
          </w:tcPr>
          <w:p w14:paraId="717E09F6"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Qualité des systèmes et du logiciel (SQuaRE)</w:t>
            </w:r>
          </w:p>
        </w:tc>
        <w:tc>
          <w:tcPr>
            <w:tcW w:w="1735" w:type="dxa"/>
            <w:tcBorders>
              <w:top w:val="single" w:sz="4" w:space="0" w:color="000000"/>
              <w:left w:val="single" w:sz="4" w:space="0" w:color="000000"/>
              <w:bottom w:val="single" w:sz="4" w:space="0" w:color="000000"/>
              <w:right w:val="single" w:sz="4" w:space="0" w:color="000000"/>
            </w:tcBorders>
            <w:vAlign w:val="center"/>
          </w:tcPr>
          <w:p w14:paraId="0B510653"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Fiabilité, performance, sécurité, maintenabilité, utilisabilité</w:t>
            </w:r>
          </w:p>
        </w:tc>
        <w:tc>
          <w:tcPr>
            <w:tcW w:w="2947" w:type="dxa"/>
            <w:tcBorders>
              <w:top w:val="single" w:sz="4" w:space="0" w:color="000000"/>
              <w:left w:val="single" w:sz="4" w:space="0" w:color="000000"/>
              <w:bottom w:val="single" w:sz="4" w:space="0" w:color="000000"/>
              <w:right w:val="single" w:sz="4" w:space="0" w:color="000000"/>
            </w:tcBorders>
            <w:vAlign w:val="center"/>
          </w:tcPr>
          <w:p w14:paraId="3E6C5D9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Fournit les caractéristiques de qualité servant de critères d’acceptation mesurables du prototype.</w:t>
            </w:r>
          </w:p>
        </w:tc>
      </w:tr>
      <w:tr w:rsidR="00F50D70" w:rsidRPr="00BE4F47" w14:paraId="6955620C"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4945AFC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ISO 31000 [27]</w:t>
            </w:r>
          </w:p>
        </w:tc>
        <w:tc>
          <w:tcPr>
            <w:tcW w:w="1097" w:type="dxa"/>
            <w:tcBorders>
              <w:top w:val="single" w:sz="4" w:space="0" w:color="000000"/>
              <w:left w:val="single" w:sz="4" w:space="0" w:color="000000"/>
              <w:bottom w:val="single" w:sz="4" w:space="0" w:color="000000"/>
              <w:right w:val="single" w:sz="4" w:space="0" w:color="000000"/>
            </w:tcBorders>
            <w:vAlign w:val="center"/>
          </w:tcPr>
          <w:p w14:paraId="1175BC3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2018</w:t>
            </w:r>
          </w:p>
        </w:tc>
        <w:tc>
          <w:tcPr>
            <w:tcW w:w="1929" w:type="dxa"/>
            <w:tcBorders>
              <w:top w:val="single" w:sz="4" w:space="0" w:color="000000"/>
              <w:left w:val="single" w:sz="4" w:space="0" w:color="000000"/>
              <w:bottom w:val="single" w:sz="4" w:space="0" w:color="000000"/>
              <w:right w:val="single" w:sz="4" w:space="0" w:color="000000"/>
            </w:tcBorders>
            <w:vAlign w:val="center"/>
          </w:tcPr>
          <w:p w14:paraId="6CC1552D"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Management du risque</w:t>
            </w:r>
          </w:p>
        </w:tc>
        <w:tc>
          <w:tcPr>
            <w:tcW w:w="1735" w:type="dxa"/>
            <w:tcBorders>
              <w:top w:val="single" w:sz="4" w:space="0" w:color="000000"/>
              <w:left w:val="single" w:sz="4" w:space="0" w:color="000000"/>
              <w:bottom w:val="single" w:sz="4" w:space="0" w:color="000000"/>
              <w:right w:val="single" w:sz="4" w:space="0" w:color="000000"/>
            </w:tcBorders>
            <w:vAlign w:val="center"/>
          </w:tcPr>
          <w:p w14:paraId="4FED9416"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Identification, analyse, évaluation, traitement</w:t>
            </w:r>
          </w:p>
        </w:tc>
        <w:tc>
          <w:tcPr>
            <w:tcW w:w="2947" w:type="dxa"/>
            <w:tcBorders>
              <w:top w:val="single" w:sz="4" w:space="0" w:color="000000"/>
              <w:left w:val="single" w:sz="4" w:space="0" w:color="000000"/>
              <w:bottom w:val="single" w:sz="4" w:space="0" w:color="000000"/>
              <w:right w:val="single" w:sz="4" w:space="0" w:color="000000"/>
            </w:tcBorders>
            <w:vAlign w:val="center"/>
          </w:tcPr>
          <w:p w14:paraId="6856E9D4"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Structure la démarche de gestion des risques et alimente la section 7 du plan. Norme en cours de révision ; l’édition 2018 demeure en vigueur.</w:t>
            </w:r>
          </w:p>
        </w:tc>
      </w:tr>
      <w:tr w:rsidR="00F50D70" w:rsidRPr="00BE4F47" w14:paraId="310080C5" w14:textId="77777777">
        <w:trPr>
          <w:cantSplit/>
          <w:trHeight w:val="1876"/>
        </w:trPr>
        <w:tc>
          <w:tcPr>
            <w:tcW w:w="1364" w:type="dxa"/>
            <w:tcBorders>
              <w:top w:val="single" w:sz="4" w:space="0" w:color="000000"/>
              <w:left w:val="single" w:sz="4" w:space="0" w:color="000000"/>
              <w:bottom w:val="single" w:sz="4" w:space="0" w:color="000000"/>
              <w:right w:val="single" w:sz="4" w:space="0" w:color="000000"/>
            </w:tcBorders>
            <w:vAlign w:val="center"/>
          </w:tcPr>
          <w:p w14:paraId="0B9F661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lastRenderedPageBreak/>
              <w:t>ASME V&amp;V 20 [28]</w:t>
            </w:r>
          </w:p>
        </w:tc>
        <w:tc>
          <w:tcPr>
            <w:tcW w:w="1097" w:type="dxa"/>
            <w:tcBorders>
              <w:top w:val="single" w:sz="4" w:space="0" w:color="000000"/>
              <w:left w:val="single" w:sz="4" w:space="0" w:color="000000"/>
              <w:bottom w:val="single" w:sz="4" w:space="0" w:color="000000"/>
              <w:right w:val="single" w:sz="4" w:space="0" w:color="000000"/>
            </w:tcBorders>
            <w:vAlign w:val="center"/>
          </w:tcPr>
          <w:p w14:paraId="7D1D34C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2009 (R2021)</w:t>
            </w:r>
          </w:p>
        </w:tc>
        <w:tc>
          <w:tcPr>
            <w:tcW w:w="1929" w:type="dxa"/>
            <w:tcBorders>
              <w:top w:val="single" w:sz="4" w:space="0" w:color="000000"/>
              <w:left w:val="single" w:sz="4" w:space="0" w:color="000000"/>
              <w:bottom w:val="single" w:sz="4" w:space="0" w:color="000000"/>
              <w:right w:val="single" w:sz="4" w:space="0" w:color="000000"/>
            </w:tcBorders>
            <w:vAlign w:val="center"/>
          </w:tcPr>
          <w:p w14:paraId="647DE897"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Vérification et validation en mécanique des fluides numérique et transferts thermiques</w:t>
            </w:r>
          </w:p>
        </w:tc>
        <w:tc>
          <w:tcPr>
            <w:tcW w:w="1735" w:type="dxa"/>
            <w:tcBorders>
              <w:top w:val="single" w:sz="4" w:space="0" w:color="000000"/>
              <w:left w:val="single" w:sz="4" w:space="0" w:color="000000"/>
              <w:bottom w:val="single" w:sz="4" w:space="0" w:color="000000"/>
              <w:right w:val="single" w:sz="4" w:space="0" w:color="000000"/>
            </w:tcBorders>
            <w:vAlign w:val="center"/>
          </w:tcPr>
          <w:p w14:paraId="4D50DB45"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Erreur numérique, erreur de modèle, incertitude de validation</w:t>
            </w:r>
          </w:p>
        </w:tc>
        <w:tc>
          <w:tcPr>
            <w:tcW w:w="2947" w:type="dxa"/>
            <w:tcBorders>
              <w:top w:val="single" w:sz="4" w:space="0" w:color="000000"/>
              <w:left w:val="single" w:sz="4" w:space="0" w:color="000000"/>
              <w:bottom w:val="single" w:sz="4" w:space="0" w:color="000000"/>
              <w:right w:val="single" w:sz="4" w:space="0" w:color="000000"/>
            </w:tcBorders>
            <w:vAlign w:val="center"/>
          </w:tcPr>
          <w:p w14:paraId="31F8CDE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Fournit la méthode pour établir la crédibilité du modèle thermohydraulique et pour quantifier l’incertitude comparée aux données de référence. C’est la norme qui outille la campagne d’essais.</w:t>
            </w:r>
          </w:p>
        </w:tc>
      </w:tr>
      <w:tr w:rsidR="00F50D70" w:rsidRPr="00BE4F47" w14:paraId="2A502443"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7B58DB9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IEEE 1012 [29]</w:t>
            </w:r>
          </w:p>
        </w:tc>
        <w:tc>
          <w:tcPr>
            <w:tcW w:w="1097" w:type="dxa"/>
            <w:tcBorders>
              <w:top w:val="single" w:sz="4" w:space="0" w:color="000000"/>
              <w:left w:val="single" w:sz="4" w:space="0" w:color="000000"/>
              <w:bottom w:val="single" w:sz="4" w:space="0" w:color="000000"/>
              <w:right w:val="single" w:sz="4" w:space="0" w:color="000000"/>
            </w:tcBorders>
            <w:vAlign w:val="center"/>
          </w:tcPr>
          <w:p w14:paraId="1AECD10D"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2024</w:t>
            </w:r>
          </w:p>
        </w:tc>
        <w:tc>
          <w:tcPr>
            <w:tcW w:w="1929" w:type="dxa"/>
            <w:tcBorders>
              <w:top w:val="single" w:sz="4" w:space="0" w:color="000000"/>
              <w:left w:val="single" w:sz="4" w:space="0" w:color="000000"/>
              <w:bottom w:val="single" w:sz="4" w:space="0" w:color="000000"/>
              <w:right w:val="single" w:sz="4" w:space="0" w:color="000000"/>
            </w:tcBorders>
            <w:vAlign w:val="center"/>
          </w:tcPr>
          <w:p w14:paraId="0A1CA52F"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Vérification et validation des systèmes, du logiciel et du matériel</w:t>
            </w:r>
          </w:p>
        </w:tc>
        <w:tc>
          <w:tcPr>
            <w:tcW w:w="1735" w:type="dxa"/>
            <w:tcBorders>
              <w:top w:val="single" w:sz="4" w:space="0" w:color="000000"/>
              <w:left w:val="single" w:sz="4" w:space="0" w:color="000000"/>
              <w:bottom w:val="single" w:sz="4" w:space="0" w:color="000000"/>
              <w:right w:val="single" w:sz="4" w:space="0" w:color="000000"/>
            </w:tcBorders>
            <w:vAlign w:val="center"/>
          </w:tcPr>
          <w:p w14:paraId="07F9BE2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Plan de V&amp;V, niveaux d’intégrité, indépendance de la V&amp;V</w:t>
            </w:r>
          </w:p>
        </w:tc>
        <w:tc>
          <w:tcPr>
            <w:tcW w:w="2947" w:type="dxa"/>
            <w:tcBorders>
              <w:top w:val="single" w:sz="4" w:space="0" w:color="000000"/>
              <w:left w:val="single" w:sz="4" w:space="0" w:color="000000"/>
              <w:bottom w:val="single" w:sz="4" w:space="0" w:color="000000"/>
              <w:right w:val="single" w:sz="4" w:space="0" w:color="000000"/>
            </w:tcBorders>
            <w:vAlign w:val="center"/>
          </w:tcPr>
          <w:p w14:paraId="13010CA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Définit le contenu du plan de V&amp;V et le degré d’indépendance attendu entre le développement et la vérification.</w:t>
            </w:r>
          </w:p>
        </w:tc>
      </w:tr>
      <w:tr w:rsidR="00F50D70" w:rsidRPr="00BE4F47" w14:paraId="47F92EAD" w14:textId="77777777">
        <w:trPr>
          <w:cantSplit/>
          <w:trHeight w:val="1096"/>
        </w:trPr>
        <w:tc>
          <w:tcPr>
            <w:tcW w:w="1364" w:type="dxa"/>
            <w:tcBorders>
              <w:top w:val="single" w:sz="4" w:space="0" w:color="000000"/>
              <w:left w:val="single" w:sz="4" w:space="0" w:color="000000"/>
              <w:bottom w:val="single" w:sz="4" w:space="0" w:color="000000"/>
              <w:right w:val="single" w:sz="4" w:space="0" w:color="000000"/>
            </w:tcBorders>
            <w:vAlign w:val="center"/>
          </w:tcPr>
          <w:p w14:paraId="5F8BE8E4"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ISO 9241-210 [30]</w:t>
            </w:r>
          </w:p>
        </w:tc>
        <w:tc>
          <w:tcPr>
            <w:tcW w:w="1097" w:type="dxa"/>
            <w:tcBorders>
              <w:top w:val="single" w:sz="4" w:space="0" w:color="000000"/>
              <w:left w:val="single" w:sz="4" w:space="0" w:color="000000"/>
              <w:bottom w:val="single" w:sz="4" w:space="0" w:color="000000"/>
              <w:right w:val="single" w:sz="4" w:space="0" w:color="000000"/>
            </w:tcBorders>
            <w:vAlign w:val="center"/>
          </w:tcPr>
          <w:p w14:paraId="157268C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2019</w:t>
            </w:r>
          </w:p>
        </w:tc>
        <w:tc>
          <w:tcPr>
            <w:tcW w:w="1929" w:type="dxa"/>
            <w:tcBorders>
              <w:top w:val="single" w:sz="4" w:space="0" w:color="000000"/>
              <w:left w:val="single" w:sz="4" w:space="0" w:color="000000"/>
              <w:bottom w:val="single" w:sz="4" w:space="0" w:color="000000"/>
              <w:right w:val="single" w:sz="4" w:space="0" w:color="000000"/>
            </w:tcBorders>
            <w:vAlign w:val="center"/>
          </w:tcPr>
          <w:p w14:paraId="6129FD4B"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Conception centrée sur l’humain</w:t>
            </w:r>
          </w:p>
        </w:tc>
        <w:tc>
          <w:tcPr>
            <w:tcW w:w="1735" w:type="dxa"/>
            <w:tcBorders>
              <w:top w:val="single" w:sz="4" w:space="0" w:color="000000"/>
              <w:left w:val="single" w:sz="4" w:space="0" w:color="000000"/>
              <w:bottom w:val="single" w:sz="4" w:space="0" w:color="000000"/>
              <w:right w:val="single" w:sz="4" w:space="0" w:color="000000"/>
            </w:tcBorders>
            <w:vAlign w:val="center"/>
          </w:tcPr>
          <w:p w14:paraId="22E71B2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Principes de conception et d’évaluation de l’IHM</w:t>
            </w:r>
          </w:p>
        </w:tc>
        <w:tc>
          <w:tcPr>
            <w:tcW w:w="2947" w:type="dxa"/>
            <w:tcBorders>
              <w:top w:val="single" w:sz="4" w:space="0" w:color="000000"/>
              <w:left w:val="single" w:sz="4" w:space="0" w:color="000000"/>
              <w:bottom w:val="single" w:sz="4" w:space="0" w:color="000000"/>
              <w:right w:val="single" w:sz="4" w:space="0" w:color="000000"/>
            </w:tcBorders>
            <w:vAlign w:val="center"/>
          </w:tcPr>
          <w:p w14:paraId="1708CEF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Oriente l’affichage des alertes, la lisibilité des états et la présentation de l’incertitude à l’opérateur.</w:t>
            </w:r>
          </w:p>
        </w:tc>
      </w:tr>
      <w:tr w:rsidR="00F50D70" w:rsidRPr="00BE4F47" w14:paraId="560A6F46"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3D80853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CSA N290.7 [23]</w:t>
            </w:r>
          </w:p>
        </w:tc>
        <w:tc>
          <w:tcPr>
            <w:tcW w:w="1097" w:type="dxa"/>
            <w:tcBorders>
              <w:top w:val="single" w:sz="4" w:space="0" w:color="000000"/>
              <w:left w:val="single" w:sz="4" w:space="0" w:color="000000"/>
              <w:bottom w:val="single" w:sz="4" w:space="0" w:color="000000"/>
              <w:right w:val="single" w:sz="4" w:space="0" w:color="000000"/>
            </w:tcBorders>
            <w:vAlign w:val="center"/>
          </w:tcPr>
          <w:p w14:paraId="0683EEDF"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2021</w:t>
            </w:r>
          </w:p>
        </w:tc>
        <w:tc>
          <w:tcPr>
            <w:tcW w:w="1929" w:type="dxa"/>
            <w:tcBorders>
              <w:top w:val="single" w:sz="4" w:space="0" w:color="000000"/>
              <w:left w:val="single" w:sz="4" w:space="0" w:color="000000"/>
              <w:bottom w:val="single" w:sz="4" w:space="0" w:color="000000"/>
              <w:right w:val="single" w:sz="4" w:space="0" w:color="000000"/>
            </w:tcBorders>
            <w:vAlign w:val="center"/>
          </w:tcPr>
          <w:p w14:paraId="0E6F8A9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Cybersécurité des installations nucléaires</w:t>
            </w:r>
          </w:p>
        </w:tc>
        <w:tc>
          <w:tcPr>
            <w:tcW w:w="1735" w:type="dxa"/>
            <w:tcBorders>
              <w:top w:val="single" w:sz="4" w:space="0" w:color="000000"/>
              <w:left w:val="single" w:sz="4" w:space="0" w:color="000000"/>
              <w:bottom w:val="single" w:sz="4" w:space="0" w:color="000000"/>
              <w:right w:val="single" w:sz="4" w:space="0" w:color="000000"/>
            </w:tcBorders>
            <w:vAlign w:val="center"/>
          </w:tcPr>
          <w:p w14:paraId="6824E227"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Intégrité, disponibilité, contrôle d’accès, surveillance</w:t>
            </w:r>
          </w:p>
        </w:tc>
        <w:tc>
          <w:tcPr>
            <w:tcW w:w="2947" w:type="dxa"/>
            <w:tcBorders>
              <w:top w:val="single" w:sz="4" w:space="0" w:color="000000"/>
              <w:left w:val="single" w:sz="4" w:space="0" w:color="000000"/>
              <w:bottom w:val="single" w:sz="4" w:space="0" w:color="000000"/>
              <w:right w:val="single" w:sz="4" w:space="0" w:color="000000"/>
            </w:tcBorders>
            <w:vAlign w:val="center"/>
          </w:tcPr>
          <w:p w14:paraId="6A04D27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Oriente la protection des données du jumeau, la gestion des accès et la journalisation. Rendue opposable à l’exploitant par les conditions de permis.</w:t>
            </w:r>
          </w:p>
        </w:tc>
      </w:tr>
      <w:tr w:rsidR="00F50D70" w:rsidRPr="00BE4F47" w14:paraId="1346DB1C"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695BC70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IEC 62645 [31]</w:t>
            </w:r>
          </w:p>
        </w:tc>
        <w:tc>
          <w:tcPr>
            <w:tcW w:w="1097" w:type="dxa"/>
            <w:tcBorders>
              <w:top w:val="single" w:sz="4" w:space="0" w:color="000000"/>
              <w:left w:val="single" w:sz="4" w:space="0" w:color="000000"/>
              <w:bottom w:val="single" w:sz="4" w:space="0" w:color="000000"/>
              <w:right w:val="single" w:sz="4" w:space="0" w:color="000000"/>
            </w:tcBorders>
            <w:vAlign w:val="center"/>
          </w:tcPr>
          <w:p w14:paraId="00EFB91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2019</w:t>
            </w:r>
          </w:p>
        </w:tc>
        <w:tc>
          <w:tcPr>
            <w:tcW w:w="1929" w:type="dxa"/>
            <w:tcBorders>
              <w:top w:val="single" w:sz="4" w:space="0" w:color="000000"/>
              <w:left w:val="single" w:sz="4" w:space="0" w:color="000000"/>
              <w:bottom w:val="single" w:sz="4" w:space="0" w:color="000000"/>
              <w:right w:val="single" w:sz="4" w:space="0" w:color="000000"/>
            </w:tcBorders>
            <w:vAlign w:val="center"/>
          </w:tcPr>
          <w:p w14:paraId="079C0411"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Cybersécurité des systèmes I&amp;C nucléaires</w:t>
            </w:r>
          </w:p>
        </w:tc>
        <w:tc>
          <w:tcPr>
            <w:tcW w:w="1735" w:type="dxa"/>
            <w:tcBorders>
              <w:top w:val="single" w:sz="4" w:space="0" w:color="000000"/>
              <w:left w:val="single" w:sz="4" w:space="0" w:color="000000"/>
              <w:bottom w:val="single" w:sz="4" w:space="0" w:color="000000"/>
              <w:right w:val="single" w:sz="4" w:space="0" w:color="000000"/>
            </w:tcBorders>
            <w:vAlign w:val="center"/>
          </w:tcPr>
          <w:p w14:paraId="0754C4D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Prévention, détection, surveillance, réaction</w:t>
            </w:r>
          </w:p>
        </w:tc>
        <w:tc>
          <w:tcPr>
            <w:tcW w:w="2947" w:type="dxa"/>
            <w:tcBorders>
              <w:top w:val="single" w:sz="4" w:space="0" w:color="000000"/>
              <w:left w:val="single" w:sz="4" w:space="0" w:color="000000"/>
              <w:bottom w:val="single" w:sz="4" w:space="0" w:color="000000"/>
              <w:right w:val="single" w:sz="4" w:space="0" w:color="000000"/>
            </w:tcBorders>
            <w:vAlign w:val="center"/>
          </w:tcPr>
          <w:p w14:paraId="5A0F2D39"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Encadre l’acquisition de données, la détection d’informations incohérentes et le fonctionnement en mode dégradé.</w:t>
            </w:r>
          </w:p>
        </w:tc>
      </w:tr>
      <w:tr w:rsidR="00F50D70" w:rsidRPr="00BE4F47" w14:paraId="18C04666" w14:textId="77777777">
        <w:trPr>
          <w:cantSplit/>
          <w:trHeight w:val="841"/>
        </w:trPr>
        <w:tc>
          <w:tcPr>
            <w:tcW w:w="1364" w:type="dxa"/>
            <w:tcBorders>
              <w:top w:val="single" w:sz="4" w:space="0" w:color="000000"/>
              <w:left w:val="single" w:sz="4" w:space="0" w:color="000000"/>
              <w:bottom w:val="single" w:sz="4" w:space="0" w:color="000000"/>
              <w:right w:val="single" w:sz="4" w:space="0" w:color="000000"/>
            </w:tcBorders>
            <w:vAlign w:val="center"/>
          </w:tcPr>
          <w:p w14:paraId="2050727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lastRenderedPageBreak/>
              <w:t>IEC 63096 [32]</w:t>
            </w:r>
          </w:p>
        </w:tc>
        <w:tc>
          <w:tcPr>
            <w:tcW w:w="1097" w:type="dxa"/>
            <w:tcBorders>
              <w:top w:val="single" w:sz="4" w:space="0" w:color="000000"/>
              <w:left w:val="single" w:sz="4" w:space="0" w:color="000000"/>
              <w:bottom w:val="single" w:sz="4" w:space="0" w:color="000000"/>
              <w:right w:val="single" w:sz="4" w:space="0" w:color="000000"/>
            </w:tcBorders>
            <w:vAlign w:val="center"/>
          </w:tcPr>
          <w:p w14:paraId="494479B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2020</w:t>
            </w:r>
          </w:p>
        </w:tc>
        <w:tc>
          <w:tcPr>
            <w:tcW w:w="1929" w:type="dxa"/>
            <w:tcBorders>
              <w:top w:val="single" w:sz="4" w:space="0" w:color="000000"/>
              <w:left w:val="single" w:sz="4" w:space="0" w:color="000000"/>
              <w:bottom w:val="single" w:sz="4" w:space="0" w:color="000000"/>
              <w:right w:val="single" w:sz="4" w:space="0" w:color="000000"/>
            </w:tcBorders>
            <w:vAlign w:val="center"/>
          </w:tcPr>
          <w:p w14:paraId="62FEB26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Contrôles de cybersécurité</w:t>
            </w:r>
          </w:p>
        </w:tc>
        <w:tc>
          <w:tcPr>
            <w:tcW w:w="1735" w:type="dxa"/>
            <w:tcBorders>
              <w:top w:val="single" w:sz="4" w:space="0" w:color="000000"/>
              <w:left w:val="single" w:sz="4" w:space="0" w:color="000000"/>
              <w:bottom w:val="single" w:sz="4" w:space="0" w:color="000000"/>
              <w:right w:val="single" w:sz="4" w:space="0" w:color="000000"/>
            </w:tcBorders>
            <w:vAlign w:val="center"/>
          </w:tcPr>
          <w:p w14:paraId="600E1CF6"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Accès, intégrité, journalisation, communications</w:t>
            </w:r>
          </w:p>
        </w:tc>
        <w:tc>
          <w:tcPr>
            <w:tcW w:w="2947" w:type="dxa"/>
            <w:tcBorders>
              <w:top w:val="single" w:sz="4" w:space="0" w:color="000000"/>
              <w:left w:val="single" w:sz="4" w:space="0" w:color="000000"/>
              <w:bottom w:val="single" w:sz="4" w:space="0" w:color="000000"/>
              <w:right w:val="single" w:sz="4" w:space="0" w:color="000000"/>
            </w:tcBorders>
            <w:vAlign w:val="center"/>
          </w:tcPr>
          <w:p w14:paraId="1879EE86"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Oriente le choix des mécanismes de contrôle d’accès et de protection des échanges.</w:t>
            </w:r>
          </w:p>
        </w:tc>
      </w:tr>
      <w:tr w:rsidR="00F50D70" w:rsidRPr="00BE4F47" w14:paraId="56CC2B24" w14:textId="77777777">
        <w:trPr>
          <w:cantSplit/>
          <w:trHeight w:val="1359"/>
        </w:trPr>
        <w:tc>
          <w:tcPr>
            <w:tcW w:w="1364" w:type="dxa"/>
            <w:tcBorders>
              <w:top w:val="single" w:sz="4" w:space="0" w:color="000000"/>
              <w:left w:val="single" w:sz="4" w:space="0" w:color="000000"/>
              <w:bottom w:val="single" w:sz="4" w:space="0" w:color="000000"/>
              <w:right w:val="single" w:sz="4" w:space="0" w:color="000000"/>
            </w:tcBorders>
            <w:vAlign w:val="center"/>
          </w:tcPr>
          <w:p w14:paraId="235987F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IEC 62859 [33]</w:t>
            </w:r>
          </w:p>
        </w:tc>
        <w:tc>
          <w:tcPr>
            <w:tcW w:w="1097" w:type="dxa"/>
            <w:tcBorders>
              <w:top w:val="single" w:sz="4" w:space="0" w:color="000000"/>
              <w:left w:val="single" w:sz="4" w:space="0" w:color="000000"/>
              <w:bottom w:val="single" w:sz="4" w:space="0" w:color="000000"/>
              <w:right w:val="single" w:sz="4" w:space="0" w:color="000000"/>
            </w:tcBorders>
            <w:vAlign w:val="center"/>
          </w:tcPr>
          <w:p w14:paraId="3CC2624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2016 + A1:2019</w:t>
            </w:r>
          </w:p>
        </w:tc>
        <w:tc>
          <w:tcPr>
            <w:tcW w:w="1929" w:type="dxa"/>
            <w:tcBorders>
              <w:top w:val="single" w:sz="4" w:space="0" w:color="000000"/>
              <w:left w:val="single" w:sz="4" w:space="0" w:color="000000"/>
              <w:bottom w:val="single" w:sz="4" w:space="0" w:color="000000"/>
              <w:right w:val="single" w:sz="4" w:space="0" w:color="000000"/>
            </w:tcBorders>
            <w:vAlign w:val="center"/>
          </w:tcPr>
          <w:p w14:paraId="084028B0"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Coordination entre sûreté et cybersécurité</w:t>
            </w:r>
          </w:p>
        </w:tc>
        <w:tc>
          <w:tcPr>
            <w:tcW w:w="1735" w:type="dxa"/>
            <w:tcBorders>
              <w:top w:val="single" w:sz="4" w:space="0" w:color="000000"/>
              <w:left w:val="single" w:sz="4" w:space="0" w:color="000000"/>
              <w:bottom w:val="single" w:sz="4" w:space="0" w:color="000000"/>
              <w:right w:val="single" w:sz="4" w:space="0" w:color="000000"/>
            </w:tcBorders>
            <w:vAlign w:val="center"/>
          </w:tcPr>
          <w:p w14:paraId="2065AFF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Interaction entre mesures de sûreté et mesures de sécurité</w:t>
            </w:r>
          </w:p>
        </w:tc>
        <w:tc>
          <w:tcPr>
            <w:tcW w:w="2947" w:type="dxa"/>
            <w:tcBorders>
              <w:top w:val="single" w:sz="4" w:space="0" w:color="000000"/>
              <w:left w:val="single" w:sz="4" w:space="0" w:color="000000"/>
              <w:bottom w:val="single" w:sz="4" w:space="0" w:color="000000"/>
              <w:right w:val="single" w:sz="4" w:space="0" w:color="000000"/>
            </w:tcBorders>
            <w:vAlign w:val="center"/>
          </w:tcPr>
          <w:p w14:paraId="781B9FBE"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Garantit qu’une mesure de cybersécurité n’empêche pas l’opérateur de percevoir l’état réel du système.</w:t>
            </w:r>
          </w:p>
        </w:tc>
      </w:tr>
      <w:tr w:rsidR="00F50D70" w:rsidRPr="00BE4F47" w14:paraId="495F89BF" w14:textId="77777777">
        <w:trPr>
          <w:cantSplit/>
          <w:trHeight w:val="833"/>
        </w:trPr>
        <w:tc>
          <w:tcPr>
            <w:tcW w:w="1364" w:type="dxa"/>
            <w:tcBorders>
              <w:top w:val="single" w:sz="4" w:space="0" w:color="000000"/>
              <w:left w:val="single" w:sz="4" w:space="0" w:color="000000"/>
              <w:bottom w:val="single" w:sz="4" w:space="0" w:color="000000"/>
              <w:right w:val="single" w:sz="4" w:space="0" w:color="000000"/>
            </w:tcBorders>
            <w:vAlign w:val="center"/>
          </w:tcPr>
          <w:p w14:paraId="719FEC4D"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IEC 61513 [34]</w:t>
            </w:r>
          </w:p>
        </w:tc>
        <w:tc>
          <w:tcPr>
            <w:tcW w:w="1097" w:type="dxa"/>
            <w:tcBorders>
              <w:top w:val="single" w:sz="4" w:space="0" w:color="000000"/>
              <w:left w:val="single" w:sz="4" w:space="0" w:color="000000"/>
              <w:bottom w:val="single" w:sz="4" w:space="0" w:color="000000"/>
              <w:right w:val="single" w:sz="4" w:space="0" w:color="000000"/>
            </w:tcBorders>
            <w:vAlign w:val="center"/>
          </w:tcPr>
          <w:p w14:paraId="1F393937"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2026 (éd. 3.0)</w:t>
            </w:r>
          </w:p>
        </w:tc>
        <w:tc>
          <w:tcPr>
            <w:tcW w:w="1929" w:type="dxa"/>
            <w:tcBorders>
              <w:top w:val="single" w:sz="4" w:space="0" w:color="000000"/>
              <w:left w:val="single" w:sz="4" w:space="0" w:color="000000"/>
              <w:bottom w:val="single" w:sz="4" w:space="0" w:color="000000"/>
              <w:right w:val="single" w:sz="4" w:space="0" w:color="000000"/>
            </w:tcBorders>
            <w:vAlign w:val="center"/>
          </w:tcPr>
          <w:p w14:paraId="7154B48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Systèmes I&amp;C importants pour la sûreté</w:t>
            </w:r>
          </w:p>
        </w:tc>
        <w:tc>
          <w:tcPr>
            <w:tcW w:w="1735" w:type="dxa"/>
            <w:tcBorders>
              <w:top w:val="single" w:sz="4" w:space="0" w:color="000000"/>
              <w:left w:val="single" w:sz="4" w:space="0" w:color="000000"/>
              <w:bottom w:val="single" w:sz="4" w:space="0" w:color="000000"/>
              <w:right w:val="single" w:sz="4" w:space="0" w:color="000000"/>
            </w:tcBorders>
            <w:vAlign w:val="center"/>
          </w:tcPr>
          <w:p w14:paraId="599F0FDC"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Architecture, exigences, cycle de vie</w:t>
            </w:r>
          </w:p>
        </w:tc>
        <w:tc>
          <w:tcPr>
            <w:tcW w:w="2947" w:type="dxa"/>
            <w:tcBorders>
              <w:top w:val="single" w:sz="4" w:space="0" w:color="000000"/>
              <w:left w:val="single" w:sz="4" w:space="0" w:color="000000"/>
              <w:bottom w:val="single" w:sz="4" w:space="0" w:color="000000"/>
              <w:right w:val="single" w:sz="4" w:space="0" w:color="000000"/>
            </w:tcBorders>
            <w:vAlign w:val="center"/>
          </w:tcPr>
          <w:p w14:paraId="4630635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Référence pour l’architecture, la définition des fonctions et la validation du système simulé.</w:t>
            </w:r>
          </w:p>
        </w:tc>
      </w:tr>
      <w:tr w:rsidR="00F50D70" w:rsidRPr="00BE4F47" w14:paraId="2CE00112" w14:textId="77777777">
        <w:trPr>
          <w:cantSplit/>
          <w:trHeight w:val="1105"/>
        </w:trPr>
        <w:tc>
          <w:tcPr>
            <w:tcW w:w="1364" w:type="dxa"/>
            <w:tcBorders>
              <w:top w:val="single" w:sz="4" w:space="0" w:color="000000"/>
              <w:left w:val="single" w:sz="4" w:space="0" w:color="000000"/>
              <w:bottom w:val="single" w:sz="4" w:space="0" w:color="000000"/>
              <w:right w:val="single" w:sz="4" w:space="0" w:color="000000"/>
            </w:tcBorders>
            <w:vAlign w:val="center"/>
          </w:tcPr>
          <w:p w14:paraId="7134445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IEC 60880 [35]</w:t>
            </w:r>
          </w:p>
        </w:tc>
        <w:tc>
          <w:tcPr>
            <w:tcW w:w="1097" w:type="dxa"/>
            <w:tcBorders>
              <w:top w:val="single" w:sz="4" w:space="0" w:color="000000"/>
              <w:left w:val="single" w:sz="4" w:space="0" w:color="000000"/>
              <w:bottom w:val="single" w:sz="4" w:space="0" w:color="000000"/>
              <w:right w:val="single" w:sz="4" w:space="0" w:color="000000"/>
            </w:tcBorders>
            <w:vAlign w:val="center"/>
          </w:tcPr>
          <w:p w14:paraId="7D2FBE22"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2006</w:t>
            </w:r>
          </w:p>
        </w:tc>
        <w:tc>
          <w:tcPr>
            <w:tcW w:w="1929" w:type="dxa"/>
            <w:tcBorders>
              <w:top w:val="single" w:sz="4" w:space="0" w:color="000000"/>
              <w:left w:val="single" w:sz="4" w:space="0" w:color="000000"/>
              <w:bottom w:val="single" w:sz="4" w:space="0" w:color="000000"/>
              <w:right w:val="single" w:sz="4" w:space="0" w:color="000000"/>
            </w:tcBorders>
            <w:vAlign w:val="center"/>
          </w:tcPr>
          <w:p w14:paraId="2B9E257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Logiciels des fonctions de catégorie A</w:t>
            </w:r>
          </w:p>
        </w:tc>
        <w:tc>
          <w:tcPr>
            <w:tcW w:w="1735" w:type="dxa"/>
            <w:tcBorders>
              <w:top w:val="single" w:sz="4" w:space="0" w:color="000000"/>
              <w:left w:val="single" w:sz="4" w:space="0" w:color="000000"/>
              <w:bottom w:val="single" w:sz="4" w:space="0" w:color="000000"/>
              <w:right w:val="single" w:sz="4" w:space="0" w:color="000000"/>
            </w:tcBorders>
            <w:vAlign w:val="center"/>
          </w:tcPr>
          <w:p w14:paraId="6D0F736F"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Développement, vérification, validation</w:t>
            </w:r>
          </w:p>
        </w:tc>
        <w:tc>
          <w:tcPr>
            <w:tcW w:w="2947" w:type="dxa"/>
            <w:tcBorders>
              <w:top w:val="single" w:sz="4" w:space="0" w:color="000000"/>
              <w:left w:val="single" w:sz="4" w:space="0" w:color="000000"/>
              <w:bottom w:val="single" w:sz="4" w:space="0" w:color="000000"/>
              <w:right w:val="single" w:sz="4" w:space="0" w:color="000000"/>
            </w:tcBorders>
            <w:vAlign w:val="center"/>
          </w:tcPr>
          <w:p w14:paraId="04CC4E2F"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Référence de rigueur pour la vérification, la validation et la traçabilité des fonctions logicielles.</w:t>
            </w:r>
          </w:p>
        </w:tc>
      </w:tr>
      <w:tr w:rsidR="00F50D70" w:rsidRPr="00BE4F47" w14:paraId="269851BB" w14:textId="77777777">
        <w:trPr>
          <w:cantSplit/>
          <w:trHeight w:val="833"/>
        </w:trPr>
        <w:tc>
          <w:tcPr>
            <w:tcW w:w="1364" w:type="dxa"/>
            <w:tcBorders>
              <w:top w:val="single" w:sz="4" w:space="0" w:color="000000"/>
              <w:left w:val="single" w:sz="4" w:space="0" w:color="000000"/>
              <w:bottom w:val="single" w:sz="4" w:space="0" w:color="000000"/>
              <w:right w:val="single" w:sz="4" w:space="0" w:color="000000"/>
            </w:tcBorders>
            <w:vAlign w:val="center"/>
          </w:tcPr>
          <w:p w14:paraId="2895D885"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IEC 62138 [36]</w:t>
            </w:r>
          </w:p>
        </w:tc>
        <w:tc>
          <w:tcPr>
            <w:tcW w:w="1097" w:type="dxa"/>
            <w:tcBorders>
              <w:top w:val="single" w:sz="4" w:space="0" w:color="000000"/>
              <w:left w:val="single" w:sz="4" w:space="0" w:color="000000"/>
              <w:bottom w:val="single" w:sz="4" w:space="0" w:color="000000"/>
              <w:right w:val="single" w:sz="4" w:space="0" w:color="000000"/>
            </w:tcBorders>
            <w:vAlign w:val="center"/>
          </w:tcPr>
          <w:p w14:paraId="17A03D0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2018</w:t>
            </w:r>
          </w:p>
        </w:tc>
        <w:tc>
          <w:tcPr>
            <w:tcW w:w="1929" w:type="dxa"/>
            <w:tcBorders>
              <w:top w:val="single" w:sz="4" w:space="0" w:color="000000"/>
              <w:left w:val="single" w:sz="4" w:space="0" w:color="000000"/>
              <w:bottom w:val="single" w:sz="4" w:space="0" w:color="000000"/>
              <w:right w:val="single" w:sz="4" w:space="0" w:color="000000"/>
            </w:tcBorders>
            <w:vAlign w:val="center"/>
          </w:tcPr>
          <w:p w14:paraId="795155A2"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Logiciels des fonctions de catégorie B ou C</w:t>
            </w:r>
          </w:p>
        </w:tc>
        <w:tc>
          <w:tcPr>
            <w:tcW w:w="1735" w:type="dxa"/>
            <w:tcBorders>
              <w:top w:val="single" w:sz="4" w:space="0" w:color="000000"/>
              <w:left w:val="single" w:sz="4" w:space="0" w:color="000000"/>
              <w:bottom w:val="single" w:sz="4" w:space="0" w:color="000000"/>
              <w:right w:val="single" w:sz="4" w:space="0" w:color="000000"/>
            </w:tcBorders>
            <w:vAlign w:val="center"/>
          </w:tcPr>
          <w:p w14:paraId="404F14DF"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Développement, essais, documentation</w:t>
            </w:r>
          </w:p>
        </w:tc>
        <w:tc>
          <w:tcPr>
            <w:tcW w:w="2947" w:type="dxa"/>
            <w:tcBorders>
              <w:top w:val="single" w:sz="4" w:space="0" w:color="000000"/>
              <w:left w:val="single" w:sz="4" w:space="0" w:color="000000"/>
              <w:bottom w:val="single" w:sz="4" w:space="0" w:color="000000"/>
              <w:right w:val="single" w:sz="4" w:space="0" w:color="000000"/>
            </w:tcBorders>
            <w:vAlign w:val="center"/>
          </w:tcPr>
          <w:p w14:paraId="34E093F1"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Encadre les essais, la documentation et la validation des modules logiciels.</w:t>
            </w:r>
          </w:p>
        </w:tc>
      </w:tr>
      <w:tr w:rsidR="00F50D70" w:rsidRPr="00BE4F47" w14:paraId="36AC65BA" w14:textId="77777777">
        <w:trPr>
          <w:cantSplit/>
          <w:trHeight w:val="1105"/>
        </w:trPr>
        <w:tc>
          <w:tcPr>
            <w:tcW w:w="1364" w:type="dxa"/>
            <w:tcBorders>
              <w:top w:val="single" w:sz="4" w:space="0" w:color="000000"/>
              <w:left w:val="single" w:sz="4" w:space="0" w:color="000000"/>
              <w:bottom w:val="single" w:sz="4" w:space="0" w:color="000000"/>
              <w:right w:val="single" w:sz="4" w:space="0" w:color="000000"/>
            </w:tcBorders>
            <w:vAlign w:val="center"/>
          </w:tcPr>
          <w:p w14:paraId="3C8429D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t>ISO/IEC 27001 [37]</w:t>
            </w:r>
          </w:p>
        </w:tc>
        <w:tc>
          <w:tcPr>
            <w:tcW w:w="1097" w:type="dxa"/>
            <w:tcBorders>
              <w:top w:val="single" w:sz="4" w:space="0" w:color="000000"/>
              <w:left w:val="single" w:sz="4" w:space="0" w:color="000000"/>
              <w:bottom w:val="single" w:sz="4" w:space="0" w:color="000000"/>
              <w:right w:val="single" w:sz="4" w:space="0" w:color="000000"/>
            </w:tcBorders>
            <w:vAlign w:val="center"/>
          </w:tcPr>
          <w:p w14:paraId="354695DE"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2022</w:t>
            </w:r>
          </w:p>
        </w:tc>
        <w:tc>
          <w:tcPr>
            <w:tcW w:w="1929" w:type="dxa"/>
            <w:tcBorders>
              <w:top w:val="single" w:sz="4" w:space="0" w:color="000000"/>
              <w:left w:val="single" w:sz="4" w:space="0" w:color="000000"/>
              <w:bottom w:val="single" w:sz="4" w:space="0" w:color="000000"/>
              <w:right w:val="single" w:sz="4" w:space="0" w:color="000000"/>
            </w:tcBorders>
            <w:vAlign w:val="center"/>
          </w:tcPr>
          <w:p w14:paraId="6FF04148"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Management de la sécurité de l’information</w:t>
            </w:r>
          </w:p>
        </w:tc>
        <w:tc>
          <w:tcPr>
            <w:tcW w:w="1735" w:type="dxa"/>
            <w:tcBorders>
              <w:top w:val="single" w:sz="4" w:space="0" w:color="000000"/>
              <w:left w:val="single" w:sz="4" w:space="0" w:color="000000"/>
              <w:bottom w:val="single" w:sz="4" w:space="0" w:color="000000"/>
              <w:right w:val="single" w:sz="4" w:space="0" w:color="000000"/>
            </w:tcBorders>
            <w:vAlign w:val="center"/>
          </w:tcPr>
          <w:p w14:paraId="6F056CFA"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Accès, intégrité, disponibilité</w:t>
            </w:r>
          </w:p>
        </w:tc>
        <w:tc>
          <w:tcPr>
            <w:tcW w:w="2947" w:type="dxa"/>
            <w:tcBorders>
              <w:top w:val="single" w:sz="4" w:space="0" w:color="000000"/>
              <w:left w:val="single" w:sz="4" w:space="0" w:color="000000"/>
              <w:bottom w:val="single" w:sz="4" w:space="0" w:color="000000"/>
              <w:right w:val="single" w:sz="4" w:space="0" w:color="000000"/>
            </w:tcBorders>
            <w:vAlign w:val="center"/>
          </w:tcPr>
          <w:p w14:paraId="3E329C8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Prise en compte de la disponibilité des données, de leur intégrité et de la gestion des accès au prototype.</w:t>
            </w:r>
          </w:p>
        </w:tc>
      </w:tr>
      <w:tr w:rsidR="00F50D70" w:rsidRPr="00BE4F47" w14:paraId="170DE07E" w14:textId="77777777">
        <w:trPr>
          <w:cantSplit/>
          <w:trHeight w:val="1096"/>
        </w:trPr>
        <w:tc>
          <w:tcPr>
            <w:tcW w:w="1364" w:type="dxa"/>
            <w:tcBorders>
              <w:top w:val="single" w:sz="4" w:space="0" w:color="000000"/>
              <w:left w:val="single" w:sz="4" w:space="0" w:color="000000"/>
              <w:bottom w:val="single" w:sz="4" w:space="0" w:color="000000"/>
              <w:right w:val="single" w:sz="4" w:space="0" w:color="000000"/>
            </w:tcBorders>
            <w:vAlign w:val="center"/>
          </w:tcPr>
          <w:p w14:paraId="0EC75343"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b/>
                <w:bCs/>
                <w:color w:val="1A1A19"/>
              </w:rPr>
              <w:lastRenderedPageBreak/>
              <w:t>ISO/IEC 27005 [38]</w:t>
            </w:r>
          </w:p>
        </w:tc>
        <w:tc>
          <w:tcPr>
            <w:tcW w:w="1097" w:type="dxa"/>
            <w:tcBorders>
              <w:top w:val="single" w:sz="4" w:space="0" w:color="000000"/>
              <w:left w:val="single" w:sz="4" w:space="0" w:color="000000"/>
              <w:bottom w:val="single" w:sz="4" w:space="0" w:color="000000"/>
              <w:right w:val="single" w:sz="4" w:space="0" w:color="000000"/>
            </w:tcBorders>
            <w:vAlign w:val="center"/>
          </w:tcPr>
          <w:p w14:paraId="0FD1D7C8"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2022</w:t>
            </w:r>
          </w:p>
        </w:tc>
        <w:tc>
          <w:tcPr>
            <w:tcW w:w="1929" w:type="dxa"/>
            <w:tcBorders>
              <w:top w:val="single" w:sz="4" w:space="0" w:color="000000"/>
              <w:left w:val="single" w:sz="4" w:space="0" w:color="000000"/>
              <w:bottom w:val="single" w:sz="4" w:space="0" w:color="000000"/>
              <w:right w:val="single" w:sz="4" w:space="0" w:color="000000"/>
            </w:tcBorders>
            <w:vAlign w:val="center"/>
          </w:tcPr>
          <w:p w14:paraId="004FCE1B"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Gestion des risques de sécurité de l’information</w:t>
            </w:r>
          </w:p>
        </w:tc>
        <w:tc>
          <w:tcPr>
            <w:tcW w:w="1735" w:type="dxa"/>
            <w:tcBorders>
              <w:top w:val="single" w:sz="4" w:space="0" w:color="000000"/>
              <w:left w:val="single" w:sz="4" w:space="0" w:color="000000"/>
              <w:bottom w:val="single" w:sz="4" w:space="0" w:color="000000"/>
              <w:right w:val="single" w:sz="4" w:space="0" w:color="000000"/>
            </w:tcBorders>
            <w:vAlign w:val="center"/>
          </w:tcPr>
          <w:p w14:paraId="10A28900" w14:textId="77777777" w:rsidR="00F50D70" w:rsidRPr="00BE4F47" w:rsidRDefault="00000000" w:rsidP="008E113B">
            <w:pPr>
              <w:spacing w:before="30" w:after="30" w:line="360" w:lineRule="auto"/>
              <w:ind w:left="0"/>
              <w:outlineLvl w:val="9"/>
              <w:rPr>
                <w:rFonts w:ascii="Aptos" w:eastAsia="Calibri" w:hAnsi="Aptos" w:cs="Calibri"/>
                <w:color w:val="1A1A19"/>
              </w:rPr>
            </w:pPr>
            <w:r w:rsidRPr="00BE4F47">
              <w:rPr>
                <w:rFonts w:ascii="Aptos" w:eastAsia="Calibri" w:hAnsi="Aptos" w:cs="Calibri"/>
                <w:color w:val="1A1A19"/>
              </w:rPr>
              <w:t>Identification, analyse et traitement des risques</w:t>
            </w:r>
          </w:p>
        </w:tc>
        <w:tc>
          <w:tcPr>
            <w:tcW w:w="2947" w:type="dxa"/>
            <w:tcBorders>
              <w:top w:val="single" w:sz="4" w:space="0" w:color="000000"/>
              <w:left w:val="single" w:sz="4" w:space="0" w:color="000000"/>
              <w:bottom w:val="single" w:sz="4" w:space="0" w:color="000000"/>
              <w:right w:val="single" w:sz="4" w:space="0" w:color="000000"/>
            </w:tcBorders>
            <w:vAlign w:val="center"/>
          </w:tcPr>
          <w:p w14:paraId="466E7867" w14:textId="77777777" w:rsidR="00F50D70" w:rsidRPr="00BE4F47" w:rsidRDefault="00000000" w:rsidP="008E113B">
            <w:pPr>
              <w:spacing w:before="30" w:after="30" w:line="360" w:lineRule="auto"/>
              <w:ind w:left="0"/>
              <w:outlineLvl w:val="9"/>
              <w:rPr>
                <w:rFonts w:ascii="Aptos" w:hAnsi="Aptos"/>
              </w:rPr>
            </w:pPr>
            <w:r w:rsidRPr="00BE4F47">
              <w:rPr>
                <w:rFonts w:ascii="Aptos" w:eastAsia="Calibri" w:hAnsi="Aptos" w:cs="Calibri"/>
                <w:color w:val="1A1A19"/>
              </w:rPr>
              <w:t>Structure l’analyse des risques liés aux données, aux communications et aux fonctions numériques.</w:t>
            </w:r>
          </w:p>
        </w:tc>
      </w:tr>
    </w:tbl>
    <w:p w14:paraId="0A69FBFF" w14:textId="77777777" w:rsidR="00F50D70" w:rsidRPr="00BE4F47" w:rsidRDefault="00F50D70" w:rsidP="008E113B">
      <w:pPr>
        <w:spacing w:line="360" w:lineRule="auto"/>
        <w:ind w:left="0"/>
        <w:rPr>
          <w:rFonts w:ascii="Aptos" w:hAnsi="Aptos" w:cs="Calibri"/>
        </w:rPr>
      </w:pPr>
    </w:p>
    <w:p w14:paraId="1EF51E49" w14:textId="77777777" w:rsidR="00F50D70" w:rsidRPr="00B03F2E" w:rsidRDefault="00000000" w:rsidP="008E113B">
      <w:pPr>
        <w:pStyle w:val="Titre2"/>
        <w:spacing w:line="360" w:lineRule="auto"/>
      </w:pPr>
      <w:r w:rsidRPr="00B03F2E">
        <w:t>Esprit des normes, dépassement et éthique professionnelle</w:t>
      </w:r>
    </w:p>
    <w:p w14:paraId="3C979649"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Retenir une norme et la respecter ne suffit pas. Le guide de pratique professionnelle de l’Ordre des ingénieurs du Québec [39] demande à l’ingénieur trois choses de plus : comprendre la valeur que la norme vise, dépasser la norme quand la valeur l’exige, et se conduire par jugement quand aucune norme ne couvre la situation. Cette section dit comment le projet s’y prend.</w:t>
      </w:r>
    </w:p>
    <w:p w14:paraId="1E6D381A"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L’esprit des normes retenues. Les normes de sûreté et de cybersécurité du tableau précédent visent toutes la même valeur : qu’un système ne laisse jamais croire que tout va bien quand on ne sait pas. Le projet a traduit cette valeur en une exigence fonctionnelle, EX-F-06, qui impose un état « incertain » explicite. Cette exigence ne vient pas d’un article de norme précis. Elle vient de ce que les normes cherchent à protéger.</w:t>
      </w:r>
    </w:p>
    <w:p w14:paraId="5F0DFF28" w14:textId="77777777" w:rsidR="00F50D70" w:rsidRPr="00BE4F47" w:rsidRDefault="00000000" w:rsidP="008E113B">
      <w:pPr>
        <w:pStyle w:val="Lgende"/>
        <w:spacing w:line="360" w:lineRule="auto"/>
        <w:rPr>
          <w:rFonts w:ascii="Aptos" w:hAnsi="Aptos"/>
        </w:rPr>
      </w:pPr>
      <w:r w:rsidRPr="00BE4F47">
        <w:rPr>
          <w:rFonts w:ascii="Aptos" w:hAnsi="Aptos"/>
        </w:rPr>
        <w:t>Tableau 6-5. Ce que le projet fait au-delà de ce que les normes imposent</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2000"/>
        <w:gridCol w:w="2600"/>
        <w:gridCol w:w="3957"/>
      </w:tblGrid>
      <w:tr w:rsidR="00F50D70" w:rsidRPr="00BE4F47" w14:paraId="7584CBA0" w14:textId="77777777" w:rsidTr="0036725C">
        <w:trPr>
          <w:trHeight w:val="227"/>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70286D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Norme retenue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6FB896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impose</w:t>
            </w:r>
          </w:p>
        </w:tc>
        <w:tc>
          <w:tcPr>
            <w:tcW w:w="39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AD2D6B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 le projet fait au-delà</w:t>
            </w:r>
          </w:p>
        </w:tc>
      </w:tr>
      <w:tr w:rsidR="00F50D70" w:rsidRPr="00BE4F47" w14:paraId="4DE38FF5"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0284B77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IEEE 1012 sur la vérification et la validation</w:t>
            </w:r>
          </w:p>
        </w:tc>
        <w:tc>
          <w:tcPr>
            <w:tcW w:w="2600" w:type="dxa"/>
            <w:tcBorders>
              <w:top w:val="single" w:sz="4" w:space="0" w:color="000000"/>
              <w:left w:val="single" w:sz="4" w:space="0" w:color="000000"/>
              <w:bottom w:val="single" w:sz="4" w:space="0" w:color="000000"/>
              <w:right w:val="single" w:sz="4" w:space="0" w:color="000000"/>
            </w:tcBorders>
          </w:tcPr>
          <w:p w14:paraId="387EC09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 plan de V&amp;V dont le contenu est fixé.</w:t>
            </w:r>
          </w:p>
        </w:tc>
        <w:tc>
          <w:tcPr>
            <w:tcW w:w="3957" w:type="dxa"/>
            <w:tcBorders>
              <w:top w:val="single" w:sz="4" w:space="0" w:color="000000"/>
              <w:left w:val="single" w:sz="4" w:space="0" w:color="000000"/>
              <w:bottom w:val="single" w:sz="4" w:space="0" w:color="000000"/>
              <w:right w:val="single" w:sz="4" w:space="0" w:color="000000"/>
            </w:tcBorders>
          </w:tcPr>
          <w:p w14:paraId="71AE7C4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Chaque essai est rattaché à la version exacte du modèle et du jeu de données qui l’a produit, de sorte qu’un tiers puisse le rejouer. La norme n’exige pas cette reproductibilité intégrale.</w:t>
            </w:r>
          </w:p>
        </w:tc>
      </w:tr>
      <w:tr w:rsidR="00F50D70" w:rsidRPr="00BE4F47" w14:paraId="368830CF"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2E1678C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ISO 9241-210 sur la conception centrée sur l’humain</w:t>
            </w:r>
          </w:p>
        </w:tc>
        <w:tc>
          <w:tcPr>
            <w:tcW w:w="2600" w:type="dxa"/>
            <w:tcBorders>
              <w:top w:val="single" w:sz="4" w:space="0" w:color="000000"/>
              <w:left w:val="single" w:sz="4" w:space="0" w:color="000000"/>
              <w:bottom w:val="single" w:sz="4" w:space="0" w:color="000000"/>
              <w:right w:val="single" w:sz="4" w:space="0" w:color="000000"/>
            </w:tcBorders>
          </w:tcPr>
          <w:p w14:paraId="2F235A4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Associer l’utilisateur à la conception de l’interface.</w:t>
            </w:r>
          </w:p>
        </w:tc>
        <w:tc>
          <w:tcPr>
            <w:tcW w:w="3957" w:type="dxa"/>
            <w:tcBorders>
              <w:top w:val="single" w:sz="4" w:space="0" w:color="000000"/>
              <w:left w:val="single" w:sz="4" w:space="0" w:color="000000"/>
              <w:bottom w:val="single" w:sz="4" w:space="0" w:color="000000"/>
              <w:right w:val="single" w:sz="4" w:space="0" w:color="000000"/>
            </w:tcBorders>
          </w:tcPr>
          <w:p w14:paraId="7A4B51A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L’interface affiche les variables qui ont contribué au diagnostic, et pas seulement le verdict. La norme demande l’utilisabilité, le projet vise l’explicabilité.</w:t>
            </w:r>
          </w:p>
        </w:tc>
      </w:tr>
      <w:tr w:rsidR="00F50D70" w:rsidRPr="00BE4F47" w14:paraId="3368AD82"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21C5576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ISO/IEC 27001 et les normes de cybersécurité nucléaire</w:t>
            </w:r>
          </w:p>
        </w:tc>
        <w:tc>
          <w:tcPr>
            <w:tcW w:w="2600" w:type="dxa"/>
            <w:tcBorders>
              <w:top w:val="single" w:sz="4" w:space="0" w:color="000000"/>
              <w:left w:val="single" w:sz="4" w:space="0" w:color="000000"/>
              <w:bottom w:val="single" w:sz="4" w:space="0" w:color="000000"/>
              <w:right w:val="single" w:sz="4" w:space="0" w:color="000000"/>
            </w:tcBorders>
          </w:tcPr>
          <w:p w14:paraId="2AB7F5D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Protéger la confidentialité, l’intégrité et la disponibilité.</w:t>
            </w:r>
          </w:p>
        </w:tc>
        <w:tc>
          <w:tcPr>
            <w:tcW w:w="3957" w:type="dxa"/>
            <w:tcBorders>
              <w:top w:val="single" w:sz="4" w:space="0" w:color="000000"/>
              <w:left w:val="single" w:sz="4" w:space="0" w:color="000000"/>
              <w:bottom w:val="single" w:sz="4" w:space="0" w:color="000000"/>
              <w:right w:val="single" w:sz="4" w:space="0" w:color="000000"/>
            </w:tcBorders>
          </w:tcPr>
          <w:p w14:paraId="6E5E517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traite la donnée falsifiée comme un mode de défaillance à détecter, et non seulement comme une menace à repousser. Une donnée altérée doit produire un état « incertain », pas un état « normal ».</w:t>
            </w:r>
          </w:p>
        </w:tc>
      </w:tr>
      <w:tr w:rsidR="00F50D70" w:rsidRPr="00BE4F47" w14:paraId="785F66AF"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51D5153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ASME V&amp;V 20 sur la validation en thermohydraulique</w:t>
            </w:r>
          </w:p>
        </w:tc>
        <w:tc>
          <w:tcPr>
            <w:tcW w:w="2600" w:type="dxa"/>
            <w:tcBorders>
              <w:top w:val="single" w:sz="4" w:space="0" w:color="000000"/>
              <w:left w:val="single" w:sz="4" w:space="0" w:color="000000"/>
              <w:bottom w:val="single" w:sz="4" w:space="0" w:color="000000"/>
              <w:right w:val="single" w:sz="4" w:space="0" w:color="000000"/>
            </w:tcBorders>
          </w:tcPr>
          <w:p w14:paraId="769ABEC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Décomposer l’écart entre modèle et référence.</w:t>
            </w:r>
          </w:p>
        </w:tc>
        <w:tc>
          <w:tcPr>
            <w:tcW w:w="3957" w:type="dxa"/>
            <w:tcBorders>
              <w:top w:val="single" w:sz="4" w:space="0" w:color="000000"/>
              <w:left w:val="single" w:sz="4" w:space="0" w:color="000000"/>
              <w:bottom w:val="single" w:sz="4" w:space="0" w:color="000000"/>
              <w:right w:val="single" w:sz="4" w:space="0" w:color="000000"/>
            </w:tcBorders>
          </w:tcPr>
          <w:p w14:paraId="2995F18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publie l’écart et son domaine de validité dans le livrable remis au client, et non seulement dans ses notes internes.</w:t>
            </w:r>
          </w:p>
        </w:tc>
      </w:tr>
    </w:tbl>
    <w:p w14:paraId="7EF352F0"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lastRenderedPageBreak/>
        <w:t>Là où aucune norme ne tranche. Deux situations du projet ne sont couvertes par aucun des textes retenus. Aucune norme ne dit à partir de quel niveau de confiance un outil d’aide à la décision doit se taire plutôt que de proposer une conclusion. Et aucune ne dit comment présenter une incertitude à un opérateur pressé sans qu’il la lise comme un défaut de l’outil.</w:t>
      </w:r>
    </w:p>
    <w:p w14:paraId="57C1BBB2"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Dans ces deux cas, l’équipe ne s’autorise pas à conclure que ce qui n’est pas interdit est permis. Le principe retenu est celui de l’abstention informée : en l’absence de règle, le système annonce son incertitude plutôt que de produire un résultat, et la décision reste humaine. Ce principe découle de l’obligation d’informer le client inscrite au Code de déontologie des ingénieurs [40], et il est inscrit dans les exigences EX-F-06, EX-F-08 et EX-C-01.</w:t>
      </w:r>
    </w:p>
    <w:p w14:paraId="3E4A74E7"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Une préoccupation professionnelle demeure ouverte, et il est plus honnête de l’écrire que de la taire. Un prototype universitaire portant sur un contexte nucléaire peut être lu hors de son cadre. C’est précisément pourquoi le domaine de validité de la section 2 et les limites d’emploi du rapport final ne sont pas des formalités de fin de document, mais un livrable à part entière.</w:t>
      </w:r>
    </w:p>
    <w:p w14:paraId="4973A892" w14:textId="77777777" w:rsidR="00F50D70" w:rsidRPr="00B03F2E" w:rsidRDefault="00000000" w:rsidP="008E113B">
      <w:pPr>
        <w:pStyle w:val="Titre2"/>
        <w:spacing w:line="360" w:lineRule="auto"/>
      </w:pPr>
      <w:bookmarkStart w:id="47" w:name="__RefHeading___Toc240715219"/>
      <w:bookmarkEnd w:id="47"/>
      <w:r w:rsidRPr="00B03F2E">
        <w:t>Incidence sur la conception</w:t>
      </w:r>
    </w:p>
    <w:p w14:paraId="7516BD08" w14:textId="77777777" w:rsidR="00F50D70" w:rsidRPr="00BE4F47" w:rsidRDefault="00F50D70" w:rsidP="008E113B">
      <w:pPr>
        <w:spacing w:line="360" w:lineRule="auto"/>
        <w:ind w:left="0"/>
        <w:rPr>
          <w:rFonts w:ascii="Aptos" w:hAnsi="Aptos" w:cs="Calibri"/>
        </w:rPr>
      </w:pPr>
    </w:p>
    <w:p w14:paraId="045ECD80" w14:textId="77777777" w:rsidR="00F50D70" w:rsidRPr="00BE4F47" w:rsidRDefault="00000000" w:rsidP="008E113B">
      <w:pPr>
        <w:spacing w:line="360" w:lineRule="auto"/>
        <w:ind w:left="720"/>
        <w:outlineLvl w:val="9"/>
        <w:rPr>
          <w:rFonts w:ascii="Aptos" w:hAnsi="Aptos" w:cs="Calibri"/>
        </w:rPr>
      </w:pPr>
      <w:r w:rsidRPr="00BE4F47">
        <w:rPr>
          <w:rFonts w:ascii="Aptos" w:eastAsia="Calibri" w:hAnsi="Aptos" w:cs="Calibri"/>
          <w:color w:val="1A1A19"/>
          <w:sz w:val="20"/>
          <w:szCs w:val="20"/>
        </w:rPr>
        <w:t>L’analyse législative, réglementaire et normative influence directement plusieurs choix de conception. Elle ne constitue donc pas une simple recherche documentaire : elle transforme des exigences générales en contraintes techniques et en critères de validation vérifiables.</w:t>
      </w:r>
    </w:p>
    <w:p w14:paraId="1211622F" w14:textId="67DD8DE6" w:rsidR="00F50D70" w:rsidRPr="00B03F2E" w:rsidRDefault="00000000" w:rsidP="008E113B">
      <w:pPr>
        <w:pStyle w:val="Titre4"/>
        <w:spacing w:line="360" w:lineRule="auto"/>
        <w:rPr>
          <w:b w:val="0"/>
          <w:bCs w:val="0"/>
        </w:rPr>
      </w:pPr>
      <w:r w:rsidRPr="00B03F2E">
        <w:rPr>
          <w:b w:val="0"/>
          <w:bCs w:val="0"/>
        </w:rPr>
        <w:t xml:space="preserve"> Modélisation et comportement physique</w:t>
      </w:r>
    </w:p>
    <w:p w14:paraId="3FF0509C" w14:textId="77777777" w:rsidR="00F50D70" w:rsidRPr="00BE4F47" w:rsidRDefault="00000000" w:rsidP="008E113B">
      <w:pPr>
        <w:spacing w:line="360" w:lineRule="auto"/>
        <w:ind w:left="720"/>
        <w:outlineLvl w:val="9"/>
        <w:rPr>
          <w:rFonts w:ascii="Aptos" w:hAnsi="Aptos"/>
        </w:rPr>
      </w:pPr>
      <w:r w:rsidRPr="00BE4F47">
        <w:rPr>
          <w:rFonts w:ascii="Aptos" w:eastAsia="Calibri" w:hAnsi="Aptos" w:cs="Calibri"/>
          <w:color w:val="1A1A19"/>
          <w:sz w:val="20"/>
          <w:szCs w:val="20"/>
        </w:rPr>
        <w:t>Les dispositions de la Loi sur les ingénieurs relatives aux modèles et aux calculs [18] sont directement liées à la conception de la boucle thermohydraulique simulée. Les variables de température, de pression et de débit doivent reposer sur un modèle cohérent, documenté et vérifiable. Les hypothèses du modèle doivent être explicitement énoncées afin de distinguer la simulation universitaire d’un modèle représentant réellement Gentilly-2.</w:t>
      </w:r>
    </w:p>
    <w:p w14:paraId="0151389B" w14:textId="77777777" w:rsidR="00F50D70" w:rsidRPr="00BE4F47" w:rsidRDefault="00F50D70" w:rsidP="008E113B">
      <w:pPr>
        <w:spacing w:line="360" w:lineRule="auto"/>
        <w:ind w:left="720"/>
        <w:outlineLvl w:val="9"/>
        <w:rPr>
          <w:rFonts w:ascii="Aptos" w:hAnsi="Aptos" w:cs="Calibri"/>
        </w:rPr>
      </w:pPr>
    </w:p>
    <w:p w14:paraId="23F5542C" w14:textId="77777777" w:rsidR="00F50D70" w:rsidRPr="00B03F2E" w:rsidRDefault="00000000" w:rsidP="008E113B">
      <w:pPr>
        <w:pStyle w:val="Titre4"/>
        <w:spacing w:line="360" w:lineRule="auto"/>
      </w:pPr>
      <w:r w:rsidRPr="00B03F2E">
        <w:rPr>
          <w:b w:val="0"/>
          <w:bCs w:val="0"/>
        </w:rPr>
        <w:t xml:space="preserve">Crédibilité du modèle numérique </w:t>
      </w:r>
    </w:p>
    <w:p w14:paraId="15AAE8DD" w14:textId="77777777" w:rsidR="00F50D70" w:rsidRPr="00BE4F47" w:rsidRDefault="00000000" w:rsidP="008E113B">
      <w:pPr>
        <w:spacing w:line="360" w:lineRule="auto"/>
        <w:ind w:left="720"/>
        <w:outlineLvl w:val="9"/>
        <w:rPr>
          <w:rFonts w:ascii="Aptos" w:hAnsi="Aptos"/>
        </w:rPr>
      </w:pPr>
      <w:r w:rsidRPr="00BE4F47">
        <w:rPr>
          <w:rFonts w:ascii="Aptos" w:eastAsia="Calibri" w:hAnsi="Aptos" w:cs="Calibri"/>
          <w:color w:val="1A1A19"/>
          <w:sz w:val="20"/>
          <w:szCs w:val="20"/>
        </w:rPr>
        <w:t>La crédibilité du modèle est ce qui distingue un jumeau numérique d'un logiciel ordinaire. Vérifier que le programme est correct ne suffit pas. Il faut également établir que le modèle représente fidèlement le système physique qu'il reproduit.</w:t>
      </w:r>
    </w:p>
    <w:p w14:paraId="58B43333" w14:textId="77777777" w:rsidR="00F50D70" w:rsidRPr="00BE4F47" w:rsidRDefault="00F50D70" w:rsidP="008E113B">
      <w:pPr>
        <w:spacing w:line="360" w:lineRule="auto"/>
        <w:ind w:left="720"/>
        <w:outlineLvl w:val="9"/>
        <w:rPr>
          <w:rFonts w:ascii="Aptos" w:hAnsi="Aptos" w:cs="Calibri"/>
        </w:rPr>
      </w:pPr>
    </w:p>
    <w:p w14:paraId="141D039C" w14:textId="77777777" w:rsidR="00F50D70" w:rsidRPr="00BE4F47" w:rsidRDefault="00000000" w:rsidP="008E113B">
      <w:pPr>
        <w:spacing w:line="360" w:lineRule="auto"/>
        <w:ind w:left="720"/>
        <w:outlineLvl w:val="9"/>
        <w:rPr>
          <w:rFonts w:ascii="Aptos" w:hAnsi="Aptos"/>
        </w:rPr>
      </w:pPr>
      <w:r w:rsidRPr="00BE4F47">
        <w:rPr>
          <w:rFonts w:ascii="Aptos" w:eastAsia="Calibri" w:hAnsi="Aptos" w:cs="Calibri"/>
          <w:color w:val="1A1A19"/>
          <w:sz w:val="20"/>
          <w:szCs w:val="20"/>
        </w:rPr>
        <w:t>La norme ASME V&amp;V 20 [28] décompose l'écart observé entre le modèle et la référence en trois contributions : l'erreur numérique de résolution, l'erreur de modélisation et l'incertitude des données de référence. Elle fournit la méthode permettant de les combiner en une incertitude de validation. Cette décomposition détermine le contenu de la campagne d'essais ainsi que la forme sous laquelle les résultats sont présentés, puisqu'un écart entre le jumeau et le système de référence ne peut être interprété que s'il est rapporté à cette incertitude.</w:t>
      </w:r>
    </w:p>
    <w:p w14:paraId="38202BD3" w14:textId="77777777" w:rsidR="00F50D70" w:rsidRPr="00BE4F47" w:rsidRDefault="00F50D70" w:rsidP="008E113B">
      <w:pPr>
        <w:spacing w:line="360" w:lineRule="auto"/>
        <w:ind w:left="720"/>
        <w:outlineLvl w:val="9"/>
        <w:rPr>
          <w:rFonts w:ascii="Aptos" w:hAnsi="Aptos" w:cs="Calibri"/>
        </w:rPr>
      </w:pPr>
    </w:p>
    <w:p w14:paraId="453E0150" w14:textId="77777777" w:rsidR="00F50D70" w:rsidRPr="00BE4F47" w:rsidRDefault="00000000" w:rsidP="008E113B">
      <w:pPr>
        <w:spacing w:line="360" w:lineRule="auto"/>
        <w:ind w:left="720"/>
        <w:outlineLvl w:val="9"/>
        <w:rPr>
          <w:rFonts w:ascii="Aptos" w:hAnsi="Aptos" w:cs="Calibri"/>
        </w:rPr>
      </w:pPr>
      <w:r w:rsidRPr="00BE4F47">
        <w:rPr>
          <w:rFonts w:ascii="Aptos" w:eastAsia="Calibri" w:hAnsi="Aptos" w:cs="Calibri"/>
          <w:color w:val="1A1A19"/>
          <w:sz w:val="20"/>
          <w:szCs w:val="20"/>
        </w:rPr>
        <w:t>La norme IEEE 1012 [29] fixe pour sa part le contenu du plan de vérification et de validation, ainsi que le degré d'indépendance exigé entre la personne qui développe une fonction et celle qui la vérifie.</w:t>
      </w:r>
    </w:p>
    <w:p w14:paraId="76C534B9" w14:textId="77777777" w:rsidR="00F50D70" w:rsidRPr="00BE4F47" w:rsidRDefault="00F50D70" w:rsidP="008E113B">
      <w:pPr>
        <w:spacing w:line="360" w:lineRule="auto"/>
        <w:ind w:left="720"/>
        <w:outlineLvl w:val="9"/>
        <w:rPr>
          <w:rFonts w:ascii="Aptos" w:hAnsi="Aptos" w:cs="Calibri"/>
        </w:rPr>
      </w:pPr>
    </w:p>
    <w:p w14:paraId="0684952C" w14:textId="77777777" w:rsidR="00F50D70" w:rsidRPr="00B03F2E" w:rsidRDefault="00000000" w:rsidP="008E113B">
      <w:pPr>
        <w:pStyle w:val="Titre4"/>
        <w:spacing w:line="360" w:lineRule="auto"/>
        <w:rPr>
          <w:b w:val="0"/>
          <w:bCs w:val="0"/>
        </w:rPr>
      </w:pPr>
      <w:r w:rsidRPr="00B03F2E">
        <w:t>Architecture du jumeau numérique</w:t>
      </w:r>
    </w:p>
    <w:p w14:paraId="275B651E" w14:textId="77777777" w:rsidR="00F50D70" w:rsidRPr="00BE4F47" w:rsidRDefault="00000000" w:rsidP="008E113B">
      <w:pPr>
        <w:spacing w:line="360" w:lineRule="auto"/>
        <w:ind w:left="720"/>
        <w:outlineLvl w:val="9"/>
        <w:rPr>
          <w:rFonts w:ascii="Aptos" w:hAnsi="Aptos"/>
        </w:rPr>
      </w:pPr>
      <w:r w:rsidRPr="00BE4F47">
        <w:rPr>
          <w:rFonts w:ascii="Aptos" w:eastAsia="Calibri" w:hAnsi="Aptos" w:cs="Calibri"/>
          <w:color w:val="1A1A19"/>
          <w:sz w:val="20"/>
          <w:szCs w:val="20"/>
        </w:rPr>
        <w:t>Les normes relatives au cycle de vie des systèmes [24], au cycle de vie du logiciel [2] et au cadre du jumeau numérique [25] conduisent à séparer clairement les fonctions du prototype : boucle thermohydraulique simulée, acquisition des données, jumeau numérique, analyse, interface d’aide à la décision. Cette séparation facilite le développement, les essais et la validation de chaque fonction indépendamment.</w:t>
      </w:r>
    </w:p>
    <w:p w14:paraId="78430936" w14:textId="77777777" w:rsidR="00F50D70" w:rsidRPr="00BE4F47" w:rsidRDefault="00F50D70" w:rsidP="008E113B">
      <w:pPr>
        <w:spacing w:line="360" w:lineRule="auto"/>
        <w:ind w:left="720"/>
        <w:outlineLvl w:val="9"/>
        <w:rPr>
          <w:rFonts w:ascii="Aptos" w:hAnsi="Aptos" w:cs="Calibri"/>
        </w:rPr>
      </w:pPr>
    </w:p>
    <w:p w14:paraId="3EC54A3D" w14:textId="77777777" w:rsidR="00F50D70" w:rsidRPr="00B03F2E" w:rsidRDefault="00000000" w:rsidP="008E113B">
      <w:pPr>
        <w:pStyle w:val="Titre4"/>
        <w:spacing w:line="360" w:lineRule="auto"/>
      </w:pPr>
      <w:r w:rsidRPr="00B03F2E">
        <w:rPr>
          <w:b w:val="0"/>
          <w:bCs w:val="0"/>
        </w:rPr>
        <w:t>Cybersécurité et résilience</w:t>
      </w:r>
    </w:p>
    <w:p w14:paraId="31BDD61C" w14:textId="77777777" w:rsidR="00F50D70" w:rsidRPr="00B03F2E"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Les normes de cybersécurité [23] [31] [32] [37] conduisent à intégrer plusieurs principes dans la conception :</w:t>
      </w:r>
    </w:p>
    <w:p w14:paraId="5ACBC2BE"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protection de l’intégrité des données ;</w:t>
      </w:r>
    </w:p>
    <w:p w14:paraId="55FAD34E"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contrôle des accès ;</w:t>
      </w:r>
    </w:p>
    <w:p w14:paraId="128940D7"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journalisation des événements ;</w:t>
      </w:r>
    </w:p>
    <w:p w14:paraId="368921FE"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surveillance des communications ;</w:t>
      </w:r>
    </w:p>
    <w:p w14:paraId="45E9D55B"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identification des données incohérentes ;</w:t>
      </w:r>
    </w:p>
    <w:p w14:paraId="36AAD3DC"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détection d’une perte de communication ;</w:t>
      </w:r>
    </w:p>
    <w:p w14:paraId="528E638E" w14:textId="77777777" w:rsidR="00F50D70" w:rsidRPr="00B03F2E" w:rsidRDefault="00000000" w:rsidP="008E113B">
      <w:pPr>
        <w:numPr>
          <w:ilvl w:val="0"/>
          <w:numId w:val="20"/>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fonctionnement contrôlé lorsque certaines informations deviennent indisponibles.</w:t>
      </w:r>
    </w:p>
    <w:p w14:paraId="3B8E271D"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 prototype doit être capable de signaler qu’une information est incertaine ou indisponible plutôt que de présenter une donnée potentiellement incorrecte comme fiable. La norme IEC 62859 [33] ajoute une contrainte que les autres n’imposent pas : une mesure de cybersécurité ne doit jamais empêcher l’opérateur de percevoir l’état réel du système. Une coupure de flux décidée pour des motifs de sécurité doit donc être signalée, et non silencieuse.</w:t>
      </w:r>
    </w:p>
    <w:p w14:paraId="577F45EC" w14:textId="77777777" w:rsidR="00F50D70" w:rsidRPr="00BE4F47" w:rsidRDefault="00F50D70" w:rsidP="008E113B">
      <w:pPr>
        <w:spacing w:line="360" w:lineRule="auto"/>
        <w:ind w:left="720"/>
        <w:outlineLvl w:val="9"/>
        <w:rPr>
          <w:rFonts w:ascii="Aptos" w:hAnsi="Aptos" w:cs="Calibri"/>
        </w:rPr>
      </w:pPr>
    </w:p>
    <w:p w14:paraId="48AA4607" w14:textId="77777777" w:rsidR="00F50D70" w:rsidRPr="00B03F2E" w:rsidRDefault="00000000" w:rsidP="008E113B">
      <w:pPr>
        <w:pStyle w:val="Titre4"/>
        <w:spacing w:line="360" w:lineRule="auto"/>
        <w:rPr>
          <w:b w:val="0"/>
          <w:bCs w:val="0"/>
        </w:rPr>
      </w:pPr>
      <w:r w:rsidRPr="00B03F2E">
        <w:t xml:space="preserve">Aide à la décision et interface </w:t>
      </w:r>
    </w:p>
    <w:p w14:paraId="474D4579" w14:textId="77777777" w:rsidR="00F50D70" w:rsidRPr="00B03F2E"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 xml:space="preserve">Le jumeau numérique demeure un outil d’aide à la décision. Conformément aux principes de conception centrée sur l’humain [30], l’interface doit présenter clairement : </w:t>
      </w:r>
    </w:p>
    <w:p w14:paraId="7A6EFF02"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l’état de la boucle simulée ;</w:t>
      </w:r>
    </w:p>
    <w:p w14:paraId="0F39D795"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les valeurs importantes ;</w:t>
      </w:r>
    </w:p>
    <w:p w14:paraId="39101950"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lastRenderedPageBreak/>
        <w:t>les anomalies détectées ;</w:t>
      </w:r>
    </w:p>
    <w:p w14:paraId="39A7F604"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les alertes ;</w:t>
      </w:r>
    </w:p>
    <w:p w14:paraId="7B95DD21"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les informations manquantes ;</w:t>
      </w:r>
    </w:p>
    <w:p w14:paraId="3F51277C" w14:textId="77777777" w:rsidR="00F50D70" w:rsidRPr="00B03F2E" w:rsidRDefault="00000000" w:rsidP="008E113B">
      <w:pPr>
        <w:numPr>
          <w:ilvl w:val="0"/>
          <w:numId w:val="19"/>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le niveau d’incertitude lorsqu’il est pertinent.</w:t>
      </w:r>
    </w:p>
    <w:p w14:paraId="27649A7D" w14:textId="77777777" w:rsidR="00F50D70" w:rsidRPr="00B03F2E"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La décision finale demeure sous la responsabilité de l’opérateur. Le prototype agit uniquement comme outil d’aide à la décision et ne commande aucune installation nucléaire réelle.</w:t>
      </w:r>
    </w:p>
    <w:p w14:paraId="59876A1A" w14:textId="77777777" w:rsidR="00F50D70" w:rsidRPr="00BE4F47" w:rsidRDefault="00F50D70" w:rsidP="008E113B">
      <w:pPr>
        <w:spacing w:line="360" w:lineRule="auto"/>
        <w:ind w:left="720"/>
        <w:outlineLvl w:val="9"/>
        <w:rPr>
          <w:rFonts w:ascii="Aptos" w:hAnsi="Aptos" w:cs="Calibri"/>
        </w:rPr>
      </w:pPr>
    </w:p>
    <w:p w14:paraId="3AFE463B" w14:textId="77777777" w:rsidR="00F50D70" w:rsidRPr="00B03F2E" w:rsidRDefault="00000000" w:rsidP="008E113B">
      <w:pPr>
        <w:pStyle w:val="Titre4"/>
        <w:spacing w:line="360" w:lineRule="auto"/>
      </w:pPr>
      <w:r w:rsidRPr="00B03F2E">
        <w:rPr>
          <w:b w:val="0"/>
          <w:bCs w:val="0"/>
        </w:rPr>
        <w:t>Vérification et validation</w:t>
      </w:r>
    </w:p>
    <w:p w14:paraId="47D916A8" w14:textId="77777777" w:rsidR="00F50D70" w:rsidRPr="00B03F2E"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Les exigences liées à la qualité logicielle [26], à la sûreté [34] [35] [36], à la gestion des risques [27] et à la validation des modèles [28] [29] conduisent à prévoir une campagne d’essais structurée comprenant :</w:t>
      </w:r>
    </w:p>
    <w:p w14:paraId="6E4700F9"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essais du fonctionnement normal ;</w:t>
      </w:r>
    </w:p>
    <w:p w14:paraId="34FD3769"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essais avec données anormales ;</w:t>
      </w:r>
    </w:p>
    <w:p w14:paraId="714380CC"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essais de perte de données ou de communication ;</w:t>
      </w:r>
    </w:p>
    <w:p w14:paraId="45B10127"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essais des fonctions de détection ;</w:t>
      </w:r>
    </w:p>
    <w:p w14:paraId="32861680"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essais de l’interface ;</w:t>
      </w:r>
    </w:p>
    <w:p w14:paraId="5D1A0477"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vérification des alertes ;</w:t>
      </w:r>
    </w:p>
    <w:p w14:paraId="4A2A2C83"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quantification de l’incertitude de validation ;</w:t>
      </w:r>
    </w:p>
    <w:p w14:paraId="4EFA6AEA"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analyse des résultats ;</w:t>
      </w:r>
    </w:p>
    <w:p w14:paraId="77E47E3A" w14:textId="77777777" w:rsidR="00F50D70" w:rsidRPr="00B03F2E" w:rsidRDefault="00000000" w:rsidP="008E113B">
      <w:pPr>
        <w:numPr>
          <w:ilvl w:val="0"/>
          <w:numId w:val="18"/>
        </w:numPr>
        <w:spacing w:after="130" w:line="360" w:lineRule="auto"/>
        <w:rPr>
          <w:rFonts w:ascii="Aptos" w:eastAsia="Calibri" w:hAnsi="Aptos" w:cs="Calibri"/>
          <w:color w:val="1A1A19"/>
          <w:sz w:val="20"/>
          <w:szCs w:val="20"/>
        </w:rPr>
      </w:pPr>
      <w:r w:rsidRPr="00BE4F47">
        <w:rPr>
          <w:rFonts w:ascii="Aptos" w:eastAsia="Calibri" w:hAnsi="Aptos" w:cs="Calibri"/>
          <w:color w:val="1A1A19"/>
          <w:sz w:val="20"/>
          <w:szCs w:val="20"/>
        </w:rPr>
        <w:t>identification des limites du prototype.</w:t>
      </w:r>
    </w:p>
    <w:p w14:paraId="13CB7481" w14:textId="77777777" w:rsidR="00F50D70" w:rsidRPr="00B03F2E"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Les résultats serviront à déterminer si le système répond aux besoins définis et à produire les recommandations finales</w:t>
      </w:r>
    </w:p>
    <w:p w14:paraId="7F412F08" w14:textId="77777777" w:rsidR="00F50D70" w:rsidRPr="00B36301" w:rsidRDefault="00000000" w:rsidP="008E113B">
      <w:pPr>
        <w:pStyle w:val="Titre1"/>
        <w:spacing w:line="360" w:lineRule="auto"/>
      </w:pPr>
      <w:bookmarkStart w:id="48" w:name="__RefHeading___Toc240715220"/>
      <w:bookmarkEnd w:id="48"/>
      <w:r w:rsidRPr="00B36301">
        <w:t>Impacts et gestion des risques</w:t>
      </w:r>
    </w:p>
    <w:p w14:paraId="02B652A0"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cadre normatif est posé. Cette section examine d’abord les effets que le projet produit, puis ce qui peut l’empêcher d’aboutir. Chaque risque est rattaché à une exigence, à un lot de travail ou à un jalon des sections suivantes.</w:t>
      </w:r>
    </w:p>
    <w:p w14:paraId="278C7C66" w14:textId="77777777" w:rsidR="00F50D70" w:rsidRPr="00B36301" w:rsidRDefault="00000000" w:rsidP="008E113B">
      <w:pPr>
        <w:pStyle w:val="Titre2"/>
        <w:spacing w:line="360" w:lineRule="auto"/>
      </w:pPr>
      <w:bookmarkStart w:id="49" w:name="__RefHeading___Toc240715221"/>
      <w:bookmarkEnd w:id="49"/>
      <w:r w:rsidRPr="00B36301">
        <w:t>Contexte et portée de l’analyse</w:t>
      </w:r>
    </w:p>
    <w:p w14:paraId="538D1857"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 xml:space="preserve">Le projet s’inscrit dans un scénario fictif où Hydro-Québec, agissant comme client fictif, envisagerait une remise en service de la centrale Gentilly-2. Le projet ne vise pas à reproduire l’ensemble de la centrale. Il consiste à développer un prototype de jumeau numérique sécurisé et </w:t>
      </w:r>
      <w:r w:rsidRPr="00BE4F47">
        <w:rPr>
          <w:rFonts w:ascii="Aptos" w:eastAsia="Calibri" w:hAnsi="Aptos" w:cs="Calibri"/>
          <w:color w:val="1A1A19"/>
          <w:sz w:val="20"/>
          <w:szCs w:val="20"/>
        </w:rPr>
        <w:lastRenderedPageBreak/>
        <w:t>résilient appliqué à une boucle thermohydraulique simplifiée, inspirée d’un système de refroidissement.</w:t>
      </w:r>
    </w:p>
    <w:p w14:paraId="66EBB6CB"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Le prototype suit trois variables, la température, la pression et le débit, afin de comparer le comportement observé au comportement attendu par un modèle de référence. Il constitue un outil d’aide à la décision : il fournit à l’opérateur l’état estimé du système, les variables ayant contribué au diagnostic et le niveau de confiance associé. Aucune commande automatique d’une installation réelle ne fait partie du projet, et le jugement humain demeure responsable de la décision finale.</w:t>
      </w:r>
    </w:p>
    <w:p w14:paraId="7BD066E1"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b/>
          <w:bCs/>
          <w:color w:val="1A1A19"/>
          <w:sz w:val="20"/>
          <w:szCs w:val="20"/>
        </w:rPr>
        <w:t xml:space="preserve">Portée de l’analyse. </w:t>
      </w:r>
      <w:r w:rsidRPr="00BE4F47">
        <w:rPr>
          <w:rFonts w:ascii="Aptos" w:eastAsia="Calibri" w:hAnsi="Aptos" w:cs="Calibri"/>
          <w:color w:val="1A1A19"/>
          <w:sz w:val="20"/>
          <w:szCs w:val="20"/>
        </w:rPr>
        <w:t>L’analyse présentée ici porte sur les risques associés au prototype universitaire, à son développement, à son modèle de référence, à sa chaîne de données et à son interface. Elle ne constitue pas une analyse probabiliste de sûreté de Gentilly-2, et les niveaux d’impact attribués aux risques ne représentent pas les conséquences potentielles d’un accident nucléaire réel.</w:t>
      </w:r>
    </w:p>
    <w:p w14:paraId="0507BD7A"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b/>
          <w:bCs/>
          <w:color w:val="1A1A19"/>
          <w:sz w:val="20"/>
          <w:szCs w:val="20"/>
        </w:rPr>
        <w:t xml:space="preserve">Objet des impacts. </w:t>
      </w:r>
      <w:r w:rsidRPr="00BE4F47">
        <w:rPr>
          <w:rFonts w:ascii="Aptos" w:eastAsia="Calibri" w:hAnsi="Aptos" w:cs="Calibri"/>
          <w:color w:val="1A1A19"/>
          <w:sz w:val="20"/>
          <w:szCs w:val="20"/>
        </w:rPr>
        <w:t>Les impacts relevés en 7.2 sont en revanche ceux du problème considéré, et non seulement ceux de l’objet livré. Un prototype entièrement simulé n’a par lui-même presque aucune incidence environnementale ou sanitaire ; ce qui en a, c’est l’usage auquel il est destiné. C’est à ce niveau que l’analyse se place, conformément à la consigne du gabarit.</w:t>
      </w:r>
    </w:p>
    <w:p w14:paraId="14FCAEFD" w14:textId="77777777" w:rsidR="00F50D70" w:rsidRPr="00B36301" w:rsidRDefault="00000000" w:rsidP="008E113B">
      <w:pPr>
        <w:pStyle w:val="Titre2"/>
        <w:spacing w:line="360" w:lineRule="auto"/>
      </w:pPr>
      <w:bookmarkStart w:id="50" w:name="__RefHeading___Toc240715226"/>
      <w:bookmarkEnd w:id="50"/>
      <w:r w:rsidRPr="00B36301">
        <w:t>Impact du projet</w:t>
      </w:r>
    </w:p>
    <w:p w14:paraId="3CD1E632" w14:textId="77777777" w:rsidR="00F50D70" w:rsidRPr="00BE4F47" w:rsidRDefault="00000000" w:rsidP="008E113B">
      <w:pPr>
        <w:pStyle w:val="Titre4"/>
        <w:spacing w:line="360" w:lineRule="auto"/>
      </w:pPr>
      <w:bookmarkStart w:id="51" w:name="__RefHeading___Toc240715227"/>
      <w:bookmarkEnd w:id="51"/>
      <w:r w:rsidRPr="00BE4F47">
        <w:t>Impacts techniques</w:t>
      </w:r>
    </w:p>
    <w:p w14:paraId="5B78CE2D"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 principal effet positif est la possibilité d’étudier des états de fonctionnement et des scénarios de défaillance sans avoir à les provoquer sur une installation réelle. La simulation permet de rejouer les essais à l’identique, de comparer les résultats et de soumettre le prototype à une campagne structurée de vérification et de validation, ce que couvre l’exigence EX-F-02.</w:t>
      </w:r>
    </w:p>
    <w:p w14:paraId="448A6F29"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 projet introduit en contrepartie une dépendance envers la qualité des données et la fidélité du modèle. Une mesure incorrecte de température, de pression ou de débit, une donnée indisponible ou une désynchronisation peuvent entraîner une représentation erronée de l’état de la boucle. Le prototype doit donc reconnaître les incohérences et signaler l’incertitude lorsque les informations disponibles ne permettent pas d’établir un résultat fiable, ce qu’impose l’exigence EX-F-06 et ce que traduit le passage à l’état D2 du GEMMA.</w:t>
      </w:r>
    </w:p>
    <w:p w14:paraId="0DD7576E" w14:textId="77777777" w:rsidR="00F50D70" w:rsidRPr="00BE4F47" w:rsidRDefault="00000000" w:rsidP="008E113B">
      <w:pPr>
        <w:pStyle w:val="Titre4"/>
        <w:spacing w:line="360" w:lineRule="auto"/>
      </w:pPr>
      <w:bookmarkStart w:id="52" w:name="__RefHeading___Toc240715230"/>
      <w:bookmarkEnd w:id="52"/>
      <w:r w:rsidRPr="00BE4F47">
        <w:t>Impacts sur la sureté et la cybersécurité</w:t>
      </w:r>
    </w:p>
    <w:p w14:paraId="1941E125"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 xml:space="preserve">La difficulté la plus sérieuse apparaît lorsqu’un système demeure fonctionnel tout en présentant une information crédible mais incorrecte. Une donnée falsifiée, corrompue ou simplement erronée peut masquer une anomalie réelle ou provoquer une fausse alarme. </w:t>
      </w:r>
      <w:r w:rsidRPr="00BE4F47">
        <w:rPr>
          <w:rFonts w:ascii="Aptos" w:eastAsia="Calibri" w:hAnsi="Aptos" w:cs="Calibri"/>
          <w:color w:val="1A1A19"/>
          <w:sz w:val="20"/>
          <w:szCs w:val="20"/>
        </w:rPr>
        <w:lastRenderedPageBreak/>
        <w:t>Les deux cas dégradent la décision, mais pas de la même façon : le premier retire une information à l’opérateur, le second use sa confiance.</w:t>
      </w:r>
    </w:p>
    <w:p w14:paraId="0F66F52D"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Les mesures de conception doivent donc protéger l’intégrité, la disponibilité et la traçabilité des données. Le contrôle des accès, l’authentification, la journalisation, la validation des entrées et la segmentation de l’environnement d’essai font partie des moyens envisagés, conformément à l’exigence EX-Q-04.</w:t>
      </w:r>
    </w:p>
    <w:p w14:paraId="7BD883AE" w14:textId="77777777" w:rsidR="00F50D70" w:rsidRPr="00BE4F47" w:rsidRDefault="00000000" w:rsidP="008E113B">
      <w:pPr>
        <w:pStyle w:val="Retraitcorpsdetexte3"/>
        <w:spacing w:line="360" w:lineRule="auto"/>
        <w:ind w:left="992" w:firstLine="0"/>
        <w:rPr>
          <w:rFonts w:ascii="Aptos" w:eastAsia="Calibri" w:hAnsi="Aptos" w:cs="Calibri"/>
          <w:color w:val="1A1A19"/>
          <w:sz w:val="20"/>
          <w:szCs w:val="20"/>
        </w:rPr>
      </w:pPr>
      <w:r w:rsidRPr="00BE4F47">
        <w:rPr>
          <w:rFonts w:ascii="Aptos" w:eastAsia="Calibri" w:hAnsi="Aptos" w:cs="Calibri"/>
          <w:color w:val="1A1A19"/>
          <w:sz w:val="20"/>
          <w:szCs w:val="20"/>
        </w:rPr>
        <w:t>Une contrainte s’ajoute, tirée de la norme IEC 62859 citée au tableau des normes : une mesure de cybersécurité ne doit jamais empêcher l’opérateur de percevoir l’état réel du système. Une coupure de flux décidée pour des motifs de sécurité doit être signalée, et non silencieuse.</w:t>
      </w:r>
    </w:p>
    <w:p w14:paraId="3C409D3A" w14:textId="77777777" w:rsidR="00F50D70" w:rsidRPr="00BE4F47" w:rsidRDefault="00000000" w:rsidP="008E113B">
      <w:pPr>
        <w:pStyle w:val="Titre4"/>
        <w:spacing w:line="360" w:lineRule="auto"/>
      </w:pPr>
      <w:bookmarkStart w:id="53" w:name="__RefHeading___Toc240715234"/>
      <w:bookmarkEnd w:id="53"/>
      <w:r w:rsidRPr="00BE4F47">
        <w:t>Impacts humains et organisationnels</w:t>
      </w:r>
    </w:p>
    <w:p w14:paraId="15DC8D05"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L’interface détermine la manière dont les ingénieurs et les opérateurs interprètent l’état estimé du système. Elle doit présenter les variables contributives et le niveau de confiance associé au résultat, ce que couvrent les exigences EX-F-05 et EX-F-07.</w:t>
      </w:r>
    </w:p>
    <w:p w14:paraId="491AAF37" w14:textId="77777777" w:rsidR="00F50D70" w:rsidRPr="00BE4F47" w:rsidRDefault="00000000" w:rsidP="008E113B">
      <w:pPr>
        <w:pStyle w:val="Retraitcorpsdetexte3"/>
        <w:spacing w:line="360" w:lineRule="auto"/>
        <w:ind w:left="992"/>
        <w:rPr>
          <w:rFonts w:ascii="Aptos" w:hAnsi="Aptos"/>
        </w:rPr>
      </w:pPr>
      <w:r w:rsidRPr="00BE4F47">
        <w:rPr>
          <w:rFonts w:ascii="Aptos" w:eastAsia="Calibri" w:hAnsi="Aptos" w:cs="Calibri"/>
          <w:color w:val="1A1A19"/>
          <w:sz w:val="20"/>
          <w:szCs w:val="20"/>
        </w:rPr>
        <w:t>Le principal effet défavorable est le risque de confiance excessive envers le jumeau numérique, désigné dans la littérature comme biais d’automatisation. Un opérateur qui s’habitue à un outil fiable finit par lui accorder plus de crédit qu’à ses propres instruments. Lorsque les données sont insuffisantes, contradictoires ou situées hors du domaine validé, le système doit donc signaler son incertitude plutôt que de présenter la situation comme normale. Le jugement humain constitue la dernière barrière, et c’est précisément pour cela qu’il ne doit pas être érodé par l’outil censé l’assister. Ce risque est coté RT10.</w:t>
      </w:r>
    </w:p>
    <w:p w14:paraId="1FC0A5E0" w14:textId="77777777" w:rsidR="00F50D70" w:rsidRPr="00BE4F47" w:rsidRDefault="00000000" w:rsidP="008E113B">
      <w:pPr>
        <w:pStyle w:val="Titre4"/>
        <w:spacing w:line="360" w:lineRule="auto"/>
      </w:pPr>
      <w:bookmarkStart w:id="54" w:name="__RefHeading___Toc240715237"/>
      <w:bookmarkEnd w:id="54"/>
      <w:r w:rsidRPr="00BE4F47">
        <w:t>Impacts sur la santé et la sécurité des personnes</w:t>
      </w:r>
    </w:p>
    <w:p w14:paraId="3CA8547F"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 prototype, en lui-même, ne présente aucun danger : il est entièrement simulé, ne manipule aucun fluide, aucune énergie et aucune donnée réelle. Le travail de l’équipe se fait devant un poste informatique.</w:t>
      </w:r>
    </w:p>
    <w:p w14:paraId="20BE68FA"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L’incidence sur la santé et la sécurité provient du problème considéré, non de l’objet livré. Un outil d’aide à la décision destiné à une installation nucléaire participe à une chaîne dont l’aboutissement est une décision humaine d’exploitation. Trois modes de dysfonctionnement conduisent à un risque pour les personnes : une anomalie réelle non détectée, présentée comme un fonctionnement normal ; une estimation d’état erronée provenant d’un capteur défaillant ou de données altérées ; et l’indisponibilité du système au moment où l’opérateur s’attend à en disposer. Dans les trois cas, la défaillance se propage à la décision humaine et, de là, à la sécurité des travailleurs et du public.</w:t>
      </w:r>
    </w:p>
    <w:p w14:paraId="43CDF452" w14:textId="77777777" w:rsidR="00F50D70" w:rsidRPr="00BE4F47" w:rsidRDefault="00000000" w:rsidP="008E113B">
      <w:pPr>
        <w:pStyle w:val="Retraitcorpsdetexte3"/>
        <w:spacing w:line="360" w:lineRule="auto"/>
        <w:ind w:left="992"/>
        <w:rPr>
          <w:rFonts w:ascii="Aptos" w:hAnsi="Aptos"/>
        </w:rPr>
      </w:pPr>
      <w:r w:rsidRPr="00BE4F47">
        <w:rPr>
          <w:rFonts w:ascii="Aptos" w:eastAsia="Calibri" w:hAnsi="Aptos" w:cs="Calibri"/>
          <w:color w:val="1A1A19"/>
          <w:sz w:val="20"/>
          <w:szCs w:val="20"/>
        </w:rPr>
        <w:t xml:space="preserve">Ce raisonnement est celui qui fonde l’applicabilité de l’article 3 (3°) de la Loi sur les ingénieurs, développée à la section des normes. Les deux sections doivent dire la même chose : il serait incohérent de soutenir que le système engage la sécurité des personnes </w:t>
      </w:r>
      <w:r w:rsidRPr="00BE4F47">
        <w:rPr>
          <w:rFonts w:ascii="Aptos" w:eastAsia="Calibri" w:hAnsi="Aptos" w:cs="Calibri"/>
          <w:color w:val="1A1A19"/>
          <w:sz w:val="20"/>
          <w:szCs w:val="20"/>
        </w:rPr>
        <w:lastRenderedPageBreak/>
        <w:t>pour justifier l’encadrement légal, puis d’affirmer ici qu’il n’a aucune incidence parce qu’il est simulé.</w:t>
      </w:r>
    </w:p>
    <w:p w14:paraId="4F22BBCA" w14:textId="77777777" w:rsidR="00F50D70" w:rsidRPr="00BE4F47" w:rsidRDefault="00000000" w:rsidP="008E113B">
      <w:pPr>
        <w:pStyle w:val="Titre4"/>
        <w:spacing w:line="360" w:lineRule="auto"/>
      </w:pPr>
      <w:bookmarkStart w:id="55" w:name="__RefHeading___Toc240715241"/>
      <w:bookmarkEnd w:id="55"/>
      <w:r w:rsidRPr="00BE4F47">
        <w:t>Impacts économiques</w:t>
      </w:r>
    </w:p>
    <w:p w14:paraId="028B1199" w14:textId="77777777" w:rsidR="00F50D70" w:rsidRPr="00BE4F47" w:rsidRDefault="00F50D70" w:rsidP="008E113B">
      <w:pPr>
        <w:pStyle w:val="Retraitcorpsdetexte3"/>
        <w:spacing w:line="360" w:lineRule="auto"/>
        <w:rPr>
          <w:rFonts w:ascii="Aptos" w:hAnsi="Aptos"/>
        </w:rPr>
      </w:pPr>
    </w:p>
    <w:p w14:paraId="2C2ECC90"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 projet mobilise principalement des ressources humaines et informatiques. Le mandat est limité à 1 080 heures d’ingénierie facturables, et les infrastructures, logiciels et ressources existantes de l’UQAC sont privilégiés afin de limiter les dépenses supplémentaires. Cette enveloppe constitue la contrainte de planification la plus structurante du projet, et elle fait l’objet du risque RP2.</w:t>
      </w:r>
    </w:p>
    <w:p w14:paraId="1A6A69B6"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L’intérêt économique du type d’outil développé est indirect. Étudier un scénario de défaillance en simulation coûte une fraction de ce que coûterait sa reproduction sur une installation, et n’immobilise aucun équipement. Cet argument vaut pour la classe d’outils, pas pour le prototype universitaire lui-même, qui ne produit aucune valeur marchande.</w:t>
      </w:r>
    </w:p>
    <w:p w14:paraId="7F663AD6" w14:textId="77777777" w:rsidR="00F50D70" w:rsidRPr="00BE4F47" w:rsidRDefault="00000000" w:rsidP="008E113B">
      <w:pPr>
        <w:pStyle w:val="Titre4"/>
        <w:spacing w:line="360" w:lineRule="auto"/>
      </w:pPr>
      <w:r w:rsidRPr="00BE4F47">
        <w:t>Équité, diversité et inclusion</w:t>
      </w:r>
    </w:p>
    <w:p w14:paraId="0FEC2E2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projet retient un second critère à côté des objectifs de développement durable : l’équité, la diversité et l’inclusion. Il ne s’agit pas d’un ajout de circonstance, car ce critère a des conséquences vérifiables sur la conception de l’interface et sur la conduite de l’équipe.</w:t>
      </w:r>
    </w:p>
    <w:p w14:paraId="72B2BB12"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Sur la conception. L’interface d’aide à la décision est destinée à des opérateurs dont l’expérience, la formation et les conditions de travail varient. Trois décisions en découlent. Le résultat est présenté en texte et par une forme, jamais par la couleur seule, ce qui le rend lisible pour une personne daltonienne et sur une impression en noir et blanc. Le vocabulaire affiché est celui du métier, sans acronyme non défini, ce qui ne suppose pas une familiarité préalable avec l’outil. Et le niveau de confiance est annoncé en clair plutôt que sous forme d’un score que seul un spécialiste saurait interpréter. Ces trois décisions rejoignent la norme ISO 9241-210 déjà retenue et l’exigence EX-Q-03.</w:t>
      </w:r>
    </w:p>
    <w:p w14:paraId="4DBF90E2"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Sur la conduite de l’équipe. L’équipe est composée de personnes venant de plusieurs pays et de plusieurs parcours. Deux règles en tiennent compte. L’affectation suit les compétences du tableau des lots et non l’aisance à s’exprimer en réunion, ce qui évite que la répartition se décide par la seule prise de parole. Et toute décision engageant le périmètre est consignée par écrit dans une issue du dépôt, ce qui permet d’y contribuer en différé, ce qui compte pour qui travaille en dehors des créneaux communs.</w:t>
      </w:r>
    </w:p>
    <w:p w14:paraId="492604F1"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Sur l’accessibilité économique enfin. Le choix d’outils libres décrit à la section 5 fait que n’importe quel membre peut travailler depuis son propre poste, sans licence payante ni accès privilégié à un laboratoire. Ce choix a été pris pour des raisons de budget et de reproductibilité, mais il sert aussi l’équité d’accès au travail, et il mérite d’être nommé comme tel.</w:t>
      </w:r>
    </w:p>
    <w:p w14:paraId="52987F65" w14:textId="77777777" w:rsidR="00F50D70" w:rsidRPr="00B36301" w:rsidRDefault="00000000" w:rsidP="008E113B">
      <w:pPr>
        <w:pStyle w:val="Titre4"/>
        <w:spacing w:line="360" w:lineRule="auto"/>
      </w:pPr>
      <w:bookmarkStart w:id="56" w:name="__RefHeading___Toc240715244"/>
      <w:bookmarkEnd w:id="56"/>
      <w:r w:rsidRPr="00B36301">
        <w:lastRenderedPageBreak/>
        <w:t>Impacts environnementaux et développement durable</w:t>
      </w:r>
    </w:p>
    <w:p w14:paraId="3F5C2A78" w14:textId="77777777" w:rsidR="00F50D70" w:rsidRPr="00BE4F47" w:rsidRDefault="00F50D70" w:rsidP="008E113B">
      <w:pPr>
        <w:pStyle w:val="Retraitcorpsdetexte3"/>
        <w:spacing w:line="360" w:lineRule="auto"/>
        <w:rPr>
          <w:rFonts w:ascii="Aptos" w:hAnsi="Aptos"/>
        </w:rPr>
      </w:pPr>
    </w:p>
    <w:p w14:paraId="4DD62332"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Les incidences environnementales directes du prototype sont faibles et se limitent à la consommation de ressources informatiques pendant le développement et les essais.</w:t>
      </w:r>
    </w:p>
    <w:p w14:paraId="2B111AB2"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L’apport au développement durable est indirect et mérite d’être énoncé sans être surévalué. Deux objectifs de développement durable des Nations unies [41] se rattachent au projet :</w:t>
      </w:r>
    </w:p>
    <w:p w14:paraId="4A39D6DC" w14:textId="77777777" w:rsidR="00F50D70" w:rsidRPr="00BE4F47" w:rsidRDefault="00000000" w:rsidP="008E113B">
      <w:pPr>
        <w:pStyle w:val="Paragraphedeliste"/>
        <w:numPr>
          <w:ilvl w:val="0"/>
          <w:numId w:val="15"/>
        </w:numPr>
        <w:spacing w:after="70" w:line="360" w:lineRule="auto"/>
        <w:contextualSpacing w:val="0"/>
        <w:rPr>
          <w:rFonts w:ascii="Aptos" w:hAnsi="Aptos"/>
          <w:lang w:val="fr-CA"/>
        </w:rPr>
      </w:pPr>
      <w:r w:rsidRPr="00BE4F47">
        <w:rPr>
          <w:rFonts w:ascii="Aptos" w:hAnsi="Aptos" w:cs="Calibri"/>
          <w:b/>
          <w:bCs/>
          <w:color w:val="1A1A19"/>
          <w:sz w:val="20"/>
          <w:szCs w:val="20"/>
          <w:lang w:val="fr-CA"/>
        </w:rPr>
        <w:t xml:space="preserve">ODD 7, énergie propre et d’un coût abordable. </w:t>
      </w:r>
      <w:r w:rsidRPr="00BE4F47">
        <w:rPr>
          <w:rFonts w:ascii="Aptos" w:hAnsi="Aptos" w:cs="Calibri"/>
          <w:color w:val="1A1A19"/>
          <w:sz w:val="20"/>
          <w:szCs w:val="20"/>
          <w:lang w:val="fr-CA"/>
        </w:rPr>
        <w:t>Un outil qui contribue à l’exploitation sûre d’une source de production à faibles émissions soutient indirectement cet objectif. La contribution du prototype est celle d’un démonstrateur, non celle d’un système exploité.</w:t>
      </w:r>
    </w:p>
    <w:p w14:paraId="27F4989B" w14:textId="77777777" w:rsidR="00F50D70" w:rsidRPr="00B36301" w:rsidRDefault="00000000" w:rsidP="008E113B">
      <w:pPr>
        <w:pStyle w:val="Paragraphedeliste"/>
        <w:numPr>
          <w:ilvl w:val="0"/>
          <w:numId w:val="15"/>
        </w:numPr>
        <w:spacing w:after="70" w:line="360" w:lineRule="auto"/>
        <w:contextualSpacing w:val="0"/>
        <w:rPr>
          <w:rFonts w:ascii="Aptos" w:hAnsi="Aptos" w:cs="Calibri"/>
          <w:color w:val="1A1A19"/>
          <w:sz w:val="20"/>
          <w:szCs w:val="20"/>
          <w:lang w:val="fr-CA"/>
        </w:rPr>
      </w:pPr>
      <w:r w:rsidRPr="00B36301">
        <w:rPr>
          <w:rFonts w:ascii="Aptos" w:hAnsi="Aptos" w:cs="Calibri"/>
          <w:b/>
          <w:bCs/>
          <w:color w:val="1A1A19"/>
          <w:sz w:val="20"/>
          <w:szCs w:val="20"/>
          <w:lang w:val="fr-CA"/>
        </w:rPr>
        <w:t xml:space="preserve">ODD 9, industrie, innovation et infrastructure. </w:t>
      </w:r>
      <w:r w:rsidRPr="00B36301">
        <w:rPr>
          <w:rFonts w:ascii="Aptos" w:hAnsi="Aptos" w:cs="Calibri"/>
          <w:color w:val="1A1A19"/>
          <w:sz w:val="20"/>
          <w:szCs w:val="20"/>
          <w:lang w:val="fr-CA"/>
        </w:rPr>
        <w:t>Le projet porte sur la résilience d’une infrastructure existante et sur la modernisation de ses moyens de surveillance.</w:t>
      </w:r>
    </w:p>
    <w:p w14:paraId="6D8F2E40"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Un troisième objectif, l’ODD 12 sur la consommation et la production responsables, pourrait être invoqué au titre des essais évités sur l’installation. L’équipe s’en tient aux deux premiers, qui sont les mieux étayés.</w:t>
      </w:r>
    </w:p>
    <w:p w14:paraId="28EE3314" w14:textId="77777777" w:rsidR="00F50D70" w:rsidRPr="00BE4F47" w:rsidRDefault="00000000" w:rsidP="008E113B">
      <w:pPr>
        <w:pStyle w:val="Titre4"/>
        <w:spacing w:line="360" w:lineRule="auto"/>
      </w:pPr>
      <w:bookmarkStart w:id="57" w:name="__RefHeading___Toc240715249"/>
      <w:bookmarkEnd w:id="57"/>
      <w:r w:rsidRPr="00BE4F47">
        <w:t>Impacts sociaux : confiance, transparence et responsabilité</w:t>
      </w:r>
    </w:p>
    <w:p w14:paraId="552A5A69"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L’usage d’un outil numérique d’aide à la décision en contexte nucléaire soulève des questions de confiance, de transparence et de responsabilité. La population concernée par une éventuelle remise en service n’a pas accès au détail technique ; elle juge sur la clarté avec laquelle les capacités et les limites de l’outil sont énoncées.</w:t>
      </w:r>
    </w:p>
    <w:p w14:paraId="54DB474F"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Deux engagements en découlent pour le projet : documenter le domaine de validité du prototype et les limites au-delà desquelles ses résultats ne sont pas valides, ce qu’exige EX-C-01 ; et maintenir la responsabilité de la décision chez l’opérateur, ce qu’exige EX-F-08. Un outil dont on ne dit pas ce qu’il ne sait pas faire est un outil qui sera mal employé.</w:t>
      </w:r>
    </w:p>
    <w:p w14:paraId="7B4B8161" w14:textId="77777777" w:rsidR="00F50D70" w:rsidRPr="00BE4F47" w:rsidRDefault="00F50D70" w:rsidP="008E113B">
      <w:pPr>
        <w:pStyle w:val="Retraitcorpsdetexte3"/>
        <w:spacing w:line="360" w:lineRule="auto"/>
        <w:rPr>
          <w:rFonts w:ascii="Aptos" w:hAnsi="Aptos"/>
        </w:rPr>
      </w:pPr>
    </w:p>
    <w:p w14:paraId="1AAF64B8" w14:textId="77777777" w:rsidR="00F50D70" w:rsidRPr="00B36301" w:rsidRDefault="00000000" w:rsidP="008E113B">
      <w:pPr>
        <w:pStyle w:val="Titre2"/>
        <w:spacing w:line="360" w:lineRule="auto"/>
      </w:pPr>
      <w:bookmarkStart w:id="58" w:name="__RefHeading___Toc240715252"/>
      <w:bookmarkEnd w:id="58"/>
      <w:r w:rsidRPr="00B36301">
        <w:t>Bénéfices et inconvénients</w:t>
      </w:r>
    </w:p>
    <w:p w14:paraId="55B7B1B2" w14:textId="77777777" w:rsidR="00F50D70"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Le tableau 7-1 met en regard ce que le projet apporte et ce qu’il coûte ou fait courir comme risque. Une analyse qui ne présenterait que des bénéfices ne serait pas crédible.</w:t>
      </w:r>
    </w:p>
    <w:p w14:paraId="11201220" w14:textId="77777777" w:rsidR="0036725C" w:rsidRDefault="0036725C" w:rsidP="008E113B">
      <w:pPr>
        <w:spacing w:after="130" w:line="360" w:lineRule="auto"/>
        <w:ind w:left="425"/>
        <w:rPr>
          <w:rFonts w:ascii="Aptos" w:eastAsia="Calibri" w:hAnsi="Aptos" w:cs="Calibri"/>
          <w:color w:val="1A1A19"/>
          <w:sz w:val="20"/>
          <w:szCs w:val="20"/>
        </w:rPr>
      </w:pPr>
    </w:p>
    <w:p w14:paraId="19953B66" w14:textId="77777777" w:rsidR="0036725C" w:rsidRPr="00BE4F47" w:rsidRDefault="0036725C" w:rsidP="008E113B">
      <w:pPr>
        <w:spacing w:after="130" w:line="360" w:lineRule="auto"/>
        <w:ind w:left="425"/>
        <w:rPr>
          <w:rFonts w:ascii="Aptos" w:eastAsia="Calibri" w:hAnsi="Aptos" w:cs="Calibri"/>
          <w:color w:val="1A1A19"/>
          <w:sz w:val="20"/>
          <w:szCs w:val="20"/>
        </w:rPr>
      </w:pPr>
    </w:p>
    <w:p w14:paraId="0328E51E" w14:textId="77777777" w:rsidR="00F50D70" w:rsidRPr="00BE4F47" w:rsidRDefault="00000000" w:rsidP="008E113B">
      <w:pPr>
        <w:pStyle w:val="Lgende"/>
        <w:spacing w:line="360" w:lineRule="auto"/>
        <w:rPr>
          <w:rFonts w:ascii="Aptos" w:hAnsi="Aptos"/>
        </w:rPr>
      </w:pPr>
      <w:r w:rsidRPr="00BE4F47">
        <w:rPr>
          <w:rFonts w:ascii="Aptos" w:hAnsi="Aptos"/>
        </w:rPr>
        <w:t>Tableau 7-1. Bénéfices et inconvénients du projet</w:t>
      </w:r>
    </w:p>
    <w:tbl>
      <w:tblPr>
        <w:tblW w:w="8326" w:type="dxa"/>
        <w:tblInd w:w="511" w:type="dxa"/>
        <w:tblLayout w:type="fixed"/>
        <w:tblCellMar>
          <w:top w:w="55" w:type="dxa"/>
          <w:left w:w="85" w:type="dxa"/>
          <w:bottom w:w="55" w:type="dxa"/>
          <w:right w:w="85" w:type="dxa"/>
        </w:tblCellMar>
        <w:tblLook w:val="04A0" w:firstRow="1" w:lastRow="0" w:firstColumn="1" w:lastColumn="0" w:noHBand="0" w:noVBand="1"/>
      </w:tblPr>
      <w:tblGrid>
        <w:gridCol w:w="3954"/>
        <w:gridCol w:w="4372"/>
      </w:tblGrid>
      <w:tr w:rsidR="00F50D70" w:rsidRPr="00BE4F47" w14:paraId="3196DBC6" w14:textId="77777777" w:rsidTr="0036725C">
        <w:trPr>
          <w:trHeight w:val="223"/>
          <w:tblHeader/>
        </w:trPr>
        <w:tc>
          <w:tcPr>
            <w:tcW w:w="395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2EA4F2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lastRenderedPageBreak/>
              <w:t>Bénéfices</w:t>
            </w:r>
          </w:p>
        </w:tc>
        <w:tc>
          <w:tcPr>
            <w:tcW w:w="437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1EB0E7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Inconvénients</w:t>
            </w:r>
          </w:p>
        </w:tc>
      </w:tr>
      <w:tr w:rsidR="00F50D70" w:rsidRPr="00BE4F47" w14:paraId="48B08AB0"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037A0E0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Étudier des scénarios de défaillance sans les provoquer sur une installation réelle.</w:t>
            </w:r>
          </w:p>
        </w:tc>
        <w:tc>
          <w:tcPr>
            <w:tcW w:w="4372" w:type="dxa"/>
            <w:tcBorders>
              <w:top w:val="single" w:sz="4" w:space="0" w:color="000000"/>
              <w:left w:val="single" w:sz="4" w:space="0" w:color="000000"/>
              <w:bottom w:val="single" w:sz="4" w:space="0" w:color="000000"/>
              <w:right w:val="single" w:sz="4" w:space="0" w:color="000000"/>
            </w:tcBorders>
          </w:tcPr>
          <w:p w14:paraId="7C78FDE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Introduction d’un biais d’automatisation : l’opérateur peut accorder au modèle plus de crédit qu’à ses instruments (RT10).</w:t>
            </w:r>
          </w:p>
        </w:tc>
      </w:tr>
      <w:tr w:rsidR="00F50D70" w:rsidRPr="00BE4F47" w14:paraId="3B036FDE"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37C555C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Reproductibilité des essais : un scénario peut être rejoué à l’identique et comparé.</w:t>
            </w:r>
          </w:p>
        </w:tc>
        <w:tc>
          <w:tcPr>
            <w:tcW w:w="4372" w:type="dxa"/>
            <w:tcBorders>
              <w:top w:val="single" w:sz="4" w:space="0" w:color="000000"/>
              <w:left w:val="single" w:sz="4" w:space="0" w:color="000000"/>
              <w:bottom w:val="single" w:sz="4" w:space="0" w:color="000000"/>
              <w:right w:val="single" w:sz="4" w:space="0" w:color="000000"/>
            </w:tcBorders>
          </w:tcPr>
          <w:p w14:paraId="2878BD5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Fausse assurance si le modèle est présenté comme la réalité plutôt que comme une représentation assortie d’une incertitude (RT4).</w:t>
            </w:r>
          </w:p>
        </w:tc>
      </w:tr>
      <w:tr w:rsidR="00F50D70" w:rsidRPr="00BE4F47" w14:paraId="36C527B9" w14:textId="77777777">
        <w:trPr>
          <w:cantSplit/>
          <w:trHeight w:val="419"/>
        </w:trPr>
        <w:tc>
          <w:tcPr>
            <w:tcW w:w="3954" w:type="dxa"/>
            <w:tcBorders>
              <w:top w:val="single" w:sz="4" w:space="0" w:color="000000"/>
              <w:left w:val="single" w:sz="4" w:space="0" w:color="000000"/>
              <w:bottom w:val="single" w:sz="4" w:space="0" w:color="000000"/>
              <w:right w:val="single" w:sz="4" w:space="0" w:color="000000"/>
            </w:tcBorders>
          </w:tcPr>
          <w:p w14:paraId="0DE76E4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Détection précoce des dérives lentes, difficiles à percevoir sur des relevés instantanés.</w:t>
            </w:r>
          </w:p>
        </w:tc>
        <w:tc>
          <w:tcPr>
            <w:tcW w:w="4372" w:type="dxa"/>
            <w:tcBorders>
              <w:top w:val="single" w:sz="4" w:space="0" w:color="000000"/>
              <w:left w:val="single" w:sz="4" w:space="0" w:color="000000"/>
              <w:bottom w:val="single" w:sz="4" w:space="0" w:color="000000"/>
              <w:right w:val="single" w:sz="4" w:space="0" w:color="000000"/>
            </w:tcBorders>
          </w:tcPr>
          <w:p w14:paraId="027DFFA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Banalisation des alarmes si le taux de fausses détections est élevé (RT6).</w:t>
            </w:r>
          </w:p>
        </w:tc>
      </w:tr>
      <w:tr w:rsidR="00F50D70" w:rsidRPr="00BE4F47" w14:paraId="6E330D0B"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4491A25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Quantification de l’incertitude : une estimation est accompagnée de son degré de confiance (EX-F-07).</w:t>
            </w:r>
          </w:p>
        </w:tc>
        <w:tc>
          <w:tcPr>
            <w:tcW w:w="4372" w:type="dxa"/>
            <w:tcBorders>
              <w:top w:val="single" w:sz="4" w:space="0" w:color="000000"/>
              <w:left w:val="single" w:sz="4" w:space="0" w:color="000000"/>
              <w:bottom w:val="single" w:sz="4" w:space="0" w:color="000000"/>
              <w:right w:val="single" w:sz="4" w:space="0" w:color="000000"/>
            </w:tcBorders>
          </w:tcPr>
          <w:p w14:paraId="220D2AE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Surface d’attaque ajoutée par la chaîne d’acquisition, qui n’existait pas avant sa construction (RT7, RT8).</w:t>
            </w:r>
          </w:p>
        </w:tc>
      </w:tr>
      <w:tr w:rsidR="00F50D70" w:rsidRPr="00BE4F47" w14:paraId="671A28E2"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3788633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d’apprentissage sans conséquence réelle pour la formation des intervenants.</w:t>
            </w:r>
          </w:p>
        </w:tc>
        <w:tc>
          <w:tcPr>
            <w:tcW w:w="4372" w:type="dxa"/>
            <w:tcBorders>
              <w:top w:val="single" w:sz="4" w:space="0" w:color="000000"/>
              <w:left w:val="single" w:sz="4" w:space="0" w:color="000000"/>
              <w:bottom w:val="single" w:sz="4" w:space="0" w:color="000000"/>
              <w:right w:val="single" w:sz="4" w:space="0" w:color="000000"/>
            </w:tcBorders>
          </w:tcPr>
          <w:p w14:paraId="0654324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Dérive du modèle dans le temps si celui-ci n’est pas entretenu ni revalidé (RT3, RT4).</w:t>
            </w:r>
          </w:p>
        </w:tc>
      </w:tr>
      <w:tr w:rsidR="00F50D70" w:rsidRPr="00BE4F47" w14:paraId="60627FAF" w14:textId="77777777">
        <w:trPr>
          <w:cantSplit/>
          <w:trHeight w:val="429"/>
        </w:trPr>
        <w:tc>
          <w:tcPr>
            <w:tcW w:w="3954" w:type="dxa"/>
            <w:tcBorders>
              <w:top w:val="single" w:sz="4" w:space="0" w:color="000000"/>
              <w:left w:val="single" w:sz="4" w:space="0" w:color="000000"/>
              <w:bottom w:val="single" w:sz="4" w:space="0" w:color="000000"/>
              <w:right w:val="single" w:sz="4" w:space="0" w:color="000000"/>
            </w:tcBorders>
          </w:tcPr>
          <w:p w14:paraId="719F446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Traçabilité : chaque acquisition et chaque changement d’état sont journalisés (EX-F-10).</w:t>
            </w:r>
          </w:p>
        </w:tc>
        <w:tc>
          <w:tcPr>
            <w:tcW w:w="4372" w:type="dxa"/>
            <w:tcBorders>
              <w:top w:val="single" w:sz="4" w:space="0" w:color="000000"/>
              <w:left w:val="single" w:sz="4" w:space="0" w:color="000000"/>
              <w:bottom w:val="single" w:sz="4" w:space="0" w:color="000000"/>
              <w:right w:val="single" w:sz="4" w:space="0" w:color="000000"/>
            </w:tcBorders>
          </w:tcPr>
          <w:p w14:paraId="06114A7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Coût de maintien du modèle et des compétences nécessaires pour l’interpréter.</w:t>
            </w:r>
          </w:p>
        </w:tc>
      </w:tr>
    </w:tbl>
    <w:p w14:paraId="3DC94F37" w14:textId="77777777" w:rsidR="00F50D70" w:rsidRPr="00BE4F47" w:rsidRDefault="00F50D70" w:rsidP="008E113B">
      <w:pPr>
        <w:pStyle w:val="Retraitcorpsdetexte3"/>
        <w:spacing w:line="360" w:lineRule="auto"/>
        <w:ind w:left="0" w:firstLine="0"/>
        <w:rPr>
          <w:rFonts w:ascii="Aptos" w:hAnsi="Aptos"/>
        </w:rPr>
      </w:pPr>
    </w:p>
    <w:p w14:paraId="6EF0C75F" w14:textId="77777777" w:rsidR="00F50D70" w:rsidRPr="00BE4F47" w:rsidRDefault="00F50D70" w:rsidP="008E113B">
      <w:pPr>
        <w:pStyle w:val="Retraitcorpsdetexte3"/>
        <w:spacing w:line="360" w:lineRule="auto"/>
        <w:ind w:left="0" w:firstLine="0"/>
        <w:rPr>
          <w:rFonts w:ascii="Aptos" w:hAnsi="Aptos"/>
        </w:rPr>
      </w:pPr>
    </w:p>
    <w:p w14:paraId="261D71E9" w14:textId="77777777" w:rsidR="00F50D70" w:rsidRPr="00BE4F47" w:rsidRDefault="00F50D70" w:rsidP="008E113B">
      <w:pPr>
        <w:pStyle w:val="Retraitcorpsdetexte3"/>
        <w:spacing w:line="360" w:lineRule="auto"/>
        <w:ind w:left="0" w:firstLine="0"/>
        <w:rPr>
          <w:rFonts w:ascii="Aptos" w:hAnsi="Aptos"/>
        </w:rPr>
      </w:pPr>
    </w:p>
    <w:p w14:paraId="52A7CEC9" w14:textId="77777777" w:rsidR="00F50D70" w:rsidRPr="00B36301" w:rsidRDefault="00000000" w:rsidP="008E113B">
      <w:pPr>
        <w:pStyle w:val="Titre2"/>
        <w:spacing w:line="360" w:lineRule="auto"/>
      </w:pPr>
      <w:bookmarkStart w:id="59" w:name="__RefHeading___Toc240715254"/>
      <w:bookmarkEnd w:id="59"/>
      <w:r w:rsidRPr="00B36301">
        <w:t>Rôle de l’équipe dans une perspective du public</w:t>
      </w:r>
    </w:p>
    <w:p w14:paraId="0AB4D861"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La protection du public est la mission première du système professionnel québécois, et elle est la raison d’être de l’encadrement légal analysé à la section des normes. La question posée par le mandat n’est pas de savoir si le projet est dangereux, mais comment l’équipe exerce ce rôle dans le cadre de ce projet.</w:t>
      </w:r>
    </w:p>
    <w:p w14:paraId="56DDAF2B"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L’équipe n’est pas encore composée d’ingénieurs. Le rôle s’exerce donc non par une signature, mais par trois pratiques concrètes.</w:t>
      </w:r>
    </w:p>
    <w:p w14:paraId="1195EBBA"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b/>
          <w:bCs/>
          <w:color w:val="1A1A19"/>
          <w:sz w:val="20"/>
          <w:szCs w:val="20"/>
        </w:rPr>
        <w:t xml:space="preserve">Ne pas surestimer ce que le modèle sait faire. </w:t>
      </w:r>
      <w:r w:rsidRPr="00BE4F47">
        <w:rPr>
          <w:rFonts w:ascii="Aptos" w:eastAsia="Calibri" w:hAnsi="Aptos" w:cs="Calibri"/>
          <w:color w:val="1A1A19"/>
          <w:sz w:val="20"/>
          <w:szCs w:val="20"/>
        </w:rPr>
        <w:t>Un prototype universitaire de 1 080 heures ne reproduit pas une centrale. Le rapport final doit énoncer le domaine de validité et les limites au-delà desquelles les résultats ne sont pas valides (EX-C-01). Cet énoncé est un acte de protection du public, parce qu’il empêche un usage pour lequel l’outil n’a pas été conçu.</w:t>
      </w:r>
    </w:p>
    <w:p w14:paraId="3F80EFA6"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b/>
          <w:bCs/>
          <w:color w:val="1A1A19"/>
          <w:sz w:val="20"/>
          <w:szCs w:val="20"/>
        </w:rPr>
        <w:t xml:space="preserve">Rendre l’incertitude visible plutôt que la dissimuler. </w:t>
      </w:r>
      <w:r w:rsidRPr="00BE4F47">
        <w:rPr>
          <w:rFonts w:ascii="Aptos" w:eastAsia="Calibri" w:hAnsi="Aptos" w:cs="Calibri"/>
          <w:color w:val="1A1A19"/>
          <w:sz w:val="20"/>
          <w:szCs w:val="20"/>
        </w:rPr>
        <w:t>Un système qui, faute de données, affiche « normal » est plus dangereux qu’un système en panne : la panne se voit, l’erreur silencieuse non. C’est la raison d’être des exigences EX-F-06 et EX-F-07, et de l’état D2 du GEMMA.</w:t>
      </w:r>
    </w:p>
    <w:p w14:paraId="50768C2B"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b/>
          <w:bCs/>
          <w:color w:val="1A1A19"/>
          <w:sz w:val="20"/>
          <w:szCs w:val="20"/>
        </w:rPr>
        <w:t xml:space="preserve">Maintenir la décision chez l’humain. </w:t>
      </w:r>
      <w:r w:rsidRPr="00BE4F47">
        <w:rPr>
          <w:rFonts w:ascii="Aptos" w:eastAsia="Calibri" w:hAnsi="Aptos" w:cs="Calibri"/>
          <w:color w:val="1A1A19"/>
          <w:sz w:val="20"/>
          <w:szCs w:val="20"/>
        </w:rPr>
        <w:t xml:space="preserve">Le prototype n’émet aucune commande (EX-F-08). Le passage en fonctionnement dégradé exige une confirmation explicite de l’opérateur et est </w:t>
      </w:r>
      <w:r w:rsidRPr="00BE4F47">
        <w:rPr>
          <w:rFonts w:ascii="Aptos" w:eastAsia="Calibri" w:hAnsi="Aptos" w:cs="Calibri"/>
          <w:color w:val="1A1A19"/>
          <w:sz w:val="20"/>
          <w:szCs w:val="20"/>
        </w:rPr>
        <w:lastRenderedPageBreak/>
        <w:t>journalisé (EX-F-09, état D3 du GEMMA). L’opérateur reste la dernière barrière, et l’outil est conçu pour la renforcer, non pour la remplacer.</w:t>
      </w:r>
    </w:p>
    <w:p w14:paraId="6EEC37CB" w14:textId="77777777" w:rsidR="00F50D70" w:rsidRPr="00BE4F47" w:rsidRDefault="00000000" w:rsidP="008E113B">
      <w:pPr>
        <w:spacing w:line="360" w:lineRule="auto"/>
        <w:ind w:left="425"/>
        <w:rPr>
          <w:rFonts w:ascii="Aptos" w:hAnsi="Aptos"/>
        </w:rPr>
      </w:pPr>
      <w:r w:rsidRPr="00BE4F47">
        <w:rPr>
          <w:rFonts w:ascii="Aptos" w:eastAsia="Calibri" w:hAnsi="Aptos" w:cs="Calibri"/>
          <w:color w:val="1A1A19"/>
          <w:sz w:val="20"/>
          <w:szCs w:val="20"/>
        </w:rPr>
        <w:t>Ces trois pratiques trouvent leur expression la plus concrète dans le traitement du risque RT5, la non-détection d’une anomalie réelle. Ce risque ne peut pas être ramené à un niveau faible par des moyens techniques. L’équipe l’assume explicitement en 7.6.4, et c’est précisément parce qu’il demeure élevé que la décision doit rester humaine.</w:t>
      </w:r>
    </w:p>
    <w:p w14:paraId="77254F58" w14:textId="77777777" w:rsidR="00F50D70" w:rsidRPr="00BE4F47" w:rsidRDefault="00F50D70" w:rsidP="008E113B">
      <w:pPr>
        <w:pStyle w:val="Retraitcorpsdetexte3"/>
        <w:spacing w:line="360" w:lineRule="auto"/>
        <w:ind w:left="0" w:firstLine="0"/>
        <w:rPr>
          <w:rFonts w:ascii="Aptos" w:hAnsi="Aptos"/>
        </w:rPr>
      </w:pPr>
    </w:p>
    <w:p w14:paraId="6D61D2AF" w14:textId="77777777" w:rsidR="00F50D70" w:rsidRPr="00B36301" w:rsidRDefault="00000000" w:rsidP="008E113B">
      <w:pPr>
        <w:pStyle w:val="Titre2"/>
        <w:spacing w:line="360" w:lineRule="auto"/>
      </w:pPr>
      <w:bookmarkStart w:id="60" w:name="__RefHeading___Toc240715261"/>
      <w:bookmarkEnd w:id="60"/>
      <w:r w:rsidRPr="00B36301">
        <w:t>Approche pour maximiser les bénéfices et minimiser les inconvénients</w:t>
      </w:r>
    </w:p>
    <w:p w14:paraId="5CDC7D2E" w14:textId="77777777" w:rsidR="00F50D70" w:rsidRPr="00BE4F47" w:rsidRDefault="00000000" w:rsidP="008E113B">
      <w:pPr>
        <w:spacing w:line="360" w:lineRule="auto"/>
        <w:ind w:left="425"/>
        <w:rPr>
          <w:rFonts w:ascii="Aptos" w:hAnsi="Aptos"/>
        </w:rPr>
      </w:pPr>
      <w:r w:rsidRPr="00BE4F47">
        <w:rPr>
          <w:rFonts w:ascii="Aptos" w:eastAsia="Calibri" w:hAnsi="Aptos" w:cs="Calibri"/>
          <w:color w:val="1A1A19"/>
          <w:sz w:val="20"/>
          <w:szCs w:val="20"/>
        </w:rPr>
        <w:t>L’approche retenue ne relève pas d’une intention générale : elle est déjà inscrite dans les décisions de conception prises par l’équipe. Quatre d’entre elles constituent cet arbitrage.</w:t>
      </w:r>
    </w:p>
    <w:p w14:paraId="11BB466C" w14:textId="77777777" w:rsidR="00F50D70" w:rsidRPr="00BE4F47" w:rsidRDefault="00F50D70" w:rsidP="008E113B">
      <w:pPr>
        <w:spacing w:line="360" w:lineRule="auto"/>
        <w:ind w:left="0"/>
        <w:rPr>
          <w:rFonts w:ascii="Aptos" w:eastAsia="Calibri" w:hAnsi="Aptos" w:cs="Calibri"/>
          <w:color w:val="1A1A19"/>
          <w:sz w:val="20"/>
          <w:szCs w:val="20"/>
        </w:rPr>
      </w:pPr>
    </w:p>
    <w:p w14:paraId="5889689C" w14:textId="77777777" w:rsidR="00F50D70" w:rsidRPr="00BE4F47" w:rsidRDefault="00000000" w:rsidP="008E113B">
      <w:pPr>
        <w:pStyle w:val="Lgende"/>
        <w:spacing w:line="360" w:lineRule="auto"/>
        <w:rPr>
          <w:rFonts w:ascii="Aptos" w:hAnsi="Aptos"/>
        </w:rPr>
      </w:pPr>
      <w:r w:rsidRPr="00BE4F47">
        <w:rPr>
          <w:rFonts w:ascii="Aptos" w:hAnsi="Aptos"/>
        </w:rPr>
        <w:t>Tableau 7-2. Décisions prises pour maximiser les bénéfices</w:t>
      </w:r>
    </w:p>
    <w:tbl>
      <w:tblPr>
        <w:tblW w:w="8505" w:type="dxa"/>
        <w:tblInd w:w="511" w:type="dxa"/>
        <w:tblLayout w:type="fixed"/>
        <w:tblCellMar>
          <w:top w:w="55" w:type="dxa"/>
          <w:left w:w="85" w:type="dxa"/>
          <w:bottom w:w="55" w:type="dxa"/>
          <w:right w:w="85" w:type="dxa"/>
        </w:tblCellMar>
        <w:tblLook w:val="04A0" w:firstRow="1" w:lastRow="0" w:firstColumn="1" w:lastColumn="0" w:noHBand="0" w:noVBand="1"/>
      </w:tblPr>
      <w:tblGrid>
        <w:gridCol w:w="2595"/>
        <w:gridCol w:w="3022"/>
        <w:gridCol w:w="2888"/>
      </w:tblGrid>
      <w:tr w:rsidR="00F50D70" w:rsidRPr="00BE4F47" w14:paraId="6C14CBFE" w14:textId="77777777">
        <w:trPr>
          <w:trHeight w:val="216"/>
          <w:tblHeader/>
        </w:trPr>
        <w:tc>
          <w:tcPr>
            <w:tcW w:w="2595" w:type="dxa"/>
            <w:tcBorders>
              <w:top w:val="single" w:sz="4" w:space="0" w:color="000000"/>
              <w:left w:val="single" w:sz="4" w:space="0" w:color="000000"/>
              <w:bottom w:val="single" w:sz="4" w:space="0" w:color="000000"/>
              <w:right w:val="single" w:sz="4" w:space="0" w:color="000000"/>
            </w:tcBorders>
            <w:shd w:val="clear" w:color="auto" w:fill="EFF4FB"/>
          </w:tcPr>
          <w:p w14:paraId="2A7F1E8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Décision</w:t>
            </w:r>
          </w:p>
        </w:tc>
        <w:tc>
          <w:tcPr>
            <w:tcW w:w="3022" w:type="dxa"/>
            <w:tcBorders>
              <w:top w:val="single" w:sz="4" w:space="0" w:color="000000"/>
              <w:left w:val="single" w:sz="4" w:space="0" w:color="000000"/>
              <w:bottom w:val="single" w:sz="4" w:space="0" w:color="000000"/>
              <w:right w:val="single" w:sz="4" w:space="0" w:color="000000"/>
            </w:tcBorders>
            <w:shd w:val="clear" w:color="auto" w:fill="EFF4FB"/>
          </w:tcPr>
          <w:p w14:paraId="69C33CE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maximise</w:t>
            </w:r>
          </w:p>
        </w:tc>
        <w:tc>
          <w:tcPr>
            <w:tcW w:w="2888" w:type="dxa"/>
            <w:tcBorders>
              <w:top w:val="single" w:sz="4" w:space="0" w:color="000000"/>
              <w:left w:val="single" w:sz="4" w:space="0" w:color="000000"/>
              <w:bottom w:val="single" w:sz="4" w:space="0" w:color="000000"/>
              <w:right w:val="single" w:sz="4" w:space="0" w:color="000000"/>
            </w:tcBorders>
            <w:shd w:val="clear" w:color="auto" w:fill="EFF4FB"/>
          </w:tcPr>
          <w:p w14:paraId="0203EFD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minimise</w:t>
            </w:r>
          </w:p>
        </w:tc>
      </w:tr>
      <w:tr w:rsidR="00F50D70" w:rsidRPr="00BE4F47" w14:paraId="2BFC4CB3" w14:textId="77777777">
        <w:trPr>
          <w:cantSplit/>
          <w:trHeight w:val="612"/>
        </w:trPr>
        <w:tc>
          <w:tcPr>
            <w:tcW w:w="2595" w:type="dxa"/>
            <w:tcBorders>
              <w:top w:val="single" w:sz="4" w:space="0" w:color="000000"/>
              <w:left w:val="single" w:sz="4" w:space="0" w:color="000000"/>
              <w:bottom w:val="single" w:sz="4" w:space="0" w:color="000000"/>
              <w:right w:val="single" w:sz="4" w:space="0" w:color="000000"/>
            </w:tcBorders>
          </w:tcPr>
          <w:p w14:paraId="74E2B4A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D3 du GEMMA, fonctionnement dégradé autorisé sous surveillance renforcée et validation humaine.</w:t>
            </w:r>
          </w:p>
        </w:tc>
        <w:tc>
          <w:tcPr>
            <w:tcW w:w="3022" w:type="dxa"/>
            <w:tcBorders>
              <w:top w:val="single" w:sz="4" w:space="0" w:color="000000"/>
              <w:left w:val="single" w:sz="4" w:space="0" w:color="000000"/>
              <w:bottom w:val="single" w:sz="4" w:space="0" w:color="000000"/>
              <w:right w:val="single" w:sz="4" w:space="0" w:color="000000"/>
            </w:tcBorders>
          </w:tcPr>
          <w:p w14:paraId="3839524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disponibilité de l’outil : une donnée partiellement dégradée n’entraîne pas l’arrêt complet de la surveillance.</w:t>
            </w:r>
          </w:p>
        </w:tc>
        <w:tc>
          <w:tcPr>
            <w:tcW w:w="2888" w:type="dxa"/>
            <w:tcBorders>
              <w:top w:val="single" w:sz="4" w:space="0" w:color="000000"/>
              <w:left w:val="single" w:sz="4" w:space="0" w:color="000000"/>
              <w:bottom w:val="single" w:sz="4" w:space="0" w:color="000000"/>
              <w:right w:val="single" w:sz="4" w:space="0" w:color="000000"/>
            </w:tcBorders>
          </w:tcPr>
          <w:p w14:paraId="0A16E92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risque d’exploiter un diagnostic non fiable, puisque le passage exige une confirmation explicite (EX-F-09).</w:t>
            </w:r>
          </w:p>
        </w:tc>
      </w:tr>
      <w:tr w:rsidR="00F50D70" w:rsidRPr="00BE4F47" w14:paraId="1FEEB845" w14:textId="77777777">
        <w:trPr>
          <w:cantSplit/>
          <w:trHeight w:val="612"/>
        </w:trPr>
        <w:tc>
          <w:tcPr>
            <w:tcW w:w="2595" w:type="dxa"/>
            <w:tcBorders>
              <w:top w:val="single" w:sz="4" w:space="0" w:color="000000"/>
              <w:left w:val="single" w:sz="4" w:space="0" w:color="000000"/>
              <w:bottom w:val="single" w:sz="4" w:space="0" w:color="000000"/>
              <w:right w:val="single" w:sz="4" w:space="0" w:color="000000"/>
            </w:tcBorders>
          </w:tcPr>
          <w:p w14:paraId="0917315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Signalement de l’incertitude plutôt qu’affichage d’un état normal par défaut (EX-F-06).</w:t>
            </w:r>
          </w:p>
        </w:tc>
        <w:tc>
          <w:tcPr>
            <w:tcW w:w="3022" w:type="dxa"/>
            <w:tcBorders>
              <w:top w:val="single" w:sz="4" w:space="0" w:color="000000"/>
              <w:left w:val="single" w:sz="4" w:space="0" w:color="000000"/>
              <w:bottom w:val="single" w:sz="4" w:space="0" w:color="000000"/>
              <w:right w:val="single" w:sz="4" w:space="0" w:color="000000"/>
            </w:tcBorders>
          </w:tcPr>
          <w:p w14:paraId="59CCA6E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L’information utile réellement transmise à l’opérateur.</w:t>
            </w:r>
          </w:p>
        </w:tc>
        <w:tc>
          <w:tcPr>
            <w:tcW w:w="2888" w:type="dxa"/>
            <w:tcBorders>
              <w:top w:val="single" w:sz="4" w:space="0" w:color="000000"/>
              <w:left w:val="single" w:sz="4" w:space="0" w:color="000000"/>
              <w:bottom w:val="single" w:sz="4" w:space="0" w:color="000000"/>
              <w:right w:val="single" w:sz="4" w:space="0" w:color="000000"/>
            </w:tcBorders>
          </w:tcPr>
          <w:p w14:paraId="1B2CC78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biais d’automatisation et l’erreur silencieuse (RT10, RT5).</w:t>
            </w:r>
          </w:p>
        </w:tc>
      </w:tr>
      <w:tr w:rsidR="00F50D70" w:rsidRPr="00BE4F47" w14:paraId="341B8FD7" w14:textId="77777777">
        <w:trPr>
          <w:cantSplit/>
          <w:trHeight w:val="601"/>
        </w:trPr>
        <w:tc>
          <w:tcPr>
            <w:tcW w:w="2595" w:type="dxa"/>
            <w:tcBorders>
              <w:top w:val="single" w:sz="4" w:space="0" w:color="000000"/>
              <w:left w:val="single" w:sz="4" w:space="0" w:color="000000"/>
              <w:bottom w:val="single" w:sz="4" w:space="0" w:color="000000"/>
              <w:right w:val="single" w:sz="4" w:space="0" w:color="000000"/>
            </w:tcBorders>
          </w:tcPr>
          <w:p w14:paraId="241FF41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Interdiction de redémarrage direct depuis l’état D1, imposant le passage par D2, A5, A6 et A1.</w:t>
            </w:r>
          </w:p>
        </w:tc>
        <w:tc>
          <w:tcPr>
            <w:tcW w:w="3022" w:type="dxa"/>
            <w:tcBorders>
              <w:top w:val="single" w:sz="4" w:space="0" w:color="000000"/>
              <w:left w:val="single" w:sz="4" w:space="0" w:color="000000"/>
              <w:bottom w:val="single" w:sz="4" w:space="0" w:color="000000"/>
              <w:right w:val="single" w:sz="4" w:space="0" w:color="000000"/>
            </w:tcBorders>
          </w:tcPr>
          <w:p w14:paraId="78E361E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maîtrise de la reprise après un événement.</w:t>
            </w:r>
          </w:p>
        </w:tc>
        <w:tc>
          <w:tcPr>
            <w:tcW w:w="2888" w:type="dxa"/>
            <w:tcBorders>
              <w:top w:val="single" w:sz="4" w:space="0" w:color="000000"/>
              <w:left w:val="single" w:sz="4" w:space="0" w:color="000000"/>
              <w:bottom w:val="single" w:sz="4" w:space="0" w:color="000000"/>
              <w:right w:val="single" w:sz="4" w:space="0" w:color="000000"/>
            </w:tcBorders>
          </w:tcPr>
          <w:p w14:paraId="462FD56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redémarrage d’un système dont la cause de défaillance n’a pas été traitée.</w:t>
            </w:r>
          </w:p>
        </w:tc>
      </w:tr>
      <w:tr w:rsidR="00F50D70" w:rsidRPr="00BE4F47" w14:paraId="52EB8F2F" w14:textId="77777777">
        <w:trPr>
          <w:cantSplit/>
          <w:trHeight w:val="612"/>
        </w:trPr>
        <w:tc>
          <w:tcPr>
            <w:tcW w:w="2595" w:type="dxa"/>
            <w:tcBorders>
              <w:top w:val="single" w:sz="4" w:space="0" w:color="000000"/>
              <w:left w:val="single" w:sz="4" w:space="0" w:color="000000"/>
              <w:bottom w:val="single" w:sz="4" w:space="0" w:color="000000"/>
              <w:right w:val="single" w:sz="4" w:space="0" w:color="000000"/>
            </w:tcBorders>
          </w:tcPr>
          <w:p w14:paraId="2069EB6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Priorité de réduction du contenu ajustable avant toute réduction des activités de V&amp;V (RP2).</w:t>
            </w:r>
          </w:p>
        </w:tc>
        <w:tc>
          <w:tcPr>
            <w:tcW w:w="3022" w:type="dxa"/>
            <w:tcBorders>
              <w:top w:val="single" w:sz="4" w:space="0" w:color="000000"/>
              <w:left w:val="single" w:sz="4" w:space="0" w:color="000000"/>
              <w:bottom w:val="single" w:sz="4" w:space="0" w:color="000000"/>
              <w:right w:val="single" w:sz="4" w:space="0" w:color="000000"/>
            </w:tcBorders>
          </w:tcPr>
          <w:p w14:paraId="1A7855B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valeur démontrable du livrable à ressources constantes.</w:t>
            </w:r>
          </w:p>
        </w:tc>
        <w:tc>
          <w:tcPr>
            <w:tcW w:w="2888" w:type="dxa"/>
            <w:tcBorders>
              <w:top w:val="single" w:sz="4" w:space="0" w:color="000000"/>
              <w:left w:val="single" w:sz="4" w:space="0" w:color="000000"/>
              <w:bottom w:val="single" w:sz="4" w:space="0" w:color="000000"/>
              <w:right w:val="single" w:sz="4" w:space="0" w:color="000000"/>
            </w:tcBorders>
          </w:tcPr>
          <w:p w14:paraId="157C0C2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risque de remettre un prototype dont la qualité n’a pas été vérifiée.</w:t>
            </w:r>
          </w:p>
        </w:tc>
      </w:tr>
    </w:tbl>
    <w:p w14:paraId="31E0D571" w14:textId="77777777" w:rsidR="00F50D70" w:rsidRPr="00BE4F47" w:rsidRDefault="00F50D70" w:rsidP="008E113B">
      <w:pPr>
        <w:spacing w:line="360" w:lineRule="auto"/>
        <w:ind w:left="425"/>
        <w:rPr>
          <w:rFonts w:ascii="Aptos" w:hAnsi="Aptos"/>
        </w:rPr>
      </w:pPr>
    </w:p>
    <w:p w14:paraId="196921F3"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À cela s’ajoute la règle de suivi : les risques sont réévalués à chaque jalon et à chaque modification importante du périmètre, des exigences ou des hypothèses. Un arbitrage figé en septembre ne vaut plus en décembre.</w:t>
      </w:r>
    </w:p>
    <w:p w14:paraId="71482F35" w14:textId="77777777" w:rsidR="00F50D70" w:rsidRPr="00BE4F47" w:rsidRDefault="00F50D70" w:rsidP="008E113B">
      <w:pPr>
        <w:spacing w:line="360" w:lineRule="auto"/>
        <w:ind w:left="0"/>
        <w:rPr>
          <w:rFonts w:ascii="Aptos" w:hAnsi="Aptos"/>
        </w:rPr>
      </w:pPr>
    </w:p>
    <w:p w14:paraId="7947EC7A" w14:textId="77777777" w:rsidR="00F50D70" w:rsidRPr="00B36301" w:rsidRDefault="00000000" w:rsidP="008E113B">
      <w:pPr>
        <w:pStyle w:val="Titre2"/>
        <w:spacing w:line="360" w:lineRule="auto"/>
      </w:pPr>
      <w:bookmarkStart w:id="61" w:name="__RefHeading___Toc240715264"/>
      <w:bookmarkEnd w:id="61"/>
      <w:r w:rsidRPr="00B36301">
        <w:t>Méthode d’analyse des risques</w:t>
      </w:r>
    </w:p>
    <w:p w14:paraId="5747F7A2" w14:textId="77777777" w:rsidR="00F50D70" w:rsidRPr="00BE4F47" w:rsidRDefault="00000000" w:rsidP="008E113B">
      <w:pPr>
        <w:pStyle w:val="Titre4"/>
        <w:spacing w:line="360" w:lineRule="auto"/>
      </w:pPr>
      <w:bookmarkStart w:id="62" w:name="__RefHeading___Toc240715265"/>
      <w:bookmarkEnd w:id="62"/>
      <w:r w:rsidRPr="00BE4F47">
        <w:t>Cadre de référence</w:t>
      </w:r>
    </w:p>
    <w:p w14:paraId="7EF3F0AB"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 xml:space="preserve">La démarche suit le processus de management du risque décrit par la norme ISO 31000 [27], déjà retenue au tableau des normes du plan : identification, analyse, évaluation, </w:t>
      </w:r>
      <w:r w:rsidRPr="00BE4F47">
        <w:rPr>
          <w:rFonts w:ascii="Aptos" w:eastAsia="Calibri" w:hAnsi="Aptos" w:cs="Calibri"/>
          <w:color w:val="1A1A19"/>
          <w:sz w:val="20"/>
          <w:szCs w:val="20"/>
        </w:rPr>
        <w:lastRenderedPageBreak/>
        <w:t>traitement, puis surveillance et revue. Les quatre étapes demandées par le mandat, identification, évaluation, atténuation et tolérance, correspondent à ce processus.</w:t>
      </w:r>
    </w:p>
    <w:p w14:paraId="6F64C2C2" w14:textId="77777777" w:rsidR="00F50D70" w:rsidRPr="00BE4F47" w:rsidRDefault="00000000" w:rsidP="008E113B">
      <w:pPr>
        <w:pStyle w:val="Retraitcorpsdetexte3"/>
        <w:spacing w:line="360" w:lineRule="auto"/>
        <w:ind w:left="992" w:firstLine="0"/>
        <w:rPr>
          <w:rFonts w:ascii="Aptos" w:hAnsi="Aptos"/>
        </w:rPr>
      </w:pPr>
      <w:r w:rsidRPr="00BE4F47">
        <w:rPr>
          <w:rFonts w:ascii="Aptos" w:eastAsia="Calibri" w:hAnsi="Aptos" w:cs="Calibri"/>
          <w:color w:val="1A1A19"/>
          <w:sz w:val="20"/>
          <w:szCs w:val="20"/>
        </w:rPr>
        <w:t>Deux registres sont distingués. Les risques de projet touchent l’échéancier, les ressources, les coûts et le périmètre. Les risques du produit concernent le fonctionnement, la fiabilité, les données, la cybersécurité et l’utilisation du jumeau numérique. Cette séparation est nécessaire parce que les deux familles n’ont ni les mêmes propriétaires, ni les mêmes moyens de traitement, ni les mêmes échéances.</w:t>
      </w:r>
    </w:p>
    <w:p w14:paraId="07908963" w14:textId="77777777" w:rsidR="00F50D70" w:rsidRPr="00BE4F47" w:rsidRDefault="00F50D70" w:rsidP="008E113B">
      <w:pPr>
        <w:pStyle w:val="Retraitcorpsdetexte3"/>
        <w:spacing w:line="360" w:lineRule="auto"/>
        <w:ind w:left="992" w:firstLine="0"/>
        <w:rPr>
          <w:rFonts w:ascii="Aptos" w:eastAsia="Calibri" w:hAnsi="Aptos" w:cs="Calibri"/>
          <w:color w:val="1A1A19"/>
          <w:sz w:val="20"/>
          <w:szCs w:val="20"/>
        </w:rPr>
      </w:pPr>
    </w:p>
    <w:p w14:paraId="4EF346A6" w14:textId="77777777" w:rsidR="00F50D70" w:rsidRPr="00BE4F47" w:rsidRDefault="00000000" w:rsidP="008E113B">
      <w:pPr>
        <w:pStyle w:val="Titre4"/>
        <w:spacing w:line="360" w:lineRule="auto"/>
      </w:pPr>
      <w:bookmarkStart w:id="63" w:name="__RefHeading___Toc240715268"/>
      <w:bookmarkEnd w:id="63"/>
      <w:r w:rsidRPr="00BE4F47">
        <w:t>Méthodes d’identification</w:t>
      </w:r>
    </w:p>
    <w:p w14:paraId="65EA242C"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Deux méthodes, parmi celles recensées par l’Ordre des ingénieurs du Québec [39], ont été employées.</w:t>
      </w:r>
    </w:p>
    <w:p w14:paraId="627A8BF7" w14:textId="77777777" w:rsidR="00F50D70" w:rsidRPr="00BE4F47" w:rsidRDefault="00000000" w:rsidP="008E113B">
      <w:pPr>
        <w:pStyle w:val="Paragraphedeliste"/>
        <w:numPr>
          <w:ilvl w:val="0"/>
          <w:numId w:val="11"/>
        </w:numPr>
        <w:spacing w:after="70" w:line="360" w:lineRule="auto"/>
        <w:contextualSpacing w:val="0"/>
        <w:rPr>
          <w:rFonts w:ascii="Aptos" w:hAnsi="Aptos"/>
          <w:lang w:val="fr-CA"/>
        </w:rPr>
      </w:pPr>
      <w:r w:rsidRPr="00BE4F47">
        <w:rPr>
          <w:rFonts w:ascii="Aptos" w:hAnsi="Aptos" w:cs="Calibri"/>
          <w:b/>
          <w:bCs/>
          <w:color w:val="1A1A19"/>
          <w:sz w:val="20"/>
          <w:szCs w:val="20"/>
          <w:lang w:val="fr-CA"/>
        </w:rPr>
        <w:t xml:space="preserve">Analyse préliminaire des risques (APR). </w:t>
      </w:r>
      <w:r w:rsidRPr="00BE4F47">
        <w:rPr>
          <w:rFonts w:ascii="Aptos" w:hAnsi="Aptos" w:cs="Calibri"/>
          <w:color w:val="1A1A19"/>
          <w:sz w:val="20"/>
          <w:szCs w:val="20"/>
          <w:lang w:val="fr-CA"/>
        </w:rPr>
        <w:t>Balayage large conduit en séance d’équipe à partir du périmètre, des exigences et des hypothèses. Elle a produit les familles du RBS présenté en 7.7.</w:t>
      </w:r>
    </w:p>
    <w:p w14:paraId="125876B9" w14:textId="77777777" w:rsidR="00F50D70" w:rsidRPr="00BE4F47" w:rsidRDefault="00000000" w:rsidP="008E113B">
      <w:pPr>
        <w:pStyle w:val="Paragraphedeliste"/>
        <w:numPr>
          <w:ilvl w:val="0"/>
          <w:numId w:val="11"/>
        </w:numPr>
        <w:spacing w:after="70" w:line="360" w:lineRule="auto"/>
        <w:contextualSpacing w:val="0"/>
        <w:rPr>
          <w:rFonts w:ascii="Aptos" w:hAnsi="Aptos"/>
          <w:lang w:val="fr-CA"/>
        </w:rPr>
      </w:pPr>
      <w:r w:rsidRPr="00BE4F47">
        <w:rPr>
          <w:rFonts w:ascii="Aptos" w:hAnsi="Aptos" w:cs="Calibri"/>
          <w:b/>
          <w:bCs/>
          <w:color w:val="1A1A19"/>
          <w:sz w:val="20"/>
          <w:szCs w:val="20"/>
          <w:lang w:val="fr-CA"/>
        </w:rPr>
        <w:t xml:space="preserve">AMDEC appliquée à la chaîne de détection. </w:t>
      </w:r>
      <w:r w:rsidRPr="00BE4F47">
        <w:rPr>
          <w:rFonts w:ascii="Aptos" w:hAnsi="Aptos" w:cs="Calibri"/>
          <w:color w:val="1A1A19"/>
          <w:sz w:val="20"/>
          <w:szCs w:val="20"/>
          <w:lang w:val="fr-CA"/>
        </w:rPr>
        <w:t>Pour chaque mode de défaillance identifié (capteur muet, dérive lente, donnée altérée, perte de communication), l’effet sur la décision de l’opérateur et la criticité correspondante ont été examinés. Elle a produit les risques RT1 à RT6.</w:t>
      </w:r>
    </w:p>
    <w:p w14:paraId="66CF5193"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Les méthodes plus lourdes recensées par la même source, notamment l’étude HAZOP et l’analyse quantitative des risques, n’ont pas été retenues : elles sont disproportionnées pour un prototype simulé et l’équipe ne dispose ni des données ni du temps nécessaire pour les conduire sérieusement. Les citer sans les faire coûterait plus que de ne pas les citer.</w:t>
      </w:r>
    </w:p>
    <w:p w14:paraId="3A796159" w14:textId="77777777" w:rsidR="00F50D70" w:rsidRPr="00BE4F47" w:rsidRDefault="00000000" w:rsidP="008E113B">
      <w:pPr>
        <w:pStyle w:val="Titre4"/>
        <w:spacing w:line="360" w:lineRule="auto"/>
      </w:pPr>
      <w:bookmarkStart w:id="64" w:name="__RefHeading___Toc240715271"/>
      <w:bookmarkEnd w:id="64"/>
      <w:r w:rsidRPr="00BE4F47">
        <w:t>Échelles de cotation</w:t>
      </w:r>
    </w:p>
    <w:p w14:paraId="5D987137" w14:textId="77777777" w:rsidR="00F50D70" w:rsidRPr="00BE4F47" w:rsidRDefault="00F50D70" w:rsidP="008E113B">
      <w:pPr>
        <w:pStyle w:val="Retraitcorpsdetexte3"/>
        <w:spacing w:line="360" w:lineRule="auto"/>
        <w:rPr>
          <w:rFonts w:ascii="Aptos" w:hAnsi="Aptos"/>
        </w:rPr>
      </w:pPr>
    </w:p>
    <w:p w14:paraId="3C3C3BAC"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Chaque risque est coté selon sa probabilité d’occurrence (P) et son impact (I), sur une échelle de 1 à 5.</w:t>
      </w:r>
    </w:p>
    <w:p w14:paraId="6DCA1684" w14:textId="77777777" w:rsidR="00F50D70" w:rsidRPr="00BE4F47" w:rsidRDefault="00000000" w:rsidP="008E113B">
      <w:pPr>
        <w:pStyle w:val="Lgende"/>
        <w:spacing w:line="360" w:lineRule="auto"/>
        <w:rPr>
          <w:rFonts w:ascii="Aptos" w:hAnsi="Aptos"/>
        </w:rPr>
      </w:pPr>
      <w:r w:rsidRPr="00BE4F47">
        <w:rPr>
          <w:rFonts w:ascii="Aptos" w:hAnsi="Aptos"/>
        </w:rPr>
        <w:t>Tableau 7-3. Échelles de probabilité et d’impact</w:t>
      </w:r>
    </w:p>
    <w:tbl>
      <w:tblPr>
        <w:tblW w:w="8198" w:type="dxa"/>
        <w:tblInd w:w="1079" w:type="dxa"/>
        <w:tblLayout w:type="fixed"/>
        <w:tblCellMar>
          <w:top w:w="55" w:type="dxa"/>
          <w:left w:w="85" w:type="dxa"/>
          <w:bottom w:w="55" w:type="dxa"/>
          <w:right w:w="85" w:type="dxa"/>
        </w:tblCellMar>
        <w:tblLook w:val="04A0" w:firstRow="1" w:lastRow="0" w:firstColumn="1" w:lastColumn="0" w:noHBand="0" w:noVBand="1"/>
      </w:tblPr>
      <w:tblGrid>
        <w:gridCol w:w="788"/>
        <w:gridCol w:w="3705"/>
        <w:gridCol w:w="3705"/>
      </w:tblGrid>
      <w:tr w:rsidR="00F50D70" w:rsidRPr="00BE4F47" w14:paraId="4335AD89" w14:textId="77777777">
        <w:trPr>
          <w:trHeight w:val="235"/>
          <w:tblHeader/>
        </w:trPr>
        <w:tc>
          <w:tcPr>
            <w:tcW w:w="788" w:type="dxa"/>
            <w:tcBorders>
              <w:top w:val="single" w:sz="4" w:space="0" w:color="000000"/>
              <w:left w:val="single" w:sz="4" w:space="0" w:color="000000"/>
              <w:bottom w:val="single" w:sz="4" w:space="0" w:color="000000"/>
              <w:right w:val="single" w:sz="4" w:space="0" w:color="000000"/>
            </w:tcBorders>
            <w:shd w:val="clear" w:color="auto" w:fill="EFF4FB"/>
          </w:tcPr>
          <w:p w14:paraId="7CCEA86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Valeur</w:t>
            </w:r>
          </w:p>
        </w:tc>
        <w:tc>
          <w:tcPr>
            <w:tcW w:w="3705" w:type="dxa"/>
            <w:tcBorders>
              <w:top w:val="single" w:sz="4" w:space="0" w:color="000000"/>
              <w:left w:val="single" w:sz="4" w:space="0" w:color="000000"/>
              <w:bottom w:val="single" w:sz="4" w:space="0" w:color="000000"/>
              <w:right w:val="single" w:sz="4" w:space="0" w:color="000000"/>
            </w:tcBorders>
            <w:shd w:val="clear" w:color="auto" w:fill="EFF4FB"/>
          </w:tcPr>
          <w:p w14:paraId="1F1F91B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Probabilité (P)</w:t>
            </w:r>
          </w:p>
        </w:tc>
        <w:tc>
          <w:tcPr>
            <w:tcW w:w="3705" w:type="dxa"/>
            <w:tcBorders>
              <w:top w:val="single" w:sz="4" w:space="0" w:color="000000"/>
              <w:left w:val="single" w:sz="4" w:space="0" w:color="000000"/>
              <w:bottom w:val="single" w:sz="4" w:space="0" w:color="000000"/>
              <w:right w:val="single" w:sz="4" w:space="0" w:color="000000"/>
            </w:tcBorders>
            <w:shd w:val="clear" w:color="auto" w:fill="EFF4FB"/>
          </w:tcPr>
          <w:p w14:paraId="1925338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Impact (I)</w:t>
            </w:r>
          </w:p>
        </w:tc>
      </w:tr>
      <w:tr w:rsidR="00F50D70" w:rsidRPr="00BE4F47" w14:paraId="394D5F6E" w14:textId="77777777">
        <w:trPr>
          <w:cantSplit/>
          <w:trHeight w:val="259"/>
        </w:trPr>
        <w:tc>
          <w:tcPr>
            <w:tcW w:w="788" w:type="dxa"/>
            <w:tcBorders>
              <w:top w:val="single" w:sz="4" w:space="0" w:color="000000"/>
              <w:left w:val="single" w:sz="4" w:space="0" w:color="000000"/>
              <w:bottom w:val="single" w:sz="4" w:space="0" w:color="000000"/>
              <w:right w:val="single" w:sz="4" w:space="0" w:color="000000"/>
            </w:tcBorders>
          </w:tcPr>
          <w:p w14:paraId="7D4F3A28"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w:t>
            </w:r>
          </w:p>
        </w:tc>
        <w:tc>
          <w:tcPr>
            <w:tcW w:w="3705" w:type="dxa"/>
            <w:tcBorders>
              <w:top w:val="single" w:sz="4" w:space="0" w:color="000000"/>
              <w:left w:val="single" w:sz="4" w:space="0" w:color="000000"/>
              <w:bottom w:val="single" w:sz="4" w:space="0" w:color="000000"/>
              <w:right w:val="single" w:sz="4" w:space="0" w:color="000000"/>
            </w:tcBorders>
          </w:tcPr>
          <w:p w14:paraId="6377051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Très faible : événement non anticipé dans le cadre du projet</w:t>
            </w:r>
          </w:p>
        </w:tc>
        <w:tc>
          <w:tcPr>
            <w:tcW w:w="3705" w:type="dxa"/>
            <w:tcBorders>
              <w:top w:val="single" w:sz="4" w:space="0" w:color="000000"/>
              <w:left w:val="single" w:sz="4" w:space="0" w:color="000000"/>
              <w:bottom w:val="single" w:sz="4" w:space="0" w:color="000000"/>
              <w:right w:val="single" w:sz="4" w:space="0" w:color="000000"/>
            </w:tcBorders>
          </w:tcPr>
          <w:p w14:paraId="680C420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Négligeable : aucun effet sur le livrable ni sur l’échéancier</w:t>
            </w:r>
          </w:p>
        </w:tc>
      </w:tr>
      <w:tr w:rsidR="00F50D70" w:rsidRPr="00BE4F47" w14:paraId="1C2812AB" w14:textId="77777777">
        <w:trPr>
          <w:cantSplit/>
          <w:trHeight w:val="248"/>
        </w:trPr>
        <w:tc>
          <w:tcPr>
            <w:tcW w:w="788" w:type="dxa"/>
            <w:tcBorders>
              <w:top w:val="single" w:sz="4" w:space="0" w:color="000000"/>
              <w:left w:val="single" w:sz="4" w:space="0" w:color="000000"/>
              <w:bottom w:val="single" w:sz="4" w:space="0" w:color="000000"/>
              <w:right w:val="single" w:sz="4" w:space="0" w:color="000000"/>
            </w:tcBorders>
          </w:tcPr>
          <w:p w14:paraId="6852DFD7"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2</w:t>
            </w:r>
          </w:p>
        </w:tc>
        <w:tc>
          <w:tcPr>
            <w:tcW w:w="3705" w:type="dxa"/>
            <w:tcBorders>
              <w:top w:val="single" w:sz="4" w:space="0" w:color="000000"/>
              <w:left w:val="single" w:sz="4" w:space="0" w:color="000000"/>
              <w:bottom w:val="single" w:sz="4" w:space="0" w:color="000000"/>
              <w:right w:val="single" w:sz="4" w:space="0" w:color="000000"/>
            </w:tcBorders>
          </w:tcPr>
          <w:p w14:paraId="4E6235F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Faible : plausible mais sans indice actuel</w:t>
            </w:r>
          </w:p>
        </w:tc>
        <w:tc>
          <w:tcPr>
            <w:tcW w:w="3705" w:type="dxa"/>
            <w:tcBorders>
              <w:top w:val="single" w:sz="4" w:space="0" w:color="000000"/>
              <w:left w:val="single" w:sz="4" w:space="0" w:color="000000"/>
              <w:bottom w:val="single" w:sz="4" w:space="0" w:color="000000"/>
              <w:right w:val="single" w:sz="4" w:space="0" w:color="000000"/>
            </w:tcBorders>
          </w:tcPr>
          <w:p w14:paraId="28BE008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Mineur : effet absorbable sans modification du plan</w:t>
            </w:r>
          </w:p>
        </w:tc>
      </w:tr>
      <w:tr w:rsidR="00F50D70" w:rsidRPr="00BE4F47" w14:paraId="44E4B7FE" w14:textId="77777777">
        <w:trPr>
          <w:cantSplit/>
          <w:trHeight w:val="461"/>
        </w:trPr>
        <w:tc>
          <w:tcPr>
            <w:tcW w:w="788" w:type="dxa"/>
            <w:tcBorders>
              <w:top w:val="single" w:sz="4" w:space="0" w:color="000000"/>
              <w:left w:val="single" w:sz="4" w:space="0" w:color="000000"/>
              <w:bottom w:val="single" w:sz="4" w:space="0" w:color="000000"/>
              <w:right w:val="single" w:sz="4" w:space="0" w:color="000000"/>
            </w:tcBorders>
          </w:tcPr>
          <w:p w14:paraId="4860DDBF"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3</w:t>
            </w:r>
          </w:p>
        </w:tc>
        <w:tc>
          <w:tcPr>
            <w:tcW w:w="3705" w:type="dxa"/>
            <w:tcBorders>
              <w:top w:val="single" w:sz="4" w:space="0" w:color="000000"/>
              <w:left w:val="single" w:sz="4" w:space="0" w:color="000000"/>
              <w:bottom w:val="single" w:sz="4" w:space="0" w:color="000000"/>
              <w:right w:val="single" w:sz="4" w:space="0" w:color="000000"/>
            </w:tcBorders>
          </w:tcPr>
          <w:p w14:paraId="4727C7F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Moyenne : plausible et déjà observé dans des projets comparables</w:t>
            </w:r>
          </w:p>
        </w:tc>
        <w:tc>
          <w:tcPr>
            <w:tcW w:w="3705" w:type="dxa"/>
            <w:tcBorders>
              <w:top w:val="single" w:sz="4" w:space="0" w:color="000000"/>
              <w:left w:val="single" w:sz="4" w:space="0" w:color="000000"/>
              <w:bottom w:val="single" w:sz="4" w:space="0" w:color="000000"/>
              <w:right w:val="single" w:sz="4" w:space="0" w:color="000000"/>
            </w:tcBorders>
          </w:tcPr>
          <w:p w14:paraId="5C3052C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Significatif : retard ou reprise partielle d’une activité</w:t>
            </w:r>
          </w:p>
        </w:tc>
      </w:tr>
      <w:tr w:rsidR="00F50D70" w:rsidRPr="00BE4F47" w14:paraId="11E3EBCE" w14:textId="77777777">
        <w:trPr>
          <w:cantSplit/>
          <w:trHeight w:val="248"/>
        </w:trPr>
        <w:tc>
          <w:tcPr>
            <w:tcW w:w="788" w:type="dxa"/>
            <w:tcBorders>
              <w:top w:val="single" w:sz="4" w:space="0" w:color="000000"/>
              <w:left w:val="single" w:sz="4" w:space="0" w:color="000000"/>
              <w:bottom w:val="single" w:sz="4" w:space="0" w:color="000000"/>
              <w:right w:val="single" w:sz="4" w:space="0" w:color="000000"/>
            </w:tcBorders>
          </w:tcPr>
          <w:p w14:paraId="15737659"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4</w:t>
            </w:r>
          </w:p>
        </w:tc>
        <w:tc>
          <w:tcPr>
            <w:tcW w:w="3705" w:type="dxa"/>
            <w:tcBorders>
              <w:top w:val="single" w:sz="4" w:space="0" w:color="000000"/>
              <w:left w:val="single" w:sz="4" w:space="0" w:color="000000"/>
              <w:bottom w:val="single" w:sz="4" w:space="0" w:color="000000"/>
              <w:right w:val="single" w:sz="4" w:space="0" w:color="000000"/>
            </w:tcBorders>
          </w:tcPr>
          <w:p w14:paraId="098FFD7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Élevée : attendu au moins une fois durant le projet</w:t>
            </w:r>
          </w:p>
        </w:tc>
        <w:tc>
          <w:tcPr>
            <w:tcW w:w="3705" w:type="dxa"/>
            <w:tcBorders>
              <w:top w:val="single" w:sz="4" w:space="0" w:color="000000"/>
              <w:left w:val="single" w:sz="4" w:space="0" w:color="000000"/>
              <w:bottom w:val="single" w:sz="4" w:space="0" w:color="000000"/>
              <w:right w:val="single" w:sz="4" w:space="0" w:color="000000"/>
            </w:tcBorders>
          </w:tcPr>
          <w:p w14:paraId="73FB7C7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Majeur : remise en cause d’un livrable ou d’un jalon</w:t>
            </w:r>
          </w:p>
        </w:tc>
      </w:tr>
      <w:tr w:rsidR="00F50D70" w:rsidRPr="00BE4F47" w14:paraId="62CF283E" w14:textId="77777777">
        <w:trPr>
          <w:cantSplit/>
          <w:trHeight w:val="461"/>
        </w:trPr>
        <w:tc>
          <w:tcPr>
            <w:tcW w:w="788" w:type="dxa"/>
            <w:tcBorders>
              <w:top w:val="single" w:sz="4" w:space="0" w:color="000000"/>
              <w:left w:val="single" w:sz="4" w:space="0" w:color="000000"/>
              <w:bottom w:val="single" w:sz="4" w:space="0" w:color="000000"/>
              <w:right w:val="single" w:sz="4" w:space="0" w:color="000000"/>
            </w:tcBorders>
          </w:tcPr>
          <w:p w14:paraId="6FDA0564"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w:t>
            </w:r>
          </w:p>
        </w:tc>
        <w:tc>
          <w:tcPr>
            <w:tcW w:w="3705" w:type="dxa"/>
            <w:tcBorders>
              <w:top w:val="single" w:sz="4" w:space="0" w:color="000000"/>
              <w:left w:val="single" w:sz="4" w:space="0" w:color="000000"/>
              <w:bottom w:val="single" w:sz="4" w:space="0" w:color="000000"/>
              <w:right w:val="single" w:sz="4" w:space="0" w:color="000000"/>
            </w:tcBorders>
          </w:tcPr>
          <w:p w14:paraId="1A0DB91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Très élevée : quasi certain sans mesure de traitement</w:t>
            </w:r>
          </w:p>
        </w:tc>
        <w:tc>
          <w:tcPr>
            <w:tcW w:w="3705" w:type="dxa"/>
            <w:tcBorders>
              <w:top w:val="single" w:sz="4" w:space="0" w:color="000000"/>
              <w:left w:val="single" w:sz="4" w:space="0" w:color="000000"/>
              <w:bottom w:val="single" w:sz="4" w:space="0" w:color="000000"/>
              <w:right w:val="single" w:sz="4" w:space="0" w:color="000000"/>
            </w:tcBorders>
          </w:tcPr>
          <w:p w14:paraId="1B81EF8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Très important : remise en cause du mandat ou de la validité des résultats</w:t>
            </w:r>
          </w:p>
        </w:tc>
      </w:tr>
    </w:tbl>
    <w:p w14:paraId="4047CBAF" w14:textId="77777777" w:rsidR="00F50D70" w:rsidRPr="00BE4F47" w:rsidRDefault="00000000" w:rsidP="008E113B">
      <w:pPr>
        <w:spacing w:after="130"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La criticité vaut C = P × I. Les seuils ci-dessous servent à prioriser le traitement.</w:t>
      </w:r>
    </w:p>
    <w:p w14:paraId="1D5DC767" w14:textId="77777777" w:rsidR="00F50D70" w:rsidRPr="00BE4F47" w:rsidRDefault="00000000" w:rsidP="008E113B">
      <w:pPr>
        <w:pStyle w:val="Lgende"/>
        <w:spacing w:line="360" w:lineRule="auto"/>
        <w:rPr>
          <w:rFonts w:ascii="Aptos" w:hAnsi="Aptos"/>
        </w:rPr>
      </w:pPr>
      <w:r w:rsidRPr="00BE4F47">
        <w:rPr>
          <w:rFonts w:ascii="Aptos" w:hAnsi="Aptos"/>
        </w:rPr>
        <w:t>Tableau 7-4. Échelle de criticité et conduite à tenir</w:t>
      </w:r>
    </w:p>
    <w:tbl>
      <w:tblPr>
        <w:tblW w:w="8221" w:type="dxa"/>
        <w:tblInd w:w="1078" w:type="dxa"/>
        <w:tblLayout w:type="fixed"/>
        <w:tblCellMar>
          <w:top w:w="55" w:type="dxa"/>
          <w:left w:w="85" w:type="dxa"/>
          <w:bottom w:w="55" w:type="dxa"/>
          <w:right w:w="85" w:type="dxa"/>
        </w:tblCellMar>
        <w:tblLook w:val="04A0" w:firstRow="1" w:lastRow="0" w:firstColumn="1" w:lastColumn="0" w:noHBand="0" w:noVBand="1"/>
      </w:tblPr>
      <w:tblGrid>
        <w:gridCol w:w="1560"/>
        <w:gridCol w:w="1604"/>
        <w:gridCol w:w="5057"/>
      </w:tblGrid>
      <w:tr w:rsidR="00F50D70" w:rsidRPr="00BE4F47" w14:paraId="7D7A11FE" w14:textId="77777777" w:rsidTr="0036725C">
        <w:trPr>
          <w:trHeight w:val="234"/>
          <w:tblHeader/>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31B7713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Criticité</w:t>
            </w:r>
          </w:p>
        </w:tc>
        <w:tc>
          <w:tcPr>
            <w:tcW w:w="1604" w:type="dxa"/>
            <w:tcBorders>
              <w:top w:val="single" w:sz="4" w:space="0" w:color="000000"/>
              <w:left w:val="single" w:sz="4" w:space="0" w:color="000000"/>
              <w:bottom w:val="single" w:sz="4" w:space="0" w:color="000000"/>
              <w:right w:val="single" w:sz="4" w:space="0" w:color="000000"/>
            </w:tcBorders>
            <w:shd w:val="clear" w:color="auto" w:fill="EFF4FB"/>
          </w:tcPr>
          <w:p w14:paraId="657E362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Niveau</w:t>
            </w:r>
          </w:p>
        </w:tc>
        <w:tc>
          <w:tcPr>
            <w:tcW w:w="5057" w:type="dxa"/>
            <w:tcBorders>
              <w:top w:val="single" w:sz="4" w:space="0" w:color="000000"/>
              <w:left w:val="single" w:sz="4" w:space="0" w:color="000000"/>
              <w:bottom w:val="single" w:sz="4" w:space="0" w:color="000000"/>
              <w:right w:val="single" w:sz="4" w:space="0" w:color="000000"/>
            </w:tcBorders>
            <w:shd w:val="clear" w:color="auto" w:fill="EFF4FB"/>
          </w:tcPr>
          <w:p w14:paraId="35F119D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Conduite à tenir</w:t>
            </w:r>
          </w:p>
        </w:tc>
      </w:tr>
      <w:tr w:rsidR="00F50D70" w:rsidRPr="00BE4F47" w14:paraId="7D5DFEB2" w14:textId="77777777" w:rsidTr="0036725C">
        <w:trPr>
          <w:cantSplit/>
          <w:trHeight w:val="257"/>
        </w:trPr>
        <w:tc>
          <w:tcPr>
            <w:tcW w:w="1560" w:type="dxa"/>
            <w:tcBorders>
              <w:top w:val="single" w:sz="4" w:space="0" w:color="000000"/>
              <w:left w:val="single" w:sz="4" w:space="0" w:color="000000"/>
              <w:bottom w:val="single" w:sz="4" w:space="0" w:color="000000"/>
              <w:right w:val="single" w:sz="4" w:space="0" w:color="000000"/>
            </w:tcBorders>
          </w:tcPr>
          <w:p w14:paraId="4F112DE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 à 4</w:t>
            </w:r>
          </w:p>
        </w:tc>
        <w:tc>
          <w:tcPr>
            <w:tcW w:w="1604" w:type="dxa"/>
            <w:tcBorders>
              <w:top w:val="single" w:sz="4" w:space="0" w:color="000000"/>
              <w:left w:val="single" w:sz="4" w:space="0" w:color="000000"/>
              <w:bottom w:val="single" w:sz="4" w:space="0" w:color="000000"/>
              <w:right w:val="single" w:sz="4" w:space="0" w:color="000000"/>
            </w:tcBorders>
          </w:tcPr>
          <w:p w14:paraId="611A5DF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Faible</w:t>
            </w:r>
          </w:p>
        </w:tc>
        <w:tc>
          <w:tcPr>
            <w:tcW w:w="5057" w:type="dxa"/>
            <w:tcBorders>
              <w:top w:val="single" w:sz="4" w:space="0" w:color="000000"/>
              <w:left w:val="single" w:sz="4" w:space="0" w:color="000000"/>
              <w:bottom w:val="single" w:sz="4" w:space="0" w:color="000000"/>
              <w:right w:val="single" w:sz="4" w:space="0" w:color="000000"/>
            </w:tcBorders>
          </w:tcPr>
          <w:p w14:paraId="4B93BA4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ordinaire, aucune mesure particulière</w:t>
            </w:r>
          </w:p>
        </w:tc>
      </w:tr>
      <w:tr w:rsidR="00F50D70" w:rsidRPr="00BE4F47" w14:paraId="6DAB1E8F" w14:textId="77777777" w:rsidTr="0036725C">
        <w:trPr>
          <w:cantSplit/>
          <w:trHeight w:val="246"/>
        </w:trPr>
        <w:tc>
          <w:tcPr>
            <w:tcW w:w="1560" w:type="dxa"/>
            <w:tcBorders>
              <w:top w:val="single" w:sz="4" w:space="0" w:color="000000"/>
              <w:left w:val="single" w:sz="4" w:space="0" w:color="000000"/>
              <w:bottom w:val="single" w:sz="4" w:space="0" w:color="000000"/>
              <w:right w:val="single" w:sz="4" w:space="0" w:color="000000"/>
            </w:tcBorders>
          </w:tcPr>
          <w:p w14:paraId="1A00E8C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 à 9</w:t>
            </w:r>
          </w:p>
        </w:tc>
        <w:tc>
          <w:tcPr>
            <w:tcW w:w="1604" w:type="dxa"/>
            <w:tcBorders>
              <w:top w:val="single" w:sz="4" w:space="0" w:color="000000"/>
              <w:left w:val="single" w:sz="4" w:space="0" w:color="000000"/>
              <w:bottom w:val="single" w:sz="4" w:space="0" w:color="000000"/>
              <w:right w:val="single" w:sz="4" w:space="0" w:color="000000"/>
            </w:tcBorders>
          </w:tcPr>
          <w:p w14:paraId="2FEDF1C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Modéré</w:t>
            </w:r>
          </w:p>
        </w:tc>
        <w:tc>
          <w:tcPr>
            <w:tcW w:w="5057" w:type="dxa"/>
            <w:tcBorders>
              <w:top w:val="single" w:sz="4" w:space="0" w:color="000000"/>
              <w:left w:val="single" w:sz="4" w:space="0" w:color="000000"/>
              <w:bottom w:val="single" w:sz="4" w:space="0" w:color="000000"/>
              <w:right w:val="single" w:sz="4" w:space="0" w:color="000000"/>
            </w:tcBorders>
          </w:tcPr>
          <w:p w14:paraId="56614BF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Mesure de traitement définie, revue à chaque jalon</w:t>
            </w:r>
          </w:p>
        </w:tc>
      </w:tr>
      <w:tr w:rsidR="00F50D70" w:rsidRPr="00BE4F47" w14:paraId="2EB26B00" w14:textId="77777777" w:rsidTr="0036725C">
        <w:trPr>
          <w:cantSplit/>
          <w:trHeight w:val="458"/>
        </w:trPr>
        <w:tc>
          <w:tcPr>
            <w:tcW w:w="1560" w:type="dxa"/>
            <w:tcBorders>
              <w:top w:val="single" w:sz="4" w:space="0" w:color="000000"/>
              <w:left w:val="single" w:sz="4" w:space="0" w:color="000000"/>
              <w:bottom w:val="single" w:sz="4" w:space="0" w:color="000000"/>
              <w:right w:val="single" w:sz="4" w:space="0" w:color="000000"/>
            </w:tcBorders>
          </w:tcPr>
          <w:p w14:paraId="58C0552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10 à 16</w:t>
            </w:r>
          </w:p>
        </w:tc>
        <w:tc>
          <w:tcPr>
            <w:tcW w:w="1604" w:type="dxa"/>
            <w:tcBorders>
              <w:top w:val="single" w:sz="4" w:space="0" w:color="000000"/>
              <w:left w:val="single" w:sz="4" w:space="0" w:color="000000"/>
              <w:bottom w:val="single" w:sz="4" w:space="0" w:color="000000"/>
              <w:right w:val="single" w:sz="4" w:space="0" w:color="000000"/>
            </w:tcBorders>
          </w:tcPr>
          <w:p w14:paraId="658E8C2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Élevé</w:t>
            </w:r>
          </w:p>
        </w:tc>
        <w:tc>
          <w:tcPr>
            <w:tcW w:w="5057" w:type="dxa"/>
            <w:tcBorders>
              <w:top w:val="single" w:sz="4" w:space="0" w:color="000000"/>
              <w:left w:val="single" w:sz="4" w:space="0" w:color="000000"/>
              <w:bottom w:val="single" w:sz="4" w:space="0" w:color="000000"/>
              <w:right w:val="single" w:sz="4" w:space="0" w:color="000000"/>
            </w:tcBorders>
          </w:tcPr>
          <w:p w14:paraId="28A3CB1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Mesure de traitement définie, mesure compensatoire nommée et acceptation écrite du chargé de projet</w:t>
            </w:r>
          </w:p>
        </w:tc>
      </w:tr>
      <w:tr w:rsidR="00F50D70" w:rsidRPr="00BE4F47" w14:paraId="1DFAE59C" w14:textId="77777777" w:rsidTr="0036725C">
        <w:trPr>
          <w:cantSplit/>
          <w:trHeight w:val="246"/>
        </w:trPr>
        <w:tc>
          <w:tcPr>
            <w:tcW w:w="1560" w:type="dxa"/>
            <w:tcBorders>
              <w:top w:val="single" w:sz="4" w:space="0" w:color="000000"/>
              <w:left w:val="single" w:sz="4" w:space="0" w:color="000000"/>
              <w:bottom w:val="single" w:sz="4" w:space="0" w:color="000000"/>
              <w:right w:val="single" w:sz="4" w:space="0" w:color="000000"/>
            </w:tcBorders>
          </w:tcPr>
          <w:p w14:paraId="0DBFA35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17 à 25</w:t>
            </w:r>
          </w:p>
        </w:tc>
        <w:tc>
          <w:tcPr>
            <w:tcW w:w="1604" w:type="dxa"/>
            <w:tcBorders>
              <w:top w:val="single" w:sz="4" w:space="0" w:color="000000"/>
              <w:left w:val="single" w:sz="4" w:space="0" w:color="000000"/>
              <w:bottom w:val="single" w:sz="4" w:space="0" w:color="000000"/>
              <w:right w:val="single" w:sz="4" w:space="0" w:color="000000"/>
            </w:tcBorders>
          </w:tcPr>
          <w:p w14:paraId="0BE9E6E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Critique</w:t>
            </w:r>
          </w:p>
        </w:tc>
        <w:tc>
          <w:tcPr>
            <w:tcW w:w="5057" w:type="dxa"/>
            <w:tcBorders>
              <w:top w:val="single" w:sz="4" w:space="0" w:color="000000"/>
              <w:left w:val="single" w:sz="4" w:space="0" w:color="000000"/>
              <w:bottom w:val="single" w:sz="4" w:space="0" w:color="000000"/>
              <w:right w:val="single" w:sz="4" w:space="0" w:color="000000"/>
            </w:tcBorders>
          </w:tcPr>
          <w:p w14:paraId="274BB21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Non acceptable en l’état : le périmètre ou la conception doivent être revus</w:t>
            </w:r>
          </w:p>
        </w:tc>
      </w:tr>
    </w:tbl>
    <w:p w14:paraId="3D47445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Cette cotation sert à prioriser, non à décider. Un événement peu probable peut exiger une attention particulière lorsque ses conséquences sont importantes. Chaque cotation est accompagnée de sa justification dans les registres, afin qu’elle puisse être contestée et révisée.</w:t>
      </w:r>
    </w:p>
    <w:p w14:paraId="7214F5E5" w14:textId="77777777" w:rsidR="00F50D70" w:rsidRPr="00BE4F47" w:rsidRDefault="00000000" w:rsidP="008E113B">
      <w:pPr>
        <w:pStyle w:val="Titre4"/>
        <w:spacing w:line="360" w:lineRule="auto"/>
      </w:pPr>
      <w:bookmarkStart w:id="65" w:name="__RefHeading___Toc240715275"/>
      <w:bookmarkEnd w:id="65"/>
      <w:r w:rsidRPr="00BE4F47">
        <w:t>Traitement, risque résiduel et tolérance</w:t>
      </w:r>
    </w:p>
    <w:p w14:paraId="292A58EA"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À chaque risque correspond une mesure de traitement, puis une nouvelle cotation après traitement, notée C′. C’est cette valeur résiduelle, et non la valeur initiale, qui détermine si le risque est acceptable.</w:t>
      </w:r>
    </w:p>
    <w:p w14:paraId="58A1D343" w14:textId="77777777" w:rsidR="00F50D70" w:rsidRPr="00BE4F47" w:rsidRDefault="00000000" w:rsidP="008E113B">
      <w:pPr>
        <w:spacing w:after="130" w:line="360" w:lineRule="auto"/>
        <w:ind w:left="992"/>
        <w:rPr>
          <w:rFonts w:ascii="Aptos" w:hAnsi="Aptos"/>
        </w:rPr>
      </w:pPr>
      <w:r w:rsidRPr="00BE4F47">
        <w:rPr>
          <w:rFonts w:ascii="Aptos" w:eastAsia="Calibri" w:hAnsi="Aptos" w:cs="Calibri"/>
          <w:color w:val="1A1A19"/>
          <w:sz w:val="20"/>
          <w:szCs w:val="20"/>
        </w:rPr>
        <w:t>Les seuils d’acceptation retenus sont ceux du tableau 7-4. Un risque dont la criticité résiduelle demeure dans la bande Élevé n’est pas pour autant rejeté : il est accepté sous réserve d’une mesure compensatoire nommée et d’une acceptation écrite du chargé de projet. Un risque dont la criticité résiduelle atteindrait la bande Critique ne serait pas acceptable et imposerait une révision du périmètre ou de la conception.</w:t>
      </w:r>
    </w:p>
    <w:p w14:paraId="53328B67" w14:textId="77777777" w:rsidR="00F50D70" w:rsidRPr="00B36301" w:rsidRDefault="00000000" w:rsidP="008E113B">
      <w:pPr>
        <w:pStyle w:val="Titre2"/>
        <w:spacing w:line="360" w:lineRule="auto"/>
      </w:pPr>
      <w:bookmarkStart w:id="66" w:name="__RefHeading___Toc240715278"/>
      <w:bookmarkEnd w:id="66"/>
      <w:r w:rsidRPr="00B36301">
        <w:t>Structure de découpage des risques</w:t>
      </w:r>
    </w:p>
    <w:p w14:paraId="551AD4FE"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La structure de découpage des risques organise les risques selon leur origine. Elle sert à vérifier qu’aucune famille n’a été oubliée lors de l’identification.</w:t>
      </w:r>
    </w:p>
    <w:p w14:paraId="016A07AB" w14:textId="64DA6B0B" w:rsidR="00F50D70" w:rsidRPr="00BE4F47" w:rsidRDefault="002A1CE1" w:rsidP="008E113B">
      <w:pPr>
        <w:spacing w:line="360" w:lineRule="auto"/>
        <w:ind w:left="0"/>
        <w:rPr>
          <w:rFonts w:ascii="Aptos" w:hAnsi="Aptos"/>
        </w:rPr>
      </w:pPr>
      <w:r>
        <w:rPr>
          <w:rFonts w:ascii="Aptos" w:hAnsi="Aptos"/>
          <w:noProof/>
        </w:rPr>
        <w:lastRenderedPageBreak/>
        <w:drawing>
          <wp:inline distT="0" distB="0" distL="0" distR="0" wp14:anchorId="54198AC8" wp14:editId="5CAA90FB">
            <wp:extent cx="5554980" cy="28879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11" cstate="print">
                      <a:extLst>
                        <a:ext uri="{28A0092B-C50C-407E-A947-70E740481C1C}">
                          <a14:useLocalDpi xmlns:a14="http://schemas.microsoft.com/office/drawing/2010/main" val="0"/>
                        </a:ext>
                      </a:extLst>
                    </a:blip>
                    <a:srcRect l="-2" t="-5" r="-2" b="-5"/>
                    <a:stretch>
                      <a:fillRect/>
                    </a:stretch>
                  </pic:blipFill>
                  <pic:spPr bwMode="auto">
                    <a:xfrm>
                      <a:off x="0" y="0"/>
                      <a:ext cx="5554980" cy="2887980"/>
                    </a:xfrm>
                    <a:prstGeom prst="rect">
                      <a:avLst/>
                    </a:prstGeom>
                    <a:noFill/>
                    <a:ln>
                      <a:noFill/>
                    </a:ln>
                  </pic:spPr>
                </pic:pic>
              </a:graphicData>
            </a:graphic>
          </wp:inline>
        </w:drawing>
      </w:r>
    </w:p>
    <w:p w14:paraId="5BB4D41B" w14:textId="77777777" w:rsidR="00F50D70" w:rsidRPr="00BE4F47" w:rsidRDefault="00000000" w:rsidP="008E113B">
      <w:pPr>
        <w:pStyle w:val="Lgende"/>
        <w:spacing w:line="360" w:lineRule="auto"/>
        <w:rPr>
          <w:rFonts w:ascii="Aptos" w:hAnsi="Aptos"/>
        </w:rPr>
      </w:pPr>
      <w:r w:rsidRPr="00BE4F47">
        <w:rPr>
          <w:rFonts w:ascii="Aptos" w:hAnsi="Aptos"/>
        </w:rPr>
        <w:t>Figure 7-1. Arbre de découpage des risques du projet</w:t>
      </w:r>
    </w:p>
    <w:p w14:paraId="4339F75C" w14:textId="77777777" w:rsidR="00F50D70" w:rsidRPr="00BE4F47" w:rsidRDefault="00F50D70" w:rsidP="008E113B">
      <w:pPr>
        <w:spacing w:line="360" w:lineRule="auto"/>
        <w:ind w:left="0"/>
        <w:rPr>
          <w:rFonts w:ascii="Aptos" w:hAnsi="Aptos"/>
        </w:rPr>
      </w:pPr>
    </w:p>
    <w:p w14:paraId="21D36AC7" w14:textId="77777777" w:rsidR="00F50D70" w:rsidRPr="00BE4F47" w:rsidRDefault="00000000" w:rsidP="008E113B">
      <w:pPr>
        <w:pStyle w:val="Lgende"/>
        <w:spacing w:line="360" w:lineRule="auto"/>
        <w:rPr>
          <w:rFonts w:ascii="Aptos" w:hAnsi="Aptos"/>
        </w:rPr>
      </w:pPr>
      <w:r w:rsidRPr="00BE4F47">
        <w:rPr>
          <w:rFonts w:ascii="Aptos" w:hAnsi="Aptos"/>
        </w:rPr>
        <w:t>Tableau 7-5. Structure de découpage des risques</w:t>
      </w:r>
    </w:p>
    <w:tbl>
      <w:tblPr>
        <w:tblW w:w="8761" w:type="dxa"/>
        <w:tblLayout w:type="fixed"/>
        <w:tblCellMar>
          <w:top w:w="55" w:type="dxa"/>
          <w:left w:w="85" w:type="dxa"/>
          <w:bottom w:w="55" w:type="dxa"/>
          <w:right w:w="85" w:type="dxa"/>
        </w:tblCellMar>
        <w:tblLook w:val="04A0" w:firstRow="1" w:lastRow="0" w:firstColumn="1" w:lastColumn="0" w:noHBand="0" w:noVBand="1"/>
      </w:tblPr>
      <w:tblGrid>
        <w:gridCol w:w="1778"/>
        <w:gridCol w:w="2434"/>
        <w:gridCol w:w="3052"/>
        <w:gridCol w:w="1497"/>
      </w:tblGrid>
      <w:tr w:rsidR="00F50D70" w:rsidRPr="00BE4F47" w14:paraId="36831269" w14:textId="77777777">
        <w:trPr>
          <w:trHeight w:val="246"/>
          <w:tblHeader/>
        </w:trPr>
        <w:tc>
          <w:tcPr>
            <w:tcW w:w="1778" w:type="dxa"/>
            <w:tcBorders>
              <w:top w:val="single" w:sz="4" w:space="0" w:color="000000"/>
              <w:left w:val="single" w:sz="4" w:space="0" w:color="000000"/>
              <w:bottom w:val="single" w:sz="4" w:space="0" w:color="000000"/>
              <w:right w:val="single" w:sz="4" w:space="0" w:color="000000"/>
            </w:tcBorders>
            <w:shd w:val="clear" w:color="auto" w:fill="EFF4FB"/>
          </w:tcPr>
          <w:p w14:paraId="46B40C6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Famille</w:t>
            </w:r>
          </w:p>
        </w:tc>
        <w:tc>
          <w:tcPr>
            <w:tcW w:w="2434" w:type="dxa"/>
            <w:tcBorders>
              <w:top w:val="single" w:sz="4" w:space="0" w:color="000000"/>
              <w:left w:val="single" w:sz="4" w:space="0" w:color="000000"/>
              <w:bottom w:val="single" w:sz="4" w:space="0" w:color="000000"/>
              <w:right w:val="single" w:sz="4" w:space="0" w:color="000000"/>
            </w:tcBorders>
            <w:shd w:val="clear" w:color="auto" w:fill="EFF4FB"/>
          </w:tcPr>
          <w:p w14:paraId="044D1A3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3052" w:type="dxa"/>
            <w:tcBorders>
              <w:top w:val="single" w:sz="4" w:space="0" w:color="000000"/>
              <w:left w:val="single" w:sz="4" w:space="0" w:color="000000"/>
              <w:bottom w:val="single" w:sz="4" w:space="0" w:color="000000"/>
              <w:right w:val="single" w:sz="4" w:space="0" w:color="000000"/>
            </w:tcBorders>
            <w:shd w:val="clear" w:color="auto" w:fill="EFF4FB"/>
          </w:tcPr>
          <w:p w14:paraId="1CF3BCC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Exemples de risques</w:t>
            </w:r>
          </w:p>
        </w:tc>
        <w:tc>
          <w:tcPr>
            <w:tcW w:w="1497" w:type="dxa"/>
            <w:tcBorders>
              <w:top w:val="single" w:sz="4" w:space="0" w:color="000000"/>
              <w:left w:val="single" w:sz="4" w:space="0" w:color="000000"/>
              <w:bottom w:val="single" w:sz="4" w:space="0" w:color="000000"/>
              <w:right w:val="single" w:sz="4" w:space="0" w:color="000000"/>
            </w:tcBorders>
            <w:shd w:val="clear" w:color="auto" w:fill="EFF4FB"/>
          </w:tcPr>
          <w:p w14:paraId="4D9DB70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Identifiants</w:t>
            </w:r>
          </w:p>
        </w:tc>
      </w:tr>
      <w:tr w:rsidR="00F50D70" w:rsidRPr="00BE4F47" w14:paraId="4E159D58" w14:textId="77777777">
        <w:trPr>
          <w:cantSplit/>
          <w:trHeight w:val="461"/>
        </w:trPr>
        <w:tc>
          <w:tcPr>
            <w:tcW w:w="1778" w:type="dxa"/>
            <w:tcBorders>
              <w:top w:val="single" w:sz="4" w:space="0" w:color="000000"/>
              <w:left w:val="single" w:sz="4" w:space="0" w:color="000000"/>
              <w:bottom w:val="single" w:sz="4" w:space="0" w:color="000000"/>
              <w:right w:val="single" w:sz="4" w:space="0" w:color="000000"/>
            </w:tcBorders>
          </w:tcPr>
          <w:p w14:paraId="5D66069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de projet</w:t>
            </w:r>
          </w:p>
        </w:tc>
        <w:tc>
          <w:tcPr>
            <w:tcW w:w="2434" w:type="dxa"/>
            <w:tcBorders>
              <w:top w:val="single" w:sz="4" w:space="0" w:color="000000"/>
              <w:left w:val="single" w:sz="4" w:space="0" w:color="000000"/>
              <w:bottom w:val="single" w:sz="4" w:space="0" w:color="000000"/>
              <w:right w:val="single" w:sz="4" w:space="0" w:color="000000"/>
            </w:tcBorders>
          </w:tcPr>
          <w:p w14:paraId="2E17641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Échéancier et ressources</w:t>
            </w:r>
          </w:p>
        </w:tc>
        <w:tc>
          <w:tcPr>
            <w:tcW w:w="3052" w:type="dxa"/>
            <w:tcBorders>
              <w:top w:val="single" w:sz="4" w:space="0" w:color="000000"/>
              <w:left w:val="single" w:sz="4" w:space="0" w:color="000000"/>
              <w:bottom w:val="single" w:sz="4" w:space="0" w:color="000000"/>
              <w:right w:val="single" w:sz="4" w:space="0" w:color="000000"/>
            </w:tcBorders>
          </w:tcPr>
          <w:p w14:paraId="52667CC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Retard de développement ou d’essais ; dépassement de l’enveloppe de 1 080 h</w:t>
            </w:r>
          </w:p>
        </w:tc>
        <w:tc>
          <w:tcPr>
            <w:tcW w:w="1497" w:type="dxa"/>
            <w:tcBorders>
              <w:top w:val="single" w:sz="4" w:space="0" w:color="000000"/>
              <w:left w:val="single" w:sz="4" w:space="0" w:color="000000"/>
              <w:bottom w:val="single" w:sz="4" w:space="0" w:color="000000"/>
              <w:right w:val="single" w:sz="4" w:space="0" w:color="000000"/>
            </w:tcBorders>
          </w:tcPr>
          <w:p w14:paraId="40CE86C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RP1, RP2</w:t>
            </w:r>
          </w:p>
        </w:tc>
      </w:tr>
      <w:tr w:rsidR="00F50D70" w:rsidRPr="00BE4F47" w14:paraId="68BDCD8E" w14:textId="77777777">
        <w:trPr>
          <w:cantSplit/>
          <w:trHeight w:val="461"/>
        </w:trPr>
        <w:tc>
          <w:tcPr>
            <w:tcW w:w="1778" w:type="dxa"/>
            <w:tcBorders>
              <w:top w:val="single" w:sz="4" w:space="0" w:color="000000"/>
              <w:left w:val="single" w:sz="4" w:space="0" w:color="000000"/>
              <w:bottom w:val="single" w:sz="4" w:space="0" w:color="000000"/>
              <w:right w:val="single" w:sz="4" w:space="0" w:color="000000"/>
            </w:tcBorders>
          </w:tcPr>
          <w:p w14:paraId="2E42080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de projet</w:t>
            </w:r>
          </w:p>
        </w:tc>
        <w:tc>
          <w:tcPr>
            <w:tcW w:w="2434" w:type="dxa"/>
            <w:tcBorders>
              <w:top w:val="single" w:sz="4" w:space="0" w:color="000000"/>
              <w:left w:val="single" w:sz="4" w:space="0" w:color="000000"/>
              <w:bottom w:val="single" w:sz="4" w:space="0" w:color="000000"/>
              <w:right w:val="single" w:sz="4" w:space="0" w:color="000000"/>
            </w:tcBorders>
          </w:tcPr>
          <w:p w14:paraId="363A737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Périmètre</w:t>
            </w:r>
          </w:p>
        </w:tc>
        <w:tc>
          <w:tcPr>
            <w:tcW w:w="3052" w:type="dxa"/>
            <w:tcBorders>
              <w:top w:val="single" w:sz="4" w:space="0" w:color="000000"/>
              <w:left w:val="single" w:sz="4" w:space="0" w:color="000000"/>
              <w:bottom w:val="single" w:sz="4" w:space="0" w:color="000000"/>
              <w:right w:val="single" w:sz="4" w:space="0" w:color="000000"/>
            </w:tcBorders>
          </w:tcPr>
          <w:p w14:paraId="7B6D942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Modification tardive du mandat ; ajout d’un banc thermohydraulique physique</w:t>
            </w:r>
          </w:p>
        </w:tc>
        <w:tc>
          <w:tcPr>
            <w:tcW w:w="1497" w:type="dxa"/>
            <w:tcBorders>
              <w:top w:val="single" w:sz="4" w:space="0" w:color="000000"/>
              <w:left w:val="single" w:sz="4" w:space="0" w:color="000000"/>
              <w:bottom w:val="single" w:sz="4" w:space="0" w:color="000000"/>
              <w:right w:val="single" w:sz="4" w:space="0" w:color="000000"/>
            </w:tcBorders>
          </w:tcPr>
          <w:p w14:paraId="35D9347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r>
      <w:tr w:rsidR="00F50D70" w:rsidRPr="00BE4F47" w14:paraId="550E674A" w14:textId="77777777">
        <w:trPr>
          <w:cantSplit/>
          <w:trHeight w:val="461"/>
        </w:trPr>
        <w:tc>
          <w:tcPr>
            <w:tcW w:w="1778" w:type="dxa"/>
            <w:tcBorders>
              <w:top w:val="single" w:sz="4" w:space="0" w:color="000000"/>
              <w:left w:val="single" w:sz="4" w:space="0" w:color="000000"/>
              <w:bottom w:val="single" w:sz="4" w:space="0" w:color="000000"/>
              <w:right w:val="single" w:sz="4" w:space="0" w:color="000000"/>
            </w:tcBorders>
          </w:tcPr>
          <w:p w14:paraId="5483C01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5D6DF83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Données et acquisition</w:t>
            </w:r>
          </w:p>
        </w:tc>
        <w:tc>
          <w:tcPr>
            <w:tcW w:w="3052" w:type="dxa"/>
            <w:tcBorders>
              <w:top w:val="single" w:sz="4" w:space="0" w:color="000000"/>
              <w:left w:val="single" w:sz="4" w:space="0" w:color="000000"/>
              <w:bottom w:val="single" w:sz="4" w:space="0" w:color="000000"/>
              <w:right w:val="single" w:sz="4" w:space="0" w:color="000000"/>
            </w:tcBorders>
          </w:tcPr>
          <w:p w14:paraId="5ED8547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Mesure erronée ; donnée indisponible ; désynchronisation</w:t>
            </w:r>
          </w:p>
        </w:tc>
        <w:tc>
          <w:tcPr>
            <w:tcW w:w="1497" w:type="dxa"/>
            <w:tcBorders>
              <w:top w:val="single" w:sz="4" w:space="0" w:color="000000"/>
              <w:left w:val="single" w:sz="4" w:space="0" w:color="000000"/>
              <w:bottom w:val="single" w:sz="4" w:space="0" w:color="000000"/>
              <w:right w:val="single" w:sz="4" w:space="0" w:color="000000"/>
            </w:tcBorders>
          </w:tcPr>
          <w:p w14:paraId="2C2CFDB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RT2, RT3</w:t>
            </w:r>
          </w:p>
        </w:tc>
      </w:tr>
      <w:tr w:rsidR="00F50D70" w:rsidRPr="00BE4F47" w14:paraId="445F3708" w14:textId="77777777">
        <w:trPr>
          <w:cantSplit/>
          <w:trHeight w:val="461"/>
        </w:trPr>
        <w:tc>
          <w:tcPr>
            <w:tcW w:w="1778" w:type="dxa"/>
            <w:tcBorders>
              <w:top w:val="single" w:sz="4" w:space="0" w:color="000000"/>
              <w:left w:val="single" w:sz="4" w:space="0" w:color="000000"/>
              <w:bottom w:val="single" w:sz="4" w:space="0" w:color="000000"/>
              <w:right w:val="single" w:sz="4" w:space="0" w:color="000000"/>
            </w:tcBorders>
          </w:tcPr>
          <w:p w14:paraId="249D6DD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468C3A9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et diagnostic</w:t>
            </w:r>
          </w:p>
        </w:tc>
        <w:tc>
          <w:tcPr>
            <w:tcW w:w="3052" w:type="dxa"/>
            <w:tcBorders>
              <w:top w:val="single" w:sz="4" w:space="0" w:color="000000"/>
              <w:left w:val="single" w:sz="4" w:space="0" w:color="000000"/>
              <w:bottom w:val="single" w:sz="4" w:space="0" w:color="000000"/>
              <w:right w:val="single" w:sz="4" w:space="0" w:color="000000"/>
            </w:tcBorders>
          </w:tcPr>
          <w:p w14:paraId="0CB03FA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Modèle insuffisamment représentatif ; faux négatif ; faux positif</w:t>
            </w:r>
          </w:p>
        </w:tc>
        <w:tc>
          <w:tcPr>
            <w:tcW w:w="1497" w:type="dxa"/>
            <w:tcBorders>
              <w:top w:val="single" w:sz="4" w:space="0" w:color="000000"/>
              <w:left w:val="single" w:sz="4" w:space="0" w:color="000000"/>
              <w:bottom w:val="single" w:sz="4" w:space="0" w:color="000000"/>
              <w:right w:val="single" w:sz="4" w:space="0" w:color="000000"/>
            </w:tcBorders>
          </w:tcPr>
          <w:p w14:paraId="60875F4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 RT5, RT6</w:t>
            </w:r>
          </w:p>
        </w:tc>
      </w:tr>
      <w:tr w:rsidR="00F50D70" w:rsidRPr="00BE4F47" w14:paraId="4FE4410E" w14:textId="77777777">
        <w:trPr>
          <w:cantSplit/>
          <w:trHeight w:val="256"/>
        </w:trPr>
        <w:tc>
          <w:tcPr>
            <w:tcW w:w="1778" w:type="dxa"/>
            <w:tcBorders>
              <w:top w:val="single" w:sz="4" w:space="0" w:color="000000"/>
              <w:left w:val="single" w:sz="4" w:space="0" w:color="000000"/>
              <w:bottom w:val="single" w:sz="4" w:space="0" w:color="000000"/>
              <w:right w:val="single" w:sz="4" w:space="0" w:color="000000"/>
            </w:tcBorders>
          </w:tcPr>
          <w:p w14:paraId="13CEFAA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0671F2B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w:t>
            </w:r>
          </w:p>
        </w:tc>
        <w:tc>
          <w:tcPr>
            <w:tcW w:w="3052" w:type="dxa"/>
            <w:tcBorders>
              <w:top w:val="single" w:sz="4" w:space="0" w:color="000000"/>
              <w:left w:val="single" w:sz="4" w:space="0" w:color="000000"/>
              <w:bottom w:val="single" w:sz="4" w:space="0" w:color="000000"/>
              <w:right w:val="single" w:sz="4" w:space="0" w:color="000000"/>
            </w:tcBorders>
          </w:tcPr>
          <w:p w14:paraId="5C7841F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Accès non autorisé ; altération des données</w:t>
            </w:r>
          </w:p>
        </w:tc>
        <w:tc>
          <w:tcPr>
            <w:tcW w:w="1497" w:type="dxa"/>
            <w:tcBorders>
              <w:top w:val="single" w:sz="4" w:space="0" w:color="000000"/>
              <w:left w:val="single" w:sz="4" w:space="0" w:color="000000"/>
              <w:bottom w:val="single" w:sz="4" w:space="0" w:color="000000"/>
              <w:right w:val="single" w:sz="4" w:space="0" w:color="000000"/>
            </w:tcBorders>
          </w:tcPr>
          <w:p w14:paraId="0C87C6D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RT8</w:t>
            </w:r>
          </w:p>
        </w:tc>
      </w:tr>
      <w:tr w:rsidR="00F50D70" w:rsidRPr="00BE4F47" w14:paraId="72753609" w14:textId="77777777">
        <w:trPr>
          <w:cantSplit/>
          <w:trHeight w:val="266"/>
        </w:trPr>
        <w:tc>
          <w:tcPr>
            <w:tcW w:w="1778" w:type="dxa"/>
            <w:tcBorders>
              <w:top w:val="single" w:sz="4" w:space="0" w:color="000000"/>
              <w:left w:val="single" w:sz="4" w:space="0" w:color="000000"/>
              <w:bottom w:val="single" w:sz="4" w:space="0" w:color="000000"/>
              <w:right w:val="single" w:sz="4" w:space="0" w:color="000000"/>
            </w:tcBorders>
          </w:tcPr>
          <w:p w14:paraId="02A0A83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68619ED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Disponibilité</w:t>
            </w:r>
          </w:p>
        </w:tc>
        <w:tc>
          <w:tcPr>
            <w:tcW w:w="3052" w:type="dxa"/>
            <w:tcBorders>
              <w:top w:val="single" w:sz="4" w:space="0" w:color="000000"/>
              <w:left w:val="single" w:sz="4" w:space="0" w:color="000000"/>
              <w:bottom w:val="single" w:sz="4" w:space="0" w:color="000000"/>
              <w:right w:val="single" w:sz="4" w:space="0" w:color="000000"/>
            </w:tcBorders>
          </w:tcPr>
          <w:p w14:paraId="04188B8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Indisponibilité du prototype</w:t>
            </w:r>
          </w:p>
        </w:tc>
        <w:tc>
          <w:tcPr>
            <w:tcW w:w="1497" w:type="dxa"/>
            <w:tcBorders>
              <w:top w:val="single" w:sz="4" w:space="0" w:color="000000"/>
              <w:left w:val="single" w:sz="4" w:space="0" w:color="000000"/>
              <w:bottom w:val="single" w:sz="4" w:space="0" w:color="000000"/>
              <w:right w:val="single" w:sz="4" w:space="0" w:color="000000"/>
            </w:tcBorders>
          </w:tcPr>
          <w:p w14:paraId="3CADCBE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RT9</w:t>
            </w:r>
          </w:p>
        </w:tc>
      </w:tr>
      <w:tr w:rsidR="00F50D70" w:rsidRPr="00BE4F47" w14:paraId="3145DD21" w14:textId="77777777">
        <w:trPr>
          <w:cantSplit/>
          <w:trHeight w:val="256"/>
        </w:trPr>
        <w:tc>
          <w:tcPr>
            <w:tcW w:w="1778" w:type="dxa"/>
            <w:tcBorders>
              <w:top w:val="single" w:sz="4" w:space="0" w:color="000000"/>
              <w:left w:val="single" w:sz="4" w:space="0" w:color="000000"/>
              <w:bottom w:val="single" w:sz="4" w:space="0" w:color="000000"/>
              <w:right w:val="single" w:sz="4" w:space="0" w:color="000000"/>
            </w:tcBorders>
          </w:tcPr>
          <w:p w14:paraId="15A6E98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434" w:type="dxa"/>
            <w:tcBorders>
              <w:top w:val="single" w:sz="4" w:space="0" w:color="000000"/>
              <w:left w:val="single" w:sz="4" w:space="0" w:color="000000"/>
              <w:bottom w:val="single" w:sz="4" w:space="0" w:color="000000"/>
              <w:right w:val="single" w:sz="4" w:space="0" w:color="000000"/>
            </w:tcBorders>
          </w:tcPr>
          <w:p w14:paraId="3F5A06C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Facteurs humains</w:t>
            </w:r>
          </w:p>
        </w:tc>
        <w:tc>
          <w:tcPr>
            <w:tcW w:w="3052" w:type="dxa"/>
            <w:tcBorders>
              <w:top w:val="single" w:sz="4" w:space="0" w:color="000000"/>
              <w:left w:val="single" w:sz="4" w:space="0" w:color="000000"/>
              <w:bottom w:val="single" w:sz="4" w:space="0" w:color="000000"/>
              <w:right w:val="single" w:sz="4" w:space="0" w:color="000000"/>
            </w:tcBorders>
          </w:tcPr>
          <w:p w14:paraId="7BC2201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Confiance excessive de l’opérateur</w:t>
            </w:r>
          </w:p>
        </w:tc>
        <w:tc>
          <w:tcPr>
            <w:tcW w:w="1497" w:type="dxa"/>
            <w:tcBorders>
              <w:top w:val="single" w:sz="4" w:space="0" w:color="000000"/>
              <w:left w:val="single" w:sz="4" w:space="0" w:color="000000"/>
              <w:bottom w:val="single" w:sz="4" w:space="0" w:color="000000"/>
              <w:right w:val="single" w:sz="4" w:space="0" w:color="000000"/>
            </w:tcBorders>
          </w:tcPr>
          <w:p w14:paraId="6155BD2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RT10</w:t>
            </w:r>
          </w:p>
        </w:tc>
      </w:tr>
    </w:tbl>
    <w:p w14:paraId="604106AA" w14:textId="77777777" w:rsidR="00F50D70" w:rsidRPr="00BE4F47" w:rsidRDefault="00F50D70" w:rsidP="008E113B">
      <w:pPr>
        <w:spacing w:line="360" w:lineRule="auto"/>
        <w:ind w:left="0"/>
        <w:rPr>
          <w:rFonts w:ascii="Aptos" w:hAnsi="Aptos"/>
        </w:rPr>
      </w:pPr>
    </w:p>
    <w:p w14:paraId="39A99321" w14:textId="77777777" w:rsidR="00F50D70" w:rsidRPr="00B36301" w:rsidRDefault="00000000" w:rsidP="008E113B">
      <w:pPr>
        <w:pStyle w:val="Titre2"/>
        <w:spacing w:line="360" w:lineRule="auto"/>
      </w:pPr>
      <w:bookmarkStart w:id="67" w:name="__RefHeading___Toc240715281"/>
      <w:bookmarkEnd w:id="67"/>
      <w:r w:rsidRPr="00B36301">
        <w:t>Registre des risques de projet</w:t>
      </w:r>
    </w:p>
    <w:p w14:paraId="397E3DFE"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Évaluation datée du 18 septembre 2026. À réviser à chaque jalon. C désigne la criticité initiale, C′ la criticité après traitement.</w:t>
      </w:r>
    </w:p>
    <w:p w14:paraId="3B1D0D6B" w14:textId="77777777" w:rsidR="00F50D70" w:rsidRPr="00BE4F47" w:rsidRDefault="00000000" w:rsidP="008E113B">
      <w:pPr>
        <w:pStyle w:val="Lgende"/>
        <w:spacing w:line="360" w:lineRule="auto"/>
        <w:rPr>
          <w:rFonts w:ascii="Aptos" w:hAnsi="Aptos"/>
        </w:rPr>
      </w:pPr>
      <w:r w:rsidRPr="00BE4F47">
        <w:rPr>
          <w:rFonts w:ascii="Aptos" w:hAnsi="Aptos"/>
        </w:rPr>
        <w:t>Tableau 7-6. Registre des risques de projet</w:t>
      </w:r>
    </w:p>
    <w:tbl>
      <w:tblPr>
        <w:tblW w:w="8732" w:type="dxa"/>
        <w:tblLayout w:type="fixed"/>
        <w:tblCellMar>
          <w:top w:w="55" w:type="dxa"/>
          <w:left w:w="85" w:type="dxa"/>
          <w:bottom w:w="55" w:type="dxa"/>
          <w:right w:w="85" w:type="dxa"/>
        </w:tblCellMar>
        <w:tblLook w:val="04A0" w:firstRow="1" w:lastRow="0" w:firstColumn="1" w:lastColumn="0" w:noHBand="0" w:noVBand="1"/>
      </w:tblPr>
      <w:tblGrid>
        <w:gridCol w:w="540"/>
        <w:gridCol w:w="2900"/>
        <w:gridCol w:w="340"/>
        <w:gridCol w:w="340"/>
        <w:gridCol w:w="340"/>
        <w:gridCol w:w="2500"/>
        <w:gridCol w:w="400"/>
        <w:gridCol w:w="1372"/>
      </w:tblGrid>
      <w:tr w:rsidR="00F50D70" w:rsidRPr="00BE4F47" w14:paraId="46682DB4" w14:textId="77777777">
        <w:trPr>
          <w:tblHeader/>
        </w:trPr>
        <w:tc>
          <w:tcPr>
            <w:tcW w:w="540" w:type="dxa"/>
            <w:tcBorders>
              <w:top w:val="single" w:sz="4" w:space="0" w:color="000000"/>
              <w:left w:val="single" w:sz="4" w:space="0" w:color="000000"/>
              <w:bottom w:val="single" w:sz="4" w:space="0" w:color="000000"/>
              <w:right w:val="single" w:sz="4" w:space="0" w:color="000000"/>
            </w:tcBorders>
            <w:shd w:val="clear" w:color="auto" w:fill="EFF4FB"/>
          </w:tcPr>
          <w:p w14:paraId="64989B0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lastRenderedPageBreak/>
              <w:t>ID</w:t>
            </w:r>
          </w:p>
        </w:tc>
        <w:tc>
          <w:tcPr>
            <w:tcW w:w="2900" w:type="dxa"/>
            <w:tcBorders>
              <w:top w:val="single" w:sz="4" w:space="0" w:color="000000"/>
              <w:left w:val="single" w:sz="4" w:space="0" w:color="000000"/>
              <w:bottom w:val="single" w:sz="4" w:space="0" w:color="000000"/>
              <w:right w:val="single" w:sz="4" w:space="0" w:color="000000"/>
            </w:tcBorders>
            <w:shd w:val="clear" w:color="auto" w:fill="EFF4FB"/>
          </w:tcPr>
          <w:p w14:paraId="4D8087F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et justification de la cotation</w:t>
            </w:r>
          </w:p>
        </w:tc>
        <w:tc>
          <w:tcPr>
            <w:tcW w:w="340" w:type="dxa"/>
            <w:tcBorders>
              <w:top w:val="single" w:sz="4" w:space="0" w:color="000000"/>
              <w:left w:val="single" w:sz="4" w:space="0" w:color="000000"/>
              <w:bottom w:val="single" w:sz="4" w:space="0" w:color="000000"/>
              <w:right w:val="single" w:sz="4" w:space="0" w:color="000000"/>
            </w:tcBorders>
            <w:shd w:val="clear" w:color="auto" w:fill="EFF4FB"/>
          </w:tcPr>
          <w:p w14:paraId="56EC73C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w:t>
            </w:r>
          </w:p>
        </w:tc>
        <w:tc>
          <w:tcPr>
            <w:tcW w:w="340" w:type="dxa"/>
            <w:tcBorders>
              <w:top w:val="single" w:sz="4" w:space="0" w:color="000000"/>
              <w:left w:val="single" w:sz="4" w:space="0" w:color="000000"/>
              <w:bottom w:val="single" w:sz="4" w:space="0" w:color="000000"/>
              <w:right w:val="single" w:sz="4" w:space="0" w:color="000000"/>
            </w:tcBorders>
            <w:shd w:val="clear" w:color="auto" w:fill="EFF4FB"/>
          </w:tcPr>
          <w:p w14:paraId="4821A45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w:t>
            </w:r>
          </w:p>
        </w:tc>
        <w:tc>
          <w:tcPr>
            <w:tcW w:w="340" w:type="dxa"/>
            <w:tcBorders>
              <w:top w:val="single" w:sz="4" w:space="0" w:color="000000"/>
              <w:left w:val="single" w:sz="4" w:space="0" w:color="000000"/>
              <w:bottom w:val="single" w:sz="4" w:space="0" w:color="000000"/>
              <w:right w:val="single" w:sz="4" w:space="0" w:color="000000"/>
            </w:tcBorders>
            <w:shd w:val="clear" w:color="auto" w:fill="EFF4FB"/>
          </w:tcPr>
          <w:p w14:paraId="4DAA15F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w:t>
            </w:r>
          </w:p>
        </w:tc>
        <w:tc>
          <w:tcPr>
            <w:tcW w:w="2500" w:type="dxa"/>
            <w:tcBorders>
              <w:top w:val="single" w:sz="4" w:space="0" w:color="000000"/>
              <w:left w:val="single" w:sz="4" w:space="0" w:color="000000"/>
              <w:bottom w:val="single" w:sz="4" w:space="0" w:color="000000"/>
              <w:right w:val="single" w:sz="4" w:space="0" w:color="000000"/>
            </w:tcBorders>
            <w:shd w:val="clear" w:color="auto" w:fill="EFF4FB"/>
          </w:tcPr>
          <w:p w14:paraId="11196A5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Traitement et mesure compensatoire</w:t>
            </w:r>
          </w:p>
        </w:tc>
        <w:tc>
          <w:tcPr>
            <w:tcW w:w="400" w:type="dxa"/>
            <w:tcBorders>
              <w:top w:val="single" w:sz="4" w:space="0" w:color="000000"/>
              <w:left w:val="single" w:sz="4" w:space="0" w:color="000000"/>
              <w:bottom w:val="single" w:sz="4" w:space="0" w:color="000000"/>
              <w:right w:val="single" w:sz="4" w:space="0" w:color="000000"/>
            </w:tcBorders>
            <w:shd w:val="clear" w:color="auto" w:fill="EFF4FB"/>
          </w:tcPr>
          <w:p w14:paraId="17115BA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w:t>
            </w:r>
          </w:p>
        </w:tc>
        <w:tc>
          <w:tcPr>
            <w:tcW w:w="1372" w:type="dxa"/>
            <w:tcBorders>
              <w:top w:val="single" w:sz="4" w:space="0" w:color="000000"/>
              <w:left w:val="single" w:sz="4" w:space="0" w:color="000000"/>
              <w:bottom w:val="single" w:sz="4" w:space="0" w:color="000000"/>
              <w:right w:val="single" w:sz="4" w:space="0" w:color="000000"/>
            </w:tcBorders>
            <w:shd w:val="clear" w:color="auto" w:fill="EFF4FB"/>
          </w:tcPr>
          <w:p w14:paraId="0FF5090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Responsable et acceptation</w:t>
            </w:r>
          </w:p>
        </w:tc>
      </w:tr>
      <w:tr w:rsidR="00F50D70" w:rsidRPr="00BE4F47" w14:paraId="5A03E2E3"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25AE3C4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RP1</w:t>
            </w:r>
          </w:p>
        </w:tc>
        <w:tc>
          <w:tcPr>
            <w:tcW w:w="2900" w:type="dxa"/>
            <w:tcBorders>
              <w:top w:val="single" w:sz="4" w:space="0" w:color="000000"/>
              <w:left w:val="single" w:sz="4" w:space="0" w:color="000000"/>
              <w:bottom w:val="single" w:sz="4" w:space="0" w:color="000000"/>
              <w:right w:val="single" w:sz="4" w:space="0" w:color="000000"/>
            </w:tcBorders>
          </w:tcPr>
          <w:p w14:paraId="284AC96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Retard dans le développement, l’intégration ou les essais.</w:t>
            </w:r>
          </w:p>
          <w:p w14:paraId="581E5AC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projet de 1 080 h réparti sur huit personnes menant six cours en parallèle ; un glissement partiel est plausible et observé dans des projets comparables.</w:t>
            </w:r>
          </w:p>
        </w:tc>
        <w:tc>
          <w:tcPr>
            <w:tcW w:w="340" w:type="dxa"/>
            <w:tcBorders>
              <w:top w:val="single" w:sz="4" w:space="0" w:color="000000"/>
              <w:left w:val="single" w:sz="4" w:space="0" w:color="000000"/>
              <w:bottom w:val="single" w:sz="4" w:space="0" w:color="000000"/>
              <w:right w:val="single" w:sz="4" w:space="0" w:color="000000"/>
            </w:tcBorders>
          </w:tcPr>
          <w:p w14:paraId="1F8E3C26"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2EA630D5"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38AC299B"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9</w:t>
            </w:r>
          </w:p>
        </w:tc>
        <w:tc>
          <w:tcPr>
            <w:tcW w:w="2500" w:type="dxa"/>
            <w:tcBorders>
              <w:top w:val="single" w:sz="4" w:space="0" w:color="000000"/>
              <w:left w:val="single" w:sz="4" w:space="0" w:color="000000"/>
              <w:bottom w:val="single" w:sz="4" w:space="0" w:color="000000"/>
              <w:right w:val="single" w:sz="4" w:space="0" w:color="000000"/>
            </w:tcBorders>
          </w:tcPr>
          <w:p w14:paraId="3FC4EB1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Jalons intermédiaires J0 à J5, suivi de l’avancement et priorisation des fonctions essentielles. Réserve de quatre jours inscrite à l’échéancier.</w:t>
            </w:r>
          </w:p>
        </w:tc>
        <w:tc>
          <w:tcPr>
            <w:tcW w:w="400" w:type="dxa"/>
            <w:tcBorders>
              <w:top w:val="single" w:sz="4" w:space="0" w:color="000000"/>
              <w:left w:val="single" w:sz="4" w:space="0" w:color="000000"/>
              <w:bottom w:val="single" w:sz="4" w:space="0" w:color="000000"/>
              <w:right w:val="single" w:sz="4" w:space="0" w:color="000000"/>
            </w:tcBorders>
          </w:tcPr>
          <w:p w14:paraId="007A90CB"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6</w:t>
            </w:r>
          </w:p>
        </w:tc>
        <w:tc>
          <w:tcPr>
            <w:tcW w:w="1372" w:type="dxa"/>
            <w:tcBorders>
              <w:top w:val="single" w:sz="4" w:space="0" w:color="000000"/>
              <w:left w:val="single" w:sz="4" w:space="0" w:color="000000"/>
              <w:bottom w:val="single" w:sz="4" w:space="0" w:color="000000"/>
              <w:right w:val="single" w:sz="4" w:space="0" w:color="000000"/>
            </w:tcBorders>
          </w:tcPr>
          <w:p w14:paraId="7911764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2DF2E33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aux jalons</w:t>
            </w:r>
          </w:p>
        </w:tc>
      </w:tr>
      <w:tr w:rsidR="00F50D70" w:rsidRPr="00BE4F47" w14:paraId="09C5D3AE"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62240ED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RP2</w:t>
            </w:r>
          </w:p>
        </w:tc>
        <w:tc>
          <w:tcPr>
            <w:tcW w:w="2900" w:type="dxa"/>
            <w:tcBorders>
              <w:top w:val="single" w:sz="4" w:space="0" w:color="000000"/>
              <w:left w:val="single" w:sz="4" w:space="0" w:color="000000"/>
              <w:bottom w:val="single" w:sz="4" w:space="0" w:color="000000"/>
              <w:right w:val="single" w:sz="4" w:space="0" w:color="000000"/>
            </w:tcBorders>
          </w:tcPr>
          <w:p w14:paraId="1C5AD31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Dépassement de l’enveloppe de 1 080 h.</w:t>
            </w:r>
          </w:p>
          <w:p w14:paraId="6360993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l’enveloppe est une contrainte de mandat, non une estimation ; l’impact est majeur car il remet en cause un livrable, sans remettre en cause le mandat lui-même.</w:t>
            </w:r>
          </w:p>
        </w:tc>
        <w:tc>
          <w:tcPr>
            <w:tcW w:w="340" w:type="dxa"/>
            <w:tcBorders>
              <w:top w:val="single" w:sz="4" w:space="0" w:color="000000"/>
              <w:left w:val="single" w:sz="4" w:space="0" w:color="000000"/>
              <w:bottom w:val="single" w:sz="4" w:space="0" w:color="000000"/>
              <w:right w:val="single" w:sz="4" w:space="0" w:color="000000"/>
            </w:tcBorders>
          </w:tcPr>
          <w:p w14:paraId="0BE25229"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0476A273"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w:t>
            </w:r>
          </w:p>
        </w:tc>
        <w:tc>
          <w:tcPr>
            <w:tcW w:w="340" w:type="dxa"/>
            <w:tcBorders>
              <w:top w:val="single" w:sz="4" w:space="0" w:color="000000"/>
              <w:left w:val="single" w:sz="4" w:space="0" w:color="000000"/>
              <w:bottom w:val="single" w:sz="4" w:space="0" w:color="000000"/>
              <w:right w:val="single" w:sz="4" w:space="0" w:color="000000"/>
            </w:tcBorders>
          </w:tcPr>
          <w:p w14:paraId="5642C80E"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12</w:t>
            </w:r>
          </w:p>
        </w:tc>
        <w:tc>
          <w:tcPr>
            <w:tcW w:w="2500" w:type="dxa"/>
            <w:tcBorders>
              <w:top w:val="single" w:sz="4" w:space="0" w:color="000000"/>
              <w:left w:val="single" w:sz="4" w:space="0" w:color="000000"/>
              <w:bottom w:val="single" w:sz="4" w:space="0" w:color="000000"/>
              <w:right w:val="single" w:sz="4" w:space="0" w:color="000000"/>
            </w:tcBorders>
          </w:tcPr>
          <w:p w14:paraId="5B01965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Suivi périodique des heures consommées par lot. Réduction du contenu ajustable avant toute réduction des activités de V&amp;V. Mesure compensatoire : liste du contenu ajustable arrêtée au jalon J1.</w:t>
            </w:r>
          </w:p>
        </w:tc>
        <w:tc>
          <w:tcPr>
            <w:tcW w:w="400" w:type="dxa"/>
            <w:tcBorders>
              <w:top w:val="single" w:sz="4" w:space="0" w:color="000000"/>
              <w:left w:val="single" w:sz="4" w:space="0" w:color="000000"/>
              <w:bottom w:val="single" w:sz="4" w:space="0" w:color="000000"/>
              <w:right w:val="single" w:sz="4" w:space="0" w:color="000000"/>
            </w:tcBorders>
          </w:tcPr>
          <w:p w14:paraId="66F1EFA8"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6</w:t>
            </w:r>
          </w:p>
        </w:tc>
        <w:tc>
          <w:tcPr>
            <w:tcW w:w="1372" w:type="dxa"/>
            <w:tcBorders>
              <w:top w:val="single" w:sz="4" w:space="0" w:color="000000"/>
              <w:left w:val="single" w:sz="4" w:space="0" w:color="000000"/>
              <w:bottom w:val="single" w:sz="4" w:space="0" w:color="000000"/>
              <w:right w:val="single" w:sz="4" w:space="0" w:color="000000"/>
            </w:tcBorders>
          </w:tcPr>
          <w:p w14:paraId="6A83EEA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62664DD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périodique</w:t>
            </w:r>
          </w:p>
        </w:tc>
      </w:tr>
      <w:tr w:rsidR="00F50D70" w:rsidRPr="00BE4F47" w14:paraId="1305F74B"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05567D2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RP3</w:t>
            </w:r>
          </w:p>
        </w:tc>
        <w:tc>
          <w:tcPr>
            <w:tcW w:w="2900" w:type="dxa"/>
            <w:tcBorders>
              <w:top w:val="single" w:sz="4" w:space="0" w:color="000000"/>
              <w:left w:val="single" w:sz="4" w:space="0" w:color="000000"/>
              <w:bottom w:val="single" w:sz="4" w:space="0" w:color="000000"/>
              <w:right w:val="single" w:sz="4" w:space="0" w:color="000000"/>
            </w:tcBorders>
          </w:tcPr>
          <w:p w14:paraId="620AEFF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Modification tardive du périmètre exigeant un banc thermohydraulique physique.</w:t>
            </w:r>
          </w:p>
          <w:p w14:paraId="58A4D18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probabilité faible car l’hypothèse d’un environnement simulé est posée au mandat ; impact très élevé car un tel ajout invaliderait la planification, le budget et l’échéancier.</w:t>
            </w:r>
          </w:p>
        </w:tc>
        <w:tc>
          <w:tcPr>
            <w:tcW w:w="340" w:type="dxa"/>
            <w:tcBorders>
              <w:top w:val="single" w:sz="4" w:space="0" w:color="000000"/>
              <w:left w:val="single" w:sz="4" w:space="0" w:color="000000"/>
              <w:bottom w:val="single" w:sz="4" w:space="0" w:color="000000"/>
              <w:right w:val="single" w:sz="4" w:space="0" w:color="000000"/>
            </w:tcBorders>
          </w:tcPr>
          <w:p w14:paraId="460769CF"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w:t>
            </w:r>
          </w:p>
        </w:tc>
        <w:tc>
          <w:tcPr>
            <w:tcW w:w="340" w:type="dxa"/>
            <w:tcBorders>
              <w:top w:val="single" w:sz="4" w:space="0" w:color="000000"/>
              <w:left w:val="single" w:sz="4" w:space="0" w:color="000000"/>
              <w:bottom w:val="single" w:sz="4" w:space="0" w:color="000000"/>
              <w:right w:val="single" w:sz="4" w:space="0" w:color="000000"/>
            </w:tcBorders>
          </w:tcPr>
          <w:p w14:paraId="2572F966"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w:t>
            </w:r>
          </w:p>
        </w:tc>
        <w:tc>
          <w:tcPr>
            <w:tcW w:w="340" w:type="dxa"/>
            <w:tcBorders>
              <w:top w:val="single" w:sz="4" w:space="0" w:color="000000"/>
              <w:left w:val="single" w:sz="4" w:space="0" w:color="000000"/>
              <w:bottom w:val="single" w:sz="4" w:space="0" w:color="000000"/>
              <w:right w:val="single" w:sz="4" w:space="0" w:color="000000"/>
            </w:tcBorders>
          </w:tcPr>
          <w:p w14:paraId="46D697AB"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10</w:t>
            </w:r>
          </w:p>
        </w:tc>
        <w:tc>
          <w:tcPr>
            <w:tcW w:w="2500" w:type="dxa"/>
            <w:tcBorders>
              <w:top w:val="single" w:sz="4" w:space="0" w:color="000000"/>
              <w:left w:val="single" w:sz="4" w:space="0" w:color="000000"/>
              <w:bottom w:val="single" w:sz="4" w:space="0" w:color="000000"/>
              <w:right w:val="single" w:sz="4" w:space="0" w:color="000000"/>
            </w:tcBorders>
          </w:tcPr>
          <w:p w14:paraId="31855E4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Maintien explicite de l’hypothèse d’un environnement simulé (EX-C-02). Réévaluation immédiate de la portée, des ressources et du budget si elle devient invalide. Mesure compensatoire : hypothèse d’environnement simulé inscrite au registre des hypothèses de la section des besoins, avec point de décision au jalon J1.</w:t>
            </w:r>
          </w:p>
        </w:tc>
        <w:tc>
          <w:tcPr>
            <w:tcW w:w="400" w:type="dxa"/>
            <w:tcBorders>
              <w:top w:val="single" w:sz="4" w:space="0" w:color="000000"/>
              <w:left w:val="single" w:sz="4" w:space="0" w:color="000000"/>
              <w:bottom w:val="single" w:sz="4" w:space="0" w:color="000000"/>
              <w:right w:val="single" w:sz="4" w:space="0" w:color="000000"/>
            </w:tcBorders>
          </w:tcPr>
          <w:p w14:paraId="647DA300"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w:t>
            </w:r>
          </w:p>
        </w:tc>
        <w:tc>
          <w:tcPr>
            <w:tcW w:w="1372" w:type="dxa"/>
            <w:tcBorders>
              <w:top w:val="single" w:sz="4" w:space="0" w:color="000000"/>
              <w:left w:val="single" w:sz="4" w:space="0" w:color="000000"/>
              <w:bottom w:val="single" w:sz="4" w:space="0" w:color="000000"/>
              <w:right w:val="single" w:sz="4" w:space="0" w:color="000000"/>
            </w:tcBorders>
          </w:tcPr>
          <w:p w14:paraId="42E32A7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1FE0ED8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sous condition de revue du périmètre</w:t>
            </w:r>
          </w:p>
        </w:tc>
      </w:tr>
    </w:tbl>
    <w:p w14:paraId="66ECAD25" w14:textId="77777777" w:rsidR="00F50D70" w:rsidRPr="00BE4F47" w:rsidRDefault="00F50D70" w:rsidP="008E113B">
      <w:pPr>
        <w:spacing w:line="360" w:lineRule="auto"/>
        <w:ind w:left="0"/>
        <w:rPr>
          <w:rFonts w:ascii="Aptos" w:hAnsi="Aptos"/>
          <w:lang w:val="fr-FR"/>
        </w:rPr>
      </w:pPr>
    </w:p>
    <w:p w14:paraId="20BB476D" w14:textId="77777777" w:rsidR="00F50D70" w:rsidRPr="00B36301" w:rsidRDefault="00000000" w:rsidP="008E113B">
      <w:pPr>
        <w:pStyle w:val="Titre2"/>
        <w:spacing w:line="360" w:lineRule="auto"/>
      </w:pPr>
      <w:bookmarkStart w:id="68" w:name="__RefHeading___Toc240715283"/>
      <w:bookmarkEnd w:id="68"/>
      <w:r w:rsidRPr="00B36301">
        <w:t>Registre des risques du produit</w:t>
      </w:r>
    </w:p>
    <w:p w14:paraId="4BAFD20D"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Évaluation datée du 18 septembre 2026. Les renvois entre parenthèses désignent les exigences du registre des exigences et les états du GEMMA.</w:t>
      </w:r>
    </w:p>
    <w:p w14:paraId="331A1211" w14:textId="77777777" w:rsidR="00F50D70" w:rsidRPr="00BE4F47" w:rsidRDefault="00000000" w:rsidP="008E113B">
      <w:pPr>
        <w:pStyle w:val="Lgende"/>
        <w:spacing w:line="360" w:lineRule="auto"/>
        <w:rPr>
          <w:rFonts w:ascii="Aptos" w:hAnsi="Aptos"/>
        </w:rPr>
      </w:pPr>
      <w:r w:rsidRPr="00BE4F47">
        <w:rPr>
          <w:rFonts w:ascii="Aptos" w:hAnsi="Aptos"/>
        </w:rPr>
        <w:t>Tableau 7-7. Registre des risques du produit</w:t>
      </w:r>
    </w:p>
    <w:tbl>
      <w:tblPr>
        <w:tblW w:w="8732" w:type="dxa"/>
        <w:tblLayout w:type="fixed"/>
        <w:tblCellMar>
          <w:top w:w="55" w:type="dxa"/>
          <w:left w:w="85" w:type="dxa"/>
          <w:bottom w:w="55" w:type="dxa"/>
          <w:right w:w="85" w:type="dxa"/>
        </w:tblCellMar>
        <w:tblLook w:val="04A0" w:firstRow="1" w:lastRow="0" w:firstColumn="1" w:lastColumn="0" w:noHBand="0" w:noVBand="1"/>
      </w:tblPr>
      <w:tblGrid>
        <w:gridCol w:w="540"/>
        <w:gridCol w:w="2900"/>
        <w:gridCol w:w="340"/>
        <w:gridCol w:w="340"/>
        <w:gridCol w:w="340"/>
        <w:gridCol w:w="2500"/>
        <w:gridCol w:w="400"/>
        <w:gridCol w:w="1372"/>
      </w:tblGrid>
      <w:tr w:rsidR="00F50D70" w:rsidRPr="00BE4F47" w14:paraId="2BECEC77" w14:textId="77777777">
        <w:trPr>
          <w:tblHeader/>
        </w:trPr>
        <w:tc>
          <w:tcPr>
            <w:tcW w:w="540" w:type="dxa"/>
            <w:tcBorders>
              <w:top w:val="single" w:sz="4" w:space="0" w:color="000000"/>
              <w:left w:val="single" w:sz="4" w:space="0" w:color="000000"/>
              <w:bottom w:val="single" w:sz="4" w:space="0" w:color="000000"/>
              <w:right w:val="single" w:sz="4" w:space="0" w:color="000000"/>
            </w:tcBorders>
            <w:shd w:val="clear" w:color="auto" w:fill="EFF4FB"/>
          </w:tcPr>
          <w:p w14:paraId="0A33EBB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w:t>
            </w:r>
          </w:p>
        </w:tc>
        <w:tc>
          <w:tcPr>
            <w:tcW w:w="2900" w:type="dxa"/>
            <w:tcBorders>
              <w:top w:val="single" w:sz="4" w:space="0" w:color="000000"/>
              <w:left w:val="single" w:sz="4" w:space="0" w:color="000000"/>
              <w:bottom w:val="single" w:sz="4" w:space="0" w:color="000000"/>
              <w:right w:val="single" w:sz="4" w:space="0" w:color="000000"/>
            </w:tcBorders>
            <w:shd w:val="clear" w:color="auto" w:fill="EFF4FB"/>
          </w:tcPr>
          <w:p w14:paraId="04E7C28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et justification de la cotation</w:t>
            </w:r>
          </w:p>
        </w:tc>
        <w:tc>
          <w:tcPr>
            <w:tcW w:w="340" w:type="dxa"/>
            <w:tcBorders>
              <w:top w:val="single" w:sz="4" w:space="0" w:color="000000"/>
              <w:left w:val="single" w:sz="4" w:space="0" w:color="000000"/>
              <w:bottom w:val="single" w:sz="4" w:space="0" w:color="000000"/>
              <w:right w:val="single" w:sz="4" w:space="0" w:color="000000"/>
            </w:tcBorders>
            <w:shd w:val="clear" w:color="auto" w:fill="EFF4FB"/>
          </w:tcPr>
          <w:p w14:paraId="4A1D603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w:t>
            </w:r>
          </w:p>
        </w:tc>
        <w:tc>
          <w:tcPr>
            <w:tcW w:w="340" w:type="dxa"/>
            <w:tcBorders>
              <w:top w:val="single" w:sz="4" w:space="0" w:color="000000"/>
              <w:left w:val="single" w:sz="4" w:space="0" w:color="000000"/>
              <w:bottom w:val="single" w:sz="4" w:space="0" w:color="000000"/>
              <w:right w:val="single" w:sz="4" w:space="0" w:color="000000"/>
            </w:tcBorders>
            <w:shd w:val="clear" w:color="auto" w:fill="EFF4FB"/>
          </w:tcPr>
          <w:p w14:paraId="6402301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w:t>
            </w:r>
          </w:p>
        </w:tc>
        <w:tc>
          <w:tcPr>
            <w:tcW w:w="340" w:type="dxa"/>
            <w:tcBorders>
              <w:top w:val="single" w:sz="4" w:space="0" w:color="000000"/>
              <w:left w:val="single" w:sz="4" w:space="0" w:color="000000"/>
              <w:bottom w:val="single" w:sz="4" w:space="0" w:color="000000"/>
              <w:right w:val="single" w:sz="4" w:space="0" w:color="000000"/>
            </w:tcBorders>
            <w:shd w:val="clear" w:color="auto" w:fill="EFF4FB"/>
          </w:tcPr>
          <w:p w14:paraId="42FCE9E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w:t>
            </w:r>
          </w:p>
        </w:tc>
        <w:tc>
          <w:tcPr>
            <w:tcW w:w="2500" w:type="dxa"/>
            <w:tcBorders>
              <w:top w:val="single" w:sz="4" w:space="0" w:color="000000"/>
              <w:left w:val="single" w:sz="4" w:space="0" w:color="000000"/>
              <w:bottom w:val="single" w:sz="4" w:space="0" w:color="000000"/>
              <w:right w:val="single" w:sz="4" w:space="0" w:color="000000"/>
            </w:tcBorders>
            <w:shd w:val="clear" w:color="auto" w:fill="EFF4FB"/>
          </w:tcPr>
          <w:p w14:paraId="7BA7330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Traitement et mesure compensatoire</w:t>
            </w:r>
          </w:p>
        </w:tc>
        <w:tc>
          <w:tcPr>
            <w:tcW w:w="400" w:type="dxa"/>
            <w:tcBorders>
              <w:top w:val="single" w:sz="4" w:space="0" w:color="000000"/>
              <w:left w:val="single" w:sz="4" w:space="0" w:color="000000"/>
              <w:bottom w:val="single" w:sz="4" w:space="0" w:color="000000"/>
              <w:right w:val="single" w:sz="4" w:space="0" w:color="000000"/>
            </w:tcBorders>
            <w:shd w:val="clear" w:color="auto" w:fill="EFF4FB"/>
          </w:tcPr>
          <w:p w14:paraId="585DEFD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w:t>
            </w:r>
          </w:p>
        </w:tc>
        <w:tc>
          <w:tcPr>
            <w:tcW w:w="1372" w:type="dxa"/>
            <w:tcBorders>
              <w:top w:val="single" w:sz="4" w:space="0" w:color="000000"/>
              <w:left w:val="single" w:sz="4" w:space="0" w:color="000000"/>
              <w:bottom w:val="single" w:sz="4" w:space="0" w:color="000000"/>
              <w:right w:val="single" w:sz="4" w:space="0" w:color="000000"/>
            </w:tcBorders>
            <w:shd w:val="clear" w:color="auto" w:fill="EFF4FB"/>
          </w:tcPr>
          <w:p w14:paraId="26C6991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Responsable et acceptation</w:t>
            </w:r>
          </w:p>
        </w:tc>
      </w:tr>
      <w:tr w:rsidR="00F50D70" w:rsidRPr="00BE4F47" w14:paraId="5B456D32"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3B385F8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w:t>
            </w:r>
          </w:p>
        </w:tc>
        <w:tc>
          <w:tcPr>
            <w:tcW w:w="2900" w:type="dxa"/>
            <w:tcBorders>
              <w:top w:val="single" w:sz="4" w:space="0" w:color="000000"/>
              <w:left w:val="single" w:sz="4" w:space="0" w:color="000000"/>
              <w:bottom w:val="single" w:sz="4" w:space="0" w:color="000000"/>
              <w:right w:val="single" w:sz="4" w:space="0" w:color="000000"/>
            </w:tcBorders>
          </w:tcPr>
          <w:p w14:paraId="7CB5B72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Mesure erronée de température, de pression ou de débit.</w:t>
            </w:r>
          </w:p>
          <w:p w14:paraId="623F34D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une dérive de capteur est le mode de défaillance le plus courant d’une chaîne d’acquisition. L’impact initial est très élevé car une mesure fausse non détectée fausse tout le diagnostic.</w:t>
            </w:r>
          </w:p>
        </w:tc>
        <w:tc>
          <w:tcPr>
            <w:tcW w:w="340" w:type="dxa"/>
            <w:tcBorders>
              <w:top w:val="single" w:sz="4" w:space="0" w:color="000000"/>
              <w:left w:val="single" w:sz="4" w:space="0" w:color="000000"/>
              <w:bottom w:val="single" w:sz="4" w:space="0" w:color="000000"/>
              <w:right w:val="single" w:sz="4" w:space="0" w:color="000000"/>
            </w:tcBorders>
          </w:tcPr>
          <w:p w14:paraId="2DDB23CD"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4AF94770"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w:t>
            </w:r>
          </w:p>
        </w:tc>
        <w:tc>
          <w:tcPr>
            <w:tcW w:w="340" w:type="dxa"/>
            <w:tcBorders>
              <w:top w:val="single" w:sz="4" w:space="0" w:color="000000"/>
              <w:left w:val="single" w:sz="4" w:space="0" w:color="000000"/>
              <w:bottom w:val="single" w:sz="4" w:space="0" w:color="000000"/>
              <w:right w:val="single" w:sz="4" w:space="0" w:color="000000"/>
            </w:tcBorders>
          </w:tcPr>
          <w:p w14:paraId="583676F7"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15</w:t>
            </w:r>
          </w:p>
        </w:tc>
        <w:tc>
          <w:tcPr>
            <w:tcW w:w="2500" w:type="dxa"/>
            <w:tcBorders>
              <w:top w:val="single" w:sz="4" w:space="0" w:color="000000"/>
              <w:left w:val="single" w:sz="4" w:space="0" w:color="000000"/>
              <w:bottom w:val="single" w:sz="4" w:space="0" w:color="000000"/>
              <w:right w:val="single" w:sz="4" w:space="0" w:color="000000"/>
            </w:tcBorders>
          </w:tcPr>
          <w:p w14:paraId="3C7ED56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Validation des entrées, plages admissibles et contrôle de cohérence entre capteurs (EX-Q-04). Une mesure détectée comme invalide est rejetée et journalisée, elle ne se propage pas au modèle.</w:t>
            </w:r>
          </w:p>
        </w:tc>
        <w:tc>
          <w:tcPr>
            <w:tcW w:w="400" w:type="dxa"/>
            <w:tcBorders>
              <w:top w:val="single" w:sz="4" w:space="0" w:color="000000"/>
              <w:left w:val="single" w:sz="4" w:space="0" w:color="000000"/>
              <w:bottom w:val="single" w:sz="4" w:space="0" w:color="000000"/>
              <w:right w:val="single" w:sz="4" w:space="0" w:color="000000"/>
            </w:tcBorders>
          </w:tcPr>
          <w:p w14:paraId="68CE5517"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9</w:t>
            </w:r>
          </w:p>
        </w:tc>
        <w:tc>
          <w:tcPr>
            <w:tcW w:w="1372" w:type="dxa"/>
            <w:tcBorders>
              <w:top w:val="single" w:sz="4" w:space="0" w:color="000000"/>
              <w:left w:val="single" w:sz="4" w:space="0" w:color="000000"/>
              <w:bottom w:val="single" w:sz="4" w:space="0" w:color="000000"/>
              <w:right w:val="single" w:sz="4" w:space="0" w:color="000000"/>
            </w:tcBorders>
          </w:tcPr>
          <w:p w14:paraId="4EA350C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L6</w:t>
            </w:r>
          </w:p>
          <w:p w14:paraId="6A5F0B6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aux jalons</w:t>
            </w:r>
          </w:p>
        </w:tc>
      </w:tr>
      <w:tr w:rsidR="00F50D70" w:rsidRPr="00BE4F47" w14:paraId="60EBE474"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117AFDE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lastRenderedPageBreak/>
              <w:t>RT2</w:t>
            </w:r>
          </w:p>
        </w:tc>
        <w:tc>
          <w:tcPr>
            <w:tcW w:w="2900" w:type="dxa"/>
            <w:tcBorders>
              <w:top w:val="single" w:sz="4" w:space="0" w:color="000000"/>
              <w:left w:val="single" w:sz="4" w:space="0" w:color="000000"/>
              <w:bottom w:val="single" w:sz="4" w:space="0" w:color="000000"/>
              <w:right w:val="single" w:sz="4" w:space="0" w:color="000000"/>
            </w:tcBorders>
          </w:tcPr>
          <w:p w14:paraId="366AEEC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Perte ou indisponibilité d’une donnée.</w:t>
            </w:r>
          </w:p>
          <w:p w14:paraId="3F57A8D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événement attendu au moins une fois en campagne d’essais ; l’impact chute fortement une fois la détection en place, puisque le système déclare l’état incertain au lieu de conclure.</w:t>
            </w:r>
          </w:p>
        </w:tc>
        <w:tc>
          <w:tcPr>
            <w:tcW w:w="340" w:type="dxa"/>
            <w:tcBorders>
              <w:top w:val="single" w:sz="4" w:space="0" w:color="000000"/>
              <w:left w:val="single" w:sz="4" w:space="0" w:color="000000"/>
              <w:bottom w:val="single" w:sz="4" w:space="0" w:color="000000"/>
              <w:right w:val="single" w:sz="4" w:space="0" w:color="000000"/>
            </w:tcBorders>
          </w:tcPr>
          <w:p w14:paraId="20F59B7F"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095B2AFC"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w:t>
            </w:r>
          </w:p>
        </w:tc>
        <w:tc>
          <w:tcPr>
            <w:tcW w:w="340" w:type="dxa"/>
            <w:tcBorders>
              <w:top w:val="single" w:sz="4" w:space="0" w:color="000000"/>
              <w:left w:val="single" w:sz="4" w:space="0" w:color="000000"/>
              <w:bottom w:val="single" w:sz="4" w:space="0" w:color="000000"/>
              <w:right w:val="single" w:sz="4" w:space="0" w:color="000000"/>
            </w:tcBorders>
          </w:tcPr>
          <w:p w14:paraId="098CC2D8"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12</w:t>
            </w:r>
          </w:p>
        </w:tc>
        <w:tc>
          <w:tcPr>
            <w:tcW w:w="2500" w:type="dxa"/>
            <w:tcBorders>
              <w:top w:val="single" w:sz="4" w:space="0" w:color="000000"/>
              <w:left w:val="single" w:sz="4" w:space="0" w:color="000000"/>
              <w:bottom w:val="single" w:sz="4" w:space="0" w:color="000000"/>
              <w:right w:val="single" w:sz="4" w:space="0" w:color="000000"/>
            </w:tcBorders>
          </w:tcPr>
          <w:p w14:paraId="781B7BE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Détection des données manquantes au-delà de N cycles et affichage de l’état « incertain » (EX-F-06, état D2 du GEMMA).</w:t>
            </w:r>
          </w:p>
        </w:tc>
        <w:tc>
          <w:tcPr>
            <w:tcW w:w="400" w:type="dxa"/>
            <w:tcBorders>
              <w:top w:val="single" w:sz="4" w:space="0" w:color="000000"/>
              <w:left w:val="single" w:sz="4" w:space="0" w:color="000000"/>
              <w:bottom w:val="single" w:sz="4" w:space="0" w:color="000000"/>
              <w:right w:val="single" w:sz="4" w:space="0" w:color="000000"/>
            </w:tcBorders>
          </w:tcPr>
          <w:p w14:paraId="516D7043"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6</w:t>
            </w:r>
          </w:p>
        </w:tc>
        <w:tc>
          <w:tcPr>
            <w:tcW w:w="1372" w:type="dxa"/>
            <w:tcBorders>
              <w:top w:val="single" w:sz="4" w:space="0" w:color="000000"/>
              <w:left w:val="single" w:sz="4" w:space="0" w:color="000000"/>
              <w:bottom w:val="single" w:sz="4" w:space="0" w:color="000000"/>
              <w:right w:val="single" w:sz="4" w:space="0" w:color="000000"/>
            </w:tcBorders>
          </w:tcPr>
          <w:p w14:paraId="6E78934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L7</w:t>
            </w:r>
          </w:p>
          <w:p w14:paraId="22B6FBF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aux jalons</w:t>
            </w:r>
          </w:p>
        </w:tc>
      </w:tr>
      <w:tr w:rsidR="00F50D70" w:rsidRPr="00BE4F47" w14:paraId="15F4049C"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54A80DC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RT3</w:t>
            </w:r>
          </w:p>
        </w:tc>
        <w:tc>
          <w:tcPr>
            <w:tcW w:w="2900" w:type="dxa"/>
            <w:tcBorders>
              <w:top w:val="single" w:sz="4" w:space="0" w:color="000000"/>
              <w:left w:val="single" w:sz="4" w:space="0" w:color="000000"/>
              <w:bottom w:val="single" w:sz="4" w:space="0" w:color="000000"/>
              <w:right w:val="single" w:sz="4" w:space="0" w:color="000000"/>
            </w:tcBorders>
          </w:tcPr>
          <w:p w14:paraId="4E26859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Désynchronisation entre le modèle de référence et le jumeau.</w:t>
            </w:r>
          </w:p>
          <w:p w14:paraId="36E0691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risque propre aux systèmes comparant deux flux ; détectable par horodatage, donc probabilité réductible.</w:t>
            </w:r>
          </w:p>
        </w:tc>
        <w:tc>
          <w:tcPr>
            <w:tcW w:w="340" w:type="dxa"/>
            <w:tcBorders>
              <w:top w:val="single" w:sz="4" w:space="0" w:color="000000"/>
              <w:left w:val="single" w:sz="4" w:space="0" w:color="000000"/>
              <w:bottom w:val="single" w:sz="4" w:space="0" w:color="000000"/>
              <w:right w:val="single" w:sz="4" w:space="0" w:color="000000"/>
            </w:tcBorders>
          </w:tcPr>
          <w:p w14:paraId="5A2D8D9F"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209EF1EB"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w:t>
            </w:r>
          </w:p>
        </w:tc>
        <w:tc>
          <w:tcPr>
            <w:tcW w:w="340" w:type="dxa"/>
            <w:tcBorders>
              <w:top w:val="single" w:sz="4" w:space="0" w:color="000000"/>
              <w:left w:val="single" w:sz="4" w:space="0" w:color="000000"/>
              <w:bottom w:val="single" w:sz="4" w:space="0" w:color="000000"/>
              <w:right w:val="single" w:sz="4" w:space="0" w:color="000000"/>
            </w:tcBorders>
          </w:tcPr>
          <w:p w14:paraId="0CB38018"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12</w:t>
            </w:r>
          </w:p>
        </w:tc>
        <w:tc>
          <w:tcPr>
            <w:tcW w:w="2500" w:type="dxa"/>
            <w:tcBorders>
              <w:top w:val="single" w:sz="4" w:space="0" w:color="000000"/>
              <w:left w:val="single" w:sz="4" w:space="0" w:color="000000"/>
              <w:bottom w:val="single" w:sz="4" w:space="0" w:color="000000"/>
              <w:right w:val="single" w:sz="4" w:space="0" w:color="000000"/>
            </w:tcBorders>
          </w:tcPr>
          <w:p w14:paraId="5D45C34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Horodatage de chaque acquisition, contrôle de synchronisation et surveillance de l’écart temporel (EX-F-10).</w:t>
            </w:r>
          </w:p>
        </w:tc>
        <w:tc>
          <w:tcPr>
            <w:tcW w:w="400" w:type="dxa"/>
            <w:tcBorders>
              <w:top w:val="single" w:sz="4" w:space="0" w:color="000000"/>
              <w:left w:val="single" w:sz="4" w:space="0" w:color="000000"/>
              <w:bottom w:val="single" w:sz="4" w:space="0" w:color="000000"/>
              <w:right w:val="single" w:sz="4" w:space="0" w:color="000000"/>
            </w:tcBorders>
          </w:tcPr>
          <w:p w14:paraId="58615B39"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6</w:t>
            </w:r>
          </w:p>
        </w:tc>
        <w:tc>
          <w:tcPr>
            <w:tcW w:w="1372" w:type="dxa"/>
            <w:tcBorders>
              <w:top w:val="single" w:sz="4" w:space="0" w:color="000000"/>
              <w:left w:val="single" w:sz="4" w:space="0" w:color="000000"/>
              <w:bottom w:val="single" w:sz="4" w:space="0" w:color="000000"/>
              <w:right w:val="single" w:sz="4" w:space="0" w:color="000000"/>
            </w:tcBorders>
          </w:tcPr>
          <w:p w14:paraId="29F5912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L6</w:t>
            </w:r>
          </w:p>
          <w:p w14:paraId="4CCE007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suivi aux jalons</w:t>
            </w:r>
          </w:p>
        </w:tc>
      </w:tr>
      <w:tr w:rsidR="00F50D70" w:rsidRPr="00BE4F47" w14:paraId="2B66F22B"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4D619D6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RT4</w:t>
            </w:r>
          </w:p>
        </w:tc>
        <w:tc>
          <w:tcPr>
            <w:tcW w:w="2900" w:type="dxa"/>
            <w:tcBorders>
              <w:top w:val="single" w:sz="4" w:space="0" w:color="000000"/>
              <w:left w:val="single" w:sz="4" w:space="0" w:color="000000"/>
              <w:bottom w:val="single" w:sz="4" w:space="0" w:color="000000"/>
              <w:right w:val="single" w:sz="4" w:space="0" w:color="000000"/>
            </w:tcBorders>
          </w:tcPr>
          <w:p w14:paraId="34E146C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Modèle thermohydraulique insuffisamment représentatif.</w:t>
            </w:r>
          </w:p>
          <w:p w14:paraId="4163F9A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un modèle 0D/1D à paramètres concentrés est par construction une approximation ; l’impact reste majeur après traitement car il conditionne la validité des résultats.</w:t>
            </w:r>
          </w:p>
        </w:tc>
        <w:tc>
          <w:tcPr>
            <w:tcW w:w="340" w:type="dxa"/>
            <w:tcBorders>
              <w:top w:val="single" w:sz="4" w:space="0" w:color="000000"/>
              <w:left w:val="single" w:sz="4" w:space="0" w:color="000000"/>
              <w:bottom w:val="single" w:sz="4" w:space="0" w:color="000000"/>
              <w:right w:val="single" w:sz="4" w:space="0" w:color="000000"/>
            </w:tcBorders>
          </w:tcPr>
          <w:p w14:paraId="336D8DEE"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0CEAAC85"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w:t>
            </w:r>
          </w:p>
        </w:tc>
        <w:tc>
          <w:tcPr>
            <w:tcW w:w="340" w:type="dxa"/>
            <w:tcBorders>
              <w:top w:val="single" w:sz="4" w:space="0" w:color="000000"/>
              <w:left w:val="single" w:sz="4" w:space="0" w:color="000000"/>
              <w:bottom w:val="single" w:sz="4" w:space="0" w:color="000000"/>
              <w:right w:val="single" w:sz="4" w:space="0" w:color="000000"/>
            </w:tcBorders>
          </w:tcPr>
          <w:p w14:paraId="21E9219E"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15</w:t>
            </w:r>
          </w:p>
        </w:tc>
        <w:tc>
          <w:tcPr>
            <w:tcW w:w="2500" w:type="dxa"/>
            <w:tcBorders>
              <w:top w:val="single" w:sz="4" w:space="0" w:color="000000"/>
              <w:left w:val="single" w:sz="4" w:space="0" w:color="000000"/>
              <w:bottom w:val="single" w:sz="4" w:space="0" w:color="000000"/>
              <w:right w:val="single" w:sz="4" w:space="0" w:color="000000"/>
            </w:tcBorders>
          </w:tcPr>
          <w:p w14:paraId="07BB5FD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Vérification et validation, comparaison au modèle de référence et quantification de l’incertitude de validation selon ASME V&amp;V 20. Mesure compensatoire : domaine de validité documenté au rapport final (EX-C-01).</w:t>
            </w:r>
          </w:p>
        </w:tc>
        <w:tc>
          <w:tcPr>
            <w:tcW w:w="400" w:type="dxa"/>
            <w:tcBorders>
              <w:top w:val="single" w:sz="4" w:space="0" w:color="000000"/>
              <w:left w:val="single" w:sz="4" w:space="0" w:color="000000"/>
              <w:bottom w:val="single" w:sz="4" w:space="0" w:color="000000"/>
              <w:right w:val="single" w:sz="4" w:space="0" w:color="000000"/>
            </w:tcBorders>
          </w:tcPr>
          <w:p w14:paraId="3A57E8AF"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8</w:t>
            </w:r>
          </w:p>
        </w:tc>
        <w:tc>
          <w:tcPr>
            <w:tcW w:w="1372" w:type="dxa"/>
            <w:tcBorders>
              <w:top w:val="single" w:sz="4" w:space="0" w:color="000000"/>
              <w:left w:val="single" w:sz="4" w:space="0" w:color="000000"/>
              <w:bottom w:val="single" w:sz="4" w:space="0" w:color="000000"/>
              <w:right w:val="single" w:sz="4" w:space="0" w:color="000000"/>
            </w:tcBorders>
          </w:tcPr>
          <w:p w14:paraId="598662E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L4</w:t>
            </w:r>
          </w:p>
          <w:p w14:paraId="138D364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sous condition de documentation du domaine de validité</w:t>
            </w:r>
          </w:p>
        </w:tc>
      </w:tr>
      <w:tr w:rsidR="00F50D70" w:rsidRPr="00BE4F47" w14:paraId="3295840F"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276528F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RT5</w:t>
            </w:r>
          </w:p>
        </w:tc>
        <w:tc>
          <w:tcPr>
            <w:tcW w:w="2900" w:type="dxa"/>
            <w:tcBorders>
              <w:top w:val="single" w:sz="4" w:space="0" w:color="000000"/>
              <w:left w:val="single" w:sz="4" w:space="0" w:color="000000"/>
              <w:bottom w:val="single" w:sz="4" w:space="0" w:color="000000"/>
              <w:right w:val="single" w:sz="4" w:space="0" w:color="000000"/>
            </w:tcBorders>
          </w:tcPr>
          <w:p w14:paraId="6EE0B72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Non-détection d’une anomalie réelle (faux négatif).</w:t>
            </w:r>
          </w:p>
          <w:p w14:paraId="3DDE90C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impact maximal par définition, puisque c’est la fonction même du prototype qui est en défaut. La probabilité est réductible par les essais, l’impact ne l’est pas.</w:t>
            </w:r>
          </w:p>
        </w:tc>
        <w:tc>
          <w:tcPr>
            <w:tcW w:w="340" w:type="dxa"/>
            <w:tcBorders>
              <w:top w:val="single" w:sz="4" w:space="0" w:color="000000"/>
              <w:left w:val="single" w:sz="4" w:space="0" w:color="000000"/>
              <w:bottom w:val="single" w:sz="4" w:space="0" w:color="000000"/>
              <w:right w:val="single" w:sz="4" w:space="0" w:color="000000"/>
            </w:tcBorders>
          </w:tcPr>
          <w:p w14:paraId="1E652532"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2950AF28"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w:t>
            </w:r>
          </w:p>
        </w:tc>
        <w:tc>
          <w:tcPr>
            <w:tcW w:w="340" w:type="dxa"/>
            <w:tcBorders>
              <w:top w:val="single" w:sz="4" w:space="0" w:color="000000"/>
              <w:left w:val="single" w:sz="4" w:space="0" w:color="000000"/>
              <w:bottom w:val="single" w:sz="4" w:space="0" w:color="000000"/>
              <w:right w:val="single" w:sz="4" w:space="0" w:color="000000"/>
            </w:tcBorders>
          </w:tcPr>
          <w:p w14:paraId="175C49A8"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15</w:t>
            </w:r>
          </w:p>
        </w:tc>
        <w:tc>
          <w:tcPr>
            <w:tcW w:w="2500" w:type="dxa"/>
            <w:tcBorders>
              <w:top w:val="single" w:sz="4" w:space="0" w:color="000000"/>
              <w:left w:val="single" w:sz="4" w:space="0" w:color="000000"/>
              <w:bottom w:val="single" w:sz="4" w:space="0" w:color="000000"/>
              <w:right w:val="single" w:sz="4" w:space="0" w:color="000000"/>
            </w:tcBorders>
          </w:tcPr>
          <w:p w14:paraId="4A82676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Campagne d’essais avec injection d’anomalies (état F6 du GEMMA), validation des seuils et analyse humaine. Mesure compensatoire : décision maintenue chez l’opérateur (EX-F-08) et affichage systématique du niveau de confiance (EX-F-07).</w:t>
            </w:r>
          </w:p>
        </w:tc>
        <w:tc>
          <w:tcPr>
            <w:tcW w:w="400" w:type="dxa"/>
            <w:tcBorders>
              <w:top w:val="single" w:sz="4" w:space="0" w:color="000000"/>
              <w:left w:val="single" w:sz="4" w:space="0" w:color="000000"/>
              <w:bottom w:val="single" w:sz="4" w:space="0" w:color="000000"/>
              <w:right w:val="single" w:sz="4" w:space="0" w:color="000000"/>
            </w:tcBorders>
          </w:tcPr>
          <w:p w14:paraId="07C4DAAB"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10</w:t>
            </w:r>
          </w:p>
        </w:tc>
        <w:tc>
          <w:tcPr>
            <w:tcW w:w="1372" w:type="dxa"/>
            <w:tcBorders>
              <w:top w:val="single" w:sz="4" w:space="0" w:color="000000"/>
              <w:left w:val="single" w:sz="4" w:space="0" w:color="000000"/>
              <w:bottom w:val="single" w:sz="4" w:space="0" w:color="000000"/>
              <w:right w:val="single" w:sz="4" w:space="0" w:color="000000"/>
            </w:tcBorders>
          </w:tcPr>
          <w:p w14:paraId="2605913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Chargé de projet</w:t>
            </w:r>
          </w:p>
          <w:p w14:paraId="3EA09C3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Risque résiduel Élevé accepté explicitement, voir 7.6.4</w:t>
            </w:r>
          </w:p>
        </w:tc>
      </w:tr>
      <w:tr w:rsidR="00F50D70" w:rsidRPr="00BE4F47" w14:paraId="3D273472"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2CF7EF0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RT6</w:t>
            </w:r>
          </w:p>
        </w:tc>
        <w:tc>
          <w:tcPr>
            <w:tcW w:w="2900" w:type="dxa"/>
            <w:tcBorders>
              <w:top w:val="single" w:sz="4" w:space="0" w:color="000000"/>
              <w:left w:val="single" w:sz="4" w:space="0" w:color="000000"/>
              <w:bottom w:val="single" w:sz="4" w:space="0" w:color="000000"/>
              <w:right w:val="single" w:sz="4" w:space="0" w:color="000000"/>
            </w:tcBorders>
          </w:tcPr>
          <w:p w14:paraId="3E9955C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Détection incorrecte d’une anomalie (faux positif).</w:t>
            </w:r>
          </w:p>
          <w:p w14:paraId="1B7D822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plus fréquent qu’un faux négatif mais moins grave ; le coût est l’usure de la confiance de l’opérateur, non la perte d’information.</w:t>
            </w:r>
          </w:p>
        </w:tc>
        <w:tc>
          <w:tcPr>
            <w:tcW w:w="340" w:type="dxa"/>
            <w:tcBorders>
              <w:top w:val="single" w:sz="4" w:space="0" w:color="000000"/>
              <w:left w:val="single" w:sz="4" w:space="0" w:color="000000"/>
              <w:bottom w:val="single" w:sz="4" w:space="0" w:color="000000"/>
              <w:right w:val="single" w:sz="4" w:space="0" w:color="000000"/>
            </w:tcBorders>
          </w:tcPr>
          <w:p w14:paraId="38F6BC21"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6C9C0D09"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39AD0450"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9</w:t>
            </w:r>
          </w:p>
        </w:tc>
        <w:tc>
          <w:tcPr>
            <w:tcW w:w="2500" w:type="dxa"/>
            <w:tcBorders>
              <w:top w:val="single" w:sz="4" w:space="0" w:color="000000"/>
              <w:left w:val="single" w:sz="4" w:space="0" w:color="000000"/>
              <w:bottom w:val="single" w:sz="4" w:space="0" w:color="000000"/>
              <w:right w:val="single" w:sz="4" w:space="0" w:color="000000"/>
            </w:tcBorders>
          </w:tcPr>
          <w:p w14:paraId="3D8B363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Validation des seuils et présentation des variables ayant contribué à la détection (EX-F-05), permettant à l’opérateur d’écarter rapidement une fausse alerte.</w:t>
            </w:r>
          </w:p>
        </w:tc>
        <w:tc>
          <w:tcPr>
            <w:tcW w:w="400" w:type="dxa"/>
            <w:tcBorders>
              <w:top w:val="single" w:sz="4" w:space="0" w:color="000000"/>
              <w:left w:val="single" w:sz="4" w:space="0" w:color="000000"/>
              <w:bottom w:val="single" w:sz="4" w:space="0" w:color="000000"/>
              <w:right w:val="single" w:sz="4" w:space="0" w:color="000000"/>
            </w:tcBorders>
          </w:tcPr>
          <w:p w14:paraId="20ABF549"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w:t>
            </w:r>
          </w:p>
        </w:tc>
        <w:tc>
          <w:tcPr>
            <w:tcW w:w="1372" w:type="dxa"/>
            <w:tcBorders>
              <w:top w:val="single" w:sz="4" w:space="0" w:color="000000"/>
              <w:left w:val="single" w:sz="4" w:space="0" w:color="000000"/>
              <w:bottom w:val="single" w:sz="4" w:space="0" w:color="000000"/>
              <w:right w:val="single" w:sz="4" w:space="0" w:color="000000"/>
            </w:tcBorders>
          </w:tcPr>
          <w:p w14:paraId="7FEDBD6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L7</w:t>
            </w:r>
          </w:p>
          <w:p w14:paraId="5E88B22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sans condition</w:t>
            </w:r>
          </w:p>
        </w:tc>
      </w:tr>
      <w:tr w:rsidR="00F50D70" w:rsidRPr="00BE4F47" w14:paraId="08A76E20"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2413CEA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RT7</w:t>
            </w:r>
          </w:p>
        </w:tc>
        <w:tc>
          <w:tcPr>
            <w:tcW w:w="2900" w:type="dxa"/>
            <w:tcBorders>
              <w:top w:val="single" w:sz="4" w:space="0" w:color="000000"/>
              <w:left w:val="single" w:sz="4" w:space="0" w:color="000000"/>
              <w:bottom w:val="single" w:sz="4" w:space="0" w:color="000000"/>
              <w:right w:val="single" w:sz="4" w:space="0" w:color="000000"/>
            </w:tcBorders>
          </w:tcPr>
          <w:p w14:paraId="26ECDE2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Accès non autorisé au prototype.</w:t>
            </w:r>
          </w:p>
          <w:p w14:paraId="68142C9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impact révisé de 5 à 3. Le prototype est entièrement simulé, ne contient aucune donnée réelle et ne commande aucun équipement. La conséquence d’un accès non autorisé est la perte ou l’altération d’un travail universitaire, non une atteinte à une installation.</w:t>
            </w:r>
          </w:p>
        </w:tc>
        <w:tc>
          <w:tcPr>
            <w:tcW w:w="340" w:type="dxa"/>
            <w:tcBorders>
              <w:top w:val="single" w:sz="4" w:space="0" w:color="000000"/>
              <w:left w:val="single" w:sz="4" w:space="0" w:color="000000"/>
              <w:bottom w:val="single" w:sz="4" w:space="0" w:color="000000"/>
              <w:right w:val="single" w:sz="4" w:space="0" w:color="000000"/>
            </w:tcBorders>
          </w:tcPr>
          <w:p w14:paraId="68FF0780"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w:t>
            </w:r>
          </w:p>
        </w:tc>
        <w:tc>
          <w:tcPr>
            <w:tcW w:w="340" w:type="dxa"/>
            <w:tcBorders>
              <w:top w:val="single" w:sz="4" w:space="0" w:color="000000"/>
              <w:left w:val="single" w:sz="4" w:space="0" w:color="000000"/>
              <w:bottom w:val="single" w:sz="4" w:space="0" w:color="000000"/>
              <w:right w:val="single" w:sz="4" w:space="0" w:color="000000"/>
            </w:tcBorders>
          </w:tcPr>
          <w:p w14:paraId="1ACF9C42"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29AA52E4"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6</w:t>
            </w:r>
          </w:p>
        </w:tc>
        <w:tc>
          <w:tcPr>
            <w:tcW w:w="2500" w:type="dxa"/>
            <w:tcBorders>
              <w:top w:val="single" w:sz="4" w:space="0" w:color="000000"/>
              <w:left w:val="single" w:sz="4" w:space="0" w:color="000000"/>
              <w:bottom w:val="single" w:sz="4" w:space="0" w:color="000000"/>
              <w:right w:val="single" w:sz="4" w:space="0" w:color="000000"/>
            </w:tcBorders>
          </w:tcPr>
          <w:p w14:paraId="063AB02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Contrôle d’accès fondé sur les rôles, moindre privilège et authentification multifacteur lorsque l’environnement le permet.</w:t>
            </w:r>
          </w:p>
        </w:tc>
        <w:tc>
          <w:tcPr>
            <w:tcW w:w="400" w:type="dxa"/>
            <w:tcBorders>
              <w:top w:val="single" w:sz="4" w:space="0" w:color="000000"/>
              <w:left w:val="single" w:sz="4" w:space="0" w:color="000000"/>
              <w:bottom w:val="single" w:sz="4" w:space="0" w:color="000000"/>
              <w:right w:val="single" w:sz="4" w:space="0" w:color="000000"/>
            </w:tcBorders>
          </w:tcPr>
          <w:p w14:paraId="14855C6E"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1372" w:type="dxa"/>
            <w:tcBorders>
              <w:top w:val="single" w:sz="4" w:space="0" w:color="000000"/>
              <w:left w:val="single" w:sz="4" w:space="0" w:color="000000"/>
              <w:bottom w:val="single" w:sz="4" w:space="0" w:color="000000"/>
              <w:right w:val="single" w:sz="4" w:space="0" w:color="000000"/>
            </w:tcBorders>
          </w:tcPr>
          <w:p w14:paraId="5B37B6A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L5</w:t>
            </w:r>
          </w:p>
          <w:p w14:paraId="03665A6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sans condition</w:t>
            </w:r>
          </w:p>
        </w:tc>
      </w:tr>
      <w:tr w:rsidR="00F50D70" w:rsidRPr="00BE4F47" w14:paraId="4F44FD22"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1A387E6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lastRenderedPageBreak/>
              <w:t>RT8</w:t>
            </w:r>
          </w:p>
        </w:tc>
        <w:tc>
          <w:tcPr>
            <w:tcW w:w="2900" w:type="dxa"/>
            <w:tcBorders>
              <w:top w:val="single" w:sz="4" w:space="0" w:color="000000"/>
              <w:left w:val="single" w:sz="4" w:space="0" w:color="000000"/>
              <w:bottom w:val="single" w:sz="4" w:space="0" w:color="000000"/>
              <w:right w:val="single" w:sz="4" w:space="0" w:color="000000"/>
            </w:tcBorders>
          </w:tcPr>
          <w:p w14:paraId="0455A81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Altération volontaire ou accidentelle des données.</w:t>
            </w:r>
          </w:p>
          <w:p w14:paraId="651DFAB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impact révisé de 5 à 4. Plus grave qu’un simple accès, car une donnée altérée non détectée invalide les résultats d’essais et donc la validation du prototype.</w:t>
            </w:r>
          </w:p>
        </w:tc>
        <w:tc>
          <w:tcPr>
            <w:tcW w:w="340" w:type="dxa"/>
            <w:tcBorders>
              <w:top w:val="single" w:sz="4" w:space="0" w:color="000000"/>
              <w:left w:val="single" w:sz="4" w:space="0" w:color="000000"/>
              <w:bottom w:val="single" w:sz="4" w:space="0" w:color="000000"/>
              <w:right w:val="single" w:sz="4" w:space="0" w:color="000000"/>
            </w:tcBorders>
          </w:tcPr>
          <w:p w14:paraId="4A28AE40"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w:t>
            </w:r>
          </w:p>
        </w:tc>
        <w:tc>
          <w:tcPr>
            <w:tcW w:w="340" w:type="dxa"/>
            <w:tcBorders>
              <w:top w:val="single" w:sz="4" w:space="0" w:color="000000"/>
              <w:left w:val="single" w:sz="4" w:space="0" w:color="000000"/>
              <w:bottom w:val="single" w:sz="4" w:space="0" w:color="000000"/>
              <w:right w:val="single" w:sz="4" w:space="0" w:color="000000"/>
            </w:tcBorders>
          </w:tcPr>
          <w:p w14:paraId="15B1B0AF"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w:t>
            </w:r>
          </w:p>
        </w:tc>
        <w:tc>
          <w:tcPr>
            <w:tcW w:w="340" w:type="dxa"/>
            <w:tcBorders>
              <w:top w:val="single" w:sz="4" w:space="0" w:color="000000"/>
              <w:left w:val="single" w:sz="4" w:space="0" w:color="000000"/>
              <w:bottom w:val="single" w:sz="4" w:space="0" w:color="000000"/>
              <w:right w:val="single" w:sz="4" w:space="0" w:color="000000"/>
            </w:tcBorders>
          </w:tcPr>
          <w:p w14:paraId="5CD3DE79"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8</w:t>
            </w:r>
          </w:p>
        </w:tc>
        <w:tc>
          <w:tcPr>
            <w:tcW w:w="2500" w:type="dxa"/>
            <w:tcBorders>
              <w:top w:val="single" w:sz="4" w:space="0" w:color="000000"/>
              <w:left w:val="single" w:sz="4" w:space="0" w:color="000000"/>
              <w:bottom w:val="single" w:sz="4" w:space="0" w:color="000000"/>
              <w:right w:val="single" w:sz="4" w:space="0" w:color="000000"/>
            </w:tcBorders>
          </w:tcPr>
          <w:p w14:paraId="470AAAF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Contrôles d’intégrité, journalisation horodatée et restriction des accès en écriture (EX-Q-04, EX-F-10).</w:t>
            </w:r>
          </w:p>
        </w:tc>
        <w:tc>
          <w:tcPr>
            <w:tcW w:w="400" w:type="dxa"/>
            <w:tcBorders>
              <w:top w:val="single" w:sz="4" w:space="0" w:color="000000"/>
              <w:left w:val="single" w:sz="4" w:space="0" w:color="000000"/>
              <w:bottom w:val="single" w:sz="4" w:space="0" w:color="000000"/>
              <w:right w:val="single" w:sz="4" w:space="0" w:color="000000"/>
            </w:tcBorders>
          </w:tcPr>
          <w:p w14:paraId="7F4C9100"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w:t>
            </w:r>
          </w:p>
        </w:tc>
        <w:tc>
          <w:tcPr>
            <w:tcW w:w="1372" w:type="dxa"/>
            <w:tcBorders>
              <w:top w:val="single" w:sz="4" w:space="0" w:color="000000"/>
              <w:left w:val="single" w:sz="4" w:space="0" w:color="000000"/>
              <w:bottom w:val="single" w:sz="4" w:space="0" w:color="000000"/>
              <w:right w:val="single" w:sz="4" w:space="0" w:color="000000"/>
            </w:tcBorders>
          </w:tcPr>
          <w:p w14:paraId="3763A8B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L5</w:t>
            </w:r>
          </w:p>
          <w:p w14:paraId="054BFD6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sans condition</w:t>
            </w:r>
          </w:p>
        </w:tc>
      </w:tr>
      <w:tr w:rsidR="00F50D70" w:rsidRPr="00BE4F47" w14:paraId="22A5D16D"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24AFDB5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RT9</w:t>
            </w:r>
          </w:p>
        </w:tc>
        <w:tc>
          <w:tcPr>
            <w:tcW w:w="2900" w:type="dxa"/>
            <w:tcBorders>
              <w:top w:val="single" w:sz="4" w:space="0" w:color="000000"/>
              <w:left w:val="single" w:sz="4" w:space="0" w:color="000000"/>
              <w:bottom w:val="single" w:sz="4" w:space="0" w:color="000000"/>
              <w:right w:val="single" w:sz="4" w:space="0" w:color="000000"/>
            </w:tcBorders>
          </w:tcPr>
          <w:p w14:paraId="097E783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Indisponibilité du prototype.</w:t>
            </w:r>
          </w:p>
          <w:p w14:paraId="53D6A72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impact révisé de 4 à 3. Le coût d’une indisponibilité est un retard de travaux, absorbable par la réserve de l’échéancier.</w:t>
            </w:r>
          </w:p>
        </w:tc>
        <w:tc>
          <w:tcPr>
            <w:tcW w:w="340" w:type="dxa"/>
            <w:tcBorders>
              <w:top w:val="single" w:sz="4" w:space="0" w:color="000000"/>
              <w:left w:val="single" w:sz="4" w:space="0" w:color="000000"/>
              <w:bottom w:val="single" w:sz="4" w:space="0" w:color="000000"/>
              <w:right w:val="single" w:sz="4" w:space="0" w:color="000000"/>
            </w:tcBorders>
          </w:tcPr>
          <w:p w14:paraId="6CD66BF6"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w:t>
            </w:r>
          </w:p>
        </w:tc>
        <w:tc>
          <w:tcPr>
            <w:tcW w:w="340" w:type="dxa"/>
            <w:tcBorders>
              <w:top w:val="single" w:sz="4" w:space="0" w:color="000000"/>
              <w:left w:val="single" w:sz="4" w:space="0" w:color="000000"/>
              <w:bottom w:val="single" w:sz="4" w:space="0" w:color="000000"/>
              <w:right w:val="single" w:sz="4" w:space="0" w:color="000000"/>
            </w:tcBorders>
          </w:tcPr>
          <w:p w14:paraId="78F8A770"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763C6341"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6</w:t>
            </w:r>
          </w:p>
        </w:tc>
        <w:tc>
          <w:tcPr>
            <w:tcW w:w="2500" w:type="dxa"/>
            <w:tcBorders>
              <w:top w:val="single" w:sz="4" w:space="0" w:color="000000"/>
              <w:left w:val="single" w:sz="4" w:space="0" w:color="000000"/>
              <w:bottom w:val="single" w:sz="4" w:space="0" w:color="000000"/>
              <w:right w:val="single" w:sz="4" w:space="0" w:color="000000"/>
            </w:tcBorders>
          </w:tcPr>
          <w:p w14:paraId="05B8A04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Sauvegarde régulière, procédure de récupération et surveillance de l’environnement d’essai.</w:t>
            </w:r>
          </w:p>
        </w:tc>
        <w:tc>
          <w:tcPr>
            <w:tcW w:w="400" w:type="dxa"/>
            <w:tcBorders>
              <w:top w:val="single" w:sz="4" w:space="0" w:color="000000"/>
              <w:left w:val="single" w:sz="4" w:space="0" w:color="000000"/>
              <w:bottom w:val="single" w:sz="4" w:space="0" w:color="000000"/>
              <w:right w:val="single" w:sz="4" w:space="0" w:color="000000"/>
            </w:tcBorders>
          </w:tcPr>
          <w:p w14:paraId="16E9EB1C"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w:t>
            </w:r>
          </w:p>
        </w:tc>
        <w:tc>
          <w:tcPr>
            <w:tcW w:w="1372" w:type="dxa"/>
            <w:tcBorders>
              <w:top w:val="single" w:sz="4" w:space="0" w:color="000000"/>
              <w:left w:val="single" w:sz="4" w:space="0" w:color="000000"/>
              <w:bottom w:val="single" w:sz="4" w:space="0" w:color="000000"/>
              <w:right w:val="single" w:sz="4" w:space="0" w:color="000000"/>
            </w:tcBorders>
          </w:tcPr>
          <w:p w14:paraId="26ED5BC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L6</w:t>
            </w:r>
          </w:p>
          <w:p w14:paraId="7AE79E0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sans condition</w:t>
            </w:r>
          </w:p>
        </w:tc>
      </w:tr>
      <w:tr w:rsidR="00F50D70" w:rsidRPr="00BE4F47" w14:paraId="22AB33E4" w14:textId="77777777">
        <w:trPr>
          <w:cantSplit/>
        </w:trPr>
        <w:tc>
          <w:tcPr>
            <w:tcW w:w="540" w:type="dxa"/>
            <w:tcBorders>
              <w:top w:val="single" w:sz="4" w:space="0" w:color="000000"/>
              <w:left w:val="single" w:sz="4" w:space="0" w:color="000000"/>
              <w:bottom w:val="single" w:sz="4" w:space="0" w:color="000000"/>
              <w:right w:val="single" w:sz="4" w:space="0" w:color="000000"/>
            </w:tcBorders>
          </w:tcPr>
          <w:p w14:paraId="4E6011A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RT10</w:t>
            </w:r>
          </w:p>
        </w:tc>
        <w:tc>
          <w:tcPr>
            <w:tcW w:w="2900" w:type="dxa"/>
            <w:tcBorders>
              <w:top w:val="single" w:sz="4" w:space="0" w:color="000000"/>
              <w:left w:val="single" w:sz="4" w:space="0" w:color="000000"/>
              <w:bottom w:val="single" w:sz="4" w:space="0" w:color="000000"/>
              <w:right w:val="single" w:sz="4" w:space="0" w:color="000000"/>
            </w:tcBorders>
          </w:tcPr>
          <w:p w14:paraId="5691D8F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Confiance excessive de l’opérateur envers le diagnostic (biais d’automatisation).</w:t>
            </w:r>
          </w:p>
          <w:p w14:paraId="343E008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Justification : risque comportemental, peu réductible par des moyens techniques seuls ; l’impact demeure majeur après traitement.</w:t>
            </w:r>
          </w:p>
        </w:tc>
        <w:tc>
          <w:tcPr>
            <w:tcW w:w="340" w:type="dxa"/>
            <w:tcBorders>
              <w:top w:val="single" w:sz="4" w:space="0" w:color="000000"/>
              <w:left w:val="single" w:sz="4" w:space="0" w:color="000000"/>
              <w:bottom w:val="single" w:sz="4" w:space="0" w:color="000000"/>
              <w:right w:val="single" w:sz="4" w:space="0" w:color="000000"/>
            </w:tcBorders>
          </w:tcPr>
          <w:p w14:paraId="49A82C97"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w:t>
            </w:r>
          </w:p>
        </w:tc>
        <w:tc>
          <w:tcPr>
            <w:tcW w:w="340" w:type="dxa"/>
            <w:tcBorders>
              <w:top w:val="single" w:sz="4" w:space="0" w:color="000000"/>
              <w:left w:val="single" w:sz="4" w:space="0" w:color="000000"/>
              <w:bottom w:val="single" w:sz="4" w:space="0" w:color="000000"/>
              <w:right w:val="single" w:sz="4" w:space="0" w:color="000000"/>
            </w:tcBorders>
          </w:tcPr>
          <w:p w14:paraId="53C37100"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w:t>
            </w:r>
          </w:p>
        </w:tc>
        <w:tc>
          <w:tcPr>
            <w:tcW w:w="340" w:type="dxa"/>
            <w:tcBorders>
              <w:top w:val="single" w:sz="4" w:space="0" w:color="000000"/>
              <w:left w:val="single" w:sz="4" w:space="0" w:color="000000"/>
              <w:bottom w:val="single" w:sz="4" w:space="0" w:color="000000"/>
              <w:right w:val="single" w:sz="4" w:space="0" w:color="000000"/>
            </w:tcBorders>
          </w:tcPr>
          <w:p w14:paraId="0BD2E62B"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15</w:t>
            </w:r>
          </w:p>
        </w:tc>
        <w:tc>
          <w:tcPr>
            <w:tcW w:w="2500" w:type="dxa"/>
            <w:tcBorders>
              <w:top w:val="single" w:sz="4" w:space="0" w:color="000000"/>
              <w:left w:val="single" w:sz="4" w:space="0" w:color="000000"/>
              <w:bottom w:val="single" w:sz="4" w:space="0" w:color="000000"/>
              <w:right w:val="single" w:sz="4" w:space="0" w:color="000000"/>
            </w:tcBorders>
          </w:tcPr>
          <w:p w14:paraId="34D4B8F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Affichage du niveau de confiance (EX-F-07), explication du diagnostic par les variables contributives (EX-F-05) et maintien de la décision humaine (EX-F-08). Mesure compensatoire : essai d’utilisabilité avec un opérateur n’ayant pas participé au développement (EX-Q-03).</w:t>
            </w:r>
          </w:p>
        </w:tc>
        <w:tc>
          <w:tcPr>
            <w:tcW w:w="400" w:type="dxa"/>
            <w:tcBorders>
              <w:top w:val="single" w:sz="4" w:space="0" w:color="000000"/>
              <w:left w:val="single" w:sz="4" w:space="0" w:color="000000"/>
              <w:bottom w:val="single" w:sz="4" w:space="0" w:color="000000"/>
              <w:right w:val="single" w:sz="4" w:space="0" w:color="000000"/>
            </w:tcBorders>
          </w:tcPr>
          <w:p w14:paraId="5FC7CDAA" w14:textId="77777777" w:rsidR="00F50D70" w:rsidRPr="00BE4F47" w:rsidRDefault="00000000" w:rsidP="008E113B">
            <w:pPr>
              <w:spacing w:before="26" w:after="26" w:line="360" w:lineRule="auto"/>
              <w:ind w:left="0"/>
              <w:jc w:val="center"/>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8</w:t>
            </w:r>
          </w:p>
        </w:tc>
        <w:tc>
          <w:tcPr>
            <w:tcW w:w="1372" w:type="dxa"/>
            <w:tcBorders>
              <w:top w:val="single" w:sz="4" w:space="0" w:color="000000"/>
              <w:left w:val="single" w:sz="4" w:space="0" w:color="000000"/>
              <w:bottom w:val="single" w:sz="4" w:space="0" w:color="000000"/>
              <w:right w:val="single" w:sz="4" w:space="0" w:color="000000"/>
            </w:tcBorders>
          </w:tcPr>
          <w:p w14:paraId="0F29E3F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Responsable du lot L8</w:t>
            </w:r>
          </w:p>
          <w:p w14:paraId="551BB2E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Accepté sous condition de l’essai d’utilisabilité</w:t>
            </w:r>
          </w:p>
        </w:tc>
      </w:tr>
    </w:tbl>
    <w:p w14:paraId="1CF281DB" w14:textId="77777777" w:rsidR="00F50D70" w:rsidRPr="00BE4F47" w:rsidRDefault="00F50D70" w:rsidP="008E113B">
      <w:pPr>
        <w:spacing w:line="360" w:lineRule="auto"/>
        <w:ind w:left="0"/>
        <w:rPr>
          <w:rFonts w:ascii="Aptos" w:hAnsi="Aptos"/>
          <w:lang w:val="fr-FR"/>
        </w:rPr>
      </w:pPr>
    </w:p>
    <w:p w14:paraId="1E6C61BD" w14:textId="77777777" w:rsidR="00F50D70" w:rsidRPr="00B36301" w:rsidRDefault="00000000" w:rsidP="008E113B">
      <w:pPr>
        <w:pStyle w:val="Titre2"/>
        <w:spacing w:line="360" w:lineRule="auto"/>
      </w:pPr>
      <w:bookmarkStart w:id="69" w:name="__RefHeading___Toc240715285"/>
      <w:bookmarkEnd w:id="69"/>
      <w:r w:rsidRPr="00B36301">
        <w:t>Matrice de couverture des contraintes du mandat</w:t>
      </w:r>
    </w:p>
    <w:p w14:paraId="3EEE4576" w14:textId="77777777" w:rsidR="00F50D70" w:rsidRPr="00BE4F47" w:rsidRDefault="00000000" w:rsidP="008E113B">
      <w:pPr>
        <w:spacing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La matrice relie chaque contrainte du mandat aux choix de conception qui la prennent en charge, aux risques correspondants et au moyen de vérification. Elle constitue la grille permettant de vérifier qu’aucune contrainte n’est restée sans traitement.</w:t>
      </w:r>
    </w:p>
    <w:p w14:paraId="55EB8360" w14:textId="77777777" w:rsidR="00F50D70" w:rsidRPr="00BE4F47" w:rsidRDefault="00F50D70" w:rsidP="008E113B">
      <w:pPr>
        <w:spacing w:line="360" w:lineRule="auto"/>
        <w:ind w:left="425"/>
        <w:rPr>
          <w:rFonts w:ascii="Aptos" w:eastAsia="Calibri" w:hAnsi="Aptos" w:cs="Calibri"/>
          <w:color w:val="1A1A19"/>
          <w:sz w:val="20"/>
          <w:szCs w:val="20"/>
        </w:rPr>
      </w:pPr>
    </w:p>
    <w:p w14:paraId="471BECF7" w14:textId="77777777" w:rsidR="00F50D70" w:rsidRPr="00BE4F47" w:rsidRDefault="00000000" w:rsidP="008E113B">
      <w:pPr>
        <w:pStyle w:val="Lgende"/>
        <w:spacing w:line="360" w:lineRule="auto"/>
        <w:rPr>
          <w:rFonts w:ascii="Aptos" w:hAnsi="Aptos"/>
        </w:rPr>
      </w:pPr>
      <w:r w:rsidRPr="00BE4F47">
        <w:rPr>
          <w:rFonts w:ascii="Aptos" w:hAnsi="Aptos"/>
        </w:rPr>
        <w:t>Tableau 7-8. Matrice de couverture des contraintes du mandat</w:t>
      </w:r>
    </w:p>
    <w:tbl>
      <w:tblPr>
        <w:tblW w:w="8732" w:type="dxa"/>
        <w:tblLayout w:type="fixed"/>
        <w:tblCellMar>
          <w:top w:w="55" w:type="dxa"/>
          <w:left w:w="85" w:type="dxa"/>
          <w:bottom w:w="55" w:type="dxa"/>
          <w:right w:w="85" w:type="dxa"/>
        </w:tblCellMar>
        <w:tblLook w:val="04A0" w:firstRow="1" w:lastRow="0" w:firstColumn="1" w:lastColumn="0" w:noHBand="0" w:noVBand="1"/>
      </w:tblPr>
      <w:tblGrid>
        <w:gridCol w:w="2200"/>
        <w:gridCol w:w="2380"/>
        <w:gridCol w:w="1500"/>
        <w:gridCol w:w="1480"/>
        <w:gridCol w:w="1172"/>
      </w:tblGrid>
      <w:tr w:rsidR="00F50D70" w:rsidRPr="00BE4F47" w14:paraId="11F3592C"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EFF4FB"/>
          </w:tcPr>
          <w:p w14:paraId="155E999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Contrainte du mandat</w:t>
            </w:r>
          </w:p>
        </w:tc>
        <w:tc>
          <w:tcPr>
            <w:tcW w:w="2380" w:type="dxa"/>
            <w:tcBorders>
              <w:top w:val="single" w:sz="4" w:space="0" w:color="000000"/>
              <w:left w:val="single" w:sz="4" w:space="0" w:color="000000"/>
              <w:bottom w:val="single" w:sz="4" w:space="0" w:color="000000"/>
              <w:right w:val="single" w:sz="4" w:space="0" w:color="000000"/>
            </w:tcBorders>
            <w:shd w:val="clear" w:color="auto" w:fill="EFF4FB"/>
          </w:tcPr>
          <w:p w14:paraId="693647B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Prise en compte</w:t>
            </w:r>
          </w:p>
        </w:tc>
        <w:tc>
          <w:tcPr>
            <w:tcW w:w="1500" w:type="dxa"/>
            <w:tcBorders>
              <w:top w:val="single" w:sz="4" w:space="0" w:color="000000"/>
              <w:left w:val="single" w:sz="4" w:space="0" w:color="000000"/>
              <w:bottom w:val="single" w:sz="4" w:space="0" w:color="000000"/>
              <w:right w:val="single" w:sz="4" w:space="0" w:color="000000"/>
            </w:tcBorders>
            <w:shd w:val="clear" w:color="auto" w:fill="EFF4FB"/>
          </w:tcPr>
          <w:p w14:paraId="6269EA8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Exigence</w:t>
            </w:r>
          </w:p>
        </w:tc>
        <w:tc>
          <w:tcPr>
            <w:tcW w:w="1480" w:type="dxa"/>
            <w:tcBorders>
              <w:top w:val="single" w:sz="4" w:space="0" w:color="000000"/>
              <w:left w:val="single" w:sz="4" w:space="0" w:color="000000"/>
              <w:bottom w:val="single" w:sz="4" w:space="0" w:color="000000"/>
              <w:right w:val="single" w:sz="4" w:space="0" w:color="000000"/>
            </w:tcBorders>
            <w:shd w:val="clear" w:color="auto" w:fill="EFF4FB"/>
          </w:tcPr>
          <w:p w14:paraId="14564B7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associé</w:t>
            </w:r>
          </w:p>
        </w:tc>
        <w:tc>
          <w:tcPr>
            <w:tcW w:w="1172" w:type="dxa"/>
            <w:tcBorders>
              <w:top w:val="single" w:sz="4" w:space="0" w:color="000000"/>
              <w:left w:val="single" w:sz="4" w:space="0" w:color="000000"/>
              <w:bottom w:val="single" w:sz="4" w:space="0" w:color="000000"/>
              <w:right w:val="single" w:sz="4" w:space="0" w:color="000000"/>
            </w:tcBorders>
            <w:shd w:val="clear" w:color="auto" w:fill="EFF4FB"/>
          </w:tcPr>
          <w:p w14:paraId="4D996CE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Moyen de vérification</w:t>
            </w:r>
          </w:p>
        </w:tc>
      </w:tr>
      <w:tr w:rsidR="00F50D70" w:rsidRPr="00BE4F47" w14:paraId="13BE2559"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3FB0A78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Prototype limité à une boucle thermohydraulique simplifiée</w:t>
            </w:r>
          </w:p>
        </w:tc>
        <w:tc>
          <w:tcPr>
            <w:tcW w:w="2380" w:type="dxa"/>
            <w:tcBorders>
              <w:top w:val="single" w:sz="4" w:space="0" w:color="000000"/>
              <w:left w:val="single" w:sz="4" w:space="0" w:color="000000"/>
              <w:bottom w:val="single" w:sz="4" w:space="0" w:color="000000"/>
              <w:right w:val="single" w:sz="4" w:space="0" w:color="000000"/>
            </w:tcBorders>
          </w:tcPr>
          <w:p w14:paraId="7716D46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Périmètre limité à la température, la pression et le débit</w:t>
            </w:r>
          </w:p>
        </w:tc>
        <w:tc>
          <w:tcPr>
            <w:tcW w:w="1500" w:type="dxa"/>
            <w:tcBorders>
              <w:top w:val="single" w:sz="4" w:space="0" w:color="000000"/>
              <w:left w:val="single" w:sz="4" w:space="0" w:color="000000"/>
              <w:bottom w:val="single" w:sz="4" w:space="0" w:color="000000"/>
              <w:right w:val="single" w:sz="4" w:space="0" w:color="000000"/>
            </w:tcBorders>
          </w:tcPr>
          <w:p w14:paraId="41DE893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EX-F-01</w:t>
            </w:r>
          </w:p>
        </w:tc>
        <w:tc>
          <w:tcPr>
            <w:tcW w:w="1480" w:type="dxa"/>
            <w:tcBorders>
              <w:top w:val="single" w:sz="4" w:space="0" w:color="000000"/>
              <w:left w:val="single" w:sz="4" w:space="0" w:color="000000"/>
              <w:bottom w:val="single" w:sz="4" w:space="0" w:color="000000"/>
              <w:right w:val="single" w:sz="4" w:space="0" w:color="000000"/>
            </w:tcBorders>
          </w:tcPr>
          <w:p w14:paraId="1144010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RP3</w:t>
            </w:r>
          </w:p>
        </w:tc>
        <w:tc>
          <w:tcPr>
            <w:tcW w:w="1172" w:type="dxa"/>
            <w:tcBorders>
              <w:top w:val="single" w:sz="4" w:space="0" w:color="000000"/>
              <w:left w:val="single" w:sz="4" w:space="0" w:color="000000"/>
              <w:bottom w:val="single" w:sz="4" w:space="0" w:color="000000"/>
              <w:right w:val="single" w:sz="4" w:space="0" w:color="000000"/>
            </w:tcBorders>
          </w:tcPr>
          <w:p w14:paraId="78E8BD9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des exigences et de l’architecture</w:t>
            </w:r>
          </w:p>
        </w:tc>
      </w:tr>
      <w:tr w:rsidR="00F50D70" w:rsidRPr="00BE4F47" w14:paraId="3E233434"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0AB729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Environnement numérique simulé</w:t>
            </w:r>
          </w:p>
        </w:tc>
        <w:tc>
          <w:tcPr>
            <w:tcW w:w="2380" w:type="dxa"/>
            <w:tcBorders>
              <w:top w:val="single" w:sz="4" w:space="0" w:color="000000"/>
              <w:left w:val="single" w:sz="4" w:space="0" w:color="000000"/>
              <w:bottom w:val="single" w:sz="4" w:space="0" w:color="000000"/>
              <w:right w:val="single" w:sz="4" w:space="0" w:color="000000"/>
            </w:tcBorders>
          </w:tcPr>
          <w:p w14:paraId="4C56F71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Emploi d’un modèle de référence numérique</w:t>
            </w:r>
          </w:p>
        </w:tc>
        <w:tc>
          <w:tcPr>
            <w:tcW w:w="1500" w:type="dxa"/>
            <w:tcBorders>
              <w:top w:val="single" w:sz="4" w:space="0" w:color="000000"/>
              <w:left w:val="single" w:sz="4" w:space="0" w:color="000000"/>
              <w:bottom w:val="single" w:sz="4" w:space="0" w:color="000000"/>
              <w:right w:val="single" w:sz="4" w:space="0" w:color="000000"/>
            </w:tcBorders>
          </w:tcPr>
          <w:p w14:paraId="3F524C6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EX-C-02</w:t>
            </w:r>
          </w:p>
        </w:tc>
        <w:tc>
          <w:tcPr>
            <w:tcW w:w="1480" w:type="dxa"/>
            <w:tcBorders>
              <w:top w:val="single" w:sz="4" w:space="0" w:color="000000"/>
              <w:left w:val="single" w:sz="4" w:space="0" w:color="000000"/>
              <w:bottom w:val="single" w:sz="4" w:space="0" w:color="000000"/>
              <w:right w:val="single" w:sz="4" w:space="0" w:color="000000"/>
            </w:tcBorders>
          </w:tcPr>
          <w:p w14:paraId="534AEEC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RP3</w:t>
            </w:r>
          </w:p>
        </w:tc>
        <w:tc>
          <w:tcPr>
            <w:tcW w:w="1172" w:type="dxa"/>
            <w:tcBorders>
              <w:top w:val="single" w:sz="4" w:space="0" w:color="000000"/>
              <w:left w:val="single" w:sz="4" w:space="0" w:color="000000"/>
              <w:bottom w:val="single" w:sz="4" w:space="0" w:color="000000"/>
              <w:right w:val="single" w:sz="4" w:space="0" w:color="000000"/>
            </w:tcBorders>
          </w:tcPr>
          <w:p w14:paraId="7CB81C5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de conception</w:t>
            </w:r>
          </w:p>
        </w:tc>
      </w:tr>
      <w:tr w:rsidR="00F50D70" w:rsidRPr="00BE4F47" w14:paraId="6959296B"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6796949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Absence de banc thermohydraulique physique</w:t>
            </w:r>
          </w:p>
        </w:tc>
        <w:tc>
          <w:tcPr>
            <w:tcW w:w="2380" w:type="dxa"/>
            <w:tcBorders>
              <w:top w:val="single" w:sz="4" w:space="0" w:color="000000"/>
              <w:left w:val="single" w:sz="4" w:space="0" w:color="000000"/>
              <w:bottom w:val="single" w:sz="4" w:space="0" w:color="000000"/>
              <w:right w:val="single" w:sz="4" w:space="0" w:color="000000"/>
            </w:tcBorders>
          </w:tcPr>
          <w:p w14:paraId="16CE6B2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Aucun achat ni développement de banc prévu</w:t>
            </w:r>
          </w:p>
        </w:tc>
        <w:tc>
          <w:tcPr>
            <w:tcW w:w="1500" w:type="dxa"/>
            <w:tcBorders>
              <w:top w:val="single" w:sz="4" w:space="0" w:color="000000"/>
              <w:left w:val="single" w:sz="4" w:space="0" w:color="000000"/>
              <w:bottom w:val="single" w:sz="4" w:space="0" w:color="000000"/>
              <w:right w:val="single" w:sz="4" w:space="0" w:color="000000"/>
            </w:tcBorders>
          </w:tcPr>
          <w:p w14:paraId="07F2516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EX-C-02</w:t>
            </w:r>
          </w:p>
        </w:tc>
        <w:tc>
          <w:tcPr>
            <w:tcW w:w="1480" w:type="dxa"/>
            <w:tcBorders>
              <w:top w:val="single" w:sz="4" w:space="0" w:color="000000"/>
              <w:left w:val="single" w:sz="4" w:space="0" w:color="000000"/>
              <w:bottom w:val="single" w:sz="4" w:space="0" w:color="000000"/>
              <w:right w:val="single" w:sz="4" w:space="0" w:color="000000"/>
            </w:tcBorders>
          </w:tcPr>
          <w:p w14:paraId="762A7F4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RP3</w:t>
            </w:r>
          </w:p>
        </w:tc>
        <w:tc>
          <w:tcPr>
            <w:tcW w:w="1172" w:type="dxa"/>
            <w:tcBorders>
              <w:top w:val="single" w:sz="4" w:space="0" w:color="000000"/>
              <w:left w:val="single" w:sz="4" w:space="0" w:color="000000"/>
              <w:bottom w:val="single" w:sz="4" w:space="0" w:color="000000"/>
              <w:right w:val="single" w:sz="4" w:space="0" w:color="000000"/>
            </w:tcBorders>
          </w:tcPr>
          <w:p w14:paraId="576218A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du périmètre au jalon J1</w:t>
            </w:r>
          </w:p>
        </w:tc>
      </w:tr>
      <w:tr w:rsidR="00F50D70" w:rsidRPr="00BE4F47" w14:paraId="1BB137AA"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1C96CAC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lastRenderedPageBreak/>
              <w:t>Enveloppe maximale de 1 080 h</w:t>
            </w:r>
          </w:p>
        </w:tc>
        <w:tc>
          <w:tcPr>
            <w:tcW w:w="2380" w:type="dxa"/>
            <w:tcBorders>
              <w:top w:val="single" w:sz="4" w:space="0" w:color="000000"/>
              <w:left w:val="single" w:sz="4" w:space="0" w:color="000000"/>
              <w:bottom w:val="single" w:sz="4" w:space="0" w:color="000000"/>
              <w:right w:val="single" w:sz="4" w:space="0" w:color="000000"/>
            </w:tcBorders>
          </w:tcPr>
          <w:p w14:paraId="5FEE3D7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Planification et suivi des heures par lot</w:t>
            </w:r>
          </w:p>
        </w:tc>
        <w:tc>
          <w:tcPr>
            <w:tcW w:w="1500" w:type="dxa"/>
            <w:tcBorders>
              <w:top w:val="single" w:sz="4" w:space="0" w:color="000000"/>
              <w:left w:val="single" w:sz="4" w:space="0" w:color="000000"/>
              <w:bottom w:val="single" w:sz="4" w:space="0" w:color="000000"/>
              <w:right w:val="single" w:sz="4" w:space="0" w:color="000000"/>
            </w:tcBorders>
          </w:tcPr>
          <w:p w14:paraId="51B9AE4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w:t>
            </w:r>
          </w:p>
        </w:tc>
        <w:tc>
          <w:tcPr>
            <w:tcW w:w="1480" w:type="dxa"/>
            <w:tcBorders>
              <w:top w:val="single" w:sz="4" w:space="0" w:color="000000"/>
              <w:left w:val="single" w:sz="4" w:space="0" w:color="000000"/>
              <w:bottom w:val="single" w:sz="4" w:space="0" w:color="000000"/>
              <w:right w:val="single" w:sz="4" w:space="0" w:color="000000"/>
            </w:tcBorders>
          </w:tcPr>
          <w:p w14:paraId="5B602A7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RP2</w:t>
            </w:r>
          </w:p>
        </w:tc>
        <w:tc>
          <w:tcPr>
            <w:tcW w:w="1172" w:type="dxa"/>
            <w:tcBorders>
              <w:top w:val="single" w:sz="4" w:space="0" w:color="000000"/>
              <w:left w:val="single" w:sz="4" w:space="0" w:color="000000"/>
              <w:bottom w:val="single" w:sz="4" w:space="0" w:color="000000"/>
              <w:right w:val="single" w:sz="4" w:space="0" w:color="000000"/>
            </w:tcBorders>
          </w:tcPr>
          <w:p w14:paraId="134A126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Suivi périodique de la consommation</w:t>
            </w:r>
          </w:p>
        </w:tc>
      </w:tr>
      <w:tr w:rsidR="00F50D70" w:rsidRPr="00BE4F47" w14:paraId="28F17455"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78B12F5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Maintien des activités de V&amp;V</w:t>
            </w:r>
          </w:p>
        </w:tc>
        <w:tc>
          <w:tcPr>
            <w:tcW w:w="2380" w:type="dxa"/>
            <w:tcBorders>
              <w:top w:val="single" w:sz="4" w:space="0" w:color="000000"/>
              <w:left w:val="single" w:sz="4" w:space="0" w:color="000000"/>
              <w:bottom w:val="single" w:sz="4" w:space="0" w:color="000000"/>
              <w:right w:val="single" w:sz="4" w:space="0" w:color="000000"/>
            </w:tcBorders>
          </w:tcPr>
          <w:p w14:paraId="40726B2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Réduction prioritaire du contenu ajustable si les ressources deviennent insuffisantes</w:t>
            </w:r>
          </w:p>
        </w:tc>
        <w:tc>
          <w:tcPr>
            <w:tcW w:w="1500" w:type="dxa"/>
            <w:tcBorders>
              <w:top w:val="single" w:sz="4" w:space="0" w:color="000000"/>
              <w:left w:val="single" w:sz="4" w:space="0" w:color="000000"/>
              <w:bottom w:val="single" w:sz="4" w:space="0" w:color="000000"/>
              <w:right w:val="single" w:sz="4" w:space="0" w:color="000000"/>
            </w:tcBorders>
          </w:tcPr>
          <w:p w14:paraId="0086BBA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w:t>
            </w:r>
          </w:p>
        </w:tc>
        <w:tc>
          <w:tcPr>
            <w:tcW w:w="1480" w:type="dxa"/>
            <w:tcBorders>
              <w:top w:val="single" w:sz="4" w:space="0" w:color="000000"/>
              <w:left w:val="single" w:sz="4" w:space="0" w:color="000000"/>
              <w:bottom w:val="single" w:sz="4" w:space="0" w:color="000000"/>
              <w:right w:val="single" w:sz="4" w:space="0" w:color="000000"/>
            </w:tcBorders>
          </w:tcPr>
          <w:p w14:paraId="4BDA87E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RP1, RP2</w:t>
            </w:r>
          </w:p>
        </w:tc>
        <w:tc>
          <w:tcPr>
            <w:tcW w:w="1172" w:type="dxa"/>
            <w:tcBorders>
              <w:top w:val="single" w:sz="4" w:space="0" w:color="000000"/>
              <w:left w:val="single" w:sz="4" w:space="0" w:color="000000"/>
              <w:bottom w:val="single" w:sz="4" w:space="0" w:color="000000"/>
              <w:right w:val="single" w:sz="4" w:space="0" w:color="000000"/>
            </w:tcBorders>
          </w:tcPr>
          <w:p w14:paraId="199CA1A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Plan et rapport de V&amp;V</w:t>
            </w:r>
          </w:p>
        </w:tc>
      </w:tr>
      <w:tr w:rsidR="00F50D70" w:rsidRPr="00BE4F47" w14:paraId="0FC1E946"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5208A85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Surveillance de la température, de la pression et du débit</w:t>
            </w:r>
          </w:p>
        </w:tc>
        <w:tc>
          <w:tcPr>
            <w:tcW w:w="2380" w:type="dxa"/>
            <w:tcBorders>
              <w:top w:val="single" w:sz="4" w:space="0" w:color="000000"/>
              <w:left w:val="single" w:sz="4" w:space="0" w:color="000000"/>
              <w:bottom w:val="single" w:sz="4" w:space="0" w:color="000000"/>
              <w:right w:val="single" w:sz="4" w:space="0" w:color="000000"/>
            </w:tcBorders>
          </w:tcPr>
          <w:p w14:paraId="312FB63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Variables intégrées au modèle et aux scénarios d’essais</w:t>
            </w:r>
          </w:p>
        </w:tc>
        <w:tc>
          <w:tcPr>
            <w:tcW w:w="1500" w:type="dxa"/>
            <w:tcBorders>
              <w:top w:val="single" w:sz="4" w:space="0" w:color="000000"/>
              <w:left w:val="single" w:sz="4" w:space="0" w:color="000000"/>
              <w:bottom w:val="single" w:sz="4" w:space="0" w:color="000000"/>
              <w:right w:val="single" w:sz="4" w:space="0" w:color="000000"/>
            </w:tcBorders>
          </w:tcPr>
          <w:p w14:paraId="0E6DA82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EX-F-01, EX-F-03</w:t>
            </w:r>
          </w:p>
        </w:tc>
        <w:tc>
          <w:tcPr>
            <w:tcW w:w="1480" w:type="dxa"/>
            <w:tcBorders>
              <w:top w:val="single" w:sz="4" w:space="0" w:color="000000"/>
              <w:left w:val="single" w:sz="4" w:space="0" w:color="000000"/>
              <w:bottom w:val="single" w:sz="4" w:space="0" w:color="000000"/>
              <w:right w:val="single" w:sz="4" w:space="0" w:color="000000"/>
            </w:tcBorders>
          </w:tcPr>
          <w:p w14:paraId="1FD7DF8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 à RT3</w:t>
            </w:r>
          </w:p>
        </w:tc>
        <w:tc>
          <w:tcPr>
            <w:tcW w:w="1172" w:type="dxa"/>
            <w:tcBorders>
              <w:top w:val="single" w:sz="4" w:space="0" w:color="000000"/>
              <w:left w:val="single" w:sz="4" w:space="0" w:color="000000"/>
              <w:bottom w:val="single" w:sz="4" w:space="0" w:color="000000"/>
              <w:right w:val="single" w:sz="4" w:space="0" w:color="000000"/>
            </w:tcBorders>
          </w:tcPr>
          <w:p w14:paraId="37A6A98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Campagne d’essais</w:t>
            </w:r>
          </w:p>
        </w:tc>
      </w:tr>
      <w:tr w:rsidR="00F50D70" w:rsidRPr="00BE4F47" w14:paraId="38D1E537"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1D1EDE6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Détection des anomalies</w:t>
            </w:r>
          </w:p>
        </w:tc>
        <w:tc>
          <w:tcPr>
            <w:tcW w:w="2380" w:type="dxa"/>
            <w:tcBorders>
              <w:top w:val="single" w:sz="4" w:space="0" w:color="000000"/>
              <w:left w:val="single" w:sz="4" w:space="0" w:color="000000"/>
              <w:bottom w:val="single" w:sz="4" w:space="0" w:color="000000"/>
              <w:right w:val="single" w:sz="4" w:space="0" w:color="000000"/>
            </w:tcBorders>
          </w:tcPr>
          <w:p w14:paraId="4445C85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Comparaison entre comportement observé et comportement attendu</w:t>
            </w:r>
          </w:p>
        </w:tc>
        <w:tc>
          <w:tcPr>
            <w:tcW w:w="1500" w:type="dxa"/>
            <w:tcBorders>
              <w:top w:val="single" w:sz="4" w:space="0" w:color="000000"/>
              <w:left w:val="single" w:sz="4" w:space="0" w:color="000000"/>
              <w:bottom w:val="single" w:sz="4" w:space="0" w:color="000000"/>
              <w:right w:val="single" w:sz="4" w:space="0" w:color="000000"/>
            </w:tcBorders>
          </w:tcPr>
          <w:p w14:paraId="442385A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EX-F-03, EX-F-05</w:t>
            </w:r>
          </w:p>
        </w:tc>
        <w:tc>
          <w:tcPr>
            <w:tcW w:w="1480" w:type="dxa"/>
            <w:tcBorders>
              <w:top w:val="single" w:sz="4" w:space="0" w:color="000000"/>
              <w:left w:val="single" w:sz="4" w:space="0" w:color="000000"/>
              <w:bottom w:val="single" w:sz="4" w:space="0" w:color="000000"/>
              <w:right w:val="single" w:sz="4" w:space="0" w:color="000000"/>
            </w:tcBorders>
          </w:tcPr>
          <w:p w14:paraId="21CC100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RT4 à RT6</w:t>
            </w:r>
          </w:p>
        </w:tc>
        <w:tc>
          <w:tcPr>
            <w:tcW w:w="1172" w:type="dxa"/>
            <w:tcBorders>
              <w:top w:val="single" w:sz="4" w:space="0" w:color="000000"/>
              <w:left w:val="single" w:sz="4" w:space="0" w:color="000000"/>
              <w:bottom w:val="single" w:sz="4" w:space="0" w:color="000000"/>
              <w:right w:val="single" w:sz="4" w:space="0" w:color="000000"/>
            </w:tcBorders>
          </w:tcPr>
          <w:p w14:paraId="2C9059C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Essais en conditions normales et anormales</w:t>
            </w:r>
          </w:p>
        </w:tc>
      </w:tr>
      <w:tr w:rsidR="00F50D70" w:rsidRPr="00BE4F47" w14:paraId="3A917A9B"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67533D5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Gestion des données incorrectes ou indisponibles</w:t>
            </w:r>
          </w:p>
        </w:tc>
        <w:tc>
          <w:tcPr>
            <w:tcW w:w="2380" w:type="dxa"/>
            <w:tcBorders>
              <w:top w:val="single" w:sz="4" w:space="0" w:color="000000"/>
              <w:left w:val="single" w:sz="4" w:space="0" w:color="000000"/>
              <w:bottom w:val="single" w:sz="4" w:space="0" w:color="000000"/>
              <w:right w:val="single" w:sz="4" w:space="0" w:color="000000"/>
            </w:tcBorders>
          </w:tcPr>
          <w:p w14:paraId="7F65A5B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Détection des incohérences et signalement de l’incertitude</w:t>
            </w:r>
          </w:p>
        </w:tc>
        <w:tc>
          <w:tcPr>
            <w:tcW w:w="1500" w:type="dxa"/>
            <w:tcBorders>
              <w:top w:val="single" w:sz="4" w:space="0" w:color="000000"/>
              <w:left w:val="single" w:sz="4" w:space="0" w:color="000000"/>
              <w:bottom w:val="single" w:sz="4" w:space="0" w:color="000000"/>
              <w:right w:val="single" w:sz="4" w:space="0" w:color="000000"/>
            </w:tcBorders>
          </w:tcPr>
          <w:p w14:paraId="79947A7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EX-F-06</w:t>
            </w:r>
          </w:p>
        </w:tc>
        <w:tc>
          <w:tcPr>
            <w:tcW w:w="1480" w:type="dxa"/>
            <w:tcBorders>
              <w:top w:val="single" w:sz="4" w:space="0" w:color="000000"/>
              <w:left w:val="single" w:sz="4" w:space="0" w:color="000000"/>
              <w:bottom w:val="single" w:sz="4" w:space="0" w:color="000000"/>
              <w:right w:val="single" w:sz="4" w:space="0" w:color="000000"/>
            </w:tcBorders>
          </w:tcPr>
          <w:p w14:paraId="502BC8A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 RT2</w:t>
            </w:r>
          </w:p>
        </w:tc>
        <w:tc>
          <w:tcPr>
            <w:tcW w:w="1172" w:type="dxa"/>
            <w:tcBorders>
              <w:top w:val="single" w:sz="4" w:space="0" w:color="000000"/>
              <w:left w:val="single" w:sz="4" w:space="0" w:color="000000"/>
              <w:bottom w:val="single" w:sz="4" w:space="0" w:color="000000"/>
              <w:right w:val="single" w:sz="4" w:space="0" w:color="000000"/>
            </w:tcBorders>
          </w:tcPr>
          <w:p w14:paraId="3ABE88C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Injection de données erronées ou manquantes</w:t>
            </w:r>
          </w:p>
        </w:tc>
      </w:tr>
      <w:tr w:rsidR="00F50D70" w:rsidRPr="00BE4F47" w14:paraId="0106A32A"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7A19570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Cybersécurité du prototype</w:t>
            </w:r>
          </w:p>
        </w:tc>
        <w:tc>
          <w:tcPr>
            <w:tcW w:w="2380" w:type="dxa"/>
            <w:tcBorders>
              <w:top w:val="single" w:sz="4" w:space="0" w:color="000000"/>
              <w:left w:val="single" w:sz="4" w:space="0" w:color="000000"/>
              <w:bottom w:val="single" w:sz="4" w:space="0" w:color="000000"/>
              <w:right w:val="single" w:sz="4" w:space="0" w:color="000000"/>
            </w:tcBorders>
          </w:tcPr>
          <w:p w14:paraId="392BEB9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Contrôle d’accès, intégrité, journalisation et moindre privilège</w:t>
            </w:r>
          </w:p>
        </w:tc>
        <w:tc>
          <w:tcPr>
            <w:tcW w:w="1500" w:type="dxa"/>
            <w:tcBorders>
              <w:top w:val="single" w:sz="4" w:space="0" w:color="000000"/>
              <w:left w:val="single" w:sz="4" w:space="0" w:color="000000"/>
              <w:bottom w:val="single" w:sz="4" w:space="0" w:color="000000"/>
              <w:right w:val="single" w:sz="4" w:space="0" w:color="000000"/>
            </w:tcBorders>
          </w:tcPr>
          <w:p w14:paraId="64FA40C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EX-Q-04</w:t>
            </w:r>
          </w:p>
        </w:tc>
        <w:tc>
          <w:tcPr>
            <w:tcW w:w="1480" w:type="dxa"/>
            <w:tcBorders>
              <w:top w:val="single" w:sz="4" w:space="0" w:color="000000"/>
              <w:left w:val="single" w:sz="4" w:space="0" w:color="000000"/>
              <w:bottom w:val="single" w:sz="4" w:space="0" w:color="000000"/>
              <w:right w:val="single" w:sz="4" w:space="0" w:color="000000"/>
            </w:tcBorders>
          </w:tcPr>
          <w:p w14:paraId="6F94A16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RT7, RT8</w:t>
            </w:r>
          </w:p>
        </w:tc>
        <w:tc>
          <w:tcPr>
            <w:tcW w:w="1172" w:type="dxa"/>
            <w:tcBorders>
              <w:top w:val="single" w:sz="4" w:space="0" w:color="000000"/>
              <w:left w:val="single" w:sz="4" w:space="0" w:color="000000"/>
              <w:bottom w:val="single" w:sz="4" w:space="0" w:color="000000"/>
              <w:right w:val="single" w:sz="4" w:space="0" w:color="000000"/>
            </w:tcBorders>
          </w:tcPr>
          <w:p w14:paraId="34000D2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et essais de sécurité</w:t>
            </w:r>
          </w:p>
        </w:tc>
      </w:tr>
      <w:tr w:rsidR="00F50D70" w:rsidRPr="00BE4F47" w14:paraId="4F39AE56"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76AE22A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Résilience et disponibilité</w:t>
            </w:r>
          </w:p>
        </w:tc>
        <w:tc>
          <w:tcPr>
            <w:tcW w:w="2380" w:type="dxa"/>
            <w:tcBorders>
              <w:top w:val="single" w:sz="4" w:space="0" w:color="000000"/>
              <w:left w:val="single" w:sz="4" w:space="0" w:color="000000"/>
              <w:bottom w:val="single" w:sz="4" w:space="0" w:color="000000"/>
              <w:right w:val="single" w:sz="4" w:space="0" w:color="000000"/>
            </w:tcBorders>
          </w:tcPr>
          <w:p w14:paraId="11733FF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Sauvegarde, récupération et surveillance</w:t>
            </w:r>
          </w:p>
        </w:tc>
        <w:tc>
          <w:tcPr>
            <w:tcW w:w="1500" w:type="dxa"/>
            <w:tcBorders>
              <w:top w:val="single" w:sz="4" w:space="0" w:color="000000"/>
              <w:left w:val="single" w:sz="4" w:space="0" w:color="000000"/>
              <w:bottom w:val="single" w:sz="4" w:space="0" w:color="000000"/>
              <w:right w:val="single" w:sz="4" w:space="0" w:color="000000"/>
            </w:tcBorders>
          </w:tcPr>
          <w:p w14:paraId="0D691AF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EX-Q-02</w:t>
            </w:r>
          </w:p>
        </w:tc>
        <w:tc>
          <w:tcPr>
            <w:tcW w:w="1480" w:type="dxa"/>
            <w:tcBorders>
              <w:top w:val="single" w:sz="4" w:space="0" w:color="000000"/>
              <w:left w:val="single" w:sz="4" w:space="0" w:color="000000"/>
              <w:bottom w:val="single" w:sz="4" w:space="0" w:color="000000"/>
              <w:right w:val="single" w:sz="4" w:space="0" w:color="000000"/>
            </w:tcBorders>
          </w:tcPr>
          <w:p w14:paraId="143CD08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RT9</w:t>
            </w:r>
          </w:p>
        </w:tc>
        <w:tc>
          <w:tcPr>
            <w:tcW w:w="1172" w:type="dxa"/>
            <w:tcBorders>
              <w:top w:val="single" w:sz="4" w:space="0" w:color="000000"/>
              <w:left w:val="single" w:sz="4" w:space="0" w:color="000000"/>
              <w:bottom w:val="single" w:sz="4" w:space="0" w:color="000000"/>
              <w:right w:val="single" w:sz="4" w:space="0" w:color="000000"/>
            </w:tcBorders>
          </w:tcPr>
          <w:p w14:paraId="7C18672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Essais de défaillance et de récupération</w:t>
            </w:r>
          </w:p>
        </w:tc>
      </w:tr>
      <w:tr w:rsidR="00F50D70" w:rsidRPr="00BE4F47" w14:paraId="42C7FF87"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72E2068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Interface d’aide à la décision compréhensible</w:t>
            </w:r>
          </w:p>
        </w:tc>
        <w:tc>
          <w:tcPr>
            <w:tcW w:w="2380" w:type="dxa"/>
            <w:tcBorders>
              <w:top w:val="single" w:sz="4" w:space="0" w:color="000000"/>
              <w:left w:val="single" w:sz="4" w:space="0" w:color="000000"/>
              <w:bottom w:val="single" w:sz="4" w:space="0" w:color="000000"/>
              <w:right w:val="single" w:sz="4" w:space="0" w:color="000000"/>
            </w:tcBorders>
          </w:tcPr>
          <w:p w14:paraId="64229CA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Présentation des variables contributives et du niveau de confiance</w:t>
            </w:r>
          </w:p>
        </w:tc>
        <w:tc>
          <w:tcPr>
            <w:tcW w:w="1500" w:type="dxa"/>
            <w:tcBorders>
              <w:top w:val="single" w:sz="4" w:space="0" w:color="000000"/>
              <w:left w:val="single" w:sz="4" w:space="0" w:color="000000"/>
              <w:bottom w:val="single" w:sz="4" w:space="0" w:color="000000"/>
              <w:right w:val="single" w:sz="4" w:space="0" w:color="000000"/>
            </w:tcBorders>
          </w:tcPr>
          <w:p w14:paraId="1EE1751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EX-F-04, EX-F-05, EX-F-07</w:t>
            </w:r>
          </w:p>
        </w:tc>
        <w:tc>
          <w:tcPr>
            <w:tcW w:w="1480" w:type="dxa"/>
            <w:tcBorders>
              <w:top w:val="single" w:sz="4" w:space="0" w:color="000000"/>
              <w:left w:val="single" w:sz="4" w:space="0" w:color="000000"/>
              <w:bottom w:val="single" w:sz="4" w:space="0" w:color="000000"/>
              <w:right w:val="single" w:sz="4" w:space="0" w:color="000000"/>
            </w:tcBorders>
          </w:tcPr>
          <w:p w14:paraId="4A55977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RT10</w:t>
            </w:r>
          </w:p>
        </w:tc>
        <w:tc>
          <w:tcPr>
            <w:tcW w:w="1172" w:type="dxa"/>
            <w:tcBorders>
              <w:top w:val="single" w:sz="4" w:space="0" w:color="000000"/>
              <w:left w:val="single" w:sz="4" w:space="0" w:color="000000"/>
              <w:bottom w:val="single" w:sz="4" w:space="0" w:color="000000"/>
              <w:right w:val="single" w:sz="4" w:space="0" w:color="000000"/>
            </w:tcBorders>
          </w:tcPr>
          <w:p w14:paraId="50A0C59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Essai d’utilisabilité (EX-Q-03)</w:t>
            </w:r>
          </w:p>
        </w:tc>
      </w:tr>
      <w:tr w:rsidR="00F50D70" w:rsidRPr="00BE4F47" w14:paraId="3B5563D4"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0DA2AC3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Décision finale sous responsabilité humaine</w:t>
            </w:r>
          </w:p>
        </w:tc>
        <w:tc>
          <w:tcPr>
            <w:tcW w:w="2380" w:type="dxa"/>
            <w:tcBorders>
              <w:top w:val="single" w:sz="4" w:space="0" w:color="000000"/>
              <w:left w:val="single" w:sz="4" w:space="0" w:color="000000"/>
              <w:bottom w:val="single" w:sz="4" w:space="0" w:color="000000"/>
              <w:right w:val="single" w:sz="4" w:space="0" w:color="000000"/>
            </w:tcBorders>
          </w:tcPr>
          <w:p w14:paraId="34B4BEF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Aucune commande automatique ; confirmation explicite pour le mode dégradé</w:t>
            </w:r>
          </w:p>
        </w:tc>
        <w:tc>
          <w:tcPr>
            <w:tcW w:w="1500" w:type="dxa"/>
            <w:tcBorders>
              <w:top w:val="single" w:sz="4" w:space="0" w:color="000000"/>
              <w:left w:val="single" w:sz="4" w:space="0" w:color="000000"/>
              <w:bottom w:val="single" w:sz="4" w:space="0" w:color="000000"/>
              <w:right w:val="single" w:sz="4" w:space="0" w:color="000000"/>
            </w:tcBorders>
          </w:tcPr>
          <w:p w14:paraId="150E406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EX-F-08, EX-F-09</w:t>
            </w:r>
          </w:p>
        </w:tc>
        <w:tc>
          <w:tcPr>
            <w:tcW w:w="1480" w:type="dxa"/>
            <w:tcBorders>
              <w:top w:val="single" w:sz="4" w:space="0" w:color="000000"/>
              <w:left w:val="single" w:sz="4" w:space="0" w:color="000000"/>
              <w:bottom w:val="single" w:sz="4" w:space="0" w:color="000000"/>
              <w:right w:val="single" w:sz="4" w:space="0" w:color="000000"/>
            </w:tcBorders>
          </w:tcPr>
          <w:p w14:paraId="5EC8836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RT5, RT10</w:t>
            </w:r>
          </w:p>
        </w:tc>
        <w:tc>
          <w:tcPr>
            <w:tcW w:w="1172" w:type="dxa"/>
            <w:tcBorders>
              <w:top w:val="single" w:sz="4" w:space="0" w:color="000000"/>
              <w:left w:val="single" w:sz="4" w:space="0" w:color="000000"/>
              <w:bottom w:val="single" w:sz="4" w:space="0" w:color="000000"/>
              <w:right w:val="single" w:sz="4" w:space="0" w:color="000000"/>
            </w:tcBorders>
          </w:tcPr>
          <w:p w14:paraId="4D651EA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de code et inspection des sorties</w:t>
            </w:r>
          </w:p>
        </w:tc>
      </w:tr>
      <w:tr w:rsidR="00F50D70" w:rsidRPr="00BE4F47" w14:paraId="30467F86"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55E3853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Traçabilité des événements</w:t>
            </w:r>
          </w:p>
        </w:tc>
        <w:tc>
          <w:tcPr>
            <w:tcW w:w="2380" w:type="dxa"/>
            <w:tcBorders>
              <w:top w:val="single" w:sz="4" w:space="0" w:color="000000"/>
              <w:left w:val="single" w:sz="4" w:space="0" w:color="000000"/>
              <w:bottom w:val="single" w:sz="4" w:space="0" w:color="000000"/>
              <w:right w:val="single" w:sz="4" w:space="0" w:color="000000"/>
            </w:tcBorders>
          </w:tcPr>
          <w:p w14:paraId="147AA0F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Journalisation horodatée des événements significatifs</w:t>
            </w:r>
          </w:p>
        </w:tc>
        <w:tc>
          <w:tcPr>
            <w:tcW w:w="1500" w:type="dxa"/>
            <w:tcBorders>
              <w:top w:val="single" w:sz="4" w:space="0" w:color="000000"/>
              <w:left w:val="single" w:sz="4" w:space="0" w:color="000000"/>
              <w:bottom w:val="single" w:sz="4" w:space="0" w:color="000000"/>
              <w:right w:val="single" w:sz="4" w:space="0" w:color="000000"/>
            </w:tcBorders>
          </w:tcPr>
          <w:p w14:paraId="3F7D111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EX-F-10</w:t>
            </w:r>
          </w:p>
        </w:tc>
        <w:tc>
          <w:tcPr>
            <w:tcW w:w="1480" w:type="dxa"/>
            <w:tcBorders>
              <w:top w:val="single" w:sz="4" w:space="0" w:color="000000"/>
              <w:left w:val="single" w:sz="4" w:space="0" w:color="000000"/>
              <w:bottom w:val="single" w:sz="4" w:space="0" w:color="000000"/>
              <w:right w:val="single" w:sz="4" w:space="0" w:color="000000"/>
            </w:tcBorders>
          </w:tcPr>
          <w:p w14:paraId="3C05B3D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RT7, RT8</w:t>
            </w:r>
          </w:p>
        </w:tc>
        <w:tc>
          <w:tcPr>
            <w:tcW w:w="1172" w:type="dxa"/>
            <w:tcBorders>
              <w:top w:val="single" w:sz="4" w:space="0" w:color="000000"/>
              <w:left w:val="single" w:sz="4" w:space="0" w:color="000000"/>
              <w:bottom w:val="single" w:sz="4" w:space="0" w:color="000000"/>
              <w:right w:val="single" w:sz="4" w:space="0" w:color="000000"/>
            </w:tcBorders>
          </w:tcPr>
          <w:p w14:paraId="41D1FF9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Inspection des journaux lors des essais</w:t>
            </w:r>
          </w:p>
        </w:tc>
      </w:tr>
      <w:tr w:rsidR="00F50D70" w:rsidRPr="00BE4F47" w14:paraId="00430893"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1B96F85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Risques santé, sécurité et publics</w:t>
            </w:r>
          </w:p>
        </w:tc>
        <w:tc>
          <w:tcPr>
            <w:tcW w:w="2380" w:type="dxa"/>
            <w:tcBorders>
              <w:top w:val="single" w:sz="4" w:space="0" w:color="000000"/>
              <w:left w:val="single" w:sz="4" w:space="0" w:color="000000"/>
              <w:bottom w:val="single" w:sz="4" w:space="0" w:color="000000"/>
              <w:right w:val="single" w:sz="4" w:space="0" w:color="000000"/>
            </w:tcBorders>
          </w:tcPr>
          <w:p w14:paraId="09C2187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Analyse de la chaîne menant du dysfonctionnement à la décision humaine</w:t>
            </w:r>
          </w:p>
        </w:tc>
        <w:tc>
          <w:tcPr>
            <w:tcW w:w="1500" w:type="dxa"/>
            <w:tcBorders>
              <w:top w:val="single" w:sz="4" w:space="0" w:color="000000"/>
              <w:left w:val="single" w:sz="4" w:space="0" w:color="000000"/>
              <w:bottom w:val="single" w:sz="4" w:space="0" w:color="000000"/>
              <w:right w:val="single" w:sz="4" w:space="0" w:color="000000"/>
            </w:tcBorders>
          </w:tcPr>
          <w:p w14:paraId="7630840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EX-C-03</w:t>
            </w:r>
          </w:p>
        </w:tc>
        <w:tc>
          <w:tcPr>
            <w:tcW w:w="1480" w:type="dxa"/>
            <w:tcBorders>
              <w:top w:val="single" w:sz="4" w:space="0" w:color="000000"/>
              <w:left w:val="single" w:sz="4" w:space="0" w:color="000000"/>
              <w:bottom w:val="single" w:sz="4" w:space="0" w:color="000000"/>
              <w:right w:val="single" w:sz="4" w:space="0" w:color="000000"/>
            </w:tcBorders>
          </w:tcPr>
          <w:p w14:paraId="3E46371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RT5</w:t>
            </w:r>
          </w:p>
        </w:tc>
        <w:tc>
          <w:tcPr>
            <w:tcW w:w="1172" w:type="dxa"/>
            <w:tcBorders>
              <w:top w:val="single" w:sz="4" w:space="0" w:color="000000"/>
              <w:left w:val="single" w:sz="4" w:space="0" w:color="000000"/>
              <w:bottom w:val="single" w:sz="4" w:space="0" w:color="000000"/>
              <w:right w:val="single" w:sz="4" w:space="0" w:color="000000"/>
            </w:tcBorders>
          </w:tcPr>
          <w:p w14:paraId="26BB734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de la section 7.4 au jalon J5</w:t>
            </w:r>
          </w:p>
        </w:tc>
      </w:tr>
      <w:tr w:rsidR="00F50D70" w:rsidRPr="00BE4F47" w14:paraId="047216A6"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26AC9A5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Cadre législatif et normatif</w:t>
            </w:r>
          </w:p>
        </w:tc>
        <w:tc>
          <w:tcPr>
            <w:tcW w:w="2380" w:type="dxa"/>
            <w:tcBorders>
              <w:top w:val="single" w:sz="4" w:space="0" w:color="000000"/>
              <w:left w:val="single" w:sz="4" w:space="0" w:color="000000"/>
              <w:bottom w:val="single" w:sz="4" w:space="0" w:color="000000"/>
              <w:right w:val="single" w:sz="4" w:space="0" w:color="000000"/>
            </w:tcBorders>
          </w:tcPr>
          <w:p w14:paraId="46A9B22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Rattachement aux lois, règlements et normes retenus</w:t>
            </w:r>
          </w:p>
        </w:tc>
        <w:tc>
          <w:tcPr>
            <w:tcW w:w="1500" w:type="dxa"/>
            <w:tcBorders>
              <w:top w:val="single" w:sz="4" w:space="0" w:color="000000"/>
              <w:left w:val="single" w:sz="4" w:space="0" w:color="000000"/>
              <w:bottom w:val="single" w:sz="4" w:space="0" w:color="000000"/>
              <w:right w:val="single" w:sz="4" w:space="0" w:color="000000"/>
            </w:tcBorders>
          </w:tcPr>
          <w:p w14:paraId="7724736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EX-C-01</w:t>
            </w:r>
          </w:p>
        </w:tc>
        <w:tc>
          <w:tcPr>
            <w:tcW w:w="1480" w:type="dxa"/>
            <w:tcBorders>
              <w:top w:val="single" w:sz="4" w:space="0" w:color="000000"/>
              <w:left w:val="single" w:sz="4" w:space="0" w:color="000000"/>
              <w:bottom w:val="single" w:sz="4" w:space="0" w:color="000000"/>
              <w:right w:val="single" w:sz="4" w:space="0" w:color="000000"/>
            </w:tcBorders>
          </w:tcPr>
          <w:p w14:paraId="4C6B620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RT4</w:t>
            </w:r>
          </w:p>
        </w:tc>
        <w:tc>
          <w:tcPr>
            <w:tcW w:w="1172" w:type="dxa"/>
            <w:tcBorders>
              <w:top w:val="single" w:sz="4" w:space="0" w:color="000000"/>
              <w:left w:val="single" w:sz="4" w:space="0" w:color="000000"/>
              <w:bottom w:val="single" w:sz="4" w:space="0" w:color="000000"/>
              <w:right w:val="single" w:sz="4" w:space="0" w:color="000000"/>
            </w:tcBorders>
          </w:tcPr>
          <w:p w14:paraId="4E9D527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Revue croisée avec la section des normes</w:t>
            </w:r>
          </w:p>
        </w:tc>
      </w:tr>
    </w:tbl>
    <w:p w14:paraId="27DB893E" w14:textId="77777777" w:rsidR="00F50D70" w:rsidRPr="00BE4F47" w:rsidRDefault="00F50D70" w:rsidP="008E113B">
      <w:pPr>
        <w:spacing w:line="360" w:lineRule="auto"/>
        <w:ind w:left="0"/>
        <w:rPr>
          <w:rFonts w:ascii="Aptos" w:hAnsi="Aptos"/>
          <w:lang w:val="fr-FR"/>
        </w:rPr>
      </w:pPr>
    </w:p>
    <w:p w14:paraId="2C2CC613" w14:textId="77777777" w:rsidR="00F50D70" w:rsidRPr="00B36301" w:rsidRDefault="00000000" w:rsidP="008E113B">
      <w:pPr>
        <w:pStyle w:val="Titre1"/>
        <w:spacing w:line="360" w:lineRule="auto"/>
      </w:pPr>
      <w:r w:rsidRPr="00B36301">
        <w:lastRenderedPageBreak/>
        <w:t>Estimation des ressources nécessaires au projet</w:t>
      </w:r>
    </w:p>
    <w:p w14:paraId="4CB7835E"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sections précédentes ont défini le travail, son cadre et ses risques. Celle-ci le convertit en ressources. Elle fixe les hypothèses de l’estimation, découpe l’effort en neuf lots de travail, puis recense les ressources matérielles, logicielles et normatives nécessaires.</w:t>
      </w:r>
    </w:p>
    <w:p w14:paraId="37379D64" w14:textId="77777777" w:rsidR="00F50D70" w:rsidRPr="00B36301" w:rsidRDefault="00000000" w:rsidP="008E113B">
      <w:pPr>
        <w:pStyle w:val="Titre2"/>
        <w:spacing w:line="360" w:lineRule="auto"/>
      </w:pPr>
      <w:r w:rsidRPr="00B36301">
        <w:t>Méthode d’estimation et classe de l’estimation</w:t>
      </w:r>
    </w:p>
    <w:p w14:paraId="6B9DE2E9"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L’estimation est ascendante. L’effort est évalué lot de travail par lot de travail, à partir de la structure de découpage du projet. Le total est ensuite rapproché de l’enveloppe imposée au mandat.</w:t>
      </w:r>
    </w:p>
    <w:p w14:paraId="2316FFD4"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Cette enveloppe est une contrainte du mandat. Elle n’est pas un objectif à atteindre. Elle est fixée par l’ampleur du projet, soit 135 heures par membre.</w:t>
      </w:r>
    </w:p>
    <w:p w14:paraId="4461332B" w14:textId="77777777" w:rsidR="00F50D70" w:rsidRPr="00BE4F47" w:rsidRDefault="00000000" w:rsidP="008E113B">
      <w:pPr>
        <w:spacing w:after="130" w:line="360" w:lineRule="auto"/>
        <w:ind w:left="425"/>
        <w:rPr>
          <w:rFonts w:ascii="Aptos" w:hAnsi="Aptos"/>
        </w:rPr>
      </w:pPr>
      <w:r w:rsidRPr="00BE4F47">
        <w:rPr>
          <w:rFonts w:ascii="Aptos" w:eastAsia="Calibri" w:hAnsi="Aptos" w:cs="Calibri"/>
          <w:color w:val="1A1A19"/>
          <w:sz w:val="20"/>
          <w:szCs w:val="20"/>
        </w:rPr>
        <w:t>Au stade du plan de projet, le contenu technique n’est défini qu’à quelques pour cent. Selon la classification de l’AACE International, l’estimation appartient donc à la classe 5 : niveau de définition de 0 à 2 %, exactitude de −20 % à −50 % du côté bas et de +30 % à +100 % du côté haut [42]. Les chiffres ci-dessous servent à cadrer le mandat et à préparer le bordereau de prix. Ils n’engagent pas l’équipe sur un montant final.</w:t>
      </w:r>
    </w:p>
    <w:p w14:paraId="5FF4D994"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L’estimation devra être reclassée en classe 4 après l’approbation du cahier des charges, au jalon J1 de la section 10.</w:t>
      </w:r>
    </w:p>
    <w:p w14:paraId="4F4BDE41"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L’estimation repose sur les hypothèses de la section 8.2. Chacune a un effet direct sur le résultat. Elles doivent être présentées au client et au conseiller. Si l’une d’elles est infirmée, la présente section et le registre des risques de la section 7 sont révisés.</w:t>
      </w:r>
    </w:p>
    <w:p w14:paraId="2C9A3523" w14:textId="77777777" w:rsidR="00F50D70" w:rsidRPr="00B36301" w:rsidRDefault="00000000" w:rsidP="008E113B">
      <w:pPr>
        <w:pStyle w:val="Titre2"/>
        <w:spacing w:line="360" w:lineRule="auto"/>
      </w:pPr>
      <w:r w:rsidRPr="00B36301">
        <w:t>Registre des hypothèses</w:t>
      </w:r>
    </w:p>
    <w:p w14:paraId="32F54B2B"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Ce registre est le registre unique du plan de projet. Les autres sections y renvoient et n’en définissent pas d’autre. Chaque hypothèse porte l’effet de son infirmation et le risque de la section 7 qui la surveille.</w:t>
      </w:r>
    </w:p>
    <w:p w14:paraId="07518718" w14:textId="77777777" w:rsidR="00F50D70" w:rsidRPr="00BE4F47" w:rsidRDefault="00000000" w:rsidP="008E113B">
      <w:pPr>
        <w:pStyle w:val="Lgende"/>
        <w:spacing w:line="360" w:lineRule="auto"/>
        <w:rPr>
          <w:rFonts w:ascii="Aptos" w:hAnsi="Aptos"/>
        </w:rPr>
      </w:pPr>
      <w:r w:rsidRPr="00BE4F47">
        <w:rPr>
          <w:rFonts w:ascii="Aptos" w:hAnsi="Aptos"/>
        </w:rPr>
        <w:t>Tableau 8-1. Registre des hypothèses de l’estimation</w:t>
      </w:r>
    </w:p>
    <w:tbl>
      <w:tblPr>
        <w:tblW w:w="9360" w:type="dxa"/>
        <w:tblLayout w:type="fixed"/>
        <w:tblCellMar>
          <w:top w:w="55" w:type="dxa"/>
          <w:left w:w="85" w:type="dxa"/>
          <w:bottom w:w="55" w:type="dxa"/>
          <w:right w:w="85" w:type="dxa"/>
        </w:tblCellMar>
        <w:tblLook w:val="04A0" w:firstRow="1" w:lastRow="0" w:firstColumn="1" w:lastColumn="0" w:noHBand="0" w:noVBand="1"/>
      </w:tblPr>
      <w:tblGrid>
        <w:gridCol w:w="620"/>
        <w:gridCol w:w="3600"/>
        <w:gridCol w:w="3540"/>
        <w:gridCol w:w="1600"/>
      </w:tblGrid>
      <w:tr w:rsidR="00F50D70" w:rsidRPr="00BE4F47" w14:paraId="5DC22075" w14:textId="77777777">
        <w:trPr>
          <w:tblHeader/>
        </w:trPr>
        <w:tc>
          <w:tcPr>
            <w:tcW w:w="620" w:type="dxa"/>
            <w:tcBorders>
              <w:top w:val="single" w:sz="4" w:space="0" w:color="000000"/>
              <w:left w:val="single" w:sz="4" w:space="0" w:color="000000"/>
              <w:bottom w:val="single" w:sz="4" w:space="0" w:color="000000"/>
              <w:right w:val="single" w:sz="4" w:space="0" w:color="000000"/>
            </w:tcBorders>
            <w:shd w:val="clear" w:color="auto" w:fill="EFF4FB"/>
          </w:tcPr>
          <w:p w14:paraId="5DB8485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Réf.</w:t>
            </w:r>
          </w:p>
        </w:tc>
        <w:tc>
          <w:tcPr>
            <w:tcW w:w="3600" w:type="dxa"/>
            <w:tcBorders>
              <w:top w:val="single" w:sz="4" w:space="0" w:color="000000"/>
              <w:left w:val="single" w:sz="4" w:space="0" w:color="000000"/>
              <w:bottom w:val="single" w:sz="4" w:space="0" w:color="000000"/>
              <w:right w:val="single" w:sz="4" w:space="0" w:color="000000"/>
            </w:tcBorders>
            <w:shd w:val="clear" w:color="auto" w:fill="EFF4FB"/>
          </w:tcPr>
          <w:p w14:paraId="01BCC47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Hypothèse</w:t>
            </w:r>
          </w:p>
        </w:tc>
        <w:tc>
          <w:tcPr>
            <w:tcW w:w="3540" w:type="dxa"/>
            <w:tcBorders>
              <w:top w:val="single" w:sz="4" w:space="0" w:color="000000"/>
              <w:left w:val="single" w:sz="4" w:space="0" w:color="000000"/>
              <w:bottom w:val="single" w:sz="4" w:space="0" w:color="000000"/>
              <w:right w:val="single" w:sz="4" w:space="0" w:color="000000"/>
            </w:tcBorders>
            <w:shd w:val="clear" w:color="auto" w:fill="EFF4FB"/>
          </w:tcPr>
          <w:p w14:paraId="41C906C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Effet si elle est infirmée</w:t>
            </w:r>
          </w:p>
        </w:tc>
        <w:tc>
          <w:tcPr>
            <w:tcW w:w="1600" w:type="dxa"/>
            <w:tcBorders>
              <w:top w:val="single" w:sz="4" w:space="0" w:color="000000"/>
              <w:left w:val="single" w:sz="4" w:space="0" w:color="000000"/>
              <w:bottom w:val="single" w:sz="4" w:space="0" w:color="000000"/>
              <w:right w:val="single" w:sz="4" w:space="0" w:color="000000"/>
            </w:tcBorders>
            <w:shd w:val="clear" w:color="auto" w:fill="EFF4FB"/>
          </w:tcPr>
          <w:p w14:paraId="5815F76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associé</w:t>
            </w:r>
          </w:p>
        </w:tc>
      </w:tr>
      <w:tr w:rsidR="00F50D70" w:rsidRPr="00BE4F47" w14:paraId="1EBB822B"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7B641F1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H-01</w:t>
            </w:r>
          </w:p>
        </w:tc>
        <w:tc>
          <w:tcPr>
            <w:tcW w:w="3600" w:type="dxa"/>
            <w:tcBorders>
              <w:top w:val="single" w:sz="4" w:space="0" w:color="000000"/>
              <w:left w:val="single" w:sz="4" w:space="0" w:color="000000"/>
              <w:bottom w:val="single" w:sz="4" w:space="0" w:color="000000"/>
              <w:right w:val="single" w:sz="4" w:space="0" w:color="000000"/>
            </w:tcBorders>
          </w:tcPr>
          <w:p w14:paraId="4B0A89F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L’équipe compte 8 membres. Chaque membre consacre 135 heures au mandat, soit 1 080 heures au total. Ces 135 heures couvrent l’ensemble de l’effort porté au mandat, y compris les ateliers et la formation continue.</w:t>
            </w:r>
          </w:p>
        </w:tc>
        <w:tc>
          <w:tcPr>
            <w:tcW w:w="3540" w:type="dxa"/>
            <w:tcBorders>
              <w:top w:val="single" w:sz="4" w:space="0" w:color="000000"/>
              <w:left w:val="single" w:sz="4" w:space="0" w:color="000000"/>
              <w:bottom w:val="single" w:sz="4" w:space="0" w:color="000000"/>
              <w:right w:val="single" w:sz="4" w:space="0" w:color="000000"/>
            </w:tcBorders>
          </w:tcPr>
          <w:p w14:paraId="6E5C322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Toute l’estimation est proportionnelle à ce nombre.</w:t>
            </w:r>
          </w:p>
        </w:tc>
        <w:tc>
          <w:tcPr>
            <w:tcW w:w="1600" w:type="dxa"/>
            <w:tcBorders>
              <w:top w:val="single" w:sz="4" w:space="0" w:color="000000"/>
              <w:left w:val="single" w:sz="4" w:space="0" w:color="000000"/>
              <w:bottom w:val="single" w:sz="4" w:space="0" w:color="000000"/>
              <w:right w:val="single" w:sz="4" w:space="0" w:color="000000"/>
            </w:tcBorders>
          </w:tcPr>
          <w:p w14:paraId="61FC14E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33BE4FDD"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1A7D7CB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H-02</w:t>
            </w:r>
          </w:p>
        </w:tc>
        <w:tc>
          <w:tcPr>
            <w:tcW w:w="3600" w:type="dxa"/>
            <w:tcBorders>
              <w:top w:val="single" w:sz="4" w:space="0" w:color="000000"/>
              <w:left w:val="single" w:sz="4" w:space="0" w:color="000000"/>
              <w:bottom w:val="single" w:sz="4" w:space="0" w:color="000000"/>
              <w:right w:val="single" w:sz="4" w:space="0" w:color="000000"/>
            </w:tcBorders>
          </w:tcPr>
          <w:p w14:paraId="5B2580A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boucle thermohydraulique physique n’est mise à la disposition de l’équipe. Le système de référence auquel le jumeau numérique est comparé est un second modèle numérique, de fidélité supérieure et développé indépendamment. Ce second modèle joue le rôle de banc d’essai.</w:t>
            </w:r>
          </w:p>
        </w:tc>
        <w:tc>
          <w:tcPr>
            <w:tcW w:w="3540" w:type="dxa"/>
            <w:tcBorders>
              <w:top w:val="single" w:sz="4" w:space="0" w:color="000000"/>
              <w:left w:val="single" w:sz="4" w:space="0" w:color="000000"/>
              <w:bottom w:val="single" w:sz="4" w:space="0" w:color="000000"/>
              <w:right w:val="single" w:sz="4" w:space="0" w:color="000000"/>
            </w:tcBorders>
          </w:tcPr>
          <w:p w14:paraId="48C60F5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Majeur. Un banc physique ferait basculer le projet dans une autre classe de budget, avec achat, instrumentation et sécurité. L’enveloppe de 1 080 heures deviendrait intenable.</w:t>
            </w:r>
          </w:p>
        </w:tc>
        <w:tc>
          <w:tcPr>
            <w:tcW w:w="1600" w:type="dxa"/>
            <w:tcBorders>
              <w:top w:val="single" w:sz="4" w:space="0" w:color="000000"/>
              <w:left w:val="single" w:sz="4" w:space="0" w:color="000000"/>
              <w:bottom w:val="single" w:sz="4" w:space="0" w:color="000000"/>
              <w:right w:val="single" w:sz="4" w:space="0" w:color="000000"/>
            </w:tcBorders>
          </w:tcPr>
          <w:p w14:paraId="71465F2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r>
      <w:tr w:rsidR="00F50D70" w:rsidRPr="00BE4F47" w14:paraId="6905CA68"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270A975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H-03</w:t>
            </w:r>
          </w:p>
        </w:tc>
        <w:tc>
          <w:tcPr>
            <w:tcW w:w="3600" w:type="dxa"/>
            <w:tcBorders>
              <w:top w:val="single" w:sz="4" w:space="0" w:color="000000"/>
              <w:left w:val="single" w:sz="4" w:space="0" w:color="000000"/>
              <w:bottom w:val="single" w:sz="4" w:space="0" w:color="000000"/>
              <w:right w:val="single" w:sz="4" w:space="0" w:color="000000"/>
            </w:tcBorders>
          </w:tcPr>
          <w:p w14:paraId="5C5CDE7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donnée d’exploitation réelle de Gentilly-2 n’est accessible. Les jeux de données d’essai sont synthétiques. Ils sont générés par le modèle de référence, puis bruités et dégradés pour reproduire les défauts de capteurs étudiés.</w:t>
            </w:r>
          </w:p>
        </w:tc>
        <w:tc>
          <w:tcPr>
            <w:tcW w:w="3540" w:type="dxa"/>
            <w:tcBorders>
              <w:top w:val="single" w:sz="4" w:space="0" w:color="000000"/>
              <w:left w:val="single" w:sz="4" w:space="0" w:color="000000"/>
              <w:bottom w:val="single" w:sz="4" w:space="0" w:color="000000"/>
              <w:right w:val="single" w:sz="4" w:space="0" w:color="000000"/>
            </w:tcBorders>
          </w:tcPr>
          <w:p w14:paraId="71CE55D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campagne d’essais et la portée des conclusions devraient être redéfinies.</w:t>
            </w:r>
          </w:p>
        </w:tc>
        <w:tc>
          <w:tcPr>
            <w:tcW w:w="1600" w:type="dxa"/>
            <w:tcBorders>
              <w:top w:val="single" w:sz="4" w:space="0" w:color="000000"/>
              <w:left w:val="single" w:sz="4" w:space="0" w:color="000000"/>
              <w:bottom w:val="single" w:sz="4" w:space="0" w:color="000000"/>
              <w:right w:val="single" w:sz="4" w:space="0" w:color="000000"/>
            </w:tcBorders>
          </w:tcPr>
          <w:p w14:paraId="13C0DDB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r>
      <w:tr w:rsidR="00F50D70" w:rsidRPr="00BE4F47" w14:paraId="6BA405CA"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1E32E25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H-04</w:t>
            </w:r>
          </w:p>
        </w:tc>
        <w:tc>
          <w:tcPr>
            <w:tcW w:w="3600" w:type="dxa"/>
            <w:tcBorders>
              <w:top w:val="single" w:sz="4" w:space="0" w:color="000000"/>
              <w:left w:val="single" w:sz="4" w:space="0" w:color="000000"/>
              <w:bottom w:val="single" w:sz="4" w:space="0" w:color="000000"/>
              <w:right w:val="single" w:sz="4" w:space="0" w:color="000000"/>
            </w:tcBorders>
          </w:tcPr>
          <w:p w14:paraId="2121959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prototype vise un niveau de maturité technologique TRL 3 à 4. La modélisation est de type 0D/1D à paramètres concentrés, en écoulement monophasique. La thermohydraulique diphasique et la mécanique des fluides numérique tridimensionnelle sont exclues.</w:t>
            </w:r>
          </w:p>
        </w:tc>
        <w:tc>
          <w:tcPr>
            <w:tcW w:w="3540" w:type="dxa"/>
            <w:tcBorders>
              <w:top w:val="single" w:sz="4" w:space="0" w:color="000000"/>
              <w:left w:val="single" w:sz="4" w:space="0" w:color="000000"/>
              <w:bottom w:val="single" w:sz="4" w:space="0" w:color="000000"/>
              <w:right w:val="single" w:sz="4" w:space="0" w:color="000000"/>
            </w:tcBorders>
          </w:tcPr>
          <w:p w14:paraId="2074C35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 modèle diphasique ou tridimensionnel multiplierait l’effort de modélisation et de validation.</w:t>
            </w:r>
          </w:p>
        </w:tc>
        <w:tc>
          <w:tcPr>
            <w:tcW w:w="1600" w:type="dxa"/>
            <w:tcBorders>
              <w:top w:val="single" w:sz="4" w:space="0" w:color="000000"/>
              <w:left w:val="single" w:sz="4" w:space="0" w:color="000000"/>
              <w:bottom w:val="single" w:sz="4" w:space="0" w:color="000000"/>
              <w:right w:val="single" w:sz="4" w:space="0" w:color="000000"/>
            </w:tcBorders>
          </w:tcPr>
          <w:p w14:paraId="3A7668E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r>
      <w:tr w:rsidR="00F50D70" w:rsidRPr="00BE4F47" w14:paraId="793D8587"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0E7F115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H-05</w:t>
            </w:r>
          </w:p>
        </w:tc>
        <w:tc>
          <w:tcPr>
            <w:tcW w:w="3600" w:type="dxa"/>
            <w:tcBorders>
              <w:top w:val="single" w:sz="4" w:space="0" w:color="000000"/>
              <w:left w:val="single" w:sz="4" w:space="0" w:color="000000"/>
              <w:bottom w:val="single" w:sz="4" w:space="0" w:color="000000"/>
              <w:right w:val="single" w:sz="4" w:space="0" w:color="000000"/>
            </w:tcBorders>
          </w:tcPr>
          <w:p w14:paraId="3BC9134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logiciels utilisés sont libres ou couverts par les licences académiques de l’UQAC. Le coût de licence imputé au mandat est donc nul. Ce point doit être déclaré au client, car un déploiement industriel ne bénéficierait pas de cet avantage.</w:t>
            </w:r>
          </w:p>
        </w:tc>
        <w:tc>
          <w:tcPr>
            <w:tcW w:w="3540" w:type="dxa"/>
            <w:tcBorders>
              <w:top w:val="single" w:sz="4" w:space="0" w:color="000000"/>
              <w:left w:val="single" w:sz="4" w:space="0" w:color="000000"/>
              <w:bottom w:val="single" w:sz="4" w:space="0" w:color="000000"/>
              <w:right w:val="single" w:sz="4" w:space="0" w:color="000000"/>
            </w:tcBorders>
          </w:tcPr>
          <w:p w14:paraId="2BF5F22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Ajout de coûts de licence au bordereau de la section 9.</w:t>
            </w:r>
          </w:p>
        </w:tc>
        <w:tc>
          <w:tcPr>
            <w:tcW w:w="1600" w:type="dxa"/>
            <w:tcBorders>
              <w:top w:val="single" w:sz="4" w:space="0" w:color="000000"/>
              <w:left w:val="single" w:sz="4" w:space="0" w:color="000000"/>
              <w:bottom w:val="single" w:sz="4" w:space="0" w:color="000000"/>
              <w:right w:val="single" w:sz="4" w:space="0" w:color="000000"/>
            </w:tcBorders>
          </w:tcPr>
          <w:p w14:paraId="1558583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5416B8A4"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483891C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H-06</w:t>
            </w:r>
          </w:p>
        </w:tc>
        <w:tc>
          <w:tcPr>
            <w:tcW w:w="3600" w:type="dxa"/>
            <w:tcBorders>
              <w:top w:val="single" w:sz="4" w:space="0" w:color="000000"/>
              <w:left w:val="single" w:sz="4" w:space="0" w:color="000000"/>
              <w:bottom w:val="single" w:sz="4" w:space="0" w:color="000000"/>
              <w:right w:val="single" w:sz="4" w:space="0" w:color="000000"/>
            </w:tcBorders>
          </w:tcPr>
          <w:p w14:paraId="3D3DD51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locaux, le réseau et la puissance de calcul nécessaires sont fournis par l’UQAC.</w:t>
            </w:r>
          </w:p>
        </w:tc>
        <w:tc>
          <w:tcPr>
            <w:tcW w:w="3540" w:type="dxa"/>
            <w:tcBorders>
              <w:top w:val="single" w:sz="4" w:space="0" w:color="000000"/>
              <w:left w:val="single" w:sz="4" w:space="0" w:color="000000"/>
              <w:bottom w:val="single" w:sz="4" w:space="0" w:color="000000"/>
              <w:right w:val="single" w:sz="4" w:space="0" w:color="000000"/>
            </w:tcBorders>
          </w:tcPr>
          <w:p w14:paraId="0823A91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Ajout d’un poste d’infrastructure infonuagique.</w:t>
            </w:r>
          </w:p>
        </w:tc>
        <w:tc>
          <w:tcPr>
            <w:tcW w:w="1600" w:type="dxa"/>
            <w:tcBorders>
              <w:top w:val="single" w:sz="4" w:space="0" w:color="000000"/>
              <w:left w:val="single" w:sz="4" w:space="0" w:color="000000"/>
              <w:bottom w:val="single" w:sz="4" w:space="0" w:color="000000"/>
              <w:right w:val="single" w:sz="4" w:space="0" w:color="000000"/>
            </w:tcBorders>
          </w:tcPr>
          <w:p w14:paraId="5B1BC9B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37DB386B"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06B63DC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H-07</w:t>
            </w:r>
          </w:p>
        </w:tc>
        <w:tc>
          <w:tcPr>
            <w:tcW w:w="3600" w:type="dxa"/>
            <w:tcBorders>
              <w:top w:val="single" w:sz="4" w:space="0" w:color="000000"/>
              <w:left w:val="single" w:sz="4" w:space="0" w:color="000000"/>
              <w:bottom w:val="single" w:sz="4" w:space="0" w:color="000000"/>
              <w:right w:val="single" w:sz="4" w:space="0" w:color="000000"/>
            </w:tcBorders>
          </w:tcPr>
          <w:p w14:paraId="186CB8B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L’accès aux normes CSA, ISO, IEC et ASME se fait par l’abonnement institutionnel de la bibliothèque de l’UQAC.</w:t>
            </w:r>
          </w:p>
        </w:tc>
        <w:tc>
          <w:tcPr>
            <w:tcW w:w="3540" w:type="dxa"/>
            <w:tcBorders>
              <w:top w:val="single" w:sz="4" w:space="0" w:color="000000"/>
              <w:left w:val="single" w:sz="4" w:space="0" w:color="000000"/>
              <w:bottom w:val="single" w:sz="4" w:space="0" w:color="000000"/>
              <w:right w:val="single" w:sz="4" w:space="0" w:color="000000"/>
            </w:tcBorders>
          </w:tcPr>
          <w:p w14:paraId="1DF7DC0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Achat unitaire des normes, soit plusieurs centaines de dollars à porter au budget. Les normes non consultées en texte intégral devraient alors être déclarées comme telles à la section 6.</w:t>
            </w:r>
          </w:p>
        </w:tc>
        <w:tc>
          <w:tcPr>
            <w:tcW w:w="1600" w:type="dxa"/>
            <w:tcBorders>
              <w:top w:val="single" w:sz="4" w:space="0" w:color="000000"/>
              <w:left w:val="single" w:sz="4" w:space="0" w:color="000000"/>
              <w:bottom w:val="single" w:sz="4" w:space="0" w:color="000000"/>
              <w:right w:val="single" w:sz="4" w:space="0" w:color="000000"/>
            </w:tcBorders>
          </w:tcPr>
          <w:p w14:paraId="48C13A0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31E1B352"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7010249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H-08</w:t>
            </w:r>
          </w:p>
        </w:tc>
        <w:tc>
          <w:tcPr>
            <w:tcW w:w="3600" w:type="dxa"/>
            <w:tcBorders>
              <w:top w:val="single" w:sz="4" w:space="0" w:color="000000"/>
              <w:left w:val="single" w:sz="4" w:space="0" w:color="000000"/>
              <w:bottom w:val="single" w:sz="4" w:space="0" w:color="000000"/>
              <w:right w:val="single" w:sz="4" w:space="0" w:color="000000"/>
            </w:tcBorders>
          </w:tcPr>
          <w:p w14:paraId="36592FF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temps du conseiller et du coordonnateur n’est pas facturable au mandat, conformément aux règles du cours.</w:t>
            </w:r>
          </w:p>
        </w:tc>
        <w:tc>
          <w:tcPr>
            <w:tcW w:w="3540" w:type="dxa"/>
            <w:tcBorders>
              <w:top w:val="single" w:sz="4" w:space="0" w:color="000000"/>
              <w:left w:val="single" w:sz="4" w:space="0" w:color="000000"/>
              <w:bottom w:val="single" w:sz="4" w:space="0" w:color="000000"/>
              <w:right w:val="single" w:sz="4" w:space="0" w:color="000000"/>
            </w:tcBorders>
          </w:tcPr>
          <w:p w14:paraId="1690FE1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effet sur les heures. À rappeler dans les limites du mandat.</w:t>
            </w:r>
          </w:p>
        </w:tc>
        <w:tc>
          <w:tcPr>
            <w:tcW w:w="1600" w:type="dxa"/>
            <w:tcBorders>
              <w:top w:val="single" w:sz="4" w:space="0" w:color="000000"/>
              <w:left w:val="single" w:sz="4" w:space="0" w:color="000000"/>
              <w:bottom w:val="single" w:sz="4" w:space="0" w:color="000000"/>
              <w:right w:val="single" w:sz="4" w:space="0" w:color="000000"/>
            </w:tcBorders>
          </w:tcPr>
          <w:p w14:paraId="5371053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w:t>
            </w:r>
          </w:p>
        </w:tc>
      </w:tr>
      <w:tr w:rsidR="00F50D70" w:rsidRPr="00BE4F47" w14:paraId="16001C39"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3AA92E4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H-09</w:t>
            </w:r>
          </w:p>
        </w:tc>
        <w:tc>
          <w:tcPr>
            <w:tcW w:w="3600" w:type="dxa"/>
            <w:tcBorders>
              <w:top w:val="single" w:sz="4" w:space="0" w:color="000000"/>
              <w:left w:val="single" w:sz="4" w:space="0" w:color="000000"/>
              <w:bottom w:val="single" w:sz="4" w:space="0" w:color="000000"/>
              <w:right w:val="single" w:sz="4" w:space="0" w:color="000000"/>
            </w:tcBorders>
          </w:tcPr>
          <w:p w14:paraId="07620DD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température, la pression et le débit suffisent à caractériser l’état de la boucle pour les scénarios étudiés (exigence EX-F-01).</w:t>
            </w:r>
          </w:p>
        </w:tc>
        <w:tc>
          <w:tcPr>
            <w:tcW w:w="3540" w:type="dxa"/>
            <w:tcBorders>
              <w:top w:val="single" w:sz="4" w:space="0" w:color="000000"/>
              <w:left w:val="single" w:sz="4" w:space="0" w:color="000000"/>
              <w:bottom w:val="single" w:sz="4" w:space="0" w:color="000000"/>
              <w:right w:val="single" w:sz="4" w:space="0" w:color="000000"/>
            </w:tcBorders>
          </w:tcPr>
          <w:p w14:paraId="57B926E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détection manquerait certains modes de défaillance. Une quatrième variable imposerait une reprise du modèle et de la chaîne d’acquisition.</w:t>
            </w:r>
          </w:p>
        </w:tc>
        <w:tc>
          <w:tcPr>
            <w:tcW w:w="1600" w:type="dxa"/>
            <w:tcBorders>
              <w:top w:val="single" w:sz="4" w:space="0" w:color="000000"/>
              <w:left w:val="single" w:sz="4" w:space="0" w:color="000000"/>
              <w:bottom w:val="single" w:sz="4" w:space="0" w:color="000000"/>
              <w:right w:val="single" w:sz="4" w:space="0" w:color="000000"/>
            </w:tcBorders>
          </w:tcPr>
          <w:p w14:paraId="751732A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RT5</w:t>
            </w:r>
          </w:p>
        </w:tc>
      </w:tr>
      <w:tr w:rsidR="00F50D70" w:rsidRPr="00BE4F47" w14:paraId="47C4E096"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1D47767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H-10</w:t>
            </w:r>
          </w:p>
        </w:tc>
        <w:tc>
          <w:tcPr>
            <w:tcW w:w="3600" w:type="dxa"/>
            <w:tcBorders>
              <w:top w:val="single" w:sz="4" w:space="0" w:color="000000"/>
              <w:left w:val="single" w:sz="4" w:space="0" w:color="000000"/>
              <w:bottom w:val="single" w:sz="4" w:space="0" w:color="000000"/>
              <w:right w:val="single" w:sz="4" w:space="0" w:color="000000"/>
            </w:tcBorders>
          </w:tcPr>
          <w:p w14:paraId="5998C98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seuils de dérive et les critères de criticité sont fixés par l’analyse de risques et par les essais, et non posés a priori.</w:t>
            </w:r>
          </w:p>
        </w:tc>
        <w:tc>
          <w:tcPr>
            <w:tcW w:w="3540" w:type="dxa"/>
            <w:tcBorders>
              <w:top w:val="single" w:sz="4" w:space="0" w:color="000000"/>
              <w:left w:val="single" w:sz="4" w:space="0" w:color="000000"/>
              <w:bottom w:val="single" w:sz="4" w:space="0" w:color="000000"/>
              <w:right w:val="single" w:sz="4" w:space="0" w:color="000000"/>
            </w:tcBorders>
          </w:tcPr>
          <w:p w14:paraId="557874D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critères d’alarme resteraient arbitraires. La décision est à prendre au jalon J2, avec sa justification consignée.</w:t>
            </w:r>
          </w:p>
        </w:tc>
        <w:tc>
          <w:tcPr>
            <w:tcW w:w="1600" w:type="dxa"/>
            <w:tcBorders>
              <w:top w:val="single" w:sz="4" w:space="0" w:color="000000"/>
              <w:left w:val="single" w:sz="4" w:space="0" w:color="000000"/>
              <w:bottom w:val="single" w:sz="4" w:space="0" w:color="000000"/>
              <w:right w:val="single" w:sz="4" w:space="0" w:color="000000"/>
            </w:tcBorders>
          </w:tcPr>
          <w:p w14:paraId="092767C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 RT6</w:t>
            </w:r>
          </w:p>
        </w:tc>
      </w:tr>
    </w:tbl>
    <w:p w14:paraId="66E8A32C" w14:textId="77777777" w:rsidR="00F50D70" w:rsidRPr="00BE4F47" w:rsidRDefault="00F50D70" w:rsidP="008E113B">
      <w:pPr>
        <w:spacing w:line="360" w:lineRule="auto"/>
        <w:ind w:left="0"/>
        <w:rPr>
          <w:rFonts w:ascii="Aptos" w:hAnsi="Aptos"/>
        </w:rPr>
      </w:pPr>
    </w:p>
    <w:p w14:paraId="05C8B02C" w14:textId="77777777" w:rsidR="00F50D70" w:rsidRPr="00B36301" w:rsidRDefault="00000000" w:rsidP="008E113B">
      <w:pPr>
        <w:pStyle w:val="Titre2"/>
        <w:spacing w:line="360" w:lineRule="auto"/>
      </w:pPr>
      <w:r w:rsidRPr="00B36301">
        <w:t>Ressources humaines</w:t>
      </w:r>
    </w:p>
    <w:p w14:paraId="7F1B2BA6" w14:textId="77777777" w:rsidR="00F50D70" w:rsidRPr="00BE4F47" w:rsidRDefault="00000000" w:rsidP="008E113B">
      <w:pPr>
        <w:pStyle w:val="Titre3"/>
        <w:spacing w:line="360" w:lineRule="auto"/>
        <w:rPr>
          <w:rFonts w:ascii="Aptos" w:hAnsi="Aptos"/>
        </w:rPr>
      </w:pPr>
      <w:r w:rsidRPr="00BE4F47">
        <w:rPr>
          <w:rFonts w:ascii="Aptos" w:hAnsi="Aptos"/>
        </w:rPr>
        <w:t>Répartition de l’effort par lot de travail</w:t>
      </w:r>
    </w:p>
    <w:p w14:paraId="50666AD3"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Les 1 080 heures d’ingénierie sont réparties entre neuf lots de travail. Ce tableau est la définition de référence des lots L1 à L9. Les sections 1, 5 et 7 y renvoient pour rattacher leurs exigences, leurs sources et leurs risques.</w:t>
      </w:r>
    </w:p>
    <w:p w14:paraId="041D13AC" w14:textId="77777777" w:rsidR="00F50D70" w:rsidRPr="00BE4F47" w:rsidRDefault="00000000" w:rsidP="008E113B">
      <w:pPr>
        <w:spacing w:after="130" w:line="360" w:lineRule="auto"/>
        <w:ind w:left="992"/>
        <w:rPr>
          <w:rFonts w:ascii="Aptos" w:eastAsia="Calibri" w:hAnsi="Aptos" w:cs="Calibri"/>
          <w:color w:val="1A1A19"/>
          <w:sz w:val="20"/>
          <w:szCs w:val="20"/>
        </w:rPr>
      </w:pPr>
      <w:r w:rsidRPr="00BE4F47">
        <w:rPr>
          <w:rFonts w:ascii="Aptos" w:eastAsia="Calibri" w:hAnsi="Aptos" w:cs="Calibri"/>
          <w:color w:val="1A1A19"/>
          <w:sz w:val="20"/>
          <w:szCs w:val="20"/>
        </w:rPr>
        <w:t>La répartition suit une priorité. Le modèle de référence, le noyau de simulation et la campagne d’essais reçoivent 42 % de l’effort. Ce sont les trois lots qui portent la valeur du livrable. L’interface d’aide à la décision reçoit 8 %. Un outil d’aide à la décision se juge sur la justesse de ce qu’il affiche, pas sur son apparence.</w:t>
      </w:r>
    </w:p>
    <w:p w14:paraId="6A8859FD" w14:textId="77777777" w:rsidR="00F50D70" w:rsidRPr="00BE4F47" w:rsidRDefault="00000000" w:rsidP="008E113B">
      <w:pPr>
        <w:pStyle w:val="Lgende"/>
        <w:spacing w:line="360" w:lineRule="auto"/>
        <w:rPr>
          <w:rFonts w:ascii="Aptos" w:hAnsi="Aptos"/>
        </w:rPr>
      </w:pPr>
      <w:r w:rsidRPr="00BE4F47">
        <w:rPr>
          <w:rFonts w:ascii="Aptos" w:hAnsi="Aptos"/>
        </w:rPr>
        <w:t>Tableau 8-2. Répartition de l’effort par lot de travail</w:t>
      </w:r>
    </w:p>
    <w:tbl>
      <w:tblPr>
        <w:tblW w:w="9360" w:type="dxa"/>
        <w:tblLayout w:type="fixed"/>
        <w:tblCellMar>
          <w:top w:w="55" w:type="dxa"/>
          <w:left w:w="85" w:type="dxa"/>
          <w:bottom w:w="55" w:type="dxa"/>
          <w:right w:w="85" w:type="dxa"/>
        </w:tblCellMar>
        <w:tblLook w:val="04A0" w:firstRow="1" w:lastRow="0" w:firstColumn="1" w:lastColumn="0" w:noHBand="0" w:noVBand="1"/>
      </w:tblPr>
      <w:tblGrid>
        <w:gridCol w:w="620"/>
        <w:gridCol w:w="3300"/>
        <w:gridCol w:w="900"/>
        <w:gridCol w:w="700"/>
        <w:gridCol w:w="3840"/>
      </w:tblGrid>
      <w:tr w:rsidR="00F50D70" w:rsidRPr="00BE4F47" w14:paraId="133091E8" w14:textId="77777777">
        <w:trPr>
          <w:tblHeader/>
        </w:trPr>
        <w:tc>
          <w:tcPr>
            <w:tcW w:w="620" w:type="dxa"/>
            <w:tcBorders>
              <w:top w:val="single" w:sz="4" w:space="0" w:color="000000"/>
              <w:left w:val="single" w:sz="4" w:space="0" w:color="000000"/>
              <w:bottom w:val="single" w:sz="4" w:space="0" w:color="000000"/>
              <w:right w:val="single" w:sz="4" w:space="0" w:color="000000"/>
            </w:tcBorders>
            <w:shd w:val="clear" w:color="auto" w:fill="EFF4FB"/>
          </w:tcPr>
          <w:p w14:paraId="0BF13B1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Lot</w:t>
            </w:r>
          </w:p>
        </w:tc>
        <w:tc>
          <w:tcPr>
            <w:tcW w:w="3300" w:type="dxa"/>
            <w:tcBorders>
              <w:top w:val="single" w:sz="4" w:space="0" w:color="000000"/>
              <w:left w:val="single" w:sz="4" w:space="0" w:color="000000"/>
              <w:bottom w:val="single" w:sz="4" w:space="0" w:color="000000"/>
              <w:right w:val="single" w:sz="4" w:space="0" w:color="000000"/>
            </w:tcBorders>
            <w:shd w:val="clear" w:color="auto" w:fill="EFF4FB"/>
          </w:tcPr>
          <w:p w14:paraId="4073D43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Intitulé</w:t>
            </w:r>
          </w:p>
        </w:tc>
        <w:tc>
          <w:tcPr>
            <w:tcW w:w="900" w:type="dxa"/>
            <w:tcBorders>
              <w:top w:val="single" w:sz="4" w:space="0" w:color="000000"/>
              <w:left w:val="single" w:sz="4" w:space="0" w:color="000000"/>
              <w:bottom w:val="single" w:sz="4" w:space="0" w:color="000000"/>
              <w:right w:val="single" w:sz="4" w:space="0" w:color="000000"/>
            </w:tcBorders>
            <w:shd w:val="clear" w:color="auto" w:fill="EFF4FB"/>
          </w:tcPr>
          <w:p w14:paraId="36A02D8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Effort</w:t>
            </w:r>
          </w:p>
        </w:tc>
        <w:tc>
          <w:tcPr>
            <w:tcW w:w="700" w:type="dxa"/>
            <w:tcBorders>
              <w:top w:val="single" w:sz="4" w:space="0" w:color="000000"/>
              <w:left w:val="single" w:sz="4" w:space="0" w:color="000000"/>
              <w:bottom w:val="single" w:sz="4" w:space="0" w:color="000000"/>
              <w:right w:val="single" w:sz="4" w:space="0" w:color="000000"/>
            </w:tcBorders>
            <w:shd w:val="clear" w:color="auto" w:fill="EFF4FB"/>
          </w:tcPr>
          <w:p w14:paraId="3A00343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Part</w:t>
            </w:r>
          </w:p>
        </w:tc>
        <w:tc>
          <w:tcPr>
            <w:tcW w:w="3840" w:type="dxa"/>
            <w:tcBorders>
              <w:top w:val="single" w:sz="4" w:space="0" w:color="000000"/>
              <w:left w:val="single" w:sz="4" w:space="0" w:color="000000"/>
              <w:bottom w:val="single" w:sz="4" w:space="0" w:color="000000"/>
              <w:right w:val="single" w:sz="4" w:space="0" w:color="000000"/>
            </w:tcBorders>
            <w:shd w:val="clear" w:color="auto" w:fill="EFF4FB"/>
          </w:tcPr>
          <w:p w14:paraId="34E0127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Compétences dominantes</w:t>
            </w:r>
          </w:p>
        </w:tc>
      </w:tr>
      <w:tr w:rsidR="00F50D70" w:rsidRPr="00BE4F47" w14:paraId="6683A268"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495A39B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L1</w:t>
            </w:r>
          </w:p>
        </w:tc>
        <w:tc>
          <w:tcPr>
            <w:tcW w:w="3300" w:type="dxa"/>
            <w:tcBorders>
              <w:top w:val="single" w:sz="4" w:space="0" w:color="000000"/>
              <w:left w:val="single" w:sz="4" w:space="0" w:color="000000"/>
              <w:bottom w:val="single" w:sz="4" w:space="0" w:color="000000"/>
              <w:right w:val="single" w:sz="4" w:space="0" w:color="000000"/>
            </w:tcBorders>
          </w:tcPr>
          <w:p w14:paraId="2565D3F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 projet, assurance qualité et documentation</w:t>
            </w:r>
          </w:p>
        </w:tc>
        <w:tc>
          <w:tcPr>
            <w:tcW w:w="900" w:type="dxa"/>
            <w:tcBorders>
              <w:top w:val="single" w:sz="4" w:space="0" w:color="000000"/>
              <w:left w:val="single" w:sz="4" w:space="0" w:color="000000"/>
              <w:bottom w:val="single" w:sz="4" w:space="0" w:color="000000"/>
              <w:right w:val="single" w:sz="4" w:space="0" w:color="000000"/>
            </w:tcBorders>
          </w:tcPr>
          <w:p w14:paraId="4E80749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700" w:type="dxa"/>
            <w:tcBorders>
              <w:top w:val="single" w:sz="4" w:space="0" w:color="000000"/>
              <w:left w:val="single" w:sz="4" w:space="0" w:color="000000"/>
              <w:bottom w:val="single" w:sz="4" w:space="0" w:color="000000"/>
              <w:right w:val="single" w:sz="4" w:space="0" w:color="000000"/>
            </w:tcBorders>
          </w:tcPr>
          <w:p w14:paraId="31053C2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840" w:type="dxa"/>
            <w:tcBorders>
              <w:top w:val="single" w:sz="4" w:space="0" w:color="000000"/>
              <w:left w:val="single" w:sz="4" w:space="0" w:color="000000"/>
              <w:bottom w:val="single" w:sz="4" w:space="0" w:color="000000"/>
              <w:right w:val="single" w:sz="4" w:space="0" w:color="000000"/>
            </w:tcBorders>
          </w:tcPr>
          <w:p w14:paraId="30E1EE6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rédaction technique</w:t>
            </w:r>
          </w:p>
        </w:tc>
      </w:tr>
      <w:tr w:rsidR="00F50D70" w:rsidRPr="00BE4F47" w14:paraId="152B5A3A"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62FA6A7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L2</w:t>
            </w:r>
          </w:p>
        </w:tc>
        <w:tc>
          <w:tcPr>
            <w:tcW w:w="3300" w:type="dxa"/>
            <w:tcBorders>
              <w:top w:val="single" w:sz="4" w:space="0" w:color="000000"/>
              <w:left w:val="single" w:sz="4" w:space="0" w:color="000000"/>
              <w:bottom w:val="single" w:sz="4" w:space="0" w:color="000000"/>
              <w:right w:val="single" w:sz="4" w:space="0" w:color="000000"/>
            </w:tcBorders>
          </w:tcPr>
          <w:p w14:paraId="3BD231C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Ingénierie des exigences et analyse fonctionnelle</w:t>
            </w:r>
          </w:p>
        </w:tc>
        <w:tc>
          <w:tcPr>
            <w:tcW w:w="900" w:type="dxa"/>
            <w:tcBorders>
              <w:top w:val="single" w:sz="4" w:space="0" w:color="000000"/>
              <w:left w:val="single" w:sz="4" w:space="0" w:color="000000"/>
              <w:bottom w:val="single" w:sz="4" w:space="0" w:color="000000"/>
              <w:right w:val="single" w:sz="4" w:space="0" w:color="000000"/>
            </w:tcBorders>
          </w:tcPr>
          <w:p w14:paraId="09CCE9D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700" w:type="dxa"/>
            <w:tcBorders>
              <w:top w:val="single" w:sz="4" w:space="0" w:color="000000"/>
              <w:left w:val="single" w:sz="4" w:space="0" w:color="000000"/>
              <w:bottom w:val="single" w:sz="4" w:space="0" w:color="000000"/>
              <w:right w:val="single" w:sz="4" w:space="0" w:color="000000"/>
            </w:tcBorders>
          </w:tcPr>
          <w:p w14:paraId="15331C8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840" w:type="dxa"/>
            <w:tcBorders>
              <w:top w:val="single" w:sz="4" w:space="0" w:color="000000"/>
              <w:left w:val="single" w:sz="4" w:space="0" w:color="000000"/>
              <w:bottom w:val="single" w:sz="4" w:space="0" w:color="000000"/>
              <w:right w:val="single" w:sz="4" w:space="0" w:color="000000"/>
            </w:tcBorders>
          </w:tcPr>
          <w:p w14:paraId="64D9DE2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Analyse, modélisation SysML et UML</w:t>
            </w:r>
          </w:p>
        </w:tc>
      </w:tr>
      <w:tr w:rsidR="00F50D70" w:rsidRPr="00BE4F47" w14:paraId="2A28F54C"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3B312C6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L3</w:t>
            </w:r>
          </w:p>
        </w:tc>
        <w:tc>
          <w:tcPr>
            <w:tcW w:w="3300" w:type="dxa"/>
            <w:tcBorders>
              <w:top w:val="single" w:sz="4" w:space="0" w:color="000000"/>
              <w:left w:val="single" w:sz="4" w:space="0" w:color="000000"/>
              <w:bottom w:val="single" w:sz="4" w:space="0" w:color="000000"/>
              <w:right w:val="single" w:sz="4" w:space="0" w:color="000000"/>
            </w:tcBorders>
          </w:tcPr>
          <w:p w14:paraId="688224C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État de l’art, normes, codes et cadre réglementaire</w:t>
            </w:r>
          </w:p>
        </w:tc>
        <w:tc>
          <w:tcPr>
            <w:tcW w:w="900" w:type="dxa"/>
            <w:tcBorders>
              <w:top w:val="single" w:sz="4" w:space="0" w:color="000000"/>
              <w:left w:val="single" w:sz="4" w:space="0" w:color="000000"/>
              <w:bottom w:val="single" w:sz="4" w:space="0" w:color="000000"/>
              <w:right w:val="single" w:sz="4" w:space="0" w:color="000000"/>
            </w:tcBorders>
          </w:tcPr>
          <w:p w14:paraId="63C964D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86 h</w:t>
            </w:r>
          </w:p>
        </w:tc>
        <w:tc>
          <w:tcPr>
            <w:tcW w:w="700" w:type="dxa"/>
            <w:tcBorders>
              <w:top w:val="single" w:sz="4" w:space="0" w:color="000000"/>
              <w:left w:val="single" w:sz="4" w:space="0" w:color="000000"/>
              <w:bottom w:val="single" w:sz="4" w:space="0" w:color="000000"/>
              <w:right w:val="single" w:sz="4" w:space="0" w:color="000000"/>
            </w:tcBorders>
          </w:tcPr>
          <w:p w14:paraId="402F878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8 %</w:t>
            </w:r>
          </w:p>
        </w:tc>
        <w:tc>
          <w:tcPr>
            <w:tcW w:w="3840" w:type="dxa"/>
            <w:tcBorders>
              <w:top w:val="single" w:sz="4" w:space="0" w:color="000000"/>
              <w:left w:val="single" w:sz="4" w:space="0" w:color="000000"/>
              <w:bottom w:val="single" w:sz="4" w:space="0" w:color="000000"/>
              <w:right w:val="single" w:sz="4" w:space="0" w:color="000000"/>
            </w:tcBorders>
          </w:tcPr>
          <w:p w14:paraId="7A6FB2B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Recherche documentaire, veille normative</w:t>
            </w:r>
          </w:p>
        </w:tc>
      </w:tr>
      <w:tr w:rsidR="00F50D70" w:rsidRPr="00BE4F47" w14:paraId="48846B0C"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0057292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L4</w:t>
            </w:r>
          </w:p>
        </w:tc>
        <w:tc>
          <w:tcPr>
            <w:tcW w:w="3300" w:type="dxa"/>
            <w:tcBorders>
              <w:top w:val="single" w:sz="4" w:space="0" w:color="000000"/>
              <w:left w:val="single" w:sz="4" w:space="0" w:color="000000"/>
              <w:bottom w:val="single" w:sz="4" w:space="0" w:color="000000"/>
              <w:right w:val="single" w:sz="4" w:space="0" w:color="000000"/>
            </w:tcBorders>
          </w:tcPr>
          <w:p w14:paraId="2AD3382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de la boucle et modèle de référence</w:t>
            </w:r>
          </w:p>
        </w:tc>
        <w:tc>
          <w:tcPr>
            <w:tcW w:w="900" w:type="dxa"/>
            <w:tcBorders>
              <w:top w:val="single" w:sz="4" w:space="0" w:color="000000"/>
              <w:left w:val="single" w:sz="4" w:space="0" w:color="000000"/>
              <w:bottom w:val="single" w:sz="4" w:space="0" w:color="000000"/>
              <w:right w:val="single" w:sz="4" w:space="0" w:color="000000"/>
            </w:tcBorders>
          </w:tcPr>
          <w:p w14:paraId="041F033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162 h</w:t>
            </w:r>
          </w:p>
        </w:tc>
        <w:tc>
          <w:tcPr>
            <w:tcW w:w="700" w:type="dxa"/>
            <w:tcBorders>
              <w:top w:val="single" w:sz="4" w:space="0" w:color="000000"/>
              <w:left w:val="single" w:sz="4" w:space="0" w:color="000000"/>
              <w:bottom w:val="single" w:sz="4" w:space="0" w:color="000000"/>
              <w:right w:val="single" w:sz="4" w:space="0" w:color="000000"/>
            </w:tcBorders>
          </w:tcPr>
          <w:p w14:paraId="34CB60A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15 %</w:t>
            </w:r>
          </w:p>
        </w:tc>
        <w:tc>
          <w:tcPr>
            <w:tcW w:w="3840" w:type="dxa"/>
            <w:tcBorders>
              <w:top w:val="single" w:sz="4" w:space="0" w:color="000000"/>
              <w:left w:val="single" w:sz="4" w:space="0" w:color="000000"/>
              <w:bottom w:val="single" w:sz="4" w:space="0" w:color="000000"/>
              <w:right w:val="single" w:sz="4" w:space="0" w:color="000000"/>
            </w:tcBorders>
          </w:tcPr>
          <w:p w14:paraId="794789F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Thermodynamique, mécanique des fluides, Modelica</w:t>
            </w:r>
          </w:p>
        </w:tc>
      </w:tr>
      <w:tr w:rsidR="00F50D70" w:rsidRPr="00BE4F47" w14:paraId="2073DBDE"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1B0B8CB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L5</w:t>
            </w:r>
          </w:p>
        </w:tc>
        <w:tc>
          <w:tcPr>
            <w:tcW w:w="3300" w:type="dxa"/>
            <w:tcBorders>
              <w:top w:val="single" w:sz="4" w:space="0" w:color="000000"/>
              <w:left w:val="single" w:sz="4" w:space="0" w:color="000000"/>
              <w:bottom w:val="single" w:sz="4" w:space="0" w:color="000000"/>
              <w:right w:val="single" w:sz="4" w:space="0" w:color="000000"/>
            </w:tcBorders>
          </w:tcPr>
          <w:p w14:paraId="25213A4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Architecture logicielle et cybersécurité</w:t>
            </w:r>
          </w:p>
        </w:tc>
        <w:tc>
          <w:tcPr>
            <w:tcW w:w="900" w:type="dxa"/>
            <w:tcBorders>
              <w:top w:val="single" w:sz="4" w:space="0" w:color="000000"/>
              <w:left w:val="single" w:sz="4" w:space="0" w:color="000000"/>
              <w:bottom w:val="single" w:sz="4" w:space="0" w:color="000000"/>
              <w:right w:val="single" w:sz="4" w:space="0" w:color="000000"/>
            </w:tcBorders>
          </w:tcPr>
          <w:p w14:paraId="06C525F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130 h</w:t>
            </w:r>
          </w:p>
        </w:tc>
        <w:tc>
          <w:tcPr>
            <w:tcW w:w="700" w:type="dxa"/>
            <w:tcBorders>
              <w:top w:val="single" w:sz="4" w:space="0" w:color="000000"/>
              <w:left w:val="single" w:sz="4" w:space="0" w:color="000000"/>
              <w:bottom w:val="single" w:sz="4" w:space="0" w:color="000000"/>
              <w:right w:val="single" w:sz="4" w:space="0" w:color="000000"/>
            </w:tcBorders>
          </w:tcPr>
          <w:p w14:paraId="544F01D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w:t>
            </w:r>
          </w:p>
        </w:tc>
        <w:tc>
          <w:tcPr>
            <w:tcW w:w="3840" w:type="dxa"/>
            <w:tcBorders>
              <w:top w:val="single" w:sz="4" w:space="0" w:color="000000"/>
              <w:left w:val="single" w:sz="4" w:space="0" w:color="000000"/>
              <w:bottom w:val="single" w:sz="4" w:space="0" w:color="000000"/>
              <w:right w:val="single" w:sz="4" w:space="0" w:color="000000"/>
            </w:tcBorders>
          </w:tcPr>
          <w:p w14:paraId="7607B33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Architecture, réseaux, sécurité des systèmes industriels</w:t>
            </w:r>
          </w:p>
        </w:tc>
      </w:tr>
      <w:tr w:rsidR="00F50D70" w:rsidRPr="00BE4F47" w14:paraId="5183F643"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17C689D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L6</w:t>
            </w:r>
          </w:p>
        </w:tc>
        <w:tc>
          <w:tcPr>
            <w:tcW w:w="3300" w:type="dxa"/>
            <w:tcBorders>
              <w:top w:val="single" w:sz="4" w:space="0" w:color="000000"/>
              <w:left w:val="single" w:sz="4" w:space="0" w:color="000000"/>
              <w:bottom w:val="single" w:sz="4" w:space="0" w:color="000000"/>
              <w:right w:val="single" w:sz="4" w:space="0" w:color="000000"/>
            </w:tcBorders>
          </w:tcPr>
          <w:p w14:paraId="36A223A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de simulation et chaîne d’acquisition des données</w:t>
            </w:r>
          </w:p>
        </w:tc>
        <w:tc>
          <w:tcPr>
            <w:tcW w:w="900" w:type="dxa"/>
            <w:tcBorders>
              <w:top w:val="single" w:sz="4" w:space="0" w:color="000000"/>
              <w:left w:val="single" w:sz="4" w:space="0" w:color="000000"/>
              <w:bottom w:val="single" w:sz="4" w:space="0" w:color="000000"/>
              <w:right w:val="single" w:sz="4" w:space="0" w:color="000000"/>
            </w:tcBorders>
          </w:tcPr>
          <w:p w14:paraId="053E291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162 h</w:t>
            </w:r>
          </w:p>
        </w:tc>
        <w:tc>
          <w:tcPr>
            <w:tcW w:w="700" w:type="dxa"/>
            <w:tcBorders>
              <w:top w:val="single" w:sz="4" w:space="0" w:color="000000"/>
              <w:left w:val="single" w:sz="4" w:space="0" w:color="000000"/>
              <w:bottom w:val="single" w:sz="4" w:space="0" w:color="000000"/>
              <w:right w:val="single" w:sz="4" w:space="0" w:color="000000"/>
            </w:tcBorders>
          </w:tcPr>
          <w:p w14:paraId="3CBA268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15 %</w:t>
            </w:r>
          </w:p>
        </w:tc>
        <w:tc>
          <w:tcPr>
            <w:tcW w:w="3840" w:type="dxa"/>
            <w:tcBorders>
              <w:top w:val="single" w:sz="4" w:space="0" w:color="000000"/>
              <w:left w:val="single" w:sz="4" w:space="0" w:color="000000"/>
              <w:bottom w:val="single" w:sz="4" w:space="0" w:color="000000"/>
              <w:right w:val="single" w:sz="4" w:space="0" w:color="000000"/>
            </w:tcBorders>
          </w:tcPr>
          <w:p w14:paraId="4C64C91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Génie logiciel, traitement du signal</w:t>
            </w:r>
          </w:p>
        </w:tc>
      </w:tr>
      <w:tr w:rsidR="00F50D70" w:rsidRPr="00BE4F47" w14:paraId="062A2A7A"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4E8B3FE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L7</w:t>
            </w:r>
          </w:p>
        </w:tc>
        <w:tc>
          <w:tcPr>
            <w:tcW w:w="3300" w:type="dxa"/>
            <w:tcBorders>
              <w:top w:val="single" w:sz="4" w:space="0" w:color="000000"/>
              <w:left w:val="single" w:sz="4" w:space="0" w:color="000000"/>
              <w:bottom w:val="single" w:sz="4" w:space="0" w:color="000000"/>
              <w:right w:val="single" w:sz="4" w:space="0" w:color="000000"/>
            </w:tcBorders>
          </w:tcPr>
          <w:p w14:paraId="4F20744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d’anomalies et quantification de l’incertitude</w:t>
            </w:r>
          </w:p>
        </w:tc>
        <w:tc>
          <w:tcPr>
            <w:tcW w:w="900" w:type="dxa"/>
            <w:tcBorders>
              <w:top w:val="single" w:sz="4" w:space="0" w:color="000000"/>
              <w:left w:val="single" w:sz="4" w:space="0" w:color="000000"/>
              <w:bottom w:val="single" w:sz="4" w:space="0" w:color="000000"/>
              <w:right w:val="single" w:sz="4" w:space="0" w:color="000000"/>
            </w:tcBorders>
          </w:tcPr>
          <w:p w14:paraId="2B19104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700" w:type="dxa"/>
            <w:tcBorders>
              <w:top w:val="single" w:sz="4" w:space="0" w:color="000000"/>
              <w:left w:val="single" w:sz="4" w:space="0" w:color="000000"/>
              <w:bottom w:val="single" w:sz="4" w:space="0" w:color="000000"/>
              <w:right w:val="single" w:sz="4" w:space="0" w:color="000000"/>
            </w:tcBorders>
          </w:tcPr>
          <w:p w14:paraId="7B92106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840" w:type="dxa"/>
            <w:tcBorders>
              <w:top w:val="single" w:sz="4" w:space="0" w:color="000000"/>
              <w:left w:val="single" w:sz="4" w:space="0" w:color="000000"/>
              <w:bottom w:val="single" w:sz="4" w:space="0" w:color="000000"/>
              <w:right w:val="single" w:sz="4" w:space="0" w:color="000000"/>
            </w:tcBorders>
          </w:tcPr>
          <w:p w14:paraId="2D8C9B2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Statistique, apprentissage automatique</w:t>
            </w:r>
          </w:p>
        </w:tc>
      </w:tr>
      <w:tr w:rsidR="00F50D70" w:rsidRPr="00BE4F47" w14:paraId="6C7BA6A2"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1AAC39F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L8</w:t>
            </w:r>
          </w:p>
        </w:tc>
        <w:tc>
          <w:tcPr>
            <w:tcW w:w="3300" w:type="dxa"/>
            <w:tcBorders>
              <w:top w:val="single" w:sz="4" w:space="0" w:color="000000"/>
              <w:left w:val="single" w:sz="4" w:space="0" w:color="000000"/>
              <w:bottom w:val="single" w:sz="4" w:space="0" w:color="000000"/>
              <w:right w:val="single" w:sz="4" w:space="0" w:color="000000"/>
            </w:tcBorders>
          </w:tcPr>
          <w:p w14:paraId="5C38F36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w:t>
            </w:r>
          </w:p>
        </w:tc>
        <w:tc>
          <w:tcPr>
            <w:tcW w:w="900" w:type="dxa"/>
            <w:tcBorders>
              <w:top w:val="single" w:sz="4" w:space="0" w:color="000000"/>
              <w:left w:val="single" w:sz="4" w:space="0" w:color="000000"/>
              <w:bottom w:val="single" w:sz="4" w:space="0" w:color="000000"/>
              <w:right w:val="single" w:sz="4" w:space="0" w:color="000000"/>
            </w:tcBorders>
          </w:tcPr>
          <w:p w14:paraId="0FDD95A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86 h</w:t>
            </w:r>
          </w:p>
        </w:tc>
        <w:tc>
          <w:tcPr>
            <w:tcW w:w="700" w:type="dxa"/>
            <w:tcBorders>
              <w:top w:val="single" w:sz="4" w:space="0" w:color="000000"/>
              <w:left w:val="single" w:sz="4" w:space="0" w:color="000000"/>
              <w:bottom w:val="single" w:sz="4" w:space="0" w:color="000000"/>
              <w:right w:val="single" w:sz="4" w:space="0" w:color="000000"/>
            </w:tcBorders>
          </w:tcPr>
          <w:p w14:paraId="42C1D63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8 %</w:t>
            </w:r>
          </w:p>
        </w:tc>
        <w:tc>
          <w:tcPr>
            <w:tcW w:w="3840" w:type="dxa"/>
            <w:tcBorders>
              <w:top w:val="single" w:sz="4" w:space="0" w:color="000000"/>
              <w:left w:val="single" w:sz="4" w:space="0" w:color="000000"/>
              <w:bottom w:val="single" w:sz="4" w:space="0" w:color="000000"/>
              <w:right w:val="single" w:sz="4" w:space="0" w:color="000000"/>
            </w:tcBorders>
          </w:tcPr>
          <w:p w14:paraId="2144EE6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homme-machine, facteurs humains</w:t>
            </w:r>
          </w:p>
        </w:tc>
      </w:tr>
      <w:tr w:rsidR="00F50D70" w:rsidRPr="00BE4F47" w14:paraId="2C0EE165"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5EB4894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L9</w:t>
            </w:r>
          </w:p>
        </w:tc>
        <w:tc>
          <w:tcPr>
            <w:tcW w:w="3300" w:type="dxa"/>
            <w:tcBorders>
              <w:top w:val="single" w:sz="4" w:space="0" w:color="000000"/>
              <w:left w:val="single" w:sz="4" w:space="0" w:color="000000"/>
              <w:bottom w:val="single" w:sz="4" w:space="0" w:color="000000"/>
              <w:right w:val="single" w:sz="4" w:space="0" w:color="000000"/>
            </w:tcBorders>
          </w:tcPr>
          <w:p w14:paraId="4F03C03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Intégration, vérification, validation et campagne d’essais</w:t>
            </w:r>
          </w:p>
        </w:tc>
        <w:tc>
          <w:tcPr>
            <w:tcW w:w="900" w:type="dxa"/>
            <w:tcBorders>
              <w:top w:val="single" w:sz="4" w:space="0" w:color="000000"/>
              <w:left w:val="single" w:sz="4" w:space="0" w:color="000000"/>
              <w:bottom w:val="single" w:sz="4" w:space="0" w:color="000000"/>
              <w:right w:val="single" w:sz="4" w:space="0" w:color="000000"/>
            </w:tcBorders>
          </w:tcPr>
          <w:p w14:paraId="5DF1B9C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130 h</w:t>
            </w:r>
          </w:p>
        </w:tc>
        <w:tc>
          <w:tcPr>
            <w:tcW w:w="700" w:type="dxa"/>
            <w:tcBorders>
              <w:top w:val="single" w:sz="4" w:space="0" w:color="000000"/>
              <w:left w:val="single" w:sz="4" w:space="0" w:color="000000"/>
              <w:bottom w:val="single" w:sz="4" w:space="0" w:color="000000"/>
              <w:right w:val="single" w:sz="4" w:space="0" w:color="000000"/>
            </w:tcBorders>
          </w:tcPr>
          <w:p w14:paraId="1D70B8D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w:t>
            </w:r>
          </w:p>
        </w:tc>
        <w:tc>
          <w:tcPr>
            <w:tcW w:w="3840" w:type="dxa"/>
            <w:tcBorders>
              <w:top w:val="single" w:sz="4" w:space="0" w:color="000000"/>
              <w:left w:val="single" w:sz="4" w:space="0" w:color="000000"/>
              <w:bottom w:val="single" w:sz="4" w:space="0" w:color="000000"/>
              <w:right w:val="single" w:sz="4" w:space="0" w:color="000000"/>
            </w:tcBorders>
          </w:tcPr>
          <w:p w14:paraId="086F2C9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V&amp;V, plan d’expérience</w:t>
            </w:r>
          </w:p>
        </w:tc>
      </w:tr>
      <w:tr w:rsidR="00F50D70" w:rsidRPr="00BE4F47" w14:paraId="5F941B93" w14:textId="77777777">
        <w:trPr>
          <w:cantSplit/>
        </w:trPr>
        <w:tc>
          <w:tcPr>
            <w:tcW w:w="620" w:type="dxa"/>
            <w:tcBorders>
              <w:top w:val="single" w:sz="4" w:space="0" w:color="000000"/>
              <w:left w:val="single" w:sz="4" w:space="0" w:color="000000"/>
              <w:bottom w:val="single" w:sz="4" w:space="0" w:color="000000"/>
              <w:right w:val="single" w:sz="4" w:space="0" w:color="000000"/>
            </w:tcBorders>
          </w:tcPr>
          <w:p w14:paraId="51E9A42D" w14:textId="77777777" w:rsidR="00F50D70" w:rsidRPr="00BE4F47" w:rsidRDefault="00F50D70" w:rsidP="008E113B">
            <w:pPr>
              <w:snapToGrid w:val="0"/>
              <w:spacing w:before="26" w:after="26" w:line="360" w:lineRule="auto"/>
              <w:ind w:left="0"/>
              <w:jc w:val="left"/>
              <w:outlineLvl w:val="9"/>
              <w:rPr>
                <w:rFonts w:ascii="Aptos" w:eastAsia="Calibri" w:hAnsi="Aptos" w:cs="Calibri"/>
                <w:color w:val="1A1A19"/>
                <w:sz w:val="20"/>
                <w:szCs w:val="20"/>
                <w:lang w:val="fr-FR"/>
              </w:rPr>
            </w:pPr>
          </w:p>
        </w:tc>
        <w:tc>
          <w:tcPr>
            <w:tcW w:w="3300" w:type="dxa"/>
            <w:tcBorders>
              <w:top w:val="single" w:sz="4" w:space="0" w:color="000000"/>
              <w:left w:val="single" w:sz="4" w:space="0" w:color="000000"/>
              <w:bottom w:val="single" w:sz="4" w:space="0" w:color="000000"/>
              <w:right w:val="single" w:sz="4" w:space="0" w:color="000000"/>
            </w:tcBorders>
          </w:tcPr>
          <w:p w14:paraId="0B4C2CF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Total</w:t>
            </w:r>
          </w:p>
        </w:tc>
        <w:tc>
          <w:tcPr>
            <w:tcW w:w="900" w:type="dxa"/>
            <w:tcBorders>
              <w:top w:val="single" w:sz="4" w:space="0" w:color="000000"/>
              <w:left w:val="single" w:sz="4" w:space="0" w:color="000000"/>
              <w:bottom w:val="single" w:sz="4" w:space="0" w:color="000000"/>
              <w:right w:val="single" w:sz="4" w:space="0" w:color="000000"/>
            </w:tcBorders>
          </w:tcPr>
          <w:p w14:paraId="0464BDD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1 080 h</w:t>
            </w:r>
          </w:p>
        </w:tc>
        <w:tc>
          <w:tcPr>
            <w:tcW w:w="700" w:type="dxa"/>
            <w:tcBorders>
              <w:top w:val="single" w:sz="4" w:space="0" w:color="000000"/>
              <w:left w:val="single" w:sz="4" w:space="0" w:color="000000"/>
              <w:bottom w:val="single" w:sz="4" w:space="0" w:color="000000"/>
              <w:right w:val="single" w:sz="4" w:space="0" w:color="000000"/>
            </w:tcBorders>
          </w:tcPr>
          <w:p w14:paraId="27D2D17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100 %</w:t>
            </w:r>
          </w:p>
        </w:tc>
        <w:tc>
          <w:tcPr>
            <w:tcW w:w="3840" w:type="dxa"/>
            <w:tcBorders>
              <w:top w:val="single" w:sz="4" w:space="0" w:color="000000"/>
              <w:left w:val="single" w:sz="4" w:space="0" w:color="000000"/>
              <w:bottom w:val="single" w:sz="4" w:space="0" w:color="000000"/>
              <w:right w:val="single" w:sz="4" w:space="0" w:color="000000"/>
            </w:tcBorders>
          </w:tcPr>
          <w:p w14:paraId="5DBABA90" w14:textId="77777777" w:rsidR="00F50D70" w:rsidRPr="00BE4F47" w:rsidRDefault="00F50D70" w:rsidP="008E113B">
            <w:pPr>
              <w:snapToGrid w:val="0"/>
              <w:spacing w:before="26" w:after="26" w:line="360" w:lineRule="auto"/>
              <w:ind w:left="0"/>
              <w:jc w:val="left"/>
              <w:outlineLvl w:val="9"/>
              <w:rPr>
                <w:rFonts w:ascii="Aptos" w:eastAsia="Calibri" w:hAnsi="Aptos" w:cs="Calibri"/>
                <w:color w:val="1A1A19"/>
                <w:sz w:val="20"/>
                <w:szCs w:val="20"/>
                <w:lang w:val="fr-FR"/>
              </w:rPr>
            </w:pPr>
          </w:p>
        </w:tc>
      </w:tr>
    </w:tbl>
    <w:p w14:paraId="4FF2BA82" w14:textId="77777777" w:rsidR="00F50D70" w:rsidRPr="00BE4F47" w:rsidRDefault="00F50D70" w:rsidP="008E113B">
      <w:pPr>
        <w:pStyle w:val="Retraitcorpsdetexte3"/>
        <w:spacing w:line="360" w:lineRule="auto"/>
        <w:ind w:left="0" w:firstLine="0"/>
        <w:rPr>
          <w:rFonts w:ascii="Aptos" w:hAnsi="Aptos"/>
        </w:rPr>
      </w:pPr>
    </w:p>
    <w:p w14:paraId="2DE9DA7B" w14:textId="77777777" w:rsidR="00F50D70" w:rsidRPr="00B36301" w:rsidRDefault="00000000" w:rsidP="008E113B">
      <w:pPr>
        <w:pStyle w:val="Titre2"/>
        <w:spacing w:line="360" w:lineRule="auto"/>
      </w:pPr>
      <w:r w:rsidRPr="00B36301">
        <w:lastRenderedPageBreak/>
        <w:t>Ressources matérielles et d’infrastructure</w:t>
      </w:r>
    </w:p>
    <w:p w14:paraId="7F6F5E92"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Le projet est de nature logicielle. Il ne nécessite aucun achat d’équipement. Les ressources matérielles sont soit apportées par l’équipe, soit fournies par l’établissement.</w:t>
      </w:r>
    </w:p>
    <w:p w14:paraId="6E8C0896" w14:textId="77777777" w:rsidR="00F50D70" w:rsidRPr="00BE4F47" w:rsidRDefault="00000000" w:rsidP="008E113B">
      <w:pPr>
        <w:pStyle w:val="Lgende"/>
        <w:spacing w:line="360" w:lineRule="auto"/>
        <w:rPr>
          <w:rFonts w:ascii="Aptos" w:hAnsi="Aptos"/>
        </w:rPr>
      </w:pPr>
      <w:r w:rsidRPr="00BE4F47">
        <w:rPr>
          <w:rFonts w:ascii="Aptos" w:hAnsi="Aptos"/>
        </w:rPr>
        <w:t>Tableau 8-3. Ressources matérielles et d’infrastructure</w:t>
      </w:r>
    </w:p>
    <w:tbl>
      <w:tblPr>
        <w:tblW w:w="9337" w:type="dxa"/>
        <w:tblLayout w:type="fixed"/>
        <w:tblCellMar>
          <w:top w:w="55" w:type="dxa"/>
          <w:left w:w="85" w:type="dxa"/>
          <w:bottom w:w="55" w:type="dxa"/>
          <w:right w:w="85" w:type="dxa"/>
        </w:tblCellMar>
        <w:tblLook w:val="04A0" w:firstRow="1" w:lastRow="0" w:firstColumn="1" w:lastColumn="0" w:noHBand="0" w:noVBand="1"/>
      </w:tblPr>
      <w:tblGrid>
        <w:gridCol w:w="4087"/>
        <w:gridCol w:w="759"/>
        <w:gridCol w:w="2295"/>
        <w:gridCol w:w="2196"/>
      </w:tblGrid>
      <w:tr w:rsidR="00F50D70" w:rsidRPr="00BE4F47" w14:paraId="55920D5D" w14:textId="77777777">
        <w:trPr>
          <w:tblHeader/>
        </w:trPr>
        <w:tc>
          <w:tcPr>
            <w:tcW w:w="4087" w:type="dxa"/>
            <w:tcBorders>
              <w:top w:val="single" w:sz="4" w:space="0" w:color="000000"/>
              <w:left w:val="single" w:sz="4" w:space="0" w:color="000000"/>
              <w:bottom w:val="single" w:sz="4" w:space="0" w:color="000000"/>
              <w:right w:val="single" w:sz="4" w:space="0" w:color="000000"/>
            </w:tcBorders>
            <w:shd w:val="clear" w:color="auto" w:fill="EFF4FB"/>
          </w:tcPr>
          <w:p w14:paraId="0D3264F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Ressource</w:t>
            </w:r>
          </w:p>
        </w:tc>
        <w:tc>
          <w:tcPr>
            <w:tcW w:w="759" w:type="dxa"/>
            <w:tcBorders>
              <w:top w:val="single" w:sz="4" w:space="0" w:color="000000"/>
              <w:left w:val="single" w:sz="4" w:space="0" w:color="000000"/>
              <w:bottom w:val="single" w:sz="4" w:space="0" w:color="000000"/>
              <w:right w:val="single" w:sz="4" w:space="0" w:color="000000"/>
            </w:tcBorders>
            <w:shd w:val="clear" w:color="auto" w:fill="EFF4FB"/>
          </w:tcPr>
          <w:p w14:paraId="6157548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Qté</w:t>
            </w:r>
          </w:p>
        </w:tc>
        <w:tc>
          <w:tcPr>
            <w:tcW w:w="2295" w:type="dxa"/>
            <w:tcBorders>
              <w:top w:val="single" w:sz="4" w:space="0" w:color="000000"/>
              <w:left w:val="single" w:sz="4" w:space="0" w:color="000000"/>
              <w:bottom w:val="single" w:sz="4" w:space="0" w:color="000000"/>
              <w:right w:val="single" w:sz="4" w:space="0" w:color="000000"/>
            </w:tcBorders>
            <w:shd w:val="clear" w:color="auto" w:fill="EFF4FB"/>
          </w:tcPr>
          <w:p w14:paraId="6E52BD3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Provenance</w:t>
            </w:r>
          </w:p>
        </w:tc>
        <w:tc>
          <w:tcPr>
            <w:tcW w:w="2196" w:type="dxa"/>
            <w:tcBorders>
              <w:top w:val="single" w:sz="4" w:space="0" w:color="000000"/>
              <w:left w:val="single" w:sz="4" w:space="0" w:color="000000"/>
              <w:bottom w:val="single" w:sz="4" w:space="0" w:color="000000"/>
              <w:right w:val="single" w:sz="4" w:space="0" w:color="000000"/>
            </w:tcBorders>
            <w:shd w:val="clear" w:color="auto" w:fill="EFF4FB"/>
          </w:tcPr>
          <w:p w14:paraId="7732090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 imputé au mandat</w:t>
            </w:r>
          </w:p>
        </w:tc>
      </w:tr>
      <w:tr w:rsidR="00F50D70" w:rsidRPr="00BE4F47" w14:paraId="0A9E2BEE"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5F179A4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Postes de travail des membres</w:t>
            </w:r>
          </w:p>
        </w:tc>
        <w:tc>
          <w:tcPr>
            <w:tcW w:w="759" w:type="dxa"/>
            <w:tcBorders>
              <w:top w:val="single" w:sz="4" w:space="0" w:color="000000"/>
              <w:left w:val="single" w:sz="4" w:space="0" w:color="000000"/>
              <w:bottom w:val="single" w:sz="4" w:space="0" w:color="000000"/>
              <w:right w:val="single" w:sz="4" w:space="0" w:color="000000"/>
            </w:tcBorders>
          </w:tcPr>
          <w:p w14:paraId="27875CE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w:t>
            </w:r>
          </w:p>
        </w:tc>
        <w:tc>
          <w:tcPr>
            <w:tcW w:w="2295" w:type="dxa"/>
            <w:tcBorders>
              <w:top w:val="single" w:sz="4" w:space="0" w:color="000000"/>
              <w:left w:val="single" w:sz="4" w:space="0" w:color="000000"/>
              <w:bottom w:val="single" w:sz="4" w:space="0" w:color="000000"/>
              <w:right w:val="single" w:sz="4" w:space="0" w:color="000000"/>
            </w:tcBorders>
          </w:tcPr>
          <w:p w14:paraId="0F04F1F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Apport de l’équipe</w:t>
            </w:r>
          </w:p>
        </w:tc>
        <w:tc>
          <w:tcPr>
            <w:tcW w:w="2196" w:type="dxa"/>
            <w:tcBorders>
              <w:top w:val="single" w:sz="4" w:space="0" w:color="000000"/>
              <w:left w:val="single" w:sz="4" w:space="0" w:color="000000"/>
              <w:bottom w:val="single" w:sz="4" w:space="0" w:color="000000"/>
              <w:right w:val="single" w:sz="4" w:space="0" w:color="000000"/>
            </w:tcBorders>
          </w:tcPr>
          <w:p w14:paraId="4BC2C8C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 amortissement à déclarer</w:t>
            </w:r>
          </w:p>
        </w:tc>
      </w:tr>
      <w:tr w:rsidR="00F50D70" w:rsidRPr="00BE4F47" w14:paraId="789EECEB"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7107F99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Station de calcul pour les simulations longues</w:t>
            </w:r>
          </w:p>
        </w:tc>
        <w:tc>
          <w:tcPr>
            <w:tcW w:w="759" w:type="dxa"/>
            <w:tcBorders>
              <w:top w:val="single" w:sz="4" w:space="0" w:color="000000"/>
              <w:left w:val="single" w:sz="4" w:space="0" w:color="000000"/>
              <w:bottom w:val="single" w:sz="4" w:space="0" w:color="000000"/>
              <w:right w:val="single" w:sz="4" w:space="0" w:color="000000"/>
            </w:tcBorders>
          </w:tcPr>
          <w:p w14:paraId="59FDFAA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295" w:type="dxa"/>
            <w:tcBorders>
              <w:top w:val="single" w:sz="4" w:space="0" w:color="000000"/>
              <w:left w:val="single" w:sz="4" w:space="0" w:color="000000"/>
              <w:bottom w:val="single" w:sz="4" w:space="0" w:color="000000"/>
              <w:right w:val="single" w:sz="4" w:space="0" w:color="000000"/>
            </w:tcBorders>
          </w:tcPr>
          <w:p w14:paraId="7F86B84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Laboratoire de l’UQAC (H-06)</w:t>
            </w:r>
          </w:p>
        </w:tc>
        <w:tc>
          <w:tcPr>
            <w:tcW w:w="2196" w:type="dxa"/>
            <w:tcBorders>
              <w:top w:val="single" w:sz="4" w:space="0" w:color="000000"/>
              <w:left w:val="single" w:sz="4" w:space="0" w:color="000000"/>
              <w:bottom w:val="single" w:sz="4" w:space="0" w:color="000000"/>
              <w:right w:val="single" w:sz="4" w:space="0" w:color="000000"/>
            </w:tcBorders>
          </w:tcPr>
          <w:p w14:paraId="6E59730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26DD38F7"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03F3ECA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Environnement de virtualisation pour l’essai de segmentation réseau : deux machines virtuelles et un pare-feu logiciel</w:t>
            </w:r>
          </w:p>
        </w:tc>
        <w:tc>
          <w:tcPr>
            <w:tcW w:w="759" w:type="dxa"/>
            <w:tcBorders>
              <w:top w:val="single" w:sz="4" w:space="0" w:color="000000"/>
              <w:left w:val="single" w:sz="4" w:space="0" w:color="000000"/>
              <w:bottom w:val="single" w:sz="4" w:space="0" w:color="000000"/>
              <w:right w:val="single" w:sz="4" w:space="0" w:color="000000"/>
            </w:tcBorders>
          </w:tcPr>
          <w:p w14:paraId="3FCBAC0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295" w:type="dxa"/>
            <w:tcBorders>
              <w:top w:val="single" w:sz="4" w:space="0" w:color="000000"/>
              <w:left w:val="single" w:sz="4" w:space="0" w:color="000000"/>
              <w:bottom w:val="single" w:sz="4" w:space="0" w:color="000000"/>
              <w:right w:val="single" w:sz="4" w:space="0" w:color="000000"/>
            </w:tcBorders>
          </w:tcPr>
          <w:p w14:paraId="0394243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Poste existant</w:t>
            </w:r>
          </w:p>
        </w:tc>
        <w:tc>
          <w:tcPr>
            <w:tcW w:w="2196" w:type="dxa"/>
            <w:tcBorders>
              <w:top w:val="single" w:sz="4" w:space="0" w:color="000000"/>
              <w:left w:val="single" w:sz="4" w:space="0" w:color="000000"/>
              <w:bottom w:val="single" w:sz="4" w:space="0" w:color="000000"/>
              <w:right w:val="single" w:sz="4" w:space="0" w:color="000000"/>
            </w:tcBorders>
          </w:tcPr>
          <w:p w14:paraId="653E6CB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0ACC00FB"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0FDF341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de code versionné et sauvegarde hors poste</w:t>
            </w:r>
          </w:p>
        </w:tc>
        <w:tc>
          <w:tcPr>
            <w:tcW w:w="759" w:type="dxa"/>
            <w:tcBorders>
              <w:top w:val="single" w:sz="4" w:space="0" w:color="000000"/>
              <w:left w:val="single" w:sz="4" w:space="0" w:color="000000"/>
              <w:bottom w:val="single" w:sz="4" w:space="0" w:color="000000"/>
              <w:right w:val="single" w:sz="4" w:space="0" w:color="000000"/>
            </w:tcBorders>
          </w:tcPr>
          <w:p w14:paraId="00DD764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295" w:type="dxa"/>
            <w:tcBorders>
              <w:top w:val="single" w:sz="4" w:space="0" w:color="000000"/>
              <w:left w:val="single" w:sz="4" w:space="0" w:color="000000"/>
              <w:bottom w:val="single" w:sz="4" w:space="0" w:color="000000"/>
              <w:right w:val="single" w:sz="4" w:space="0" w:color="000000"/>
            </w:tcBorders>
          </w:tcPr>
          <w:p w14:paraId="4B1020B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Service institutionnel</w:t>
            </w:r>
          </w:p>
        </w:tc>
        <w:tc>
          <w:tcPr>
            <w:tcW w:w="2196" w:type="dxa"/>
            <w:tcBorders>
              <w:top w:val="single" w:sz="4" w:space="0" w:color="000000"/>
              <w:left w:val="single" w:sz="4" w:space="0" w:color="000000"/>
              <w:bottom w:val="single" w:sz="4" w:space="0" w:color="000000"/>
              <w:right w:val="single" w:sz="4" w:space="0" w:color="000000"/>
            </w:tcBorders>
          </w:tcPr>
          <w:p w14:paraId="44C3136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6AA23024" w14:textId="77777777">
        <w:trPr>
          <w:cantSplit/>
        </w:trPr>
        <w:tc>
          <w:tcPr>
            <w:tcW w:w="4087" w:type="dxa"/>
            <w:tcBorders>
              <w:top w:val="single" w:sz="4" w:space="0" w:color="000000"/>
              <w:left w:val="single" w:sz="4" w:space="0" w:color="000000"/>
              <w:bottom w:val="single" w:sz="4" w:space="0" w:color="000000"/>
              <w:right w:val="single" w:sz="4" w:space="0" w:color="000000"/>
            </w:tcBorders>
          </w:tcPr>
          <w:p w14:paraId="4F4E574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Local de réunion et salle de laboratoire</w:t>
            </w:r>
          </w:p>
        </w:tc>
        <w:tc>
          <w:tcPr>
            <w:tcW w:w="759" w:type="dxa"/>
            <w:tcBorders>
              <w:top w:val="single" w:sz="4" w:space="0" w:color="000000"/>
              <w:left w:val="single" w:sz="4" w:space="0" w:color="000000"/>
              <w:bottom w:val="single" w:sz="4" w:space="0" w:color="000000"/>
              <w:right w:val="single" w:sz="4" w:space="0" w:color="000000"/>
            </w:tcBorders>
          </w:tcPr>
          <w:p w14:paraId="0B7629B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w:t>
            </w:r>
          </w:p>
        </w:tc>
        <w:tc>
          <w:tcPr>
            <w:tcW w:w="2295" w:type="dxa"/>
            <w:tcBorders>
              <w:top w:val="single" w:sz="4" w:space="0" w:color="000000"/>
              <w:left w:val="single" w:sz="4" w:space="0" w:color="000000"/>
              <w:bottom w:val="single" w:sz="4" w:space="0" w:color="000000"/>
              <w:right w:val="single" w:sz="4" w:space="0" w:color="000000"/>
            </w:tcBorders>
          </w:tcPr>
          <w:p w14:paraId="4F2A0CF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UQAC</w:t>
            </w:r>
          </w:p>
        </w:tc>
        <w:tc>
          <w:tcPr>
            <w:tcW w:w="2196" w:type="dxa"/>
            <w:tcBorders>
              <w:top w:val="single" w:sz="4" w:space="0" w:color="000000"/>
              <w:left w:val="single" w:sz="4" w:space="0" w:color="000000"/>
              <w:bottom w:val="single" w:sz="4" w:space="0" w:color="000000"/>
              <w:right w:val="single" w:sz="4" w:space="0" w:color="000000"/>
            </w:tcBorders>
          </w:tcPr>
          <w:p w14:paraId="1B3F68B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bl>
    <w:p w14:paraId="6B1DBD3A" w14:textId="77777777" w:rsidR="00F50D70" w:rsidRPr="00BE4F47" w:rsidRDefault="00F50D70" w:rsidP="008E113B">
      <w:pPr>
        <w:spacing w:line="360" w:lineRule="auto"/>
        <w:ind w:left="0"/>
        <w:rPr>
          <w:rFonts w:ascii="Aptos" w:hAnsi="Aptos"/>
        </w:rPr>
      </w:pPr>
    </w:p>
    <w:p w14:paraId="6EF14657" w14:textId="77777777" w:rsidR="00F50D70" w:rsidRPr="00B36301" w:rsidRDefault="00000000" w:rsidP="008E113B">
      <w:pPr>
        <w:pStyle w:val="Titre2"/>
        <w:spacing w:line="360" w:lineRule="auto"/>
      </w:pPr>
      <w:r w:rsidRPr="00B36301">
        <w:t>Ressources logicielles et décisions d’outillage</w:t>
      </w:r>
    </w:p>
    <w:p w14:paraId="39246394" w14:textId="77777777" w:rsidR="00F50D70" w:rsidRPr="00BE4F47" w:rsidRDefault="00F50D70" w:rsidP="008E113B">
      <w:pPr>
        <w:spacing w:line="360" w:lineRule="auto"/>
        <w:rPr>
          <w:rFonts w:ascii="Aptos" w:hAnsi="Aptos"/>
        </w:rPr>
      </w:pPr>
    </w:p>
    <w:p w14:paraId="440CF4DD" w14:textId="77777777" w:rsidR="00F50D70" w:rsidRPr="00BE4F47" w:rsidRDefault="00000000" w:rsidP="008E113B">
      <w:pPr>
        <w:spacing w:after="130" w:line="360" w:lineRule="auto"/>
        <w:ind w:left="425"/>
        <w:jc w:val="left"/>
        <w:outlineLvl w:val="9"/>
        <w:rPr>
          <w:rFonts w:ascii="Aptos" w:eastAsia="Calibri" w:hAnsi="Aptos" w:cs="Calibri"/>
          <w:color w:val="1A1A19"/>
          <w:sz w:val="20"/>
          <w:szCs w:val="20"/>
          <w:lang w:val="fr-FR"/>
        </w:rPr>
      </w:pPr>
      <w:r w:rsidRPr="00BE4F47">
        <w:rPr>
          <w:rFonts w:ascii="Aptos" w:eastAsia="Calibri" w:hAnsi="Aptos" w:cs="Calibri"/>
          <w:color w:val="1A1A19"/>
          <w:sz w:val="20"/>
          <w:szCs w:val="20"/>
          <w:lang w:val="fr-FR"/>
        </w:rPr>
        <w:t>Les outils sont choisis pour trois raisons. Ils sont libres ou déjà licenciés. Ils reposent sur des formalismes normalisés plutôt que sur des solutions propriétaires. Ils permettent de reproduire les résultats. Sans reproductibilité, la campagne de validation n’aurait aucune valeur probante.</w:t>
      </w:r>
    </w:p>
    <w:p w14:paraId="401AA2CB" w14:textId="77777777" w:rsidR="00F50D70" w:rsidRPr="00BE4F47" w:rsidRDefault="00000000" w:rsidP="008E113B">
      <w:pPr>
        <w:spacing w:line="360" w:lineRule="auto"/>
        <w:ind w:left="425"/>
        <w:rPr>
          <w:rFonts w:ascii="Aptos" w:eastAsia="Calibri" w:hAnsi="Aptos" w:cs="Calibri"/>
          <w:color w:val="1A1A19"/>
          <w:sz w:val="20"/>
          <w:szCs w:val="20"/>
          <w:lang w:val="fr-FR"/>
        </w:rPr>
      </w:pPr>
      <w:r w:rsidRPr="00BE4F47">
        <w:rPr>
          <w:rFonts w:ascii="Aptos" w:eastAsia="Calibri" w:hAnsi="Aptos" w:cs="Calibri"/>
          <w:color w:val="1A1A19"/>
          <w:sz w:val="20"/>
          <w:szCs w:val="20"/>
          <w:lang w:val="fr-FR"/>
        </w:rPr>
        <w:t>Les outils listés ci-dessous constituent une décision d’ingénierie, prise dans la présente section. La revue de l’état de l’art de la section 5 constate l’état des pratiques et ne décide pas. Elle renvoie ici. Toute modification ultérieure passe par le registre des changements.</w:t>
      </w:r>
    </w:p>
    <w:p w14:paraId="58E41DC9" w14:textId="77777777" w:rsidR="00F50D70" w:rsidRPr="00BE4F47" w:rsidRDefault="00F50D70" w:rsidP="008E113B">
      <w:pPr>
        <w:spacing w:line="360" w:lineRule="auto"/>
        <w:ind w:left="425"/>
        <w:rPr>
          <w:rFonts w:ascii="Aptos" w:eastAsia="Calibri" w:hAnsi="Aptos" w:cs="Calibri"/>
          <w:color w:val="1A1A19"/>
          <w:sz w:val="20"/>
          <w:szCs w:val="20"/>
          <w:lang w:val="fr-FR"/>
        </w:rPr>
      </w:pPr>
    </w:p>
    <w:p w14:paraId="42579245" w14:textId="77777777" w:rsidR="00F50D70" w:rsidRPr="00BE4F47" w:rsidRDefault="00000000" w:rsidP="008E113B">
      <w:pPr>
        <w:pStyle w:val="Lgende"/>
        <w:spacing w:line="360" w:lineRule="auto"/>
        <w:rPr>
          <w:rFonts w:ascii="Aptos" w:hAnsi="Aptos"/>
        </w:rPr>
      </w:pPr>
      <w:r w:rsidRPr="00BE4F47">
        <w:rPr>
          <w:rFonts w:ascii="Aptos" w:hAnsi="Aptos"/>
        </w:rPr>
        <w:t>Tableau 8-4. Ressources logicielles et décisions d’outillage</w:t>
      </w:r>
    </w:p>
    <w:tbl>
      <w:tblPr>
        <w:tblW w:w="9360" w:type="dxa"/>
        <w:tblLayout w:type="fixed"/>
        <w:tblCellMar>
          <w:top w:w="55" w:type="dxa"/>
          <w:left w:w="85" w:type="dxa"/>
          <w:bottom w:w="55" w:type="dxa"/>
          <w:right w:w="85" w:type="dxa"/>
        </w:tblCellMar>
        <w:tblLook w:val="04A0" w:firstRow="1" w:lastRow="0" w:firstColumn="1" w:lastColumn="0" w:noHBand="0" w:noVBand="1"/>
      </w:tblPr>
      <w:tblGrid>
        <w:gridCol w:w="2200"/>
        <w:gridCol w:w="2800"/>
        <w:gridCol w:w="4360"/>
      </w:tblGrid>
      <w:tr w:rsidR="00F50D70" w:rsidRPr="00BE4F47" w14:paraId="741D151D"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EFF4FB"/>
          </w:tcPr>
          <w:p w14:paraId="34932A4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Fonction</w:t>
            </w:r>
          </w:p>
        </w:tc>
        <w:tc>
          <w:tcPr>
            <w:tcW w:w="2800" w:type="dxa"/>
            <w:tcBorders>
              <w:top w:val="single" w:sz="4" w:space="0" w:color="000000"/>
              <w:left w:val="single" w:sz="4" w:space="0" w:color="000000"/>
              <w:bottom w:val="single" w:sz="4" w:space="0" w:color="000000"/>
              <w:right w:val="single" w:sz="4" w:space="0" w:color="000000"/>
            </w:tcBorders>
            <w:shd w:val="clear" w:color="auto" w:fill="EFF4FB"/>
          </w:tcPr>
          <w:p w14:paraId="0CC984A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Outil retenu</w:t>
            </w:r>
          </w:p>
        </w:tc>
        <w:tc>
          <w:tcPr>
            <w:tcW w:w="4360" w:type="dxa"/>
            <w:tcBorders>
              <w:top w:val="single" w:sz="4" w:space="0" w:color="000000"/>
              <w:left w:val="single" w:sz="4" w:space="0" w:color="000000"/>
              <w:bottom w:val="single" w:sz="4" w:space="0" w:color="000000"/>
              <w:right w:val="single" w:sz="4" w:space="0" w:color="000000"/>
            </w:tcBorders>
            <w:shd w:val="clear" w:color="auto" w:fill="EFF4FB"/>
          </w:tcPr>
          <w:p w14:paraId="29F3414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Justification</w:t>
            </w:r>
          </w:p>
        </w:tc>
      </w:tr>
      <w:tr w:rsidR="00F50D70" w:rsidRPr="00BE4F47" w14:paraId="0BE00F67"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1ABFFA3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de la boucle thermohydraulique</w:t>
            </w:r>
          </w:p>
        </w:tc>
        <w:tc>
          <w:tcPr>
            <w:tcW w:w="2800" w:type="dxa"/>
            <w:tcBorders>
              <w:top w:val="single" w:sz="4" w:space="0" w:color="000000"/>
              <w:left w:val="single" w:sz="4" w:space="0" w:color="000000"/>
              <w:bottom w:val="single" w:sz="4" w:space="0" w:color="000000"/>
              <w:right w:val="single" w:sz="4" w:space="0" w:color="000000"/>
            </w:tcBorders>
          </w:tcPr>
          <w:p w14:paraId="51EDD8A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OpenModelica avec les bibliothèques Modelica.Fluid ou ThermoPower. Variante : MATLAB, Simulink et Simscape Fluids sous licence académique</w:t>
            </w:r>
          </w:p>
        </w:tc>
        <w:tc>
          <w:tcPr>
            <w:tcW w:w="4360" w:type="dxa"/>
            <w:tcBorders>
              <w:top w:val="single" w:sz="4" w:space="0" w:color="000000"/>
              <w:left w:val="single" w:sz="4" w:space="0" w:color="000000"/>
              <w:bottom w:val="single" w:sz="4" w:space="0" w:color="000000"/>
              <w:right w:val="single" w:sz="4" w:space="0" w:color="000000"/>
            </w:tcBorders>
          </w:tcPr>
          <w:p w14:paraId="2C9C867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Modelica est un langage de modélisation normalisé à équations acausales, conçu pour les réseaux fluidiques et thermiques. Il permet d’exprimer directement les bilans de masse et d’énergie. Cet emploi satisfait l’article 2 (1°) de la Loi sur les ingénieurs [18].</w:t>
            </w:r>
          </w:p>
        </w:tc>
      </w:tr>
      <w:tr w:rsidR="00F50D70" w:rsidRPr="00BE4F47" w14:paraId="2AB3CA9B"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2DBB996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du jumeau, traitement et détection</w:t>
            </w:r>
          </w:p>
        </w:tc>
        <w:tc>
          <w:tcPr>
            <w:tcW w:w="2800" w:type="dxa"/>
            <w:tcBorders>
              <w:top w:val="single" w:sz="4" w:space="0" w:color="000000"/>
              <w:left w:val="single" w:sz="4" w:space="0" w:color="000000"/>
              <w:bottom w:val="single" w:sz="4" w:space="0" w:color="000000"/>
              <w:right w:val="single" w:sz="4" w:space="0" w:color="000000"/>
            </w:tcBorders>
          </w:tcPr>
          <w:p w14:paraId="10F95DC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Python 3 avec NumPy, SciPy, pandas et scikit-learn</w:t>
            </w:r>
          </w:p>
        </w:tc>
        <w:tc>
          <w:tcPr>
            <w:tcW w:w="4360" w:type="dxa"/>
            <w:tcBorders>
              <w:top w:val="single" w:sz="4" w:space="0" w:color="000000"/>
              <w:left w:val="single" w:sz="4" w:space="0" w:color="000000"/>
              <w:bottom w:val="single" w:sz="4" w:space="0" w:color="000000"/>
              <w:right w:val="single" w:sz="4" w:space="0" w:color="000000"/>
            </w:tcBorders>
          </w:tcPr>
          <w:p w14:paraId="498FBF8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Écosystème mature, licences permissives, résultats reproductibles. Lots L6 et L7.</w:t>
            </w:r>
          </w:p>
        </w:tc>
      </w:tr>
      <w:tr w:rsidR="00F50D70" w:rsidRPr="00BE4F47" w14:paraId="64F5E393"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4E705BF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Interface d’échange de données</w:t>
            </w:r>
          </w:p>
        </w:tc>
        <w:tc>
          <w:tcPr>
            <w:tcW w:w="2800" w:type="dxa"/>
            <w:tcBorders>
              <w:top w:val="single" w:sz="4" w:space="0" w:color="000000"/>
              <w:left w:val="single" w:sz="4" w:space="0" w:color="000000"/>
              <w:bottom w:val="single" w:sz="4" w:space="0" w:color="000000"/>
              <w:right w:val="single" w:sz="4" w:space="0" w:color="000000"/>
            </w:tcBorders>
          </w:tcPr>
          <w:p w14:paraId="47862E9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OPC UA (IEC 62541) ou MQTT</w:t>
            </w:r>
          </w:p>
        </w:tc>
        <w:tc>
          <w:tcPr>
            <w:tcW w:w="4360" w:type="dxa"/>
            <w:tcBorders>
              <w:top w:val="single" w:sz="4" w:space="0" w:color="000000"/>
              <w:left w:val="single" w:sz="4" w:space="0" w:color="000000"/>
              <w:bottom w:val="single" w:sz="4" w:space="0" w:color="000000"/>
              <w:right w:val="single" w:sz="4" w:space="0" w:color="000000"/>
            </w:tcBorders>
          </w:tcPr>
          <w:p w14:paraId="01B702D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OPC UA est la norme d’interopérabilité de l’instrumentation industrielle. Une interface normalisée facilite la séparation stricte exigée entre le jumeau et les fonctions de commande (exigence EX-F-08).</w:t>
            </w:r>
          </w:p>
        </w:tc>
      </w:tr>
      <w:tr w:rsidR="00F50D70" w:rsidRPr="00BE4F47" w14:paraId="10B1D6CC"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482871F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Historisation des mesures et des états</w:t>
            </w:r>
          </w:p>
        </w:tc>
        <w:tc>
          <w:tcPr>
            <w:tcW w:w="2800" w:type="dxa"/>
            <w:tcBorders>
              <w:top w:val="single" w:sz="4" w:space="0" w:color="000000"/>
              <w:left w:val="single" w:sz="4" w:space="0" w:color="000000"/>
              <w:bottom w:val="single" w:sz="4" w:space="0" w:color="000000"/>
              <w:right w:val="single" w:sz="4" w:space="0" w:color="000000"/>
            </w:tcBorders>
          </w:tcPr>
          <w:p w14:paraId="52A81ED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InfluxDB ou SQLite</w:t>
            </w:r>
          </w:p>
        </w:tc>
        <w:tc>
          <w:tcPr>
            <w:tcW w:w="4360" w:type="dxa"/>
            <w:tcBorders>
              <w:top w:val="single" w:sz="4" w:space="0" w:color="000000"/>
              <w:left w:val="single" w:sz="4" w:space="0" w:color="000000"/>
              <w:bottom w:val="single" w:sz="4" w:space="0" w:color="000000"/>
              <w:right w:val="single" w:sz="4" w:space="0" w:color="000000"/>
            </w:tcBorders>
          </w:tcPr>
          <w:p w14:paraId="16B3F45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Traçabilité horodatée des essais, exigée par EX-F-10 et par la V&amp;V.</w:t>
            </w:r>
          </w:p>
        </w:tc>
      </w:tr>
      <w:tr w:rsidR="00F50D70" w:rsidRPr="00BE4F47" w14:paraId="715DAC9B"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118A092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w:t>
            </w:r>
          </w:p>
        </w:tc>
        <w:tc>
          <w:tcPr>
            <w:tcW w:w="2800" w:type="dxa"/>
            <w:tcBorders>
              <w:top w:val="single" w:sz="4" w:space="0" w:color="000000"/>
              <w:left w:val="single" w:sz="4" w:space="0" w:color="000000"/>
              <w:bottom w:val="single" w:sz="4" w:space="0" w:color="000000"/>
              <w:right w:val="single" w:sz="4" w:space="0" w:color="000000"/>
            </w:tcBorders>
          </w:tcPr>
          <w:p w14:paraId="778D199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Plotly Dash ou Grafana</w:t>
            </w:r>
          </w:p>
        </w:tc>
        <w:tc>
          <w:tcPr>
            <w:tcW w:w="4360" w:type="dxa"/>
            <w:tcBorders>
              <w:top w:val="single" w:sz="4" w:space="0" w:color="000000"/>
              <w:left w:val="single" w:sz="4" w:space="0" w:color="000000"/>
              <w:bottom w:val="single" w:sz="4" w:space="0" w:color="000000"/>
              <w:right w:val="single" w:sz="4" w:space="0" w:color="000000"/>
            </w:tcBorders>
          </w:tcPr>
          <w:p w14:paraId="7B1BB78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Permet d’afficher l’état estimé, les variables contributives et l’indice de confiance sans développer une interface complète. Exigences EX-F-04, EX-F-05 et EX-F-07.</w:t>
            </w:r>
          </w:p>
        </w:tc>
      </w:tr>
      <w:tr w:rsidR="00F50D70" w:rsidRPr="00BE4F47" w14:paraId="5D19507B"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31B3B76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 configuration</w:t>
            </w:r>
          </w:p>
        </w:tc>
        <w:tc>
          <w:tcPr>
            <w:tcW w:w="2800" w:type="dxa"/>
            <w:tcBorders>
              <w:top w:val="single" w:sz="4" w:space="0" w:color="000000"/>
              <w:left w:val="single" w:sz="4" w:space="0" w:color="000000"/>
              <w:bottom w:val="single" w:sz="4" w:space="0" w:color="000000"/>
              <w:right w:val="single" w:sz="4" w:space="0" w:color="000000"/>
            </w:tcBorders>
          </w:tcPr>
          <w:p w14:paraId="56900FC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 avec dépôt distant</w:t>
            </w:r>
          </w:p>
        </w:tc>
        <w:tc>
          <w:tcPr>
            <w:tcW w:w="4360" w:type="dxa"/>
            <w:tcBorders>
              <w:top w:val="single" w:sz="4" w:space="0" w:color="000000"/>
              <w:left w:val="single" w:sz="4" w:space="0" w:color="000000"/>
              <w:bottom w:val="single" w:sz="4" w:space="0" w:color="000000"/>
              <w:right w:val="single" w:sz="4" w:space="0" w:color="000000"/>
            </w:tcBorders>
          </w:tcPr>
          <w:p w14:paraId="6FBA674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Chaque résultat d’essai doit être rattachable à une version précise du modèle. Sans cela, la validation n’est pas reproductible. Cet outil est la base de la stratégie de contrôle des versions de la section 4.</w:t>
            </w:r>
          </w:p>
        </w:tc>
      </w:tr>
      <w:tr w:rsidR="00F50D70" w:rsidRPr="00BE4F47" w14:paraId="229DBE97"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2F316D5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Reproductibilité de l’environnement</w:t>
            </w:r>
          </w:p>
        </w:tc>
        <w:tc>
          <w:tcPr>
            <w:tcW w:w="2800" w:type="dxa"/>
            <w:tcBorders>
              <w:top w:val="single" w:sz="4" w:space="0" w:color="000000"/>
              <w:left w:val="single" w:sz="4" w:space="0" w:color="000000"/>
              <w:bottom w:val="single" w:sz="4" w:space="0" w:color="000000"/>
              <w:right w:val="single" w:sz="4" w:space="0" w:color="000000"/>
            </w:tcBorders>
          </w:tcPr>
          <w:p w14:paraId="163CFA6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Docker</w:t>
            </w:r>
          </w:p>
        </w:tc>
        <w:tc>
          <w:tcPr>
            <w:tcW w:w="4360" w:type="dxa"/>
            <w:tcBorders>
              <w:top w:val="single" w:sz="4" w:space="0" w:color="000000"/>
              <w:left w:val="single" w:sz="4" w:space="0" w:color="000000"/>
              <w:bottom w:val="single" w:sz="4" w:space="0" w:color="000000"/>
              <w:right w:val="single" w:sz="4" w:space="0" w:color="000000"/>
            </w:tcBorders>
          </w:tcPr>
          <w:p w14:paraId="3C5EF9B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Fige les versions des bibliothèques. Un essai rejoué six semaines plus tard doit donner le même résultat. Contribue à l’exigence EX-Q-05.</w:t>
            </w:r>
          </w:p>
        </w:tc>
      </w:tr>
      <w:tr w:rsidR="00F50D70" w:rsidRPr="00BE4F47" w14:paraId="2F539306"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18A55EA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de projet et valeur acquise</w:t>
            </w:r>
          </w:p>
        </w:tc>
        <w:tc>
          <w:tcPr>
            <w:tcW w:w="2800" w:type="dxa"/>
            <w:tcBorders>
              <w:top w:val="single" w:sz="4" w:space="0" w:color="000000"/>
              <w:left w:val="single" w:sz="4" w:space="0" w:color="000000"/>
              <w:bottom w:val="single" w:sz="4" w:space="0" w:color="000000"/>
              <w:right w:val="single" w:sz="4" w:space="0" w:color="000000"/>
            </w:tcBorders>
          </w:tcPr>
          <w:p w14:paraId="1B2DF90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GitHub Projects et issues, offre éducation</w:t>
            </w:r>
          </w:p>
        </w:tc>
        <w:tc>
          <w:tcPr>
            <w:tcW w:w="4360" w:type="dxa"/>
            <w:tcBorders>
              <w:top w:val="single" w:sz="4" w:space="0" w:color="000000"/>
              <w:left w:val="single" w:sz="4" w:space="0" w:color="000000"/>
              <w:bottom w:val="single" w:sz="4" w:space="0" w:color="000000"/>
              <w:right w:val="single" w:sz="4" w:space="0" w:color="000000"/>
            </w:tcBorders>
          </w:tcPr>
          <w:p w14:paraId="4DB8384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Déjà en place dans l’équipe. Alimente le suivi de la section 10.</w:t>
            </w:r>
          </w:p>
        </w:tc>
      </w:tr>
      <w:tr w:rsidR="00F50D70" w:rsidRPr="00BE4F47" w14:paraId="2F6DFEFF" w14:textId="77777777">
        <w:trPr>
          <w:cantSplit/>
        </w:trPr>
        <w:tc>
          <w:tcPr>
            <w:tcW w:w="2200" w:type="dxa"/>
            <w:tcBorders>
              <w:top w:val="single" w:sz="4" w:space="0" w:color="000000"/>
              <w:left w:val="single" w:sz="4" w:space="0" w:color="000000"/>
              <w:bottom w:val="single" w:sz="4" w:space="0" w:color="000000"/>
              <w:right w:val="single" w:sz="4" w:space="0" w:color="000000"/>
            </w:tcBorders>
          </w:tcPr>
          <w:p w14:paraId="343C0C7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des références bibliographiques</w:t>
            </w:r>
          </w:p>
        </w:tc>
        <w:tc>
          <w:tcPr>
            <w:tcW w:w="2800" w:type="dxa"/>
            <w:tcBorders>
              <w:top w:val="single" w:sz="4" w:space="0" w:color="000000"/>
              <w:left w:val="single" w:sz="4" w:space="0" w:color="000000"/>
              <w:bottom w:val="single" w:sz="4" w:space="0" w:color="000000"/>
              <w:right w:val="single" w:sz="4" w:space="0" w:color="000000"/>
            </w:tcBorders>
          </w:tcPr>
          <w:p w14:paraId="7EB82A4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Zotero, style IEEE</w:t>
            </w:r>
          </w:p>
        </w:tc>
        <w:tc>
          <w:tcPr>
            <w:tcW w:w="4360" w:type="dxa"/>
            <w:tcBorders>
              <w:top w:val="single" w:sz="4" w:space="0" w:color="000000"/>
              <w:left w:val="single" w:sz="4" w:space="0" w:color="000000"/>
              <w:bottom w:val="single" w:sz="4" w:space="0" w:color="000000"/>
              <w:right w:val="single" w:sz="4" w:space="0" w:color="000000"/>
            </w:tcBorders>
          </w:tcPr>
          <w:p w14:paraId="7A3A738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Assure la cohérence et la renumérotation automatique des renvois entre les onze sections et les huit rédacteurs. La bibliothèque est tenue par le chargé de projet.</w:t>
            </w:r>
          </w:p>
        </w:tc>
      </w:tr>
    </w:tbl>
    <w:p w14:paraId="29DC3C1A" w14:textId="77777777" w:rsidR="00F50D70" w:rsidRPr="00BE4F47" w:rsidRDefault="00F50D70" w:rsidP="008E113B">
      <w:pPr>
        <w:spacing w:line="360" w:lineRule="auto"/>
        <w:ind w:left="425"/>
        <w:rPr>
          <w:rFonts w:ascii="Aptos" w:hAnsi="Aptos"/>
        </w:rPr>
      </w:pPr>
    </w:p>
    <w:p w14:paraId="00FA8585" w14:textId="77777777" w:rsidR="00F50D70" w:rsidRPr="0036725C" w:rsidRDefault="00000000" w:rsidP="008E113B">
      <w:pPr>
        <w:pStyle w:val="Titre2"/>
        <w:spacing w:line="360" w:lineRule="auto"/>
      </w:pPr>
      <w:r w:rsidRPr="0036725C">
        <w:t>Ressources informationnelles et normatives</w:t>
      </w:r>
    </w:p>
    <w:p w14:paraId="25E0EB27"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La documentation normative est une ressource du projet. Elle conditionne la section 6 du plan, mais aussi l’architecture retenue et le contenu de la campagne d’essais. Son acquisition est imputée au lot L3.</w:t>
      </w:r>
    </w:p>
    <w:p w14:paraId="40A9F49C" w14:textId="77777777" w:rsidR="00F50D70" w:rsidRPr="00BE4F47" w:rsidRDefault="00000000" w:rsidP="008E113B">
      <w:pPr>
        <w:pStyle w:val="Lgende"/>
        <w:spacing w:line="360" w:lineRule="auto"/>
        <w:rPr>
          <w:rFonts w:ascii="Aptos" w:hAnsi="Aptos"/>
        </w:rPr>
      </w:pPr>
      <w:r w:rsidRPr="00BE4F47">
        <w:rPr>
          <w:rFonts w:ascii="Aptos" w:hAnsi="Aptos"/>
        </w:rPr>
        <w:t>Tableau 8-5. Ressources informationnelles et normatives</w:t>
      </w:r>
    </w:p>
    <w:tbl>
      <w:tblPr>
        <w:tblW w:w="9360" w:type="dxa"/>
        <w:tblLayout w:type="fixed"/>
        <w:tblCellMar>
          <w:top w:w="55" w:type="dxa"/>
          <w:left w:w="85" w:type="dxa"/>
          <w:bottom w:w="55" w:type="dxa"/>
          <w:right w:w="85" w:type="dxa"/>
        </w:tblCellMar>
        <w:tblLook w:val="04A0" w:firstRow="1" w:lastRow="0" w:firstColumn="1" w:lastColumn="0" w:noHBand="0" w:noVBand="1"/>
      </w:tblPr>
      <w:tblGrid>
        <w:gridCol w:w="2500"/>
        <w:gridCol w:w="4200"/>
        <w:gridCol w:w="2660"/>
      </w:tblGrid>
      <w:tr w:rsidR="00F50D70" w:rsidRPr="00BE4F47" w14:paraId="4A8A728D" w14:textId="77777777">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EFF4FB"/>
          </w:tcPr>
          <w:p w14:paraId="5319E7E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Corpus</w:t>
            </w:r>
          </w:p>
        </w:tc>
        <w:tc>
          <w:tcPr>
            <w:tcW w:w="4200" w:type="dxa"/>
            <w:tcBorders>
              <w:top w:val="single" w:sz="4" w:space="0" w:color="000000"/>
              <w:left w:val="single" w:sz="4" w:space="0" w:color="000000"/>
              <w:bottom w:val="single" w:sz="4" w:space="0" w:color="000000"/>
              <w:right w:val="single" w:sz="4" w:space="0" w:color="000000"/>
            </w:tcBorders>
            <w:shd w:val="clear" w:color="auto" w:fill="EFF4FB"/>
          </w:tcPr>
          <w:p w14:paraId="23E2D91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Documents visés</w:t>
            </w:r>
          </w:p>
        </w:tc>
        <w:tc>
          <w:tcPr>
            <w:tcW w:w="2660" w:type="dxa"/>
            <w:tcBorders>
              <w:top w:val="single" w:sz="4" w:space="0" w:color="000000"/>
              <w:left w:val="single" w:sz="4" w:space="0" w:color="000000"/>
              <w:bottom w:val="single" w:sz="4" w:space="0" w:color="000000"/>
              <w:right w:val="single" w:sz="4" w:space="0" w:color="000000"/>
            </w:tcBorders>
            <w:shd w:val="clear" w:color="auto" w:fill="EFF4FB"/>
          </w:tcPr>
          <w:p w14:paraId="50AE51F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Accès et coût</w:t>
            </w:r>
          </w:p>
        </w:tc>
      </w:tr>
      <w:tr w:rsidR="00F50D70" w:rsidRPr="00BE4F47" w14:paraId="2CF38115"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3C59698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Sûreté et cybersécurité nucléaires</w:t>
            </w:r>
          </w:p>
        </w:tc>
        <w:tc>
          <w:tcPr>
            <w:tcW w:w="4200" w:type="dxa"/>
            <w:tcBorders>
              <w:top w:val="single" w:sz="4" w:space="0" w:color="000000"/>
              <w:left w:val="single" w:sz="4" w:space="0" w:color="000000"/>
              <w:bottom w:val="single" w:sz="4" w:space="0" w:color="000000"/>
              <w:right w:val="single" w:sz="4" w:space="0" w:color="000000"/>
            </w:tcBorders>
          </w:tcPr>
          <w:p w14:paraId="4D3360B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CSA N290.7 [23]</w:t>
            </w:r>
          </w:p>
        </w:tc>
        <w:tc>
          <w:tcPr>
            <w:tcW w:w="2660" w:type="dxa"/>
            <w:tcBorders>
              <w:top w:val="single" w:sz="4" w:space="0" w:color="000000"/>
              <w:left w:val="single" w:sz="4" w:space="0" w:color="000000"/>
              <w:bottom w:val="single" w:sz="4" w:space="0" w:color="000000"/>
              <w:right w:val="single" w:sz="4" w:space="0" w:color="000000"/>
            </w:tcBorders>
          </w:tcPr>
          <w:p w14:paraId="471287E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 UQAC (H-07), sinon achat unitaire</w:t>
            </w:r>
          </w:p>
        </w:tc>
      </w:tr>
      <w:tr w:rsidR="00F50D70" w:rsidRPr="00BE4F47" w14:paraId="1321EF1C"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14ABBAE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réglementaire canadien</w:t>
            </w:r>
          </w:p>
        </w:tc>
        <w:tc>
          <w:tcPr>
            <w:tcW w:w="4200" w:type="dxa"/>
            <w:tcBorders>
              <w:top w:val="single" w:sz="4" w:space="0" w:color="000000"/>
              <w:left w:val="single" w:sz="4" w:space="0" w:color="000000"/>
              <w:bottom w:val="single" w:sz="4" w:space="0" w:color="000000"/>
              <w:right w:val="single" w:sz="4" w:space="0" w:color="000000"/>
            </w:tcBorders>
          </w:tcPr>
          <w:p w14:paraId="1B2DF33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REGDOC-2.5.2 [1] et REGDOC-2.1.1 [1] de la CCSN</w:t>
            </w:r>
          </w:p>
        </w:tc>
        <w:tc>
          <w:tcPr>
            <w:tcW w:w="2660" w:type="dxa"/>
            <w:tcBorders>
              <w:top w:val="single" w:sz="4" w:space="0" w:color="000000"/>
              <w:left w:val="single" w:sz="4" w:space="0" w:color="000000"/>
              <w:bottom w:val="single" w:sz="4" w:space="0" w:color="000000"/>
              <w:right w:val="single" w:sz="4" w:space="0" w:color="000000"/>
            </w:tcBorders>
          </w:tcPr>
          <w:p w14:paraId="4CD7F01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r w:rsidR="00F50D70" w:rsidRPr="00BE4F47" w14:paraId="2DA3ADB3"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17DEAF5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Instrumentation, contrôle et logiciel de sûreté</w:t>
            </w:r>
          </w:p>
        </w:tc>
        <w:tc>
          <w:tcPr>
            <w:tcW w:w="4200" w:type="dxa"/>
            <w:tcBorders>
              <w:top w:val="single" w:sz="4" w:space="0" w:color="000000"/>
              <w:left w:val="single" w:sz="4" w:space="0" w:color="000000"/>
              <w:bottom w:val="single" w:sz="4" w:space="0" w:color="000000"/>
              <w:right w:val="single" w:sz="4" w:space="0" w:color="000000"/>
            </w:tcBorders>
          </w:tcPr>
          <w:p w14:paraId="54FA1A0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IEC 61513, IEC 60880, IEC 62138, IEEE 1012</w:t>
            </w:r>
          </w:p>
        </w:tc>
        <w:tc>
          <w:tcPr>
            <w:tcW w:w="2660" w:type="dxa"/>
            <w:tcBorders>
              <w:top w:val="single" w:sz="4" w:space="0" w:color="000000"/>
              <w:left w:val="single" w:sz="4" w:space="0" w:color="000000"/>
              <w:bottom w:val="single" w:sz="4" w:space="0" w:color="000000"/>
              <w:right w:val="single" w:sz="4" w:space="0" w:color="000000"/>
            </w:tcBorders>
          </w:tcPr>
          <w:p w14:paraId="19C4CAC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179E8A4D"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7B4B867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 des systèmes de contrôle</w:t>
            </w:r>
          </w:p>
        </w:tc>
        <w:tc>
          <w:tcPr>
            <w:tcW w:w="4200" w:type="dxa"/>
            <w:tcBorders>
              <w:top w:val="single" w:sz="4" w:space="0" w:color="000000"/>
              <w:left w:val="single" w:sz="4" w:space="0" w:color="000000"/>
              <w:bottom w:val="single" w:sz="4" w:space="0" w:color="000000"/>
              <w:right w:val="single" w:sz="4" w:space="0" w:color="000000"/>
            </w:tcBorders>
          </w:tcPr>
          <w:p w14:paraId="1B72664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IEC 62645, IEC 63096, IEC 62859</w:t>
            </w:r>
          </w:p>
        </w:tc>
        <w:tc>
          <w:tcPr>
            <w:tcW w:w="2660" w:type="dxa"/>
            <w:tcBorders>
              <w:top w:val="single" w:sz="4" w:space="0" w:color="000000"/>
              <w:left w:val="single" w:sz="4" w:space="0" w:color="000000"/>
              <w:bottom w:val="single" w:sz="4" w:space="0" w:color="000000"/>
              <w:right w:val="single" w:sz="4" w:space="0" w:color="000000"/>
            </w:tcBorders>
          </w:tcPr>
          <w:p w14:paraId="0ECADD7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2BBB97D1"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382C79A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Cadre du jumeau numérique</w:t>
            </w:r>
          </w:p>
        </w:tc>
        <w:tc>
          <w:tcPr>
            <w:tcW w:w="4200" w:type="dxa"/>
            <w:tcBorders>
              <w:top w:val="single" w:sz="4" w:space="0" w:color="000000"/>
              <w:left w:val="single" w:sz="4" w:space="0" w:color="000000"/>
              <w:bottom w:val="single" w:sz="4" w:space="0" w:color="000000"/>
              <w:right w:val="single" w:sz="4" w:space="0" w:color="000000"/>
            </w:tcBorders>
          </w:tcPr>
          <w:p w14:paraId="1D44A33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ISO 23247-1 et ISO 23247-2 [43]</w:t>
            </w:r>
          </w:p>
        </w:tc>
        <w:tc>
          <w:tcPr>
            <w:tcW w:w="2660" w:type="dxa"/>
            <w:tcBorders>
              <w:top w:val="single" w:sz="4" w:space="0" w:color="000000"/>
              <w:left w:val="single" w:sz="4" w:space="0" w:color="000000"/>
              <w:bottom w:val="single" w:sz="4" w:space="0" w:color="000000"/>
              <w:right w:val="single" w:sz="4" w:space="0" w:color="000000"/>
            </w:tcBorders>
          </w:tcPr>
          <w:p w14:paraId="6D352AE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718F8A54"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56BBF3E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Vérification et validation des modèles numériques</w:t>
            </w:r>
          </w:p>
        </w:tc>
        <w:tc>
          <w:tcPr>
            <w:tcW w:w="4200" w:type="dxa"/>
            <w:tcBorders>
              <w:top w:val="single" w:sz="4" w:space="0" w:color="000000"/>
              <w:left w:val="single" w:sz="4" w:space="0" w:color="000000"/>
              <w:bottom w:val="single" w:sz="4" w:space="0" w:color="000000"/>
              <w:right w:val="single" w:sz="4" w:space="0" w:color="000000"/>
            </w:tcBorders>
          </w:tcPr>
          <w:p w14:paraId="0387FF7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ASME V&amp;V 20</w:t>
            </w:r>
          </w:p>
        </w:tc>
        <w:tc>
          <w:tcPr>
            <w:tcW w:w="2660" w:type="dxa"/>
            <w:tcBorders>
              <w:top w:val="single" w:sz="4" w:space="0" w:color="000000"/>
              <w:left w:val="single" w:sz="4" w:space="0" w:color="000000"/>
              <w:bottom w:val="single" w:sz="4" w:space="0" w:color="000000"/>
              <w:right w:val="single" w:sz="4" w:space="0" w:color="000000"/>
            </w:tcBorders>
          </w:tcPr>
          <w:p w14:paraId="1360545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4E4B68C1"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2ABAAFB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Qualité, exigences et ergonomie</w:t>
            </w:r>
          </w:p>
        </w:tc>
        <w:tc>
          <w:tcPr>
            <w:tcW w:w="4200" w:type="dxa"/>
            <w:tcBorders>
              <w:top w:val="single" w:sz="4" w:space="0" w:color="000000"/>
              <w:left w:val="single" w:sz="4" w:space="0" w:color="000000"/>
              <w:bottom w:val="single" w:sz="4" w:space="0" w:color="000000"/>
              <w:right w:val="single" w:sz="4" w:space="0" w:color="000000"/>
            </w:tcBorders>
          </w:tcPr>
          <w:p w14:paraId="56F44C1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ISO/IEC 25010, ISO 9241-210, ISO/IEC/IEEE 29148</w:t>
            </w:r>
          </w:p>
        </w:tc>
        <w:tc>
          <w:tcPr>
            <w:tcW w:w="2660" w:type="dxa"/>
            <w:tcBorders>
              <w:top w:val="single" w:sz="4" w:space="0" w:color="000000"/>
              <w:left w:val="single" w:sz="4" w:space="0" w:color="000000"/>
              <w:bottom w:val="single" w:sz="4" w:space="0" w:color="000000"/>
              <w:right w:val="single" w:sz="4" w:space="0" w:color="000000"/>
            </w:tcBorders>
          </w:tcPr>
          <w:p w14:paraId="7518AA5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1D4A1E16"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3DFE80E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Retour d’expérience international</w:t>
            </w:r>
          </w:p>
        </w:tc>
        <w:tc>
          <w:tcPr>
            <w:tcW w:w="4200" w:type="dxa"/>
            <w:tcBorders>
              <w:top w:val="single" w:sz="4" w:space="0" w:color="000000"/>
              <w:left w:val="single" w:sz="4" w:space="0" w:color="000000"/>
              <w:bottom w:val="single" w:sz="4" w:space="0" w:color="000000"/>
              <w:right w:val="single" w:sz="4" w:space="0" w:color="000000"/>
            </w:tcBorders>
          </w:tcPr>
          <w:p w14:paraId="67A471D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Rapports de l’AIEA sur l’instrumentation et le contrôle numériques [44] et sur la V&amp;V logicielle [44]</w:t>
            </w:r>
          </w:p>
        </w:tc>
        <w:tc>
          <w:tcPr>
            <w:tcW w:w="2660" w:type="dxa"/>
            <w:tcBorders>
              <w:top w:val="single" w:sz="4" w:space="0" w:color="000000"/>
              <w:left w:val="single" w:sz="4" w:space="0" w:color="000000"/>
              <w:bottom w:val="single" w:sz="4" w:space="0" w:color="000000"/>
              <w:right w:val="single" w:sz="4" w:space="0" w:color="000000"/>
            </w:tcBorders>
          </w:tcPr>
          <w:p w14:paraId="2AAF2C7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r w:rsidR="00F50D70" w:rsidRPr="00BE4F47" w14:paraId="06F895E1" w14:textId="77777777">
        <w:trPr>
          <w:cantSplit/>
        </w:trPr>
        <w:tc>
          <w:tcPr>
            <w:tcW w:w="2500" w:type="dxa"/>
            <w:tcBorders>
              <w:top w:val="single" w:sz="4" w:space="0" w:color="000000"/>
              <w:left w:val="single" w:sz="4" w:space="0" w:color="000000"/>
              <w:bottom w:val="single" w:sz="4" w:space="0" w:color="000000"/>
              <w:right w:val="single" w:sz="4" w:space="0" w:color="000000"/>
            </w:tcBorders>
          </w:tcPr>
          <w:p w14:paraId="3F70FCB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Contexte du site</w:t>
            </w:r>
          </w:p>
        </w:tc>
        <w:tc>
          <w:tcPr>
            <w:tcW w:w="4200" w:type="dxa"/>
            <w:tcBorders>
              <w:top w:val="single" w:sz="4" w:space="0" w:color="000000"/>
              <w:left w:val="single" w:sz="4" w:space="0" w:color="000000"/>
              <w:bottom w:val="single" w:sz="4" w:space="0" w:color="000000"/>
              <w:right w:val="single" w:sz="4" w:space="0" w:color="000000"/>
            </w:tcBorders>
          </w:tcPr>
          <w:p w14:paraId="6C9B162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Documentation publique d’Hydro-Québec et fiche d’installation de la CCSN sur Gentilly-2 [1]</w:t>
            </w:r>
          </w:p>
        </w:tc>
        <w:tc>
          <w:tcPr>
            <w:tcW w:w="2660" w:type="dxa"/>
            <w:tcBorders>
              <w:top w:val="single" w:sz="4" w:space="0" w:color="000000"/>
              <w:left w:val="single" w:sz="4" w:space="0" w:color="000000"/>
              <w:bottom w:val="single" w:sz="4" w:space="0" w:color="000000"/>
              <w:right w:val="single" w:sz="4" w:space="0" w:color="000000"/>
            </w:tcBorders>
          </w:tcPr>
          <w:p w14:paraId="14AE8A3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bl>
    <w:p w14:paraId="099A99EE" w14:textId="77777777" w:rsidR="00F50D70" w:rsidRPr="00BE4F47" w:rsidRDefault="00F50D70" w:rsidP="008E113B">
      <w:pPr>
        <w:spacing w:line="360" w:lineRule="auto"/>
        <w:ind w:left="0"/>
        <w:rPr>
          <w:rFonts w:ascii="Aptos" w:hAnsi="Aptos"/>
        </w:rPr>
      </w:pPr>
    </w:p>
    <w:p w14:paraId="0B0FF3FD"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L’édition en vigueur de chaque norme doit être vérifiée au moment de la citation. Une norme citée sans millésime n’a pas de valeur en ingénierie. L’équipe en a déjà fait l’expérience : deux normes du tableau de la section 6 avaient changé d’édition depuis les diapositives du cours.</w:t>
      </w:r>
    </w:p>
    <w:p w14:paraId="7E0FF10C" w14:textId="77777777" w:rsidR="00F50D70" w:rsidRPr="00BE4F47" w:rsidRDefault="00F50D70" w:rsidP="008E113B">
      <w:pPr>
        <w:spacing w:line="360" w:lineRule="auto"/>
        <w:ind w:left="0"/>
        <w:rPr>
          <w:rFonts w:ascii="Aptos" w:hAnsi="Aptos"/>
        </w:rPr>
      </w:pPr>
    </w:p>
    <w:p w14:paraId="449F45C8" w14:textId="77777777" w:rsidR="00F50D70" w:rsidRPr="00B36301" w:rsidRDefault="00000000" w:rsidP="008E113B">
      <w:pPr>
        <w:pStyle w:val="Titre1"/>
        <w:spacing w:line="360" w:lineRule="auto"/>
      </w:pPr>
      <w:bookmarkStart w:id="70" w:name="__RefHeading___Toc240715287"/>
      <w:bookmarkEnd w:id="70"/>
      <w:r w:rsidRPr="00B36301">
        <w:t>Estimation préliminaire des coûts</w:t>
      </w:r>
    </w:p>
    <w:p w14:paraId="2D44DD34"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section 8 a converti le travail en heures et en ressources. Celle-ci convertit ces heures en dollars. Elle reprend la grille budgétaire du cours et distingue trois montants que l’on confond souvent : le coût du mandat, le prix facturé au client, et la réserve que le client conserve.</w:t>
      </w:r>
    </w:p>
    <w:p w14:paraId="45E6DBAC" w14:textId="77777777" w:rsidR="00F50D70" w:rsidRPr="00BE4F47" w:rsidRDefault="00000000" w:rsidP="008E113B">
      <w:pPr>
        <w:spacing w:after="130"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 xml:space="preserve">Cette section donne l’estimation des coûts du projet « Jumeau numérique de surveillance d’une boucle thermohydraulique ». </w:t>
      </w:r>
    </w:p>
    <w:p w14:paraId="44862FC6" w14:textId="77777777" w:rsidR="00F50D70" w:rsidRPr="00BE4F47" w:rsidRDefault="00000000" w:rsidP="008E113B">
      <w:pPr>
        <w:spacing w:after="130" w:line="360" w:lineRule="auto"/>
        <w:ind w:left="360"/>
        <w:rPr>
          <w:rFonts w:ascii="Aptos" w:eastAsia="Calibri" w:hAnsi="Aptos" w:cs="Calibri"/>
          <w:color w:val="1A1A19"/>
          <w:sz w:val="20"/>
          <w:szCs w:val="20"/>
        </w:rPr>
      </w:pPr>
      <w:r w:rsidRPr="00BE4F47">
        <w:rPr>
          <w:rFonts w:ascii="Aptos" w:eastAsia="Calibri" w:hAnsi="Aptos" w:cs="Calibri"/>
          <w:color w:val="1A1A19"/>
          <w:sz w:val="20"/>
          <w:szCs w:val="20"/>
        </w:rPr>
        <w:t>L’estimation est de classe 5 au sens du référentiel AACE 18R-97 [42]. Le contenu technique du projet n’est défini qu’à quelques pourcents à ce stade. Une estimation de classe 5 admet un écart de moins 20 % à moins 50 % du côté bas, et de plus 30 % à plus 100 % du côté haut. Le coût réel du mandat se situe donc entre 30 000 $ et 119 000 $ environ. Cette fourchette se resserrera au jalon J1, après l’approbation du cahier des charges, quand l’estimation passera en classe 4.</w:t>
      </w:r>
    </w:p>
    <w:p w14:paraId="6AE3940C"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Quatre hypothèses fixent la base de l’estimation. Elles viennent de la section 8. Toute modification apportée là doit être reportée ici.</w:t>
      </w:r>
    </w:p>
    <w:p w14:paraId="37B37763"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Huit membres, 135 heures chacun, soit 1 080 heures. Cette enveloppe est une contrainte du mandat, pas un résultat de l’estimation.</w:t>
      </w:r>
    </w:p>
    <w:p w14:paraId="7AF7E182"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Taux horaire unique de 50,00 $. Ce taux est un coût de revient, c’est à dire ce qu’une heure de travail coûte à l’équipe. Ce n’est pas le prix facturé au client. La marge est ajoutée plus bas dans la grille.</w:t>
      </w:r>
    </w:p>
    <w:p w14:paraId="1293428C"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lastRenderedPageBreak/>
        <w:t>Le barème des honoraires de l’Association des firmes de génie-conseil du Québec [45] donne des taux facturés nettement supérieurs. L’écart tient à cette distinction entre coût de revient et honoraire facturé.</w:t>
      </w:r>
    </w:p>
    <w:p w14:paraId="366CB453" w14:textId="77777777" w:rsidR="00F50D70" w:rsidRPr="00BE4F47" w:rsidRDefault="00000000" w:rsidP="008E113B">
      <w:pPr>
        <w:pStyle w:val="Paragraphedeliste"/>
        <w:numPr>
          <w:ilvl w:val="0"/>
          <w:numId w:val="4"/>
        </w:numPr>
        <w:spacing w:after="70" w:line="360" w:lineRule="auto"/>
        <w:contextualSpacing w:val="0"/>
        <w:rPr>
          <w:rFonts w:ascii="Aptos" w:hAnsi="Aptos"/>
          <w:lang w:val="fr-FR"/>
        </w:rPr>
      </w:pPr>
      <w:r w:rsidRPr="00BE4F47">
        <w:rPr>
          <w:rFonts w:ascii="Aptos" w:hAnsi="Aptos" w:cs="Calibri"/>
          <w:color w:val="1A1A19"/>
          <w:sz w:val="20"/>
          <w:szCs w:val="20"/>
          <w:lang w:val="fr-FR"/>
        </w:rPr>
        <w:t>La répartition par lot figure à la section 8 et la répartition par jalon à la section 10. Aucun des deux tableaux n’est recopié ici, pour qu’ils ne puissent pas diverger.</w:t>
      </w:r>
    </w:p>
    <w:p w14:paraId="034EA83A" w14:textId="77777777" w:rsidR="00F50D70" w:rsidRPr="00BE4F47" w:rsidRDefault="00000000" w:rsidP="008E113B">
      <w:pPr>
        <w:pStyle w:val="Titre4"/>
        <w:spacing w:line="360" w:lineRule="auto"/>
        <w:ind w:firstLine="425"/>
      </w:pPr>
      <w:r w:rsidRPr="00BE4F47">
        <w:t>Grille budgétaire</w:t>
      </w:r>
    </w:p>
    <w:p w14:paraId="7B9864E6"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La grille suit le gabarit du cours. Chaque poste sans montant porte la raison de son exclusion.</w:t>
      </w:r>
    </w:p>
    <w:p w14:paraId="2063D5BA" w14:textId="77777777" w:rsidR="00F50D70" w:rsidRPr="00BE4F47" w:rsidRDefault="00000000" w:rsidP="008E113B">
      <w:pPr>
        <w:pStyle w:val="Lgende"/>
        <w:spacing w:line="360" w:lineRule="auto"/>
        <w:rPr>
          <w:rFonts w:ascii="Aptos" w:hAnsi="Aptos"/>
        </w:rPr>
      </w:pPr>
      <w:r w:rsidRPr="00BE4F47">
        <w:rPr>
          <w:rFonts w:ascii="Aptos" w:hAnsi="Aptos"/>
        </w:rPr>
        <w:t>Tableau 9-1. Grille budgétaire du mandat</w:t>
      </w:r>
    </w:p>
    <w:tbl>
      <w:tblPr>
        <w:tblW w:w="9360" w:type="dxa"/>
        <w:tblLayout w:type="fixed"/>
        <w:tblCellMar>
          <w:top w:w="55" w:type="dxa"/>
          <w:left w:w="85" w:type="dxa"/>
          <w:bottom w:w="55" w:type="dxa"/>
          <w:right w:w="85" w:type="dxa"/>
        </w:tblCellMar>
        <w:tblLook w:val="04A0" w:firstRow="1" w:lastRow="0" w:firstColumn="1" w:lastColumn="0" w:noHBand="0" w:noVBand="1"/>
      </w:tblPr>
      <w:tblGrid>
        <w:gridCol w:w="1560"/>
        <w:gridCol w:w="2820"/>
        <w:gridCol w:w="3180"/>
        <w:gridCol w:w="1800"/>
      </w:tblGrid>
      <w:tr w:rsidR="00F50D70" w:rsidRPr="00BE4F47" w14:paraId="79E1EFCF" w14:textId="77777777">
        <w:trPr>
          <w:tblHeader/>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310B090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0F661DD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Poste</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5B92D7A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Base d’estimation</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2B69189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Montant</w:t>
            </w:r>
          </w:p>
        </w:tc>
      </w:tr>
      <w:tr w:rsidR="00F50D70" w:rsidRPr="00BE4F47" w14:paraId="00294DF3"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6BB9E1E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551CC8D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Salaire de l’équipe : ingénierie, lots L2 à L9, 972 h</w:t>
            </w:r>
          </w:p>
        </w:tc>
        <w:tc>
          <w:tcPr>
            <w:tcW w:w="3180" w:type="dxa"/>
            <w:tcBorders>
              <w:top w:val="single" w:sz="4" w:space="0" w:color="000000"/>
              <w:left w:val="single" w:sz="4" w:space="0" w:color="000000"/>
              <w:bottom w:val="single" w:sz="4" w:space="0" w:color="000000"/>
              <w:right w:val="single" w:sz="4" w:space="0" w:color="000000"/>
            </w:tcBorders>
          </w:tcPr>
          <w:p w14:paraId="4C50C8A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5, méthode ascendante, 50,00 $/h</w:t>
            </w:r>
          </w:p>
        </w:tc>
        <w:tc>
          <w:tcPr>
            <w:tcW w:w="1800" w:type="dxa"/>
            <w:tcBorders>
              <w:top w:val="single" w:sz="4" w:space="0" w:color="000000"/>
              <w:left w:val="single" w:sz="4" w:space="0" w:color="000000"/>
              <w:bottom w:val="single" w:sz="4" w:space="0" w:color="000000"/>
              <w:right w:val="single" w:sz="4" w:space="0" w:color="000000"/>
            </w:tcBorders>
          </w:tcPr>
          <w:p w14:paraId="522F6B0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48 600,00 $</w:t>
            </w:r>
          </w:p>
        </w:tc>
      </w:tr>
      <w:tr w:rsidR="00F50D70" w:rsidRPr="00BE4F47" w14:paraId="23AA7AE0"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4BA0206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59088B1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Salaire de l’équipe : gestion de projet, lot L1, 108 h</w:t>
            </w:r>
          </w:p>
        </w:tc>
        <w:tc>
          <w:tcPr>
            <w:tcW w:w="3180" w:type="dxa"/>
            <w:tcBorders>
              <w:top w:val="single" w:sz="4" w:space="0" w:color="000000"/>
              <w:left w:val="single" w:sz="4" w:space="0" w:color="000000"/>
              <w:bottom w:val="single" w:sz="4" w:space="0" w:color="000000"/>
              <w:right w:val="single" w:sz="4" w:space="0" w:color="000000"/>
            </w:tcBorders>
          </w:tcPr>
          <w:p w14:paraId="37CD51B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Classe 5, méthode ascendante, 50,00 $/h</w:t>
            </w:r>
          </w:p>
        </w:tc>
        <w:tc>
          <w:tcPr>
            <w:tcW w:w="1800" w:type="dxa"/>
            <w:tcBorders>
              <w:top w:val="single" w:sz="4" w:space="0" w:color="000000"/>
              <w:left w:val="single" w:sz="4" w:space="0" w:color="000000"/>
              <w:bottom w:val="single" w:sz="4" w:space="0" w:color="000000"/>
              <w:right w:val="single" w:sz="4" w:space="0" w:color="000000"/>
            </w:tcBorders>
          </w:tcPr>
          <w:p w14:paraId="5AC3C6B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5 400,00 $</w:t>
            </w:r>
          </w:p>
        </w:tc>
      </w:tr>
      <w:tr w:rsidR="00F50D70" w:rsidRPr="00BE4F47" w14:paraId="0A5AC37B"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5E389F8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3D4D6BD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Équipement et matériaux</w:t>
            </w:r>
          </w:p>
        </w:tc>
        <w:tc>
          <w:tcPr>
            <w:tcW w:w="3180" w:type="dxa"/>
            <w:tcBorders>
              <w:top w:val="single" w:sz="4" w:space="0" w:color="000000"/>
              <w:left w:val="single" w:sz="4" w:space="0" w:color="000000"/>
              <w:bottom w:val="single" w:sz="4" w:space="0" w:color="000000"/>
              <w:right w:val="single" w:sz="4" w:space="0" w:color="000000"/>
            </w:tcBorders>
          </w:tcPr>
          <w:p w14:paraId="5E2FEB5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Sans objet. Le livrable est un logiciel.</w:t>
            </w:r>
          </w:p>
        </w:tc>
        <w:tc>
          <w:tcPr>
            <w:tcW w:w="1800" w:type="dxa"/>
            <w:tcBorders>
              <w:top w:val="single" w:sz="4" w:space="0" w:color="000000"/>
              <w:left w:val="single" w:sz="4" w:space="0" w:color="000000"/>
              <w:bottom w:val="single" w:sz="4" w:space="0" w:color="000000"/>
              <w:right w:val="single" w:sz="4" w:space="0" w:color="000000"/>
            </w:tcBorders>
          </w:tcPr>
          <w:p w14:paraId="6F64D56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3868EBA3"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570A060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3696D55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Composants revendus intégrés (fonctions A à D du gabarit)</w:t>
            </w:r>
          </w:p>
        </w:tc>
        <w:tc>
          <w:tcPr>
            <w:tcW w:w="3180" w:type="dxa"/>
            <w:tcBorders>
              <w:top w:val="single" w:sz="4" w:space="0" w:color="000000"/>
              <w:left w:val="single" w:sz="4" w:space="0" w:color="000000"/>
              <w:bottom w:val="single" w:sz="4" w:space="0" w:color="000000"/>
              <w:right w:val="single" w:sz="4" w:space="0" w:color="000000"/>
            </w:tcBorders>
          </w:tcPr>
          <w:p w14:paraId="5382984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Sans objet. Aucun composant physique.</w:t>
            </w:r>
          </w:p>
        </w:tc>
        <w:tc>
          <w:tcPr>
            <w:tcW w:w="1800" w:type="dxa"/>
            <w:tcBorders>
              <w:top w:val="single" w:sz="4" w:space="0" w:color="000000"/>
              <w:left w:val="single" w:sz="4" w:space="0" w:color="000000"/>
              <w:bottom w:val="single" w:sz="4" w:space="0" w:color="000000"/>
              <w:right w:val="single" w:sz="4" w:space="0" w:color="000000"/>
            </w:tcBorders>
          </w:tcPr>
          <w:p w14:paraId="5418044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661DB777"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C24AFD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167BC7D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Marketing et études de marché</w:t>
            </w:r>
          </w:p>
        </w:tc>
        <w:tc>
          <w:tcPr>
            <w:tcW w:w="3180" w:type="dxa"/>
            <w:tcBorders>
              <w:top w:val="single" w:sz="4" w:space="0" w:color="000000"/>
              <w:left w:val="single" w:sz="4" w:space="0" w:color="000000"/>
              <w:bottom w:val="single" w:sz="4" w:space="0" w:color="000000"/>
              <w:right w:val="single" w:sz="4" w:space="0" w:color="000000"/>
            </w:tcBorders>
          </w:tcPr>
          <w:p w14:paraId="25AD738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Hors du périmètre du mandat</w:t>
            </w:r>
          </w:p>
        </w:tc>
        <w:tc>
          <w:tcPr>
            <w:tcW w:w="1800" w:type="dxa"/>
            <w:tcBorders>
              <w:top w:val="single" w:sz="4" w:space="0" w:color="000000"/>
              <w:left w:val="single" w:sz="4" w:space="0" w:color="000000"/>
              <w:bottom w:val="single" w:sz="4" w:space="0" w:color="000000"/>
              <w:right w:val="single" w:sz="4" w:space="0" w:color="000000"/>
            </w:tcBorders>
          </w:tcPr>
          <w:p w14:paraId="0A36747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232F5BF1"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1D1434B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2B36F3D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Frais légaux</w:t>
            </w:r>
          </w:p>
        </w:tc>
        <w:tc>
          <w:tcPr>
            <w:tcW w:w="3180" w:type="dxa"/>
            <w:tcBorders>
              <w:top w:val="single" w:sz="4" w:space="0" w:color="000000"/>
              <w:left w:val="single" w:sz="4" w:space="0" w:color="000000"/>
              <w:bottom w:val="single" w:sz="4" w:space="0" w:color="000000"/>
              <w:right w:val="single" w:sz="4" w:space="0" w:color="000000"/>
            </w:tcBorders>
          </w:tcPr>
          <w:p w14:paraId="76359B7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Hors du périmètre du mandat</w:t>
            </w:r>
          </w:p>
        </w:tc>
        <w:tc>
          <w:tcPr>
            <w:tcW w:w="1800" w:type="dxa"/>
            <w:tcBorders>
              <w:top w:val="single" w:sz="4" w:space="0" w:color="000000"/>
              <w:left w:val="single" w:sz="4" w:space="0" w:color="000000"/>
              <w:bottom w:val="single" w:sz="4" w:space="0" w:color="000000"/>
              <w:right w:val="single" w:sz="4" w:space="0" w:color="000000"/>
            </w:tcBorders>
          </w:tcPr>
          <w:p w14:paraId="019A9AC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0C9B36C0"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6AE6FC2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3A63393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Déplacements : véhicule, hôtel, indemnité journalière</w:t>
            </w:r>
          </w:p>
        </w:tc>
        <w:tc>
          <w:tcPr>
            <w:tcW w:w="3180" w:type="dxa"/>
            <w:tcBorders>
              <w:top w:val="single" w:sz="4" w:space="0" w:color="000000"/>
              <w:left w:val="single" w:sz="4" w:space="0" w:color="000000"/>
              <w:bottom w:val="single" w:sz="4" w:space="0" w:color="000000"/>
              <w:right w:val="single" w:sz="4" w:space="0" w:color="000000"/>
            </w:tcBorders>
          </w:tcPr>
          <w:p w14:paraId="0B96F6A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Travaux réalisés sur le campus de l’UQAC</w:t>
            </w:r>
          </w:p>
        </w:tc>
        <w:tc>
          <w:tcPr>
            <w:tcW w:w="1800" w:type="dxa"/>
            <w:tcBorders>
              <w:top w:val="single" w:sz="4" w:space="0" w:color="000000"/>
              <w:left w:val="single" w:sz="4" w:space="0" w:color="000000"/>
              <w:bottom w:val="single" w:sz="4" w:space="0" w:color="000000"/>
              <w:right w:val="single" w:sz="4" w:space="0" w:color="000000"/>
            </w:tcBorders>
          </w:tcPr>
          <w:p w14:paraId="39805DC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7DAEB3B8"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9901CD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68AF740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Publicité</w:t>
            </w:r>
          </w:p>
        </w:tc>
        <w:tc>
          <w:tcPr>
            <w:tcW w:w="3180" w:type="dxa"/>
            <w:tcBorders>
              <w:top w:val="single" w:sz="4" w:space="0" w:color="000000"/>
              <w:left w:val="single" w:sz="4" w:space="0" w:color="000000"/>
              <w:bottom w:val="single" w:sz="4" w:space="0" w:color="000000"/>
              <w:right w:val="single" w:sz="4" w:space="0" w:color="000000"/>
            </w:tcBorders>
          </w:tcPr>
          <w:p w14:paraId="2E03A13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Hors du périmètre du mandat</w:t>
            </w:r>
          </w:p>
        </w:tc>
        <w:tc>
          <w:tcPr>
            <w:tcW w:w="1800" w:type="dxa"/>
            <w:tcBorders>
              <w:top w:val="single" w:sz="4" w:space="0" w:color="000000"/>
              <w:left w:val="single" w:sz="4" w:space="0" w:color="000000"/>
              <w:bottom w:val="single" w:sz="4" w:space="0" w:color="000000"/>
              <w:right w:val="single" w:sz="4" w:space="0" w:color="000000"/>
            </w:tcBorders>
          </w:tcPr>
          <w:p w14:paraId="5C4C7EF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30F353EE"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231A7A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35FAB89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Recherche et développement</w:t>
            </w:r>
          </w:p>
        </w:tc>
        <w:tc>
          <w:tcPr>
            <w:tcW w:w="3180" w:type="dxa"/>
            <w:tcBorders>
              <w:top w:val="single" w:sz="4" w:space="0" w:color="000000"/>
              <w:left w:val="single" w:sz="4" w:space="0" w:color="000000"/>
              <w:bottom w:val="single" w:sz="4" w:space="0" w:color="000000"/>
              <w:right w:val="single" w:sz="4" w:space="0" w:color="000000"/>
            </w:tcBorders>
          </w:tcPr>
          <w:p w14:paraId="6E87844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Comprise dans les 972 h des lots L2 à L9</w:t>
            </w:r>
          </w:p>
        </w:tc>
        <w:tc>
          <w:tcPr>
            <w:tcW w:w="1800" w:type="dxa"/>
            <w:tcBorders>
              <w:top w:val="single" w:sz="4" w:space="0" w:color="000000"/>
              <w:left w:val="single" w:sz="4" w:space="0" w:color="000000"/>
              <w:bottom w:val="single" w:sz="4" w:space="0" w:color="000000"/>
              <w:right w:val="single" w:sz="4" w:space="0" w:color="000000"/>
            </w:tcBorders>
          </w:tcPr>
          <w:p w14:paraId="5FEA0CA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59CAAC0F"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01E7AA5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2F7E1C5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Étude de faisabilité</w:t>
            </w:r>
          </w:p>
        </w:tc>
        <w:tc>
          <w:tcPr>
            <w:tcW w:w="3180" w:type="dxa"/>
            <w:tcBorders>
              <w:top w:val="single" w:sz="4" w:space="0" w:color="000000"/>
              <w:left w:val="single" w:sz="4" w:space="0" w:color="000000"/>
              <w:bottom w:val="single" w:sz="4" w:space="0" w:color="000000"/>
              <w:right w:val="single" w:sz="4" w:space="0" w:color="000000"/>
            </w:tcBorders>
          </w:tcPr>
          <w:p w14:paraId="141184C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Le plan de projet en tient lieu</w:t>
            </w:r>
          </w:p>
        </w:tc>
        <w:tc>
          <w:tcPr>
            <w:tcW w:w="1800" w:type="dxa"/>
            <w:tcBorders>
              <w:top w:val="single" w:sz="4" w:space="0" w:color="000000"/>
              <w:left w:val="single" w:sz="4" w:space="0" w:color="000000"/>
              <w:bottom w:val="single" w:sz="4" w:space="0" w:color="000000"/>
              <w:right w:val="single" w:sz="4" w:space="0" w:color="000000"/>
            </w:tcBorders>
          </w:tcPr>
          <w:p w14:paraId="7F1EC07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735B95E1"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4F37AE0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tcPr>
          <w:p w14:paraId="261B9EE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TPS, TVQ et TVH</w:t>
            </w:r>
          </w:p>
        </w:tc>
        <w:tc>
          <w:tcPr>
            <w:tcW w:w="3180" w:type="dxa"/>
            <w:tcBorders>
              <w:top w:val="single" w:sz="4" w:space="0" w:color="000000"/>
              <w:left w:val="single" w:sz="4" w:space="0" w:color="000000"/>
              <w:bottom w:val="single" w:sz="4" w:space="0" w:color="000000"/>
              <w:right w:val="single" w:sz="4" w:space="0" w:color="000000"/>
            </w:tcBorders>
          </w:tcPr>
          <w:p w14:paraId="0CAAE5E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Mandat académique, aucune facturation réelle</w:t>
            </w:r>
          </w:p>
        </w:tc>
        <w:tc>
          <w:tcPr>
            <w:tcW w:w="1800" w:type="dxa"/>
            <w:tcBorders>
              <w:top w:val="single" w:sz="4" w:space="0" w:color="000000"/>
              <w:left w:val="single" w:sz="4" w:space="0" w:color="000000"/>
              <w:bottom w:val="single" w:sz="4" w:space="0" w:color="000000"/>
              <w:right w:val="single" w:sz="4" w:space="0" w:color="000000"/>
            </w:tcBorders>
          </w:tcPr>
          <w:p w14:paraId="134258F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71E9BEB1"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1B91C1A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Coûts directs</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41BE6F7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Sous-total des coûts directs</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41C62B1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1 080 h à 50,00 $/h</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6A70513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54 000,00 $</w:t>
            </w:r>
          </w:p>
        </w:tc>
      </w:tr>
      <w:tr w:rsidR="00F50D70" w:rsidRPr="00BE4F47" w14:paraId="608642B4"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F45803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185497D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Consultation et sous-traitance</w:t>
            </w:r>
          </w:p>
        </w:tc>
        <w:tc>
          <w:tcPr>
            <w:tcW w:w="3180" w:type="dxa"/>
            <w:tcBorders>
              <w:top w:val="single" w:sz="4" w:space="0" w:color="000000"/>
              <w:left w:val="single" w:sz="4" w:space="0" w:color="000000"/>
              <w:bottom w:val="single" w:sz="4" w:space="0" w:color="000000"/>
              <w:right w:val="single" w:sz="4" w:space="0" w:color="000000"/>
            </w:tcBorders>
          </w:tcPr>
          <w:p w14:paraId="005124F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Aucun sous-traitant prévu</w:t>
            </w:r>
          </w:p>
        </w:tc>
        <w:tc>
          <w:tcPr>
            <w:tcW w:w="1800" w:type="dxa"/>
            <w:tcBorders>
              <w:top w:val="single" w:sz="4" w:space="0" w:color="000000"/>
              <w:left w:val="single" w:sz="4" w:space="0" w:color="000000"/>
              <w:bottom w:val="single" w:sz="4" w:space="0" w:color="000000"/>
              <w:right w:val="single" w:sz="4" w:space="0" w:color="000000"/>
            </w:tcBorders>
          </w:tcPr>
          <w:p w14:paraId="4403CAC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49FAF657"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19B9CD8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080EA19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Télécommunications : téléphonie, internet</w:t>
            </w:r>
          </w:p>
        </w:tc>
        <w:tc>
          <w:tcPr>
            <w:tcW w:w="3180" w:type="dxa"/>
            <w:tcBorders>
              <w:top w:val="single" w:sz="4" w:space="0" w:color="000000"/>
              <w:left w:val="single" w:sz="4" w:space="0" w:color="000000"/>
              <w:bottom w:val="single" w:sz="4" w:space="0" w:color="000000"/>
              <w:right w:val="single" w:sz="4" w:space="0" w:color="000000"/>
            </w:tcBorders>
          </w:tcPr>
          <w:p w14:paraId="3459E6C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Fournies par l’UQAC</w:t>
            </w:r>
          </w:p>
        </w:tc>
        <w:tc>
          <w:tcPr>
            <w:tcW w:w="1800" w:type="dxa"/>
            <w:tcBorders>
              <w:top w:val="single" w:sz="4" w:space="0" w:color="000000"/>
              <w:left w:val="single" w:sz="4" w:space="0" w:color="000000"/>
              <w:bottom w:val="single" w:sz="4" w:space="0" w:color="000000"/>
              <w:right w:val="single" w:sz="4" w:space="0" w:color="000000"/>
            </w:tcBorders>
          </w:tcPr>
          <w:p w14:paraId="77F6968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068B9BC2"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BC9545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35B4E37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Entretien et service ménager des locaux</w:t>
            </w:r>
          </w:p>
        </w:tc>
        <w:tc>
          <w:tcPr>
            <w:tcW w:w="3180" w:type="dxa"/>
            <w:tcBorders>
              <w:top w:val="single" w:sz="4" w:space="0" w:color="000000"/>
              <w:left w:val="single" w:sz="4" w:space="0" w:color="000000"/>
              <w:bottom w:val="single" w:sz="4" w:space="0" w:color="000000"/>
              <w:right w:val="single" w:sz="4" w:space="0" w:color="000000"/>
            </w:tcBorders>
          </w:tcPr>
          <w:p w14:paraId="778855D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Fournis par l’UQAC</w:t>
            </w:r>
          </w:p>
        </w:tc>
        <w:tc>
          <w:tcPr>
            <w:tcW w:w="1800" w:type="dxa"/>
            <w:tcBorders>
              <w:top w:val="single" w:sz="4" w:space="0" w:color="000000"/>
              <w:left w:val="single" w:sz="4" w:space="0" w:color="000000"/>
              <w:bottom w:val="single" w:sz="4" w:space="0" w:color="000000"/>
              <w:right w:val="single" w:sz="4" w:space="0" w:color="000000"/>
            </w:tcBorders>
          </w:tcPr>
          <w:p w14:paraId="445185E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72024124"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4E31FF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084E334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Bureautique : poste de travail, périphériques, fournitures</w:t>
            </w:r>
          </w:p>
        </w:tc>
        <w:tc>
          <w:tcPr>
            <w:tcW w:w="3180" w:type="dxa"/>
            <w:tcBorders>
              <w:top w:val="single" w:sz="4" w:space="0" w:color="000000"/>
              <w:left w:val="single" w:sz="4" w:space="0" w:color="000000"/>
              <w:bottom w:val="single" w:sz="4" w:space="0" w:color="000000"/>
              <w:right w:val="single" w:sz="4" w:space="0" w:color="000000"/>
            </w:tcBorders>
          </w:tcPr>
          <w:p w14:paraId="3B12F26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Apport des membres, non facturé</w:t>
            </w:r>
          </w:p>
        </w:tc>
        <w:tc>
          <w:tcPr>
            <w:tcW w:w="1800" w:type="dxa"/>
            <w:tcBorders>
              <w:top w:val="single" w:sz="4" w:space="0" w:color="000000"/>
              <w:left w:val="single" w:sz="4" w:space="0" w:color="000000"/>
              <w:bottom w:val="single" w:sz="4" w:space="0" w:color="000000"/>
              <w:right w:val="single" w:sz="4" w:space="0" w:color="000000"/>
            </w:tcBorders>
          </w:tcPr>
          <w:p w14:paraId="60E9522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616F29FA"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5B89F62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56B4AAD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Hébergement des pages du projet</w:t>
            </w:r>
          </w:p>
        </w:tc>
        <w:tc>
          <w:tcPr>
            <w:tcW w:w="3180" w:type="dxa"/>
            <w:tcBorders>
              <w:top w:val="single" w:sz="4" w:space="0" w:color="000000"/>
              <w:left w:val="single" w:sz="4" w:space="0" w:color="000000"/>
              <w:bottom w:val="single" w:sz="4" w:space="0" w:color="000000"/>
              <w:right w:val="single" w:sz="4" w:space="0" w:color="000000"/>
            </w:tcBorders>
          </w:tcPr>
          <w:p w14:paraId="6C0B5CF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Dépôt GitHub, offre éducation</w:t>
            </w:r>
          </w:p>
        </w:tc>
        <w:tc>
          <w:tcPr>
            <w:tcW w:w="1800" w:type="dxa"/>
            <w:tcBorders>
              <w:top w:val="single" w:sz="4" w:space="0" w:color="000000"/>
              <w:left w:val="single" w:sz="4" w:space="0" w:color="000000"/>
              <w:bottom w:val="single" w:sz="4" w:space="0" w:color="000000"/>
              <w:right w:val="single" w:sz="4" w:space="0" w:color="000000"/>
            </w:tcBorders>
          </w:tcPr>
          <w:p w14:paraId="0AFB300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5A5931AB"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00AA521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lastRenderedPageBreak/>
              <w:t>Coûts indirects</w:t>
            </w:r>
          </w:p>
        </w:tc>
        <w:tc>
          <w:tcPr>
            <w:tcW w:w="2820" w:type="dxa"/>
            <w:tcBorders>
              <w:top w:val="single" w:sz="4" w:space="0" w:color="000000"/>
              <w:left w:val="single" w:sz="4" w:space="0" w:color="000000"/>
              <w:bottom w:val="single" w:sz="4" w:space="0" w:color="000000"/>
              <w:right w:val="single" w:sz="4" w:space="0" w:color="000000"/>
            </w:tcBorders>
          </w:tcPr>
          <w:p w14:paraId="211AD50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Licences logicielles</w:t>
            </w:r>
          </w:p>
        </w:tc>
        <w:tc>
          <w:tcPr>
            <w:tcW w:w="3180" w:type="dxa"/>
            <w:tcBorders>
              <w:top w:val="single" w:sz="4" w:space="0" w:color="000000"/>
              <w:left w:val="single" w:sz="4" w:space="0" w:color="000000"/>
              <w:bottom w:val="single" w:sz="4" w:space="0" w:color="000000"/>
              <w:right w:val="single" w:sz="4" w:space="0" w:color="000000"/>
            </w:tcBorders>
          </w:tcPr>
          <w:p w14:paraId="1D6C382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Licences académiques de l’UQAC et outils libres</w:t>
            </w:r>
          </w:p>
        </w:tc>
        <w:tc>
          <w:tcPr>
            <w:tcW w:w="1800" w:type="dxa"/>
            <w:tcBorders>
              <w:top w:val="single" w:sz="4" w:space="0" w:color="000000"/>
              <w:left w:val="single" w:sz="4" w:space="0" w:color="000000"/>
              <w:bottom w:val="single" w:sz="4" w:space="0" w:color="000000"/>
              <w:right w:val="single" w:sz="4" w:space="0" w:color="000000"/>
            </w:tcBorders>
          </w:tcPr>
          <w:p w14:paraId="5BB2184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1F226467"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AD34A2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06D1B77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Garantie prolongée du produit</w:t>
            </w:r>
          </w:p>
        </w:tc>
        <w:tc>
          <w:tcPr>
            <w:tcW w:w="3180" w:type="dxa"/>
            <w:tcBorders>
              <w:top w:val="single" w:sz="4" w:space="0" w:color="000000"/>
              <w:left w:val="single" w:sz="4" w:space="0" w:color="000000"/>
              <w:bottom w:val="single" w:sz="4" w:space="0" w:color="000000"/>
              <w:right w:val="single" w:sz="4" w:space="0" w:color="000000"/>
            </w:tcBorders>
          </w:tcPr>
          <w:p w14:paraId="3678AB5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Aucun produit physique livré</w:t>
            </w:r>
          </w:p>
        </w:tc>
        <w:tc>
          <w:tcPr>
            <w:tcW w:w="1800" w:type="dxa"/>
            <w:tcBorders>
              <w:top w:val="single" w:sz="4" w:space="0" w:color="000000"/>
              <w:left w:val="single" w:sz="4" w:space="0" w:color="000000"/>
              <w:bottom w:val="single" w:sz="4" w:space="0" w:color="000000"/>
              <w:right w:val="single" w:sz="4" w:space="0" w:color="000000"/>
            </w:tcBorders>
          </w:tcPr>
          <w:p w14:paraId="4E51472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1A67633D"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05728BB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16671CE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Formation du personnel</w:t>
            </w:r>
          </w:p>
        </w:tc>
        <w:tc>
          <w:tcPr>
            <w:tcW w:w="3180" w:type="dxa"/>
            <w:tcBorders>
              <w:top w:val="single" w:sz="4" w:space="0" w:color="000000"/>
              <w:left w:val="single" w:sz="4" w:space="0" w:color="000000"/>
              <w:bottom w:val="single" w:sz="4" w:space="0" w:color="000000"/>
              <w:right w:val="single" w:sz="4" w:space="0" w:color="000000"/>
            </w:tcBorders>
          </w:tcPr>
          <w:p w14:paraId="0CCCF54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Ateliers et formation compris dans les 1 080 h, au lot L1</w:t>
            </w:r>
          </w:p>
        </w:tc>
        <w:tc>
          <w:tcPr>
            <w:tcW w:w="1800" w:type="dxa"/>
            <w:tcBorders>
              <w:top w:val="single" w:sz="4" w:space="0" w:color="000000"/>
              <w:left w:val="single" w:sz="4" w:space="0" w:color="000000"/>
              <w:bottom w:val="single" w:sz="4" w:space="0" w:color="000000"/>
              <w:right w:val="single" w:sz="4" w:space="0" w:color="000000"/>
            </w:tcBorders>
          </w:tcPr>
          <w:p w14:paraId="2DEA8E7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02E166A9"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0B56DB0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1E1C5F8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Livraison, installation, douane</w:t>
            </w:r>
          </w:p>
        </w:tc>
        <w:tc>
          <w:tcPr>
            <w:tcW w:w="3180" w:type="dxa"/>
            <w:tcBorders>
              <w:top w:val="single" w:sz="4" w:space="0" w:color="000000"/>
              <w:left w:val="single" w:sz="4" w:space="0" w:color="000000"/>
              <w:bottom w:val="single" w:sz="4" w:space="0" w:color="000000"/>
              <w:right w:val="single" w:sz="4" w:space="0" w:color="000000"/>
            </w:tcBorders>
          </w:tcPr>
          <w:p w14:paraId="418A61D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Sans objet pour un livrable logiciel</w:t>
            </w:r>
          </w:p>
        </w:tc>
        <w:tc>
          <w:tcPr>
            <w:tcW w:w="1800" w:type="dxa"/>
            <w:tcBorders>
              <w:top w:val="single" w:sz="4" w:space="0" w:color="000000"/>
              <w:left w:val="single" w:sz="4" w:space="0" w:color="000000"/>
              <w:bottom w:val="single" w:sz="4" w:space="0" w:color="000000"/>
              <w:right w:val="single" w:sz="4" w:space="0" w:color="000000"/>
            </w:tcBorders>
          </w:tcPr>
          <w:p w14:paraId="74D74E3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438EC924"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1C2C157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62407FA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Assurance responsabilité civile</w:t>
            </w:r>
          </w:p>
        </w:tc>
        <w:tc>
          <w:tcPr>
            <w:tcW w:w="3180" w:type="dxa"/>
            <w:tcBorders>
              <w:top w:val="single" w:sz="4" w:space="0" w:color="000000"/>
              <w:left w:val="single" w:sz="4" w:space="0" w:color="000000"/>
              <w:bottom w:val="single" w:sz="4" w:space="0" w:color="000000"/>
              <w:right w:val="single" w:sz="4" w:space="0" w:color="000000"/>
            </w:tcBorders>
          </w:tcPr>
          <w:p w14:paraId="5F6DF91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Couverte par le cadre académique de l’UQAC</w:t>
            </w:r>
          </w:p>
        </w:tc>
        <w:tc>
          <w:tcPr>
            <w:tcW w:w="1800" w:type="dxa"/>
            <w:tcBorders>
              <w:top w:val="single" w:sz="4" w:space="0" w:color="000000"/>
              <w:left w:val="single" w:sz="4" w:space="0" w:color="000000"/>
              <w:bottom w:val="single" w:sz="4" w:space="0" w:color="000000"/>
              <w:right w:val="single" w:sz="4" w:space="0" w:color="000000"/>
            </w:tcBorders>
          </w:tcPr>
          <w:p w14:paraId="18F9D5E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7288B0C1"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57C750F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tcPr>
          <w:p w14:paraId="1479898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Assurance des immeubles et des biens</w:t>
            </w:r>
          </w:p>
        </w:tc>
        <w:tc>
          <w:tcPr>
            <w:tcW w:w="3180" w:type="dxa"/>
            <w:tcBorders>
              <w:top w:val="single" w:sz="4" w:space="0" w:color="000000"/>
              <w:left w:val="single" w:sz="4" w:space="0" w:color="000000"/>
              <w:bottom w:val="single" w:sz="4" w:space="0" w:color="000000"/>
              <w:right w:val="single" w:sz="4" w:space="0" w:color="000000"/>
            </w:tcBorders>
          </w:tcPr>
          <w:p w14:paraId="159E585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Couverte par l’UQAC</w:t>
            </w:r>
          </w:p>
        </w:tc>
        <w:tc>
          <w:tcPr>
            <w:tcW w:w="1800" w:type="dxa"/>
            <w:tcBorders>
              <w:top w:val="single" w:sz="4" w:space="0" w:color="000000"/>
              <w:left w:val="single" w:sz="4" w:space="0" w:color="000000"/>
              <w:bottom w:val="single" w:sz="4" w:space="0" w:color="000000"/>
              <w:right w:val="single" w:sz="4" w:space="0" w:color="000000"/>
            </w:tcBorders>
          </w:tcPr>
          <w:p w14:paraId="76B0AA7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7420F4ED"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00F1E35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Coûts indirects</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5AAC150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Sous-total des coûts indirects</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16AF171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Aucun poste applicable</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5614B99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0,00 $</w:t>
            </w:r>
          </w:p>
        </w:tc>
      </w:tr>
      <w:tr w:rsidR="00F50D70" w:rsidRPr="00BE4F47" w14:paraId="555372C0"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2F6119D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Provisions</w:t>
            </w:r>
          </w:p>
        </w:tc>
        <w:tc>
          <w:tcPr>
            <w:tcW w:w="2820" w:type="dxa"/>
            <w:tcBorders>
              <w:top w:val="single" w:sz="4" w:space="0" w:color="000000"/>
              <w:left w:val="single" w:sz="4" w:space="0" w:color="000000"/>
              <w:bottom w:val="single" w:sz="4" w:space="0" w:color="000000"/>
              <w:right w:val="single" w:sz="4" w:space="0" w:color="000000"/>
            </w:tcBorders>
          </w:tcPr>
          <w:p w14:paraId="3B291CC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Contingence</w:t>
            </w:r>
          </w:p>
        </w:tc>
        <w:tc>
          <w:tcPr>
            <w:tcW w:w="3180" w:type="dxa"/>
            <w:tcBorders>
              <w:top w:val="single" w:sz="4" w:space="0" w:color="000000"/>
              <w:left w:val="single" w:sz="4" w:space="0" w:color="000000"/>
              <w:bottom w:val="single" w:sz="4" w:space="0" w:color="000000"/>
              <w:right w:val="single" w:sz="4" w:space="0" w:color="000000"/>
            </w:tcBorders>
          </w:tcPr>
          <w:p w14:paraId="3340F52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10 % des coûts directs, soit 10 % de 54 000 $</w:t>
            </w:r>
          </w:p>
        </w:tc>
        <w:tc>
          <w:tcPr>
            <w:tcW w:w="1800" w:type="dxa"/>
            <w:tcBorders>
              <w:top w:val="single" w:sz="4" w:space="0" w:color="000000"/>
              <w:left w:val="single" w:sz="4" w:space="0" w:color="000000"/>
              <w:bottom w:val="single" w:sz="4" w:space="0" w:color="000000"/>
              <w:right w:val="single" w:sz="4" w:space="0" w:color="000000"/>
            </w:tcBorders>
          </w:tcPr>
          <w:p w14:paraId="5E0A89C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5 400,00 $</w:t>
            </w:r>
          </w:p>
        </w:tc>
      </w:tr>
      <w:tr w:rsidR="00F50D70" w:rsidRPr="00BE4F47" w14:paraId="1F1D31E6"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7D660E1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Provisions</w:t>
            </w:r>
          </w:p>
        </w:tc>
        <w:tc>
          <w:tcPr>
            <w:tcW w:w="2820" w:type="dxa"/>
            <w:tcBorders>
              <w:top w:val="single" w:sz="4" w:space="0" w:color="000000"/>
              <w:left w:val="single" w:sz="4" w:space="0" w:color="000000"/>
              <w:bottom w:val="single" w:sz="4" w:space="0" w:color="000000"/>
              <w:right w:val="single" w:sz="4" w:space="0" w:color="000000"/>
            </w:tcBorders>
          </w:tcPr>
          <w:p w14:paraId="4F372FC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Escalade : inflation et augmentations salariales</w:t>
            </w:r>
          </w:p>
        </w:tc>
        <w:tc>
          <w:tcPr>
            <w:tcW w:w="3180" w:type="dxa"/>
            <w:tcBorders>
              <w:top w:val="single" w:sz="4" w:space="0" w:color="000000"/>
              <w:left w:val="single" w:sz="4" w:space="0" w:color="000000"/>
              <w:bottom w:val="single" w:sz="4" w:space="0" w:color="000000"/>
              <w:right w:val="single" w:sz="4" w:space="0" w:color="000000"/>
            </w:tcBorders>
          </w:tcPr>
          <w:p w14:paraId="1330610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À 2 % par an sur 0,27 an, l’effet vaut environ 290 $. Montant absorbé par la contingence.</w:t>
            </w:r>
          </w:p>
        </w:tc>
        <w:tc>
          <w:tcPr>
            <w:tcW w:w="1800" w:type="dxa"/>
            <w:tcBorders>
              <w:top w:val="single" w:sz="4" w:space="0" w:color="000000"/>
              <w:left w:val="single" w:sz="4" w:space="0" w:color="000000"/>
              <w:bottom w:val="single" w:sz="4" w:space="0" w:color="000000"/>
              <w:right w:val="single" w:sz="4" w:space="0" w:color="000000"/>
            </w:tcBorders>
          </w:tcPr>
          <w:p w14:paraId="4206EF7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3602F1C7"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3E10089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Provisions</w:t>
            </w:r>
          </w:p>
        </w:tc>
        <w:tc>
          <w:tcPr>
            <w:tcW w:w="2820" w:type="dxa"/>
            <w:tcBorders>
              <w:top w:val="single" w:sz="4" w:space="0" w:color="000000"/>
              <w:left w:val="single" w:sz="4" w:space="0" w:color="000000"/>
              <w:bottom w:val="single" w:sz="4" w:space="0" w:color="000000"/>
              <w:right w:val="single" w:sz="4" w:space="0" w:color="000000"/>
            </w:tcBorders>
          </w:tcPr>
          <w:p w14:paraId="0826600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Autres imprévus</w:t>
            </w:r>
          </w:p>
        </w:tc>
        <w:tc>
          <w:tcPr>
            <w:tcW w:w="3180" w:type="dxa"/>
            <w:tcBorders>
              <w:top w:val="single" w:sz="4" w:space="0" w:color="000000"/>
              <w:left w:val="single" w:sz="4" w:space="0" w:color="000000"/>
              <w:bottom w:val="single" w:sz="4" w:space="0" w:color="000000"/>
              <w:right w:val="single" w:sz="4" w:space="0" w:color="000000"/>
            </w:tcBorders>
          </w:tcPr>
          <w:p w14:paraId="433D9CF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Couverts par la contingence</w:t>
            </w:r>
          </w:p>
        </w:tc>
        <w:tc>
          <w:tcPr>
            <w:tcW w:w="1800" w:type="dxa"/>
            <w:tcBorders>
              <w:top w:val="single" w:sz="4" w:space="0" w:color="000000"/>
              <w:left w:val="single" w:sz="4" w:space="0" w:color="000000"/>
              <w:bottom w:val="single" w:sz="4" w:space="0" w:color="000000"/>
              <w:right w:val="single" w:sz="4" w:space="0" w:color="000000"/>
            </w:tcBorders>
          </w:tcPr>
          <w:p w14:paraId="2DBC909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0,00 $</w:t>
            </w:r>
          </w:p>
        </w:tc>
      </w:tr>
      <w:tr w:rsidR="00F50D70" w:rsidRPr="00BE4F47" w14:paraId="6246B5A5"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2A0236B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Total</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31FAA32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 total du mandat</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7752461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54 000 $ + 5 400 $</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2A56E2C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59 400,00 $</w:t>
            </w:r>
          </w:p>
        </w:tc>
      </w:tr>
      <w:tr w:rsidR="00F50D70" w:rsidRPr="00BE4F47" w14:paraId="679CDB10"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4DB3747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Prix</w:t>
            </w:r>
          </w:p>
        </w:tc>
        <w:tc>
          <w:tcPr>
            <w:tcW w:w="2820" w:type="dxa"/>
            <w:tcBorders>
              <w:top w:val="single" w:sz="4" w:space="0" w:color="000000"/>
              <w:left w:val="single" w:sz="4" w:space="0" w:color="000000"/>
              <w:bottom w:val="single" w:sz="4" w:space="0" w:color="000000"/>
              <w:right w:val="single" w:sz="4" w:space="0" w:color="000000"/>
            </w:tcBorders>
          </w:tcPr>
          <w:p w14:paraId="7888379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Marge bénéficiaire</w:t>
            </w:r>
          </w:p>
        </w:tc>
        <w:tc>
          <w:tcPr>
            <w:tcW w:w="3180" w:type="dxa"/>
            <w:tcBorders>
              <w:top w:val="single" w:sz="4" w:space="0" w:color="000000"/>
              <w:left w:val="single" w:sz="4" w:space="0" w:color="000000"/>
              <w:bottom w:val="single" w:sz="4" w:space="0" w:color="000000"/>
              <w:right w:val="single" w:sz="4" w:space="0" w:color="000000"/>
            </w:tcBorders>
          </w:tcPr>
          <w:p w14:paraId="1CCABDA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15 % du coût total du mandat</w:t>
            </w:r>
          </w:p>
        </w:tc>
        <w:tc>
          <w:tcPr>
            <w:tcW w:w="1800" w:type="dxa"/>
            <w:tcBorders>
              <w:top w:val="single" w:sz="4" w:space="0" w:color="000000"/>
              <w:left w:val="single" w:sz="4" w:space="0" w:color="000000"/>
              <w:bottom w:val="single" w:sz="4" w:space="0" w:color="000000"/>
              <w:right w:val="single" w:sz="4" w:space="0" w:color="000000"/>
            </w:tcBorders>
          </w:tcPr>
          <w:p w14:paraId="28DAA94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8 910,00 $</w:t>
            </w:r>
          </w:p>
        </w:tc>
      </w:tr>
      <w:tr w:rsidR="00F50D70" w:rsidRPr="00BE4F47" w14:paraId="1BCC576F"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078CDF9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Prix</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426A511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Total pour le bordereau des prix</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03B6944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59 400 $ + 8 910 $</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0E638AB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68 310,00 $</w:t>
            </w:r>
          </w:p>
        </w:tc>
      </w:tr>
      <w:tr w:rsidR="00F50D70" w:rsidRPr="00BE4F47" w14:paraId="2E09E7AA" w14:textId="77777777">
        <w:trPr>
          <w:cantSplit/>
        </w:trPr>
        <w:tc>
          <w:tcPr>
            <w:tcW w:w="1560" w:type="dxa"/>
            <w:tcBorders>
              <w:top w:val="single" w:sz="4" w:space="0" w:color="000000"/>
              <w:left w:val="single" w:sz="4" w:space="0" w:color="000000"/>
              <w:bottom w:val="single" w:sz="4" w:space="0" w:color="000000"/>
              <w:right w:val="single" w:sz="4" w:space="0" w:color="000000"/>
            </w:tcBorders>
          </w:tcPr>
          <w:p w14:paraId="0942FA7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Prix</w:t>
            </w:r>
          </w:p>
        </w:tc>
        <w:tc>
          <w:tcPr>
            <w:tcW w:w="2820" w:type="dxa"/>
            <w:tcBorders>
              <w:top w:val="single" w:sz="4" w:space="0" w:color="000000"/>
              <w:left w:val="single" w:sz="4" w:space="0" w:color="000000"/>
              <w:bottom w:val="single" w:sz="4" w:space="0" w:color="000000"/>
              <w:right w:val="single" w:sz="4" w:space="0" w:color="000000"/>
            </w:tcBorders>
          </w:tcPr>
          <w:p w14:paraId="698F897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Réserve du propriétaire</w:t>
            </w:r>
          </w:p>
        </w:tc>
        <w:tc>
          <w:tcPr>
            <w:tcW w:w="3180" w:type="dxa"/>
            <w:tcBorders>
              <w:top w:val="single" w:sz="4" w:space="0" w:color="000000"/>
              <w:left w:val="single" w:sz="4" w:space="0" w:color="000000"/>
              <w:bottom w:val="single" w:sz="4" w:space="0" w:color="000000"/>
              <w:right w:val="single" w:sz="4" w:space="0" w:color="000000"/>
            </w:tcBorders>
          </w:tcPr>
          <w:p w14:paraId="429952B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5 % du bordereau. Provision retenue par le client, hors du prix vendu.</w:t>
            </w:r>
          </w:p>
        </w:tc>
        <w:tc>
          <w:tcPr>
            <w:tcW w:w="1800" w:type="dxa"/>
            <w:tcBorders>
              <w:top w:val="single" w:sz="4" w:space="0" w:color="000000"/>
              <w:left w:val="single" w:sz="4" w:space="0" w:color="000000"/>
              <w:bottom w:val="single" w:sz="4" w:space="0" w:color="000000"/>
              <w:right w:val="single" w:sz="4" w:space="0" w:color="000000"/>
            </w:tcBorders>
          </w:tcPr>
          <w:p w14:paraId="0F0781C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3 415,50 $</w:t>
            </w:r>
          </w:p>
        </w:tc>
      </w:tr>
      <w:tr w:rsidR="00F50D70" w:rsidRPr="00BE4F47" w14:paraId="1C1B89F9" w14:textId="77777777">
        <w:trPr>
          <w:cantSplit/>
        </w:trPr>
        <w:tc>
          <w:tcPr>
            <w:tcW w:w="1560" w:type="dxa"/>
            <w:tcBorders>
              <w:top w:val="single" w:sz="4" w:space="0" w:color="000000"/>
              <w:left w:val="single" w:sz="4" w:space="0" w:color="000000"/>
              <w:bottom w:val="single" w:sz="4" w:space="0" w:color="000000"/>
              <w:right w:val="single" w:sz="4" w:space="0" w:color="000000"/>
            </w:tcBorders>
            <w:shd w:val="clear" w:color="auto" w:fill="EFF4FB"/>
          </w:tcPr>
          <w:p w14:paraId="4D0925B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Prix</w:t>
            </w:r>
          </w:p>
        </w:tc>
        <w:tc>
          <w:tcPr>
            <w:tcW w:w="2820" w:type="dxa"/>
            <w:tcBorders>
              <w:top w:val="single" w:sz="4" w:space="0" w:color="000000"/>
              <w:left w:val="single" w:sz="4" w:space="0" w:color="000000"/>
              <w:bottom w:val="single" w:sz="4" w:space="0" w:color="000000"/>
              <w:right w:val="single" w:sz="4" w:space="0" w:color="000000"/>
            </w:tcBorders>
            <w:shd w:val="clear" w:color="auto" w:fill="EFF4FB"/>
          </w:tcPr>
          <w:p w14:paraId="72F8F03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Estimé initial total</w:t>
            </w:r>
          </w:p>
        </w:tc>
        <w:tc>
          <w:tcPr>
            <w:tcW w:w="3180" w:type="dxa"/>
            <w:tcBorders>
              <w:top w:val="single" w:sz="4" w:space="0" w:color="000000"/>
              <w:left w:val="single" w:sz="4" w:space="0" w:color="000000"/>
              <w:bottom w:val="single" w:sz="4" w:space="0" w:color="000000"/>
              <w:right w:val="single" w:sz="4" w:space="0" w:color="000000"/>
            </w:tcBorders>
            <w:shd w:val="clear" w:color="auto" w:fill="EFF4FB"/>
          </w:tcPr>
          <w:p w14:paraId="5323544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68 310 $ + 3 415,50 $</w:t>
            </w:r>
          </w:p>
        </w:tc>
        <w:tc>
          <w:tcPr>
            <w:tcW w:w="1800" w:type="dxa"/>
            <w:tcBorders>
              <w:top w:val="single" w:sz="4" w:space="0" w:color="000000"/>
              <w:left w:val="single" w:sz="4" w:space="0" w:color="000000"/>
              <w:bottom w:val="single" w:sz="4" w:space="0" w:color="000000"/>
              <w:right w:val="single" w:sz="4" w:space="0" w:color="000000"/>
            </w:tcBorders>
            <w:shd w:val="clear" w:color="auto" w:fill="EFF4FB"/>
          </w:tcPr>
          <w:p w14:paraId="0D65F959"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71 725,50 $</w:t>
            </w:r>
          </w:p>
        </w:tc>
      </w:tr>
    </w:tbl>
    <w:p w14:paraId="6788E999" w14:textId="77777777" w:rsidR="00F50D70" w:rsidRPr="00BE4F47" w:rsidRDefault="00F50D70" w:rsidP="008E113B">
      <w:pPr>
        <w:spacing w:line="360" w:lineRule="auto"/>
        <w:rPr>
          <w:rFonts w:ascii="Aptos" w:hAnsi="Aptos"/>
        </w:rPr>
      </w:pPr>
    </w:p>
    <w:p w14:paraId="0A76921D" w14:textId="77777777" w:rsidR="00F50D70" w:rsidRPr="00BE4F47" w:rsidRDefault="00000000" w:rsidP="008E113B">
      <w:pPr>
        <w:pStyle w:val="Titre2"/>
        <w:spacing w:line="360" w:lineRule="auto"/>
        <w:rPr>
          <w:rFonts w:ascii="Aptos" w:hAnsi="Aptos"/>
        </w:rPr>
      </w:pPr>
      <w:r w:rsidRPr="00BE4F47">
        <w:rPr>
          <w:rFonts w:ascii="Aptos" w:hAnsi="Aptos"/>
        </w:rPr>
        <w:t>Planification financière dans le temps</w:t>
      </w:r>
    </w:p>
    <w:p w14:paraId="01D01BDC"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grille budgétaire donne un montant global. Elle ne dit pas quand l’argent est dépensé ni quand il est facturé. La planification ci-dessous répartit le coût du mandat sur les six jalons, en reprenant l’effort par phase du tableau de l’échéancier. Elle constitue la base de référence contre laquelle l’écart sera mesuré à chaque jalon.</w:t>
      </w:r>
    </w:p>
    <w:p w14:paraId="27C978AD" w14:textId="77777777" w:rsidR="00F50D70" w:rsidRPr="00BE4F47" w:rsidRDefault="00000000" w:rsidP="008E113B">
      <w:pPr>
        <w:pStyle w:val="Lgende"/>
        <w:spacing w:line="360" w:lineRule="auto"/>
        <w:rPr>
          <w:rFonts w:ascii="Aptos" w:hAnsi="Aptos"/>
        </w:rPr>
      </w:pPr>
      <w:r w:rsidRPr="00BE4F47">
        <w:rPr>
          <w:rFonts w:ascii="Aptos" w:hAnsi="Aptos"/>
        </w:rPr>
        <w:t>Tableau 9-2. Répartition du coût du mandat par jalon</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1000"/>
        <w:gridCol w:w="1400"/>
        <w:gridCol w:w="1700"/>
        <w:gridCol w:w="1700"/>
        <w:gridCol w:w="2057"/>
      </w:tblGrid>
      <w:tr w:rsidR="00F50D70" w:rsidRPr="00BE4F47" w14:paraId="6E173C2F" w14:textId="77777777">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EFF4FB"/>
          </w:tcPr>
          <w:p w14:paraId="77274FB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1000" w:type="dxa"/>
            <w:tcBorders>
              <w:top w:val="single" w:sz="4" w:space="0" w:color="000000"/>
              <w:left w:val="single" w:sz="4" w:space="0" w:color="000000"/>
              <w:bottom w:val="single" w:sz="4" w:space="0" w:color="000000"/>
              <w:right w:val="single" w:sz="4" w:space="0" w:color="000000"/>
            </w:tcBorders>
            <w:shd w:val="clear" w:color="auto" w:fill="EFF4FB"/>
          </w:tcPr>
          <w:p w14:paraId="3A29887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Date</w:t>
            </w:r>
          </w:p>
        </w:tc>
        <w:tc>
          <w:tcPr>
            <w:tcW w:w="1400" w:type="dxa"/>
            <w:tcBorders>
              <w:top w:val="single" w:sz="4" w:space="0" w:color="000000"/>
              <w:left w:val="single" w:sz="4" w:space="0" w:color="000000"/>
              <w:bottom w:val="single" w:sz="4" w:space="0" w:color="000000"/>
              <w:right w:val="single" w:sz="4" w:space="0" w:color="000000"/>
            </w:tcBorders>
            <w:shd w:val="clear" w:color="auto" w:fill="EFF4FB"/>
          </w:tcPr>
          <w:p w14:paraId="6665934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Effort de la phase</w:t>
            </w:r>
          </w:p>
        </w:tc>
        <w:tc>
          <w:tcPr>
            <w:tcW w:w="1700" w:type="dxa"/>
            <w:tcBorders>
              <w:top w:val="single" w:sz="4" w:space="0" w:color="000000"/>
              <w:left w:val="single" w:sz="4" w:space="0" w:color="000000"/>
              <w:bottom w:val="single" w:sz="4" w:space="0" w:color="000000"/>
              <w:right w:val="single" w:sz="4" w:space="0" w:color="000000"/>
            </w:tcBorders>
            <w:shd w:val="clear" w:color="auto" w:fill="EFF4FB"/>
          </w:tcPr>
          <w:p w14:paraId="61D0C8C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Coût de la période</w:t>
            </w:r>
          </w:p>
        </w:tc>
        <w:tc>
          <w:tcPr>
            <w:tcW w:w="1700" w:type="dxa"/>
            <w:tcBorders>
              <w:top w:val="single" w:sz="4" w:space="0" w:color="000000"/>
              <w:left w:val="single" w:sz="4" w:space="0" w:color="000000"/>
              <w:bottom w:val="single" w:sz="4" w:space="0" w:color="000000"/>
              <w:right w:val="single" w:sz="4" w:space="0" w:color="000000"/>
            </w:tcBorders>
            <w:shd w:val="clear" w:color="auto" w:fill="EFF4FB"/>
          </w:tcPr>
          <w:p w14:paraId="21B3C2B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Coût cumulé</w:t>
            </w:r>
          </w:p>
        </w:tc>
        <w:tc>
          <w:tcPr>
            <w:tcW w:w="2057" w:type="dxa"/>
            <w:tcBorders>
              <w:top w:val="single" w:sz="4" w:space="0" w:color="000000"/>
              <w:left w:val="single" w:sz="4" w:space="0" w:color="000000"/>
              <w:bottom w:val="single" w:sz="4" w:space="0" w:color="000000"/>
              <w:right w:val="single" w:sz="4" w:space="0" w:color="000000"/>
            </w:tcBorders>
            <w:shd w:val="clear" w:color="auto" w:fill="EFF4FB"/>
          </w:tcPr>
          <w:p w14:paraId="08422F2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 du budget</w:t>
            </w:r>
          </w:p>
        </w:tc>
      </w:tr>
      <w:tr w:rsidR="00F50D70" w:rsidRPr="00BE4F47" w14:paraId="2698C32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C6CDB8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J0</w:t>
            </w:r>
          </w:p>
        </w:tc>
        <w:tc>
          <w:tcPr>
            <w:tcW w:w="1000" w:type="dxa"/>
            <w:tcBorders>
              <w:top w:val="single" w:sz="4" w:space="0" w:color="000000"/>
              <w:left w:val="single" w:sz="4" w:space="0" w:color="000000"/>
              <w:bottom w:val="single" w:sz="4" w:space="0" w:color="000000"/>
              <w:right w:val="single" w:sz="4" w:space="0" w:color="000000"/>
            </w:tcBorders>
          </w:tcPr>
          <w:p w14:paraId="472F691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12 sept.</w:t>
            </w:r>
          </w:p>
        </w:tc>
        <w:tc>
          <w:tcPr>
            <w:tcW w:w="1400" w:type="dxa"/>
            <w:tcBorders>
              <w:top w:val="single" w:sz="4" w:space="0" w:color="000000"/>
              <w:left w:val="single" w:sz="4" w:space="0" w:color="000000"/>
              <w:bottom w:val="single" w:sz="4" w:space="0" w:color="000000"/>
              <w:right w:val="single" w:sz="4" w:space="0" w:color="000000"/>
            </w:tcBorders>
          </w:tcPr>
          <w:p w14:paraId="00DF926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81 h</w:t>
            </w:r>
          </w:p>
        </w:tc>
        <w:tc>
          <w:tcPr>
            <w:tcW w:w="1700" w:type="dxa"/>
            <w:tcBorders>
              <w:top w:val="single" w:sz="4" w:space="0" w:color="000000"/>
              <w:left w:val="single" w:sz="4" w:space="0" w:color="000000"/>
              <w:bottom w:val="single" w:sz="4" w:space="0" w:color="000000"/>
              <w:right w:val="single" w:sz="4" w:space="0" w:color="000000"/>
            </w:tcBorders>
          </w:tcPr>
          <w:p w14:paraId="1BFFC38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4 050,00 $</w:t>
            </w:r>
          </w:p>
        </w:tc>
        <w:tc>
          <w:tcPr>
            <w:tcW w:w="1700" w:type="dxa"/>
            <w:tcBorders>
              <w:top w:val="single" w:sz="4" w:space="0" w:color="000000"/>
              <w:left w:val="single" w:sz="4" w:space="0" w:color="000000"/>
              <w:bottom w:val="single" w:sz="4" w:space="0" w:color="000000"/>
              <w:right w:val="single" w:sz="4" w:space="0" w:color="000000"/>
            </w:tcBorders>
          </w:tcPr>
          <w:p w14:paraId="3DFD94B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4 050,00 $</w:t>
            </w:r>
          </w:p>
        </w:tc>
        <w:tc>
          <w:tcPr>
            <w:tcW w:w="2057" w:type="dxa"/>
            <w:tcBorders>
              <w:top w:val="single" w:sz="4" w:space="0" w:color="000000"/>
              <w:left w:val="single" w:sz="4" w:space="0" w:color="000000"/>
              <w:bottom w:val="single" w:sz="4" w:space="0" w:color="000000"/>
              <w:right w:val="single" w:sz="4" w:space="0" w:color="000000"/>
            </w:tcBorders>
          </w:tcPr>
          <w:p w14:paraId="443E56E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7,5 %</w:t>
            </w:r>
          </w:p>
        </w:tc>
      </w:tr>
      <w:tr w:rsidR="00F50D70" w:rsidRPr="00BE4F47" w14:paraId="1386BD6E"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D842E0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J1</w:t>
            </w:r>
          </w:p>
        </w:tc>
        <w:tc>
          <w:tcPr>
            <w:tcW w:w="1000" w:type="dxa"/>
            <w:tcBorders>
              <w:top w:val="single" w:sz="4" w:space="0" w:color="000000"/>
              <w:left w:val="single" w:sz="4" w:space="0" w:color="000000"/>
              <w:bottom w:val="single" w:sz="4" w:space="0" w:color="000000"/>
              <w:right w:val="single" w:sz="4" w:space="0" w:color="000000"/>
            </w:tcBorders>
          </w:tcPr>
          <w:p w14:paraId="62E5869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25 sept.</w:t>
            </w:r>
          </w:p>
        </w:tc>
        <w:tc>
          <w:tcPr>
            <w:tcW w:w="1400" w:type="dxa"/>
            <w:tcBorders>
              <w:top w:val="single" w:sz="4" w:space="0" w:color="000000"/>
              <w:left w:val="single" w:sz="4" w:space="0" w:color="000000"/>
              <w:bottom w:val="single" w:sz="4" w:space="0" w:color="000000"/>
              <w:right w:val="single" w:sz="4" w:space="0" w:color="000000"/>
            </w:tcBorders>
          </w:tcPr>
          <w:p w14:paraId="1A6A6CB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149 h</w:t>
            </w:r>
          </w:p>
        </w:tc>
        <w:tc>
          <w:tcPr>
            <w:tcW w:w="1700" w:type="dxa"/>
            <w:tcBorders>
              <w:top w:val="single" w:sz="4" w:space="0" w:color="000000"/>
              <w:left w:val="single" w:sz="4" w:space="0" w:color="000000"/>
              <w:bottom w:val="single" w:sz="4" w:space="0" w:color="000000"/>
              <w:right w:val="single" w:sz="4" w:space="0" w:color="000000"/>
            </w:tcBorders>
          </w:tcPr>
          <w:p w14:paraId="7FD8572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7 450,00 $</w:t>
            </w:r>
          </w:p>
        </w:tc>
        <w:tc>
          <w:tcPr>
            <w:tcW w:w="1700" w:type="dxa"/>
            <w:tcBorders>
              <w:top w:val="single" w:sz="4" w:space="0" w:color="000000"/>
              <w:left w:val="single" w:sz="4" w:space="0" w:color="000000"/>
              <w:bottom w:val="single" w:sz="4" w:space="0" w:color="000000"/>
              <w:right w:val="single" w:sz="4" w:space="0" w:color="000000"/>
            </w:tcBorders>
          </w:tcPr>
          <w:p w14:paraId="299379D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11 500,00 $</w:t>
            </w:r>
          </w:p>
        </w:tc>
        <w:tc>
          <w:tcPr>
            <w:tcW w:w="2057" w:type="dxa"/>
            <w:tcBorders>
              <w:top w:val="single" w:sz="4" w:space="0" w:color="000000"/>
              <w:left w:val="single" w:sz="4" w:space="0" w:color="000000"/>
              <w:bottom w:val="single" w:sz="4" w:space="0" w:color="000000"/>
              <w:right w:val="single" w:sz="4" w:space="0" w:color="000000"/>
            </w:tcBorders>
          </w:tcPr>
          <w:p w14:paraId="19B6C3E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21,3 %</w:t>
            </w:r>
          </w:p>
        </w:tc>
      </w:tr>
      <w:tr w:rsidR="00F50D70" w:rsidRPr="00BE4F47" w14:paraId="6AB330BE"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331DDB2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1B6C8DB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oct.</w:t>
            </w:r>
          </w:p>
        </w:tc>
        <w:tc>
          <w:tcPr>
            <w:tcW w:w="1400" w:type="dxa"/>
            <w:tcBorders>
              <w:top w:val="single" w:sz="4" w:space="0" w:color="000000"/>
              <w:left w:val="single" w:sz="4" w:space="0" w:color="000000"/>
              <w:bottom w:val="single" w:sz="4" w:space="0" w:color="000000"/>
              <w:right w:val="single" w:sz="4" w:space="0" w:color="000000"/>
            </w:tcBorders>
          </w:tcPr>
          <w:p w14:paraId="2E8510E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230 h</w:t>
            </w:r>
          </w:p>
        </w:tc>
        <w:tc>
          <w:tcPr>
            <w:tcW w:w="1700" w:type="dxa"/>
            <w:tcBorders>
              <w:top w:val="single" w:sz="4" w:space="0" w:color="000000"/>
              <w:left w:val="single" w:sz="4" w:space="0" w:color="000000"/>
              <w:bottom w:val="single" w:sz="4" w:space="0" w:color="000000"/>
              <w:right w:val="single" w:sz="4" w:space="0" w:color="000000"/>
            </w:tcBorders>
          </w:tcPr>
          <w:p w14:paraId="41E53D1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11 500,00 $</w:t>
            </w:r>
          </w:p>
        </w:tc>
        <w:tc>
          <w:tcPr>
            <w:tcW w:w="1700" w:type="dxa"/>
            <w:tcBorders>
              <w:top w:val="single" w:sz="4" w:space="0" w:color="000000"/>
              <w:left w:val="single" w:sz="4" w:space="0" w:color="000000"/>
              <w:bottom w:val="single" w:sz="4" w:space="0" w:color="000000"/>
              <w:right w:val="single" w:sz="4" w:space="0" w:color="000000"/>
            </w:tcBorders>
          </w:tcPr>
          <w:p w14:paraId="12655B6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23 000,00 $</w:t>
            </w:r>
          </w:p>
        </w:tc>
        <w:tc>
          <w:tcPr>
            <w:tcW w:w="2057" w:type="dxa"/>
            <w:tcBorders>
              <w:top w:val="single" w:sz="4" w:space="0" w:color="000000"/>
              <w:left w:val="single" w:sz="4" w:space="0" w:color="000000"/>
              <w:bottom w:val="single" w:sz="4" w:space="0" w:color="000000"/>
              <w:right w:val="single" w:sz="4" w:space="0" w:color="000000"/>
            </w:tcBorders>
          </w:tcPr>
          <w:p w14:paraId="5570FD53"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42,6 %</w:t>
            </w:r>
          </w:p>
        </w:tc>
      </w:tr>
      <w:tr w:rsidR="00F50D70" w:rsidRPr="00BE4F47" w14:paraId="40BD0C03"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761CFD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J3</w:t>
            </w:r>
          </w:p>
        </w:tc>
        <w:tc>
          <w:tcPr>
            <w:tcW w:w="1000" w:type="dxa"/>
            <w:tcBorders>
              <w:top w:val="single" w:sz="4" w:space="0" w:color="000000"/>
              <w:left w:val="single" w:sz="4" w:space="0" w:color="000000"/>
              <w:bottom w:val="single" w:sz="4" w:space="0" w:color="000000"/>
              <w:right w:val="single" w:sz="4" w:space="0" w:color="000000"/>
            </w:tcBorders>
          </w:tcPr>
          <w:p w14:paraId="7E6EB39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nov.</w:t>
            </w:r>
          </w:p>
        </w:tc>
        <w:tc>
          <w:tcPr>
            <w:tcW w:w="1400" w:type="dxa"/>
            <w:tcBorders>
              <w:top w:val="single" w:sz="4" w:space="0" w:color="000000"/>
              <w:left w:val="single" w:sz="4" w:space="0" w:color="000000"/>
              <w:bottom w:val="single" w:sz="4" w:space="0" w:color="000000"/>
              <w:right w:val="single" w:sz="4" w:space="0" w:color="000000"/>
            </w:tcBorders>
          </w:tcPr>
          <w:p w14:paraId="77EC448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337 h</w:t>
            </w:r>
          </w:p>
        </w:tc>
        <w:tc>
          <w:tcPr>
            <w:tcW w:w="1700" w:type="dxa"/>
            <w:tcBorders>
              <w:top w:val="single" w:sz="4" w:space="0" w:color="000000"/>
              <w:left w:val="single" w:sz="4" w:space="0" w:color="000000"/>
              <w:bottom w:val="single" w:sz="4" w:space="0" w:color="000000"/>
              <w:right w:val="single" w:sz="4" w:space="0" w:color="000000"/>
            </w:tcBorders>
          </w:tcPr>
          <w:p w14:paraId="3E0EC4F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16 850,00 $</w:t>
            </w:r>
          </w:p>
        </w:tc>
        <w:tc>
          <w:tcPr>
            <w:tcW w:w="1700" w:type="dxa"/>
            <w:tcBorders>
              <w:top w:val="single" w:sz="4" w:space="0" w:color="000000"/>
              <w:left w:val="single" w:sz="4" w:space="0" w:color="000000"/>
              <w:bottom w:val="single" w:sz="4" w:space="0" w:color="000000"/>
              <w:right w:val="single" w:sz="4" w:space="0" w:color="000000"/>
            </w:tcBorders>
          </w:tcPr>
          <w:p w14:paraId="57A624C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39 850,00 $</w:t>
            </w:r>
          </w:p>
        </w:tc>
        <w:tc>
          <w:tcPr>
            <w:tcW w:w="2057" w:type="dxa"/>
            <w:tcBorders>
              <w:top w:val="single" w:sz="4" w:space="0" w:color="000000"/>
              <w:left w:val="single" w:sz="4" w:space="0" w:color="000000"/>
              <w:bottom w:val="single" w:sz="4" w:space="0" w:color="000000"/>
              <w:right w:val="single" w:sz="4" w:space="0" w:color="000000"/>
            </w:tcBorders>
          </w:tcPr>
          <w:p w14:paraId="1BDE786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73,8 %</w:t>
            </w:r>
          </w:p>
        </w:tc>
      </w:tr>
      <w:tr w:rsidR="00F50D70" w:rsidRPr="00BE4F47" w14:paraId="7CC29AA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F82A2B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J4</w:t>
            </w:r>
          </w:p>
        </w:tc>
        <w:tc>
          <w:tcPr>
            <w:tcW w:w="1000" w:type="dxa"/>
            <w:tcBorders>
              <w:top w:val="single" w:sz="4" w:space="0" w:color="000000"/>
              <w:left w:val="single" w:sz="4" w:space="0" w:color="000000"/>
              <w:bottom w:val="single" w:sz="4" w:space="0" w:color="000000"/>
              <w:right w:val="single" w:sz="4" w:space="0" w:color="000000"/>
            </w:tcBorders>
          </w:tcPr>
          <w:p w14:paraId="41A8EED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déc.</w:t>
            </w:r>
          </w:p>
        </w:tc>
        <w:tc>
          <w:tcPr>
            <w:tcW w:w="1400" w:type="dxa"/>
            <w:tcBorders>
              <w:top w:val="single" w:sz="4" w:space="0" w:color="000000"/>
              <w:left w:val="single" w:sz="4" w:space="0" w:color="000000"/>
              <w:bottom w:val="single" w:sz="4" w:space="0" w:color="000000"/>
              <w:right w:val="single" w:sz="4" w:space="0" w:color="000000"/>
            </w:tcBorders>
          </w:tcPr>
          <w:p w14:paraId="08E090D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176 h</w:t>
            </w:r>
          </w:p>
        </w:tc>
        <w:tc>
          <w:tcPr>
            <w:tcW w:w="1700" w:type="dxa"/>
            <w:tcBorders>
              <w:top w:val="single" w:sz="4" w:space="0" w:color="000000"/>
              <w:left w:val="single" w:sz="4" w:space="0" w:color="000000"/>
              <w:bottom w:val="single" w:sz="4" w:space="0" w:color="000000"/>
              <w:right w:val="single" w:sz="4" w:space="0" w:color="000000"/>
            </w:tcBorders>
          </w:tcPr>
          <w:p w14:paraId="2A20776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8 800,00 $</w:t>
            </w:r>
          </w:p>
        </w:tc>
        <w:tc>
          <w:tcPr>
            <w:tcW w:w="1700" w:type="dxa"/>
            <w:tcBorders>
              <w:top w:val="single" w:sz="4" w:space="0" w:color="000000"/>
              <w:left w:val="single" w:sz="4" w:space="0" w:color="000000"/>
              <w:bottom w:val="single" w:sz="4" w:space="0" w:color="000000"/>
              <w:right w:val="single" w:sz="4" w:space="0" w:color="000000"/>
            </w:tcBorders>
          </w:tcPr>
          <w:p w14:paraId="3A92276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48 650,00 $</w:t>
            </w:r>
          </w:p>
        </w:tc>
        <w:tc>
          <w:tcPr>
            <w:tcW w:w="2057" w:type="dxa"/>
            <w:tcBorders>
              <w:top w:val="single" w:sz="4" w:space="0" w:color="000000"/>
              <w:left w:val="single" w:sz="4" w:space="0" w:color="000000"/>
              <w:bottom w:val="single" w:sz="4" w:space="0" w:color="000000"/>
              <w:right w:val="single" w:sz="4" w:space="0" w:color="000000"/>
            </w:tcBorders>
          </w:tcPr>
          <w:p w14:paraId="13FD701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90,1 %</w:t>
            </w:r>
          </w:p>
        </w:tc>
      </w:tr>
      <w:tr w:rsidR="00F50D70" w:rsidRPr="00BE4F47" w14:paraId="789532C6"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0B46A5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J5</w:t>
            </w:r>
          </w:p>
        </w:tc>
        <w:tc>
          <w:tcPr>
            <w:tcW w:w="1000" w:type="dxa"/>
            <w:tcBorders>
              <w:top w:val="single" w:sz="4" w:space="0" w:color="000000"/>
              <w:left w:val="single" w:sz="4" w:space="0" w:color="000000"/>
              <w:bottom w:val="single" w:sz="4" w:space="0" w:color="000000"/>
              <w:right w:val="single" w:sz="4" w:space="0" w:color="000000"/>
            </w:tcBorders>
          </w:tcPr>
          <w:p w14:paraId="345F50F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18 déc.</w:t>
            </w:r>
          </w:p>
        </w:tc>
        <w:tc>
          <w:tcPr>
            <w:tcW w:w="1400" w:type="dxa"/>
            <w:tcBorders>
              <w:top w:val="single" w:sz="4" w:space="0" w:color="000000"/>
              <w:left w:val="single" w:sz="4" w:space="0" w:color="000000"/>
              <w:bottom w:val="single" w:sz="4" w:space="0" w:color="000000"/>
              <w:right w:val="single" w:sz="4" w:space="0" w:color="000000"/>
            </w:tcBorders>
          </w:tcPr>
          <w:p w14:paraId="47B1B54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107 h</w:t>
            </w:r>
          </w:p>
        </w:tc>
        <w:tc>
          <w:tcPr>
            <w:tcW w:w="1700" w:type="dxa"/>
            <w:tcBorders>
              <w:top w:val="single" w:sz="4" w:space="0" w:color="000000"/>
              <w:left w:val="single" w:sz="4" w:space="0" w:color="000000"/>
              <w:bottom w:val="single" w:sz="4" w:space="0" w:color="000000"/>
              <w:right w:val="single" w:sz="4" w:space="0" w:color="000000"/>
            </w:tcBorders>
          </w:tcPr>
          <w:p w14:paraId="07850CD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5 350,00 $</w:t>
            </w:r>
          </w:p>
        </w:tc>
        <w:tc>
          <w:tcPr>
            <w:tcW w:w="1700" w:type="dxa"/>
            <w:tcBorders>
              <w:top w:val="single" w:sz="4" w:space="0" w:color="000000"/>
              <w:left w:val="single" w:sz="4" w:space="0" w:color="000000"/>
              <w:bottom w:val="single" w:sz="4" w:space="0" w:color="000000"/>
              <w:right w:val="single" w:sz="4" w:space="0" w:color="000000"/>
            </w:tcBorders>
          </w:tcPr>
          <w:p w14:paraId="164A3A9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54 000,00 $</w:t>
            </w:r>
          </w:p>
        </w:tc>
        <w:tc>
          <w:tcPr>
            <w:tcW w:w="2057" w:type="dxa"/>
            <w:tcBorders>
              <w:top w:val="single" w:sz="4" w:space="0" w:color="000000"/>
              <w:left w:val="single" w:sz="4" w:space="0" w:color="000000"/>
              <w:bottom w:val="single" w:sz="4" w:space="0" w:color="000000"/>
              <w:right w:val="single" w:sz="4" w:space="0" w:color="000000"/>
            </w:tcBorders>
          </w:tcPr>
          <w:p w14:paraId="38B7A72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100,0 %</w:t>
            </w:r>
          </w:p>
        </w:tc>
      </w:tr>
      <w:tr w:rsidR="00F50D70" w:rsidRPr="00BE4F47" w14:paraId="2E80757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EC9D66F" w14:textId="77777777"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c>
          <w:tcPr>
            <w:tcW w:w="1000" w:type="dxa"/>
            <w:tcBorders>
              <w:top w:val="single" w:sz="4" w:space="0" w:color="000000"/>
              <w:left w:val="single" w:sz="4" w:space="0" w:color="000000"/>
              <w:bottom w:val="single" w:sz="4" w:space="0" w:color="000000"/>
              <w:right w:val="single" w:sz="4" w:space="0" w:color="000000"/>
            </w:tcBorders>
          </w:tcPr>
          <w:p w14:paraId="7034279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Total</w:t>
            </w:r>
          </w:p>
        </w:tc>
        <w:tc>
          <w:tcPr>
            <w:tcW w:w="1400" w:type="dxa"/>
            <w:tcBorders>
              <w:top w:val="single" w:sz="4" w:space="0" w:color="000000"/>
              <w:left w:val="single" w:sz="4" w:space="0" w:color="000000"/>
              <w:bottom w:val="single" w:sz="4" w:space="0" w:color="000000"/>
              <w:right w:val="single" w:sz="4" w:space="0" w:color="000000"/>
            </w:tcBorders>
          </w:tcPr>
          <w:p w14:paraId="1BDF4F0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1 080 h</w:t>
            </w:r>
          </w:p>
        </w:tc>
        <w:tc>
          <w:tcPr>
            <w:tcW w:w="1700" w:type="dxa"/>
            <w:tcBorders>
              <w:top w:val="single" w:sz="4" w:space="0" w:color="000000"/>
              <w:left w:val="single" w:sz="4" w:space="0" w:color="000000"/>
              <w:bottom w:val="single" w:sz="4" w:space="0" w:color="000000"/>
              <w:right w:val="single" w:sz="4" w:space="0" w:color="000000"/>
            </w:tcBorders>
          </w:tcPr>
          <w:p w14:paraId="60E6A51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54 000,00 $</w:t>
            </w:r>
          </w:p>
        </w:tc>
        <w:tc>
          <w:tcPr>
            <w:tcW w:w="1700" w:type="dxa"/>
            <w:tcBorders>
              <w:top w:val="single" w:sz="4" w:space="0" w:color="000000"/>
              <w:left w:val="single" w:sz="4" w:space="0" w:color="000000"/>
              <w:bottom w:val="single" w:sz="4" w:space="0" w:color="000000"/>
              <w:right w:val="single" w:sz="4" w:space="0" w:color="000000"/>
            </w:tcBorders>
          </w:tcPr>
          <w:p w14:paraId="0B593BE1" w14:textId="77777777"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c>
          <w:tcPr>
            <w:tcW w:w="2057" w:type="dxa"/>
            <w:tcBorders>
              <w:top w:val="single" w:sz="4" w:space="0" w:color="000000"/>
              <w:left w:val="single" w:sz="4" w:space="0" w:color="000000"/>
              <w:bottom w:val="single" w:sz="4" w:space="0" w:color="000000"/>
              <w:right w:val="single" w:sz="4" w:space="0" w:color="000000"/>
            </w:tcBorders>
          </w:tcPr>
          <w:p w14:paraId="795AE141" w14:textId="77777777"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bl>
    <w:p w14:paraId="11285EC8"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Trois lectures se déduisent de ce tableau. Près des trois quarts du budget sont engagés avant le jalon J3, ce qui veut dire qu’un dépassement constaté après J3 ne peut plus être corrigé par une réduction de contenu, mais seulement absorbé par la contingence. Le jalon J2 est le point de bascule : à cette date, un écart de plus de 10 % entre le coût réel et les 23 000 $ prévus déclenche l’arbitrage prévu par le risque RP2. Et la phase P3 concentre à elle seule 31 % du budget, ce qui en fait la phase à suivre de plus près.</w:t>
      </w:r>
    </w:p>
    <w:p w14:paraId="54C8E9BC"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montants ci-dessus sont des coûts et non des prix. Ils n’incluent ni la contingence ni la marge, qui s’appliquent au total et non à chaque période. Le bordereau des prix, qui est le document remis au client, figure à la section 10. La présente section demeure un document interne, destiné à ce que la direction de l’équipe puisse valider l’engagement avant de s’y tenir.</w:t>
      </w:r>
    </w:p>
    <w:p w14:paraId="3ABBAB49" w14:textId="77777777" w:rsidR="00F50D70" w:rsidRPr="00BE4F47" w:rsidRDefault="00F50D70" w:rsidP="008E113B">
      <w:pPr>
        <w:spacing w:line="360" w:lineRule="auto"/>
        <w:ind w:left="0"/>
        <w:rPr>
          <w:rFonts w:ascii="Aptos" w:hAnsi="Aptos"/>
        </w:rPr>
      </w:pPr>
    </w:p>
    <w:p w14:paraId="4CA6EF21" w14:textId="77777777" w:rsidR="00F50D70" w:rsidRPr="00B36301" w:rsidRDefault="00000000" w:rsidP="008E113B">
      <w:pPr>
        <w:pStyle w:val="Titre1"/>
        <w:spacing w:line="360" w:lineRule="auto"/>
      </w:pPr>
      <w:bookmarkStart w:id="71" w:name="__RefHeading___Toc240715288"/>
      <w:bookmarkEnd w:id="71"/>
      <w:r w:rsidRPr="00B36301">
        <w:t>Échéancier préliminaire</w:t>
      </w:r>
    </w:p>
    <w:p w14:paraId="3B30962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travail est défini, chiffré en heures puis en dollars. Il reste à le placer dans le temps. Cette section construit le calendrier du mandat à partir du trimestre universitaire, le découpe en phases, et fixe les six jalons auxquels l’avancement est mesuré.</w:t>
      </w:r>
    </w:p>
    <w:p w14:paraId="51FC8BB0"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carnet de projet en développement de logiciels demande trois échéanciers successifs. L’échéancier préliminaire est établi au plan de projet. Les échéanciers intérimaires sont produits à chaque jalon. L’échéancier final est remis avec le rapport. Seul l’échéancier préliminaire sera traité ci-dessous.</w:t>
      </w:r>
    </w:p>
    <w:p w14:paraId="6087CA02" w14:textId="77777777" w:rsidR="00F50D70" w:rsidRPr="00B36301" w:rsidRDefault="00000000" w:rsidP="008E113B">
      <w:pPr>
        <w:pStyle w:val="Titre2"/>
        <w:spacing w:line="360" w:lineRule="auto"/>
      </w:pPr>
      <w:r w:rsidRPr="00B36301">
        <w:t>Structure de découpage du projet</w:t>
      </w:r>
    </w:p>
    <w:p w14:paraId="545D9E38"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L’échéancier ne peut pas être construit avant que le travail soit découpé. La structure de découpage du projet ci-dessous décompose le mandat en six ensembles, puis chaque ensemble en activités. Elle relie trois choses : les lots de travail de la section 8, qui portent l’effort ; les livrables de la section 2, qui portent la valeur ; et les activités, qui portent les durées.</w:t>
      </w:r>
    </w:p>
    <w:p w14:paraId="268BAEF9" w14:textId="6E4A4789" w:rsidR="00F50D70" w:rsidRPr="00BE4F47" w:rsidRDefault="002A1CE1" w:rsidP="008E113B">
      <w:pPr>
        <w:spacing w:after="130" w:line="360" w:lineRule="auto"/>
        <w:ind w:left="360"/>
        <w:rPr>
          <w:rFonts w:ascii="Aptos" w:hAnsi="Aptos"/>
        </w:rPr>
      </w:pPr>
      <w:r>
        <w:rPr>
          <w:rFonts w:ascii="Aptos" w:hAnsi="Aptos"/>
          <w:noProof/>
        </w:rPr>
        <w:lastRenderedPageBreak/>
        <w:drawing>
          <wp:anchor distT="0" distB="0" distL="114300" distR="114300" simplePos="0" relativeHeight="251657728" behindDoc="0" locked="0" layoutInCell="1" allowOverlap="1" wp14:anchorId="25BD99B5" wp14:editId="62832836">
            <wp:simplePos x="0" y="0"/>
            <wp:positionH relativeFrom="column">
              <wp:posOffset>174625</wp:posOffset>
            </wp:positionH>
            <wp:positionV relativeFrom="paragraph">
              <wp:posOffset>1031875</wp:posOffset>
            </wp:positionV>
            <wp:extent cx="5440680" cy="2179320"/>
            <wp:effectExtent l="0" t="0" r="0" b="0"/>
            <wp:wrapTopAndBottom/>
            <wp:docPr id="1266838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40680" cy="2179320"/>
                    </a:xfrm>
                    <a:prstGeom prst="rect">
                      <a:avLst/>
                    </a:prstGeom>
                    <a:noFill/>
                  </pic:spPr>
                </pic:pic>
              </a:graphicData>
            </a:graphic>
            <wp14:sizeRelH relativeFrom="page">
              <wp14:pctWidth>0</wp14:pctWidth>
            </wp14:sizeRelH>
            <wp14:sizeRelV relativeFrom="page">
              <wp14:pctHeight>0</wp14:pctHeight>
            </wp14:sizeRelV>
          </wp:anchor>
        </w:drawing>
      </w:r>
      <w:r w:rsidR="00273A91" w:rsidRPr="00BE4F47">
        <w:rPr>
          <w:rFonts w:ascii="Aptos" w:eastAsia="Calibri" w:hAnsi="Aptos" w:cs="Calibri"/>
          <w:color w:val="1A1A19"/>
          <w:sz w:val="20"/>
          <w:szCs w:val="20"/>
        </w:rPr>
        <w:t>Le découpage suit le cycle de vie plutôt que l’organigramme de l’équipe. Un découpage par personne aurait figé l’affectation et rendu l’échéancier dépendant des disponibilités individuelles. Un découpage par phase permet de déplacer une personne d’une activité à une autre sans refaire la planification.</w:t>
      </w:r>
    </w:p>
    <w:p w14:paraId="57C45E1F" w14:textId="4CF706C5" w:rsidR="00F50D70" w:rsidRPr="00BE4F47" w:rsidRDefault="00F50D70" w:rsidP="008E113B">
      <w:pPr>
        <w:spacing w:line="360" w:lineRule="auto"/>
        <w:jc w:val="center"/>
        <w:rPr>
          <w:rFonts w:ascii="Aptos" w:hAnsi="Aptos"/>
        </w:rPr>
      </w:pPr>
    </w:p>
    <w:p w14:paraId="235BB909" w14:textId="77777777" w:rsidR="00F50D70" w:rsidRPr="00BE4F47" w:rsidRDefault="00000000" w:rsidP="008E113B">
      <w:pPr>
        <w:pStyle w:val="Lgende"/>
        <w:spacing w:line="360" w:lineRule="auto"/>
        <w:rPr>
          <w:rFonts w:ascii="Aptos" w:hAnsi="Aptos"/>
        </w:rPr>
      </w:pPr>
      <w:r w:rsidRPr="00BE4F47">
        <w:rPr>
          <w:rFonts w:ascii="Aptos" w:hAnsi="Aptos"/>
        </w:rPr>
        <w:t>Figure 10-1. Structure de découpage du projet</w:t>
      </w:r>
    </w:p>
    <w:p w14:paraId="10D645B8"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Chaque feuille de l’arbre porte le lot de travail qui la finance, et, lorsqu’elle s’y rattache, l’état GEMMA ou l’identifiant de fonction qu’elle réalise. C’est ce double rattachement qui permet de calculer la valeur acquise : une activité terminée fait avancer un lot dont l’effort est connu, donc une valeur chiffrable.</w:t>
      </w:r>
    </w:p>
    <w:p w14:paraId="073D6735"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activités se répartissent en trois familles pour l’ordonnancement. Les activités séquentielles, où la suivante ne peut commencer sans le résultat de la précédente : le modèle de référence précède la comparaison, qui précède la détection. Les activités parallèles, menées de front par des membres différents : la veille normative et l’architecture logicielle n’ont aucune dépendance entre elles. Et les activités à ressource partagée, où deux tâches réclament la même compétence rare et doivent donc être décalées : c’est le cas de tout ce qui touche la thermohydraulique du lot L4.</w:t>
      </w:r>
    </w:p>
    <w:p w14:paraId="59AD1B0B" w14:textId="77777777" w:rsidR="00F50D70" w:rsidRPr="00B36301" w:rsidRDefault="00000000" w:rsidP="008E113B">
      <w:pPr>
        <w:pStyle w:val="Titre2"/>
        <w:spacing w:line="360" w:lineRule="auto"/>
      </w:pPr>
      <w:r w:rsidRPr="00B36301">
        <w:t>Base de calendrier et capacité de l’équipe</w:t>
      </w:r>
    </w:p>
    <w:p w14:paraId="60F35713"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L’échéancier est construit sur le calendrier du trimestre d’automne 2026 de l’UQAC, qui s’étend du 31 août au 22 décembre 2026 [46]. Trois congés fériés interrompent la période : le 7 septembre, le 30 septembre et le 12 octobre. Un congé pédagogique sans enseignement couvre du 13 au 16 octobre. La date limite d’abandon sans mention d’échec, le 10 novembre, sert de repère pour la gestion du risque d’équipe.</w:t>
      </w:r>
    </w:p>
    <w:p w14:paraId="72606B2F"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L’équipe dispose de trois créneaux fixes chaque semaine : l’atelier du mercredi soir et les séances de laboratoire du jeudi et du vendredi midi.</w:t>
      </w:r>
    </w:p>
    <w:p w14:paraId="77FCF0DE"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lastRenderedPageBreak/>
        <w:t>Une planification qui répartirait les 1 080 heures uniformément sur le trimestre serait fausse dès la première semaine. La capacité d’une équipe étudiante n’est pas constante. Elle baisse pendant les examens de mi-session et pendant les travaux de fin de session. L’échéancier tient compte de cette variation.</w:t>
      </w:r>
    </w:p>
    <w:p w14:paraId="3DB16C29" w14:textId="77777777" w:rsidR="00F50D70" w:rsidRPr="00B36301" w:rsidRDefault="00000000" w:rsidP="008E113B">
      <w:pPr>
        <w:pStyle w:val="Titre2"/>
        <w:spacing w:line="360" w:lineRule="auto"/>
      </w:pPr>
      <w:r w:rsidRPr="00B36301">
        <w:t>Découpage en phases, jalons et livrables</w:t>
      </w:r>
    </w:p>
    <w:p w14:paraId="5A8F2FF1"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Le projet est découpé en six phases séparées par des jalons. Un jalon est un point de contrôle assorti d’un livrable identifié. Il est franchi ou il ne l’est pas. Il n’y a pas d’état intermédiaire.</w:t>
      </w:r>
    </w:p>
    <w:p w14:paraId="422F2298" w14:textId="77777777" w:rsidR="00F50D70" w:rsidRPr="00BE4F47" w:rsidRDefault="00000000" w:rsidP="008E113B">
      <w:pPr>
        <w:pStyle w:val="Lgende"/>
        <w:spacing w:line="360" w:lineRule="auto"/>
        <w:rPr>
          <w:rFonts w:ascii="Aptos" w:hAnsi="Aptos"/>
        </w:rPr>
      </w:pPr>
      <w:r w:rsidRPr="00BE4F47">
        <w:rPr>
          <w:rFonts w:ascii="Aptos" w:hAnsi="Aptos"/>
        </w:rPr>
        <w:t>Tableau 10-1. Phases, jalons et livrables de l’échéancier préliminaire</w:t>
      </w:r>
    </w:p>
    <w:tbl>
      <w:tblPr>
        <w:tblpPr w:leftFromText="141" w:vertAnchor="text" w:horzAnchor="margin" w:tblpXSpec="right" w:tblpY="64"/>
        <w:tblW w:w="8441" w:type="dxa"/>
        <w:tblLayout w:type="fixed"/>
        <w:tblCellMar>
          <w:top w:w="55" w:type="dxa"/>
          <w:left w:w="85" w:type="dxa"/>
          <w:bottom w:w="55" w:type="dxa"/>
          <w:right w:w="85" w:type="dxa"/>
        </w:tblCellMar>
        <w:tblLook w:val="04A0" w:firstRow="1" w:lastRow="0" w:firstColumn="1" w:lastColumn="0" w:noHBand="0" w:noVBand="1"/>
      </w:tblPr>
      <w:tblGrid>
        <w:gridCol w:w="493"/>
        <w:gridCol w:w="1879"/>
        <w:gridCol w:w="1483"/>
        <w:gridCol w:w="751"/>
        <w:gridCol w:w="612"/>
        <w:gridCol w:w="3223"/>
      </w:tblGrid>
      <w:tr w:rsidR="00F50D70" w:rsidRPr="00BE4F47" w14:paraId="36C811C6" w14:textId="77777777">
        <w:trPr>
          <w:trHeight w:val="248"/>
          <w:tblHeader/>
        </w:trPr>
        <w:tc>
          <w:tcPr>
            <w:tcW w:w="493" w:type="dxa"/>
            <w:tcBorders>
              <w:top w:val="single" w:sz="4" w:space="0" w:color="000000"/>
              <w:left w:val="single" w:sz="4" w:space="0" w:color="000000"/>
              <w:bottom w:val="single" w:sz="4" w:space="0" w:color="000000"/>
              <w:right w:val="single" w:sz="4" w:space="0" w:color="000000"/>
            </w:tcBorders>
            <w:shd w:val="clear" w:color="auto" w:fill="EFF4FB"/>
          </w:tcPr>
          <w:p w14:paraId="254EE63B"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Ph.</w:t>
            </w:r>
          </w:p>
        </w:tc>
        <w:tc>
          <w:tcPr>
            <w:tcW w:w="1879" w:type="dxa"/>
            <w:tcBorders>
              <w:top w:val="single" w:sz="4" w:space="0" w:color="000000"/>
              <w:left w:val="single" w:sz="4" w:space="0" w:color="000000"/>
              <w:bottom w:val="single" w:sz="4" w:space="0" w:color="000000"/>
              <w:right w:val="single" w:sz="4" w:space="0" w:color="000000"/>
            </w:tcBorders>
            <w:shd w:val="clear" w:color="auto" w:fill="EFF4FB"/>
          </w:tcPr>
          <w:p w14:paraId="5EE3241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Intitulé</w:t>
            </w:r>
          </w:p>
        </w:tc>
        <w:tc>
          <w:tcPr>
            <w:tcW w:w="1483" w:type="dxa"/>
            <w:tcBorders>
              <w:top w:val="single" w:sz="4" w:space="0" w:color="000000"/>
              <w:left w:val="single" w:sz="4" w:space="0" w:color="000000"/>
              <w:bottom w:val="single" w:sz="4" w:space="0" w:color="000000"/>
              <w:right w:val="single" w:sz="4" w:space="0" w:color="000000"/>
            </w:tcBorders>
            <w:shd w:val="clear" w:color="auto" w:fill="EFF4FB"/>
          </w:tcPr>
          <w:p w14:paraId="4AEBC10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Période</w:t>
            </w:r>
          </w:p>
        </w:tc>
        <w:tc>
          <w:tcPr>
            <w:tcW w:w="751" w:type="dxa"/>
            <w:tcBorders>
              <w:top w:val="single" w:sz="4" w:space="0" w:color="000000"/>
              <w:left w:val="single" w:sz="4" w:space="0" w:color="000000"/>
              <w:bottom w:val="single" w:sz="4" w:space="0" w:color="000000"/>
              <w:right w:val="single" w:sz="4" w:space="0" w:color="000000"/>
            </w:tcBorders>
            <w:shd w:val="clear" w:color="auto" w:fill="EFF4FB"/>
          </w:tcPr>
          <w:p w14:paraId="5159C28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Effort</w:t>
            </w:r>
          </w:p>
        </w:tc>
        <w:tc>
          <w:tcPr>
            <w:tcW w:w="612" w:type="dxa"/>
            <w:tcBorders>
              <w:top w:val="single" w:sz="4" w:space="0" w:color="000000"/>
              <w:left w:val="single" w:sz="4" w:space="0" w:color="000000"/>
              <w:bottom w:val="single" w:sz="4" w:space="0" w:color="000000"/>
              <w:right w:val="single" w:sz="4" w:space="0" w:color="000000"/>
            </w:tcBorders>
            <w:shd w:val="clear" w:color="auto" w:fill="EFF4FB"/>
          </w:tcPr>
          <w:p w14:paraId="7B886E5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Part</w:t>
            </w:r>
          </w:p>
        </w:tc>
        <w:tc>
          <w:tcPr>
            <w:tcW w:w="3223" w:type="dxa"/>
            <w:tcBorders>
              <w:top w:val="single" w:sz="4" w:space="0" w:color="000000"/>
              <w:left w:val="single" w:sz="4" w:space="0" w:color="000000"/>
              <w:bottom w:val="single" w:sz="4" w:space="0" w:color="000000"/>
              <w:right w:val="single" w:sz="4" w:space="0" w:color="000000"/>
            </w:tcBorders>
            <w:shd w:val="clear" w:color="auto" w:fill="EFF4FB"/>
          </w:tcPr>
          <w:p w14:paraId="3BFEBDE7"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Jalon de fin et livrables</w:t>
            </w:r>
          </w:p>
        </w:tc>
      </w:tr>
      <w:tr w:rsidR="00F50D70" w:rsidRPr="00BE4F47" w14:paraId="6937A2B3" w14:textId="77777777">
        <w:trPr>
          <w:cantSplit/>
          <w:trHeight w:val="248"/>
        </w:trPr>
        <w:tc>
          <w:tcPr>
            <w:tcW w:w="493" w:type="dxa"/>
            <w:tcBorders>
              <w:top w:val="single" w:sz="4" w:space="0" w:color="000000"/>
              <w:left w:val="single" w:sz="4" w:space="0" w:color="000000"/>
              <w:bottom w:val="single" w:sz="4" w:space="0" w:color="000000"/>
              <w:right w:val="single" w:sz="4" w:space="0" w:color="000000"/>
            </w:tcBorders>
          </w:tcPr>
          <w:p w14:paraId="345E9E0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P0</w:t>
            </w:r>
          </w:p>
        </w:tc>
        <w:tc>
          <w:tcPr>
            <w:tcW w:w="1879" w:type="dxa"/>
            <w:tcBorders>
              <w:top w:val="single" w:sz="4" w:space="0" w:color="000000"/>
              <w:left w:val="single" w:sz="4" w:space="0" w:color="000000"/>
              <w:bottom w:val="single" w:sz="4" w:space="0" w:color="000000"/>
              <w:right w:val="single" w:sz="4" w:space="0" w:color="000000"/>
            </w:tcBorders>
          </w:tcPr>
          <w:p w14:paraId="2CE0C51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Démarrage et cadrage</w:t>
            </w:r>
          </w:p>
        </w:tc>
        <w:tc>
          <w:tcPr>
            <w:tcW w:w="1483" w:type="dxa"/>
            <w:tcBorders>
              <w:top w:val="single" w:sz="4" w:space="0" w:color="000000"/>
              <w:left w:val="single" w:sz="4" w:space="0" w:color="000000"/>
              <w:bottom w:val="single" w:sz="4" w:space="0" w:color="000000"/>
              <w:right w:val="single" w:sz="4" w:space="0" w:color="000000"/>
            </w:tcBorders>
          </w:tcPr>
          <w:p w14:paraId="45F4C6D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31 août au 13 sept.</w:t>
            </w:r>
          </w:p>
        </w:tc>
        <w:tc>
          <w:tcPr>
            <w:tcW w:w="751" w:type="dxa"/>
            <w:tcBorders>
              <w:top w:val="single" w:sz="4" w:space="0" w:color="000000"/>
              <w:left w:val="single" w:sz="4" w:space="0" w:color="000000"/>
              <w:bottom w:val="single" w:sz="4" w:space="0" w:color="000000"/>
              <w:right w:val="single" w:sz="4" w:space="0" w:color="000000"/>
            </w:tcBorders>
          </w:tcPr>
          <w:p w14:paraId="5A7CD94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81 h</w:t>
            </w:r>
          </w:p>
        </w:tc>
        <w:tc>
          <w:tcPr>
            <w:tcW w:w="612" w:type="dxa"/>
            <w:tcBorders>
              <w:top w:val="single" w:sz="4" w:space="0" w:color="000000"/>
              <w:left w:val="single" w:sz="4" w:space="0" w:color="000000"/>
              <w:bottom w:val="single" w:sz="4" w:space="0" w:color="000000"/>
              <w:right w:val="single" w:sz="4" w:space="0" w:color="000000"/>
            </w:tcBorders>
          </w:tcPr>
          <w:p w14:paraId="02A87B5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7,5 %</w:t>
            </w:r>
          </w:p>
        </w:tc>
        <w:tc>
          <w:tcPr>
            <w:tcW w:w="3223" w:type="dxa"/>
            <w:tcBorders>
              <w:top w:val="single" w:sz="4" w:space="0" w:color="000000"/>
              <w:left w:val="single" w:sz="4" w:space="0" w:color="000000"/>
              <w:bottom w:val="single" w:sz="4" w:space="0" w:color="000000"/>
              <w:right w:val="single" w:sz="4" w:space="0" w:color="000000"/>
            </w:tcBorders>
          </w:tcPr>
          <w:p w14:paraId="148FBC4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J0 (12 sept.). Plan de projet remis. Livrable L07.</w:t>
            </w:r>
          </w:p>
        </w:tc>
      </w:tr>
      <w:tr w:rsidR="00F50D70" w:rsidRPr="00BE4F47" w14:paraId="2CEE036C" w14:textId="77777777">
        <w:trPr>
          <w:cantSplit/>
          <w:trHeight w:val="629"/>
        </w:trPr>
        <w:tc>
          <w:tcPr>
            <w:tcW w:w="493" w:type="dxa"/>
            <w:tcBorders>
              <w:top w:val="single" w:sz="4" w:space="0" w:color="000000"/>
              <w:left w:val="single" w:sz="4" w:space="0" w:color="000000"/>
              <w:bottom w:val="single" w:sz="4" w:space="0" w:color="000000"/>
              <w:right w:val="single" w:sz="4" w:space="0" w:color="000000"/>
            </w:tcBorders>
          </w:tcPr>
          <w:p w14:paraId="16699DD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P1</w:t>
            </w:r>
          </w:p>
        </w:tc>
        <w:tc>
          <w:tcPr>
            <w:tcW w:w="1879" w:type="dxa"/>
            <w:tcBorders>
              <w:top w:val="single" w:sz="4" w:space="0" w:color="000000"/>
              <w:left w:val="single" w:sz="4" w:space="0" w:color="000000"/>
              <w:bottom w:val="single" w:sz="4" w:space="0" w:color="000000"/>
              <w:right w:val="single" w:sz="4" w:space="0" w:color="000000"/>
            </w:tcBorders>
          </w:tcPr>
          <w:p w14:paraId="6CDA3C9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Exigences et cahier des charges</w:t>
            </w:r>
          </w:p>
        </w:tc>
        <w:tc>
          <w:tcPr>
            <w:tcW w:w="1483" w:type="dxa"/>
            <w:tcBorders>
              <w:top w:val="single" w:sz="4" w:space="0" w:color="000000"/>
              <w:left w:val="single" w:sz="4" w:space="0" w:color="000000"/>
              <w:bottom w:val="single" w:sz="4" w:space="0" w:color="000000"/>
              <w:right w:val="single" w:sz="4" w:space="0" w:color="000000"/>
            </w:tcBorders>
          </w:tcPr>
          <w:p w14:paraId="0B54539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14 au 27 sept.</w:t>
            </w:r>
          </w:p>
        </w:tc>
        <w:tc>
          <w:tcPr>
            <w:tcW w:w="751" w:type="dxa"/>
            <w:tcBorders>
              <w:top w:val="single" w:sz="4" w:space="0" w:color="000000"/>
              <w:left w:val="single" w:sz="4" w:space="0" w:color="000000"/>
              <w:bottom w:val="single" w:sz="4" w:space="0" w:color="000000"/>
              <w:right w:val="single" w:sz="4" w:space="0" w:color="000000"/>
            </w:tcBorders>
          </w:tcPr>
          <w:p w14:paraId="3D187C30"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149 h</w:t>
            </w:r>
          </w:p>
        </w:tc>
        <w:tc>
          <w:tcPr>
            <w:tcW w:w="612" w:type="dxa"/>
            <w:tcBorders>
              <w:top w:val="single" w:sz="4" w:space="0" w:color="000000"/>
              <w:left w:val="single" w:sz="4" w:space="0" w:color="000000"/>
              <w:bottom w:val="single" w:sz="4" w:space="0" w:color="000000"/>
              <w:right w:val="single" w:sz="4" w:space="0" w:color="000000"/>
            </w:tcBorders>
          </w:tcPr>
          <w:p w14:paraId="6F61023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13,8 %</w:t>
            </w:r>
          </w:p>
        </w:tc>
        <w:tc>
          <w:tcPr>
            <w:tcW w:w="3223" w:type="dxa"/>
            <w:tcBorders>
              <w:top w:val="single" w:sz="4" w:space="0" w:color="000000"/>
              <w:left w:val="single" w:sz="4" w:space="0" w:color="000000"/>
              <w:bottom w:val="single" w:sz="4" w:space="0" w:color="000000"/>
              <w:right w:val="single" w:sz="4" w:space="0" w:color="000000"/>
            </w:tcBorders>
          </w:tcPr>
          <w:p w14:paraId="779F14C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J1 (25 sept.). Cahier des charges fonctionnel, registre des exigences vérifiables, GEMMA et structure de découpage. Livrables L03 et L04.</w:t>
            </w:r>
          </w:p>
        </w:tc>
      </w:tr>
      <w:tr w:rsidR="00F50D70" w:rsidRPr="00BE4F47" w14:paraId="67D32608" w14:textId="77777777">
        <w:trPr>
          <w:cantSplit/>
          <w:trHeight w:val="629"/>
        </w:trPr>
        <w:tc>
          <w:tcPr>
            <w:tcW w:w="493" w:type="dxa"/>
            <w:tcBorders>
              <w:top w:val="single" w:sz="4" w:space="0" w:color="000000"/>
              <w:left w:val="single" w:sz="4" w:space="0" w:color="000000"/>
              <w:bottom w:val="single" w:sz="4" w:space="0" w:color="000000"/>
              <w:right w:val="single" w:sz="4" w:space="0" w:color="000000"/>
            </w:tcBorders>
          </w:tcPr>
          <w:p w14:paraId="4205FEF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P2</w:t>
            </w:r>
          </w:p>
        </w:tc>
        <w:tc>
          <w:tcPr>
            <w:tcW w:w="1879" w:type="dxa"/>
            <w:tcBorders>
              <w:top w:val="single" w:sz="4" w:space="0" w:color="000000"/>
              <w:left w:val="single" w:sz="4" w:space="0" w:color="000000"/>
              <w:bottom w:val="single" w:sz="4" w:space="0" w:color="000000"/>
              <w:right w:val="single" w:sz="4" w:space="0" w:color="000000"/>
            </w:tcBorders>
          </w:tcPr>
          <w:p w14:paraId="7B12C3B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Conception préliminaire : modèle et architecture</w:t>
            </w:r>
          </w:p>
        </w:tc>
        <w:tc>
          <w:tcPr>
            <w:tcW w:w="1483" w:type="dxa"/>
            <w:tcBorders>
              <w:top w:val="single" w:sz="4" w:space="0" w:color="000000"/>
              <w:left w:val="single" w:sz="4" w:space="0" w:color="000000"/>
              <w:bottom w:val="single" w:sz="4" w:space="0" w:color="000000"/>
              <w:right w:val="single" w:sz="4" w:space="0" w:color="000000"/>
            </w:tcBorders>
          </w:tcPr>
          <w:p w14:paraId="19EBEF1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28 sept. au 25 oct.</w:t>
            </w:r>
          </w:p>
        </w:tc>
        <w:tc>
          <w:tcPr>
            <w:tcW w:w="751" w:type="dxa"/>
            <w:tcBorders>
              <w:top w:val="single" w:sz="4" w:space="0" w:color="000000"/>
              <w:left w:val="single" w:sz="4" w:space="0" w:color="000000"/>
              <w:bottom w:val="single" w:sz="4" w:space="0" w:color="000000"/>
              <w:right w:val="single" w:sz="4" w:space="0" w:color="000000"/>
            </w:tcBorders>
          </w:tcPr>
          <w:p w14:paraId="0B413A6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230 h</w:t>
            </w:r>
          </w:p>
        </w:tc>
        <w:tc>
          <w:tcPr>
            <w:tcW w:w="612" w:type="dxa"/>
            <w:tcBorders>
              <w:top w:val="single" w:sz="4" w:space="0" w:color="000000"/>
              <w:left w:val="single" w:sz="4" w:space="0" w:color="000000"/>
              <w:bottom w:val="single" w:sz="4" w:space="0" w:color="000000"/>
              <w:right w:val="single" w:sz="4" w:space="0" w:color="000000"/>
            </w:tcBorders>
          </w:tcPr>
          <w:p w14:paraId="606B29F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21,3 %</w:t>
            </w:r>
          </w:p>
        </w:tc>
        <w:tc>
          <w:tcPr>
            <w:tcW w:w="3223" w:type="dxa"/>
            <w:tcBorders>
              <w:top w:val="single" w:sz="4" w:space="0" w:color="000000"/>
              <w:left w:val="single" w:sz="4" w:space="0" w:color="000000"/>
              <w:bottom w:val="single" w:sz="4" w:space="0" w:color="000000"/>
              <w:right w:val="single" w:sz="4" w:space="0" w:color="000000"/>
            </w:tcBorders>
          </w:tcPr>
          <w:p w14:paraId="0A367FD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J2 (23 oct.). Dossier de conception préliminaire, modèle de référence validé, plan de vérification et de validation. Livrable L05.</w:t>
            </w:r>
          </w:p>
        </w:tc>
      </w:tr>
      <w:tr w:rsidR="00F50D70" w:rsidRPr="00BE4F47" w14:paraId="6D6DA76E" w14:textId="77777777">
        <w:trPr>
          <w:cantSplit/>
          <w:trHeight w:val="629"/>
        </w:trPr>
        <w:tc>
          <w:tcPr>
            <w:tcW w:w="493" w:type="dxa"/>
            <w:tcBorders>
              <w:top w:val="single" w:sz="4" w:space="0" w:color="000000"/>
              <w:left w:val="single" w:sz="4" w:space="0" w:color="000000"/>
              <w:bottom w:val="single" w:sz="4" w:space="0" w:color="000000"/>
              <w:right w:val="single" w:sz="4" w:space="0" w:color="000000"/>
            </w:tcBorders>
          </w:tcPr>
          <w:p w14:paraId="2A66F35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P3</w:t>
            </w:r>
          </w:p>
        </w:tc>
        <w:tc>
          <w:tcPr>
            <w:tcW w:w="1879" w:type="dxa"/>
            <w:tcBorders>
              <w:top w:val="single" w:sz="4" w:space="0" w:color="000000"/>
              <w:left w:val="single" w:sz="4" w:space="0" w:color="000000"/>
              <w:bottom w:val="single" w:sz="4" w:space="0" w:color="000000"/>
              <w:right w:val="single" w:sz="4" w:space="0" w:color="000000"/>
            </w:tcBorders>
          </w:tcPr>
          <w:p w14:paraId="4A9178A4"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Conception détaillée et développement, trois itérations</w:t>
            </w:r>
          </w:p>
        </w:tc>
        <w:tc>
          <w:tcPr>
            <w:tcW w:w="1483" w:type="dxa"/>
            <w:tcBorders>
              <w:top w:val="single" w:sz="4" w:space="0" w:color="000000"/>
              <w:left w:val="single" w:sz="4" w:space="0" w:color="000000"/>
              <w:bottom w:val="single" w:sz="4" w:space="0" w:color="000000"/>
              <w:right w:val="single" w:sz="4" w:space="0" w:color="000000"/>
            </w:tcBorders>
          </w:tcPr>
          <w:p w14:paraId="49CDFBF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26 oct. au 22 nov.</w:t>
            </w:r>
          </w:p>
        </w:tc>
        <w:tc>
          <w:tcPr>
            <w:tcW w:w="751" w:type="dxa"/>
            <w:tcBorders>
              <w:top w:val="single" w:sz="4" w:space="0" w:color="000000"/>
              <w:left w:val="single" w:sz="4" w:space="0" w:color="000000"/>
              <w:bottom w:val="single" w:sz="4" w:space="0" w:color="000000"/>
              <w:right w:val="single" w:sz="4" w:space="0" w:color="000000"/>
            </w:tcBorders>
          </w:tcPr>
          <w:p w14:paraId="7E487BD6"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337 h</w:t>
            </w:r>
          </w:p>
        </w:tc>
        <w:tc>
          <w:tcPr>
            <w:tcW w:w="612" w:type="dxa"/>
            <w:tcBorders>
              <w:top w:val="single" w:sz="4" w:space="0" w:color="000000"/>
              <w:left w:val="single" w:sz="4" w:space="0" w:color="000000"/>
              <w:bottom w:val="single" w:sz="4" w:space="0" w:color="000000"/>
              <w:right w:val="single" w:sz="4" w:space="0" w:color="000000"/>
            </w:tcBorders>
          </w:tcPr>
          <w:p w14:paraId="3DC3AEA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31,2 %</w:t>
            </w:r>
          </w:p>
        </w:tc>
        <w:tc>
          <w:tcPr>
            <w:tcW w:w="3223" w:type="dxa"/>
            <w:tcBorders>
              <w:top w:val="single" w:sz="4" w:space="0" w:color="000000"/>
              <w:left w:val="single" w:sz="4" w:space="0" w:color="000000"/>
              <w:bottom w:val="single" w:sz="4" w:space="0" w:color="000000"/>
              <w:right w:val="single" w:sz="4" w:space="0" w:color="000000"/>
            </w:tcBorders>
          </w:tcPr>
          <w:p w14:paraId="17107538"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J3 (20 nov.). Gel des fonctionnalités. Prototype du jumeau et interface d’aide à la décision. Livrables L01 et L02.</w:t>
            </w:r>
          </w:p>
        </w:tc>
      </w:tr>
      <w:tr w:rsidR="00F50D70" w:rsidRPr="00BE4F47" w14:paraId="266D7F8C" w14:textId="77777777">
        <w:trPr>
          <w:cantSplit/>
          <w:trHeight w:val="433"/>
        </w:trPr>
        <w:tc>
          <w:tcPr>
            <w:tcW w:w="493" w:type="dxa"/>
            <w:tcBorders>
              <w:top w:val="single" w:sz="4" w:space="0" w:color="000000"/>
              <w:left w:val="single" w:sz="4" w:space="0" w:color="000000"/>
              <w:bottom w:val="single" w:sz="4" w:space="0" w:color="000000"/>
              <w:right w:val="single" w:sz="4" w:space="0" w:color="000000"/>
            </w:tcBorders>
          </w:tcPr>
          <w:p w14:paraId="22BD08B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P4</w:t>
            </w:r>
          </w:p>
        </w:tc>
        <w:tc>
          <w:tcPr>
            <w:tcW w:w="1879" w:type="dxa"/>
            <w:tcBorders>
              <w:top w:val="single" w:sz="4" w:space="0" w:color="000000"/>
              <w:left w:val="single" w:sz="4" w:space="0" w:color="000000"/>
              <w:bottom w:val="single" w:sz="4" w:space="0" w:color="000000"/>
              <w:right w:val="single" w:sz="4" w:space="0" w:color="000000"/>
            </w:tcBorders>
          </w:tcPr>
          <w:p w14:paraId="49053C8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Intégration, V&amp;V et campagne d’essais</w:t>
            </w:r>
          </w:p>
        </w:tc>
        <w:tc>
          <w:tcPr>
            <w:tcW w:w="1483" w:type="dxa"/>
            <w:tcBorders>
              <w:top w:val="single" w:sz="4" w:space="0" w:color="000000"/>
              <w:left w:val="single" w:sz="4" w:space="0" w:color="000000"/>
              <w:bottom w:val="single" w:sz="4" w:space="0" w:color="000000"/>
              <w:right w:val="single" w:sz="4" w:space="0" w:color="000000"/>
            </w:tcBorders>
          </w:tcPr>
          <w:p w14:paraId="68EF3F1C"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23 nov. au 6 déc.</w:t>
            </w:r>
          </w:p>
        </w:tc>
        <w:tc>
          <w:tcPr>
            <w:tcW w:w="751" w:type="dxa"/>
            <w:tcBorders>
              <w:top w:val="single" w:sz="4" w:space="0" w:color="000000"/>
              <w:left w:val="single" w:sz="4" w:space="0" w:color="000000"/>
              <w:bottom w:val="single" w:sz="4" w:space="0" w:color="000000"/>
              <w:right w:val="single" w:sz="4" w:space="0" w:color="000000"/>
            </w:tcBorders>
          </w:tcPr>
          <w:p w14:paraId="3D5506F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176 h</w:t>
            </w:r>
          </w:p>
        </w:tc>
        <w:tc>
          <w:tcPr>
            <w:tcW w:w="612" w:type="dxa"/>
            <w:tcBorders>
              <w:top w:val="single" w:sz="4" w:space="0" w:color="000000"/>
              <w:left w:val="single" w:sz="4" w:space="0" w:color="000000"/>
              <w:bottom w:val="single" w:sz="4" w:space="0" w:color="000000"/>
              <w:right w:val="single" w:sz="4" w:space="0" w:color="000000"/>
            </w:tcBorders>
          </w:tcPr>
          <w:p w14:paraId="01F9EE6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16,3 %</w:t>
            </w:r>
          </w:p>
        </w:tc>
        <w:tc>
          <w:tcPr>
            <w:tcW w:w="3223" w:type="dxa"/>
            <w:tcBorders>
              <w:top w:val="single" w:sz="4" w:space="0" w:color="000000"/>
              <w:left w:val="single" w:sz="4" w:space="0" w:color="000000"/>
              <w:bottom w:val="single" w:sz="4" w:space="0" w:color="000000"/>
              <w:right w:val="single" w:sz="4" w:space="0" w:color="000000"/>
            </w:tcBorders>
          </w:tcPr>
          <w:p w14:paraId="6C3ACA3D"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J4 (4 déc.). Rapport d’essais et résultats de validation. Livrable L06.</w:t>
            </w:r>
          </w:p>
        </w:tc>
      </w:tr>
      <w:tr w:rsidR="00F50D70" w:rsidRPr="00BE4F47" w14:paraId="47479D9B" w14:textId="77777777">
        <w:trPr>
          <w:cantSplit/>
          <w:trHeight w:val="629"/>
        </w:trPr>
        <w:tc>
          <w:tcPr>
            <w:tcW w:w="493" w:type="dxa"/>
            <w:tcBorders>
              <w:top w:val="single" w:sz="4" w:space="0" w:color="000000"/>
              <w:left w:val="single" w:sz="4" w:space="0" w:color="000000"/>
              <w:bottom w:val="single" w:sz="4" w:space="0" w:color="000000"/>
              <w:right w:val="single" w:sz="4" w:space="0" w:color="000000"/>
            </w:tcBorders>
          </w:tcPr>
          <w:p w14:paraId="51C2F24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P5</w:t>
            </w:r>
          </w:p>
        </w:tc>
        <w:tc>
          <w:tcPr>
            <w:tcW w:w="1879" w:type="dxa"/>
            <w:tcBorders>
              <w:top w:val="single" w:sz="4" w:space="0" w:color="000000"/>
              <w:left w:val="single" w:sz="4" w:space="0" w:color="000000"/>
              <w:bottom w:val="single" w:sz="4" w:space="0" w:color="000000"/>
              <w:right w:val="single" w:sz="4" w:space="0" w:color="000000"/>
            </w:tcBorders>
          </w:tcPr>
          <w:p w14:paraId="3ED6690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Recommandation, rapport final et soutenance</w:t>
            </w:r>
          </w:p>
        </w:tc>
        <w:tc>
          <w:tcPr>
            <w:tcW w:w="1483" w:type="dxa"/>
            <w:tcBorders>
              <w:top w:val="single" w:sz="4" w:space="0" w:color="000000"/>
              <w:left w:val="single" w:sz="4" w:space="0" w:color="000000"/>
              <w:bottom w:val="single" w:sz="4" w:space="0" w:color="000000"/>
              <w:right w:val="single" w:sz="4" w:space="0" w:color="000000"/>
            </w:tcBorders>
          </w:tcPr>
          <w:p w14:paraId="4287674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7 au 14 déc.</w:t>
            </w:r>
          </w:p>
        </w:tc>
        <w:tc>
          <w:tcPr>
            <w:tcW w:w="751" w:type="dxa"/>
            <w:tcBorders>
              <w:top w:val="single" w:sz="4" w:space="0" w:color="000000"/>
              <w:left w:val="single" w:sz="4" w:space="0" w:color="000000"/>
              <w:bottom w:val="single" w:sz="4" w:space="0" w:color="000000"/>
              <w:right w:val="single" w:sz="4" w:space="0" w:color="000000"/>
            </w:tcBorders>
          </w:tcPr>
          <w:p w14:paraId="5F925B7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107 h</w:t>
            </w:r>
          </w:p>
        </w:tc>
        <w:tc>
          <w:tcPr>
            <w:tcW w:w="612" w:type="dxa"/>
            <w:tcBorders>
              <w:top w:val="single" w:sz="4" w:space="0" w:color="000000"/>
              <w:left w:val="single" w:sz="4" w:space="0" w:color="000000"/>
              <w:bottom w:val="single" w:sz="4" w:space="0" w:color="000000"/>
              <w:right w:val="single" w:sz="4" w:space="0" w:color="000000"/>
            </w:tcBorders>
          </w:tcPr>
          <w:p w14:paraId="0CCCFA4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9,9 %</w:t>
            </w:r>
          </w:p>
        </w:tc>
        <w:tc>
          <w:tcPr>
            <w:tcW w:w="3223" w:type="dxa"/>
            <w:tcBorders>
              <w:top w:val="single" w:sz="4" w:space="0" w:color="000000"/>
              <w:left w:val="single" w:sz="4" w:space="0" w:color="000000"/>
              <w:bottom w:val="single" w:sz="4" w:space="0" w:color="000000"/>
              <w:right w:val="single" w:sz="4" w:space="0" w:color="000000"/>
            </w:tcBorders>
          </w:tcPr>
          <w:p w14:paraId="2EA9E87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J5 (18 déc.). Recommandation d’ingénierie, rapport final, présentation orale. Livrables L08 et L09.</w:t>
            </w:r>
          </w:p>
        </w:tc>
      </w:tr>
      <w:tr w:rsidR="00F50D70" w:rsidRPr="00BE4F47" w14:paraId="3BF979B3" w14:textId="77777777">
        <w:trPr>
          <w:cantSplit/>
          <w:trHeight w:val="320"/>
        </w:trPr>
        <w:tc>
          <w:tcPr>
            <w:tcW w:w="493" w:type="dxa"/>
            <w:tcBorders>
              <w:top w:val="single" w:sz="4" w:space="0" w:color="000000"/>
              <w:left w:val="single" w:sz="4" w:space="0" w:color="000000"/>
              <w:bottom w:val="single" w:sz="4" w:space="0" w:color="000000"/>
              <w:right w:val="single" w:sz="4" w:space="0" w:color="000000"/>
            </w:tcBorders>
          </w:tcPr>
          <w:p w14:paraId="217619A1" w14:textId="77777777" w:rsidR="00F50D70" w:rsidRPr="00BE4F47" w:rsidRDefault="00F50D70" w:rsidP="008E113B">
            <w:pPr>
              <w:snapToGrid w:val="0"/>
              <w:spacing w:before="26" w:after="26" w:line="360" w:lineRule="auto"/>
              <w:ind w:left="0"/>
              <w:jc w:val="left"/>
              <w:outlineLvl w:val="9"/>
              <w:rPr>
                <w:rFonts w:ascii="Aptos" w:eastAsia="Calibri" w:hAnsi="Aptos" w:cs="Calibri"/>
                <w:color w:val="1A1A19"/>
                <w:sz w:val="20"/>
                <w:szCs w:val="20"/>
                <w:lang w:val="fr-FR"/>
              </w:rPr>
            </w:pPr>
          </w:p>
        </w:tc>
        <w:tc>
          <w:tcPr>
            <w:tcW w:w="1879" w:type="dxa"/>
            <w:tcBorders>
              <w:top w:val="single" w:sz="4" w:space="0" w:color="000000"/>
              <w:left w:val="single" w:sz="4" w:space="0" w:color="000000"/>
              <w:bottom w:val="single" w:sz="4" w:space="0" w:color="000000"/>
              <w:right w:val="single" w:sz="4" w:space="0" w:color="000000"/>
            </w:tcBorders>
          </w:tcPr>
          <w:p w14:paraId="4AC1F28E"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Réserve d’échéancier</w:t>
            </w:r>
          </w:p>
        </w:tc>
        <w:tc>
          <w:tcPr>
            <w:tcW w:w="1483" w:type="dxa"/>
            <w:tcBorders>
              <w:top w:val="single" w:sz="4" w:space="0" w:color="000000"/>
              <w:left w:val="single" w:sz="4" w:space="0" w:color="000000"/>
              <w:bottom w:val="single" w:sz="4" w:space="0" w:color="000000"/>
              <w:right w:val="single" w:sz="4" w:space="0" w:color="000000"/>
            </w:tcBorders>
          </w:tcPr>
          <w:p w14:paraId="0D830CDA"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15 au 18 déc.</w:t>
            </w:r>
          </w:p>
        </w:tc>
        <w:tc>
          <w:tcPr>
            <w:tcW w:w="751" w:type="dxa"/>
            <w:tcBorders>
              <w:top w:val="single" w:sz="4" w:space="0" w:color="000000"/>
              <w:left w:val="single" w:sz="4" w:space="0" w:color="000000"/>
              <w:bottom w:val="single" w:sz="4" w:space="0" w:color="000000"/>
              <w:right w:val="single" w:sz="4" w:space="0" w:color="000000"/>
            </w:tcBorders>
          </w:tcPr>
          <w:p w14:paraId="7790C3C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w:t>
            </w:r>
          </w:p>
        </w:tc>
        <w:tc>
          <w:tcPr>
            <w:tcW w:w="612" w:type="dxa"/>
            <w:tcBorders>
              <w:top w:val="single" w:sz="4" w:space="0" w:color="000000"/>
              <w:left w:val="single" w:sz="4" w:space="0" w:color="000000"/>
              <w:bottom w:val="single" w:sz="4" w:space="0" w:color="000000"/>
              <w:right w:val="single" w:sz="4" w:space="0" w:color="000000"/>
            </w:tcBorders>
          </w:tcPr>
          <w:p w14:paraId="07B4DA62"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w:t>
            </w:r>
          </w:p>
        </w:tc>
        <w:tc>
          <w:tcPr>
            <w:tcW w:w="3223" w:type="dxa"/>
            <w:tcBorders>
              <w:top w:val="single" w:sz="4" w:space="0" w:color="000000"/>
              <w:left w:val="single" w:sz="4" w:space="0" w:color="000000"/>
              <w:bottom w:val="single" w:sz="4" w:space="0" w:color="000000"/>
              <w:right w:val="single" w:sz="4" w:space="0" w:color="000000"/>
            </w:tcBorders>
          </w:tcPr>
          <w:p w14:paraId="402A9095"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Tampon non alloué. Marge conservée pour absorber un glissement des phases P3 ou P4.</w:t>
            </w:r>
          </w:p>
        </w:tc>
      </w:tr>
      <w:tr w:rsidR="00F50D70" w:rsidRPr="00BE4F47" w14:paraId="40CC6A01" w14:textId="77777777">
        <w:trPr>
          <w:cantSplit/>
          <w:trHeight w:val="310"/>
        </w:trPr>
        <w:tc>
          <w:tcPr>
            <w:tcW w:w="493" w:type="dxa"/>
            <w:tcBorders>
              <w:top w:val="single" w:sz="4" w:space="0" w:color="000000"/>
              <w:left w:val="single" w:sz="4" w:space="0" w:color="000000"/>
              <w:bottom w:val="single" w:sz="4" w:space="0" w:color="000000"/>
              <w:right w:val="single" w:sz="4" w:space="0" w:color="000000"/>
            </w:tcBorders>
          </w:tcPr>
          <w:p w14:paraId="6CBE8C22" w14:textId="77777777" w:rsidR="00F50D70" w:rsidRPr="00BE4F47" w:rsidRDefault="00F50D70" w:rsidP="008E113B">
            <w:pPr>
              <w:snapToGrid w:val="0"/>
              <w:spacing w:before="26" w:after="26" w:line="360" w:lineRule="auto"/>
              <w:ind w:left="0"/>
              <w:jc w:val="left"/>
              <w:outlineLvl w:val="9"/>
              <w:rPr>
                <w:rFonts w:ascii="Aptos" w:eastAsia="Calibri" w:hAnsi="Aptos" w:cs="Calibri"/>
                <w:color w:val="1A1A19"/>
                <w:sz w:val="20"/>
                <w:szCs w:val="20"/>
                <w:lang w:val="fr-FR"/>
              </w:rPr>
            </w:pPr>
          </w:p>
        </w:tc>
        <w:tc>
          <w:tcPr>
            <w:tcW w:w="1879" w:type="dxa"/>
            <w:tcBorders>
              <w:top w:val="single" w:sz="4" w:space="0" w:color="000000"/>
              <w:left w:val="single" w:sz="4" w:space="0" w:color="000000"/>
              <w:bottom w:val="single" w:sz="4" w:space="0" w:color="000000"/>
              <w:right w:val="single" w:sz="4" w:space="0" w:color="000000"/>
            </w:tcBorders>
          </w:tcPr>
          <w:p w14:paraId="6512F8D3"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Total</w:t>
            </w:r>
          </w:p>
        </w:tc>
        <w:tc>
          <w:tcPr>
            <w:tcW w:w="1483" w:type="dxa"/>
            <w:tcBorders>
              <w:top w:val="single" w:sz="4" w:space="0" w:color="000000"/>
              <w:left w:val="single" w:sz="4" w:space="0" w:color="000000"/>
              <w:bottom w:val="single" w:sz="4" w:space="0" w:color="000000"/>
              <w:right w:val="single" w:sz="4" w:space="0" w:color="000000"/>
            </w:tcBorders>
          </w:tcPr>
          <w:p w14:paraId="23E095E3" w14:textId="77777777" w:rsidR="00F50D70" w:rsidRPr="00BE4F47" w:rsidRDefault="00F50D70" w:rsidP="008E113B">
            <w:pPr>
              <w:snapToGrid w:val="0"/>
              <w:spacing w:before="26" w:after="26" w:line="360" w:lineRule="auto"/>
              <w:ind w:left="0"/>
              <w:jc w:val="left"/>
              <w:outlineLvl w:val="9"/>
              <w:rPr>
                <w:rFonts w:ascii="Aptos" w:eastAsia="Calibri" w:hAnsi="Aptos" w:cs="Calibri"/>
                <w:color w:val="1A1A19"/>
                <w:sz w:val="20"/>
                <w:szCs w:val="20"/>
                <w:lang w:val="fr-FR"/>
              </w:rPr>
            </w:pPr>
          </w:p>
        </w:tc>
        <w:tc>
          <w:tcPr>
            <w:tcW w:w="751" w:type="dxa"/>
            <w:tcBorders>
              <w:top w:val="single" w:sz="4" w:space="0" w:color="000000"/>
              <w:left w:val="single" w:sz="4" w:space="0" w:color="000000"/>
              <w:bottom w:val="single" w:sz="4" w:space="0" w:color="000000"/>
              <w:right w:val="single" w:sz="4" w:space="0" w:color="000000"/>
            </w:tcBorders>
          </w:tcPr>
          <w:p w14:paraId="79E2FA21"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1 080 h</w:t>
            </w:r>
          </w:p>
        </w:tc>
        <w:tc>
          <w:tcPr>
            <w:tcW w:w="612" w:type="dxa"/>
            <w:tcBorders>
              <w:top w:val="single" w:sz="4" w:space="0" w:color="000000"/>
              <w:left w:val="single" w:sz="4" w:space="0" w:color="000000"/>
              <w:bottom w:val="single" w:sz="4" w:space="0" w:color="000000"/>
              <w:right w:val="single" w:sz="4" w:space="0" w:color="000000"/>
            </w:tcBorders>
          </w:tcPr>
          <w:p w14:paraId="13A2CDEF" w14:textId="77777777" w:rsidR="00F50D70" w:rsidRPr="00BE4F47" w:rsidRDefault="00000000" w:rsidP="008E113B">
            <w:pPr>
              <w:spacing w:before="26" w:after="26" w:line="360" w:lineRule="auto"/>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5"/>
                <w:szCs w:val="15"/>
                <w:lang w:val="fr-FR"/>
              </w:rPr>
              <w:t>100 %</w:t>
            </w:r>
          </w:p>
        </w:tc>
        <w:tc>
          <w:tcPr>
            <w:tcW w:w="3223" w:type="dxa"/>
            <w:tcBorders>
              <w:top w:val="single" w:sz="4" w:space="0" w:color="000000"/>
              <w:left w:val="single" w:sz="4" w:space="0" w:color="000000"/>
              <w:bottom w:val="single" w:sz="4" w:space="0" w:color="000000"/>
              <w:right w:val="single" w:sz="4" w:space="0" w:color="000000"/>
            </w:tcBorders>
          </w:tcPr>
          <w:p w14:paraId="67C30CBC" w14:textId="77777777" w:rsidR="00F50D70" w:rsidRPr="00BE4F47" w:rsidRDefault="00F50D70" w:rsidP="008E113B">
            <w:pPr>
              <w:snapToGrid w:val="0"/>
              <w:spacing w:before="26" w:after="26" w:line="360" w:lineRule="auto"/>
              <w:ind w:left="0"/>
              <w:jc w:val="left"/>
              <w:outlineLvl w:val="9"/>
              <w:rPr>
                <w:rFonts w:ascii="Aptos" w:eastAsia="Calibri" w:hAnsi="Aptos" w:cs="Calibri"/>
                <w:color w:val="1A1A19"/>
                <w:sz w:val="20"/>
                <w:szCs w:val="20"/>
                <w:lang w:val="fr-FR"/>
              </w:rPr>
            </w:pPr>
          </w:p>
        </w:tc>
      </w:tr>
    </w:tbl>
    <w:p w14:paraId="7D0B7CCE" w14:textId="77777777" w:rsidR="00F50D70" w:rsidRPr="00BE4F47" w:rsidRDefault="00F50D70" w:rsidP="008E113B">
      <w:pPr>
        <w:spacing w:after="130" w:line="360" w:lineRule="auto"/>
        <w:ind w:left="0"/>
        <w:rPr>
          <w:rFonts w:ascii="Aptos" w:hAnsi="Aptos"/>
        </w:rPr>
      </w:pPr>
    </w:p>
    <w:p w14:paraId="3CBFDFE0"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Les trois itérations de la phase P3 durent chacune deux semaines. Chacune se termine par une démonstration interne du produit en état de fonctionner. C’est le volet agile du modèle hybride retenu. Les phases P0 à P2 restent en cascade, car les exigences et l’architecture doivent être stabilisées avant de développer.</w:t>
      </w:r>
    </w:p>
    <w:p w14:paraId="27FC63BA" w14:textId="77777777" w:rsidR="00F50D70" w:rsidRPr="00BE4F47" w:rsidRDefault="00000000" w:rsidP="008E113B">
      <w:pPr>
        <w:spacing w:after="130" w:line="360" w:lineRule="auto"/>
        <w:ind w:left="425"/>
        <w:rPr>
          <w:rFonts w:ascii="Aptos" w:eastAsia="Calibri" w:hAnsi="Aptos" w:cs="Calibri"/>
          <w:color w:val="1A1A19"/>
          <w:sz w:val="20"/>
          <w:szCs w:val="20"/>
        </w:rPr>
      </w:pPr>
      <w:r w:rsidRPr="00BE4F47">
        <w:rPr>
          <w:rFonts w:ascii="Aptos" w:eastAsia="Calibri" w:hAnsi="Aptos" w:cs="Calibri"/>
          <w:color w:val="1A1A19"/>
          <w:sz w:val="20"/>
          <w:szCs w:val="20"/>
        </w:rPr>
        <w:t>Les codes de livrables L01 à L09 renvoient au tableau des livrables de la section 2. Les codes de lots L1 à L9 renvoient au tableau de répartition de l’effort de la section 8.</w:t>
      </w:r>
    </w:p>
    <w:p w14:paraId="188A97C3" w14:textId="77777777" w:rsidR="00F50D70" w:rsidRPr="00BE4F47" w:rsidRDefault="00000000" w:rsidP="008E113B">
      <w:pPr>
        <w:pStyle w:val="Titre2"/>
        <w:spacing w:line="360" w:lineRule="auto"/>
        <w:rPr>
          <w:rFonts w:ascii="Aptos" w:hAnsi="Aptos"/>
        </w:rPr>
      </w:pPr>
      <w:r w:rsidRPr="00BE4F47">
        <w:rPr>
          <w:rFonts w:ascii="Aptos" w:hAnsi="Aptos"/>
        </w:rPr>
        <w:lastRenderedPageBreak/>
        <w:t>Représentation graphique</w:t>
      </w:r>
    </w:p>
    <w:p w14:paraId="17ECC85E"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 INSÉRER ICI LE DIAGRAMME DE GANTT ]</w:t>
      </w:r>
    </w:p>
    <w:p w14:paraId="71CF7E49" w14:textId="77777777" w:rsidR="00F50D70" w:rsidRPr="00BE4F47" w:rsidRDefault="00F50D70" w:rsidP="008E113B">
      <w:pPr>
        <w:pStyle w:val="Corpsdetexte"/>
        <w:spacing w:line="360" w:lineRule="auto"/>
        <w:ind w:left="720"/>
        <w:outlineLvl w:val="9"/>
        <w:rPr>
          <w:rFonts w:ascii="Aptos" w:hAnsi="Aptos"/>
          <w:b w:val="0"/>
        </w:rPr>
      </w:pPr>
    </w:p>
    <w:p w14:paraId="402CA2F1" w14:textId="77777777" w:rsidR="00F50D70" w:rsidRPr="00BE4F47" w:rsidRDefault="00000000" w:rsidP="008E113B">
      <w:pPr>
        <w:pStyle w:val="Lgende"/>
        <w:spacing w:line="360" w:lineRule="auto"/>
        <w:rPr>
          <w:rFonts w:ascii="Aptos" w:hAnsi="Aptos"/>
        </w:rPr>
      </w:pPr>
      <w:r w:rsidRPr="00BE4F47">
        <w:rPr>
          <w:rFonts w:ascii="Aptos" w:hAnsi="Aptos"/>
        </w:rPr>
        <w:t>Figure 10-2. Diagramme de Gantt de l’échéancier préliminaire</w:t>
      </w:r>
    </w:p>
    <w:p w14:paraId="0B73CB19" w14:textId="77777777" w:rsidR="00F50D70" w:rsidRPr="00B36301" w:rsidRDefault="00000000" w:rsidP="008E113B">
      <w:pPr>
        <w:pStyle w:val="Titre2"/>
        <w:spacing w:line="360" w:lineRule="auto"/>
      </w:pPr>
      <w:r w:rsidRPr="00B36301">
        <w:t>Courbe en S de la valeur planifiée</w:t>
      </w:r>
    </w:p>
    <w:p w14:paraId="744345DC"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courbe ci-dessous représente la valeur planifiée, c’est à dire le budget que le projet prévoit d’avoir consommé à chaque date. Elle sert de référence unique au suivi financier : à chaque jalon, la valeur acquise réelle sera reportée sur ce même graphique, et l’écart entre les deux courbes donnera l’avancement en dollars plutôt qu’en impression.</w:t>
      </w:r>
    </w:p>
    <w:p w14:paraId="53DC099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forme en S n’est pas décorative, elle décrit une réalité de conduite de projet. Le début est lent parce que l’équipe cadre, lit et décide plus qu’elle ne produit. Le milieu est raide parce que la phase P3 concentre le développement. La fin s’aplatit parce que la rédaction et la soutenance mobilisent moins d’heures que la construction.</w:t>
      </w:r>
    </w:p>
    <w:p w14:paraId="3B682199" w14:textId="51C819C5" w:rsidR="00F50D70" w:rsidRPr="00BE4F47" w:rsidRDefault="002A1CE1" w:rsidP="008E113B">
      <w:pPr>
        <w:spacing w:line="360" w:lineRule="auto"/>
        <w:jc w:val="center"/>
        <w:rPr>
          <w:rFonts w:ascii="Aptos" w:hAnsi="Aptos"/>
        </w:rPr>
      </w:pPr>
      <w:r>
        <w:rPr>
          <w:rFonts w:ascii="Aptos" w:hAnsi="Aptos"/>
          <w:noProof/>
        </w:rPr>
        <w:drawing>
          <wp:anchor distT="0" distB="0" distL="114300" distR="114300" simplePos="0" relativeHeight="251656704" behindDoc="0" locked="0" layoutInCell="1" allowOverlap="1" wp14:anchorId="1E159E8F" wp14:editId="4EAD1ECB">
            <wp:simplePos x="0" y="0"/>
            <wp:positionH relativeFrom="column">
              <wp:posOffset>180340</wp:posOffset>
            </wp:positionH>
            <wp:positionV relativeFrom="paragraph">
              <wp:posOffset>62230</wp:posOffset>
            </wp:positionV>
            <wp:extent cx="5440680" cy="2662555"/>
            <wp:effectExtent l="0" t="0" r="0" b="0"/>
            <wp:wrapTopAndBottom/>
            <wp:docPr id="7004798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40680" cy="2662555"/>
                    </a:xfrm>
                    <a:prstGeom prst="rect">
                      <a:avLst/>
                    </a:prstGeom>
                    <a:noFill/>
                  </pic:spPr>
                </pic:pic>
              </a:graphicData>
            </a:graphic>
            <wp14:sizeRelH relativeFrom="page">
              <wp14:pctWidth>0</wp14:pctWidth>
            </wp14:sizeRelH>
            <wp14:sizeRelV relativeFrom="page">
              <wp14:pctHeight>0</wp14:pctHeight>
            </wp14:sizeRelV>
          </wp:anchor>
        </w:drawing>
      </w:r>
    </w:p>
    <w:p w14:paraId="24DDB237" w14:textId="77777777" w:rsidR="00F50D70" w:rsidRPr="00BE4F47" w:rsidRDefault="00000000" w:rsidP="008E113B">
      <w:pPr>
        <w:pStyle w:val="Lgende"/>
        <w:spacing w:line="360" w:lineRule="auto"/>
        <w:rPr>
          <w:rFonts w:ascii="Aptos" w:hAnsi="Aptos"/>
        </w:rPr>
      </w:pPr>
      <w:r w:rsidRPr="00BE4F47">
        <w:rPr>
          <w:rFonts w:ascii="Aptos" w:hAnsi="Aptos"/>
        </w:rPr>
        <w:t>Figure 10-3. Courbe en S de la valeur planifiée du mandat</w:t>
      </w:r>
    </w:p>
    <w:p w14:paraId="680AB455"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Deux repères s’y lisent directement. Le point d’inflexion se situe autour du jalon J2, fin octobre : c’est le moment où la production devient plus rapide que la préparation, et donc le dernier moment utile pour corriger le périmètre. Et la pente entre J2 et J3 est la plus forte du projet, ce qui signifie qu’un retard pris sur cette portion se traduit immédiatement par un écart de valeur acquise important. Le suivi sera resserré sur cette période, conformément au traitement du risque RP1.</w:t>
      </w:r>
    </w:p>
    <w:p w14:paraId="7DB4FE3C" w14:textId="77777777" w:rsidR="00F50D70" w:rsidRPr="00B36301" w:rsidRDefault="00000000" w:rsidP="008E113B">
      <w:pPr>
        <w:pStyle w:val="Titre2"/>
        <w:spacing w:line="360" w:lineRule="auto"/>
      </w:pPr>
      <w:r w:rsidRPr="00B36301">
        <w:lastRenderedPageBreak/>
        <w:t>Bordereau des prix et flux de trésorerie</w:t>
      </w:r>
    </w:p>
    <w:p w14:paraId="238A5070"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bordereau des prix est le document remis au client. Il diffère de la planification financière de la section 9 sur deux points : il porte des prix et non des coûts, et il fixe les moments où une somme devient exigible. Le modèle de facturation retenu est la facturation par jalon. Une somme n’est exigible que lorsque le livrable correspondant a été remis et accepté.</w:t>
      </w:r>
    </w:p>
    <w:p w14:paraId="0C3CB048"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montants ci-dessous répartissent le total du bordereau, 68 310 $, au prorata de l’effort de chaque phase. La réserve du propriétaire, 3 415,50 $, n’y figure pas : elle est conservée par le client et n’est facturée que si celui-ci décide d’un changement de périmètre.</w:t>
      </w:r>
    </w:p>
    <w:p w14:paraId="0F437A99" w14:textId="77777777" w:rsidR="00F50D70" w:rsidRPr="00BE4F47" w:rsidRDefault="00000000" w:rsidP="008E113B">
      <w:pPr>
        <w:pStyle w:val="Lgende"/>
        <w:spacing w:line="360" w:lineRule="auto"/>
        <w:rPr>
          <w:rFonts w:ascii="Aptos" w:hAnsi="Aptos"/>
        </w:rPr>
      </w:pPr>
      <w:r w:rsidRPr="00BE4F47">
        <w:rPr>
          <w:rFonts w:ascii="Aptos" w:hAnsi="Aptos"/>
        </w:rPr>
        <w:t>Tableau 10-2. Bordereau des prix et échéancier de facturation</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900"/>
        <w:gridCol w:w="3600"/>
        <w:gridCol w:w="1650"/>
        <w:gridCol w:w="1707"/>
      </w:tblGrid>
      <w:tr w:rsidR="00F50D70" w:rsidRPr="00BE4F47" w14:paraId="2CAC37CA" w14:textId="77777777" w:rsidTr="008E113B">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AC2FB2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529CA2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Date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F3D22D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Livrable conditionnant le paiement</w:t>
            </w:r>
          </w:p>
        </w:tc>
        <w:tc>
          <w:tcPr>
            <w:tcW w:w="1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76E88C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Montant exigible</w:t>
            </w:r>
          </w:p>
        </w:tc>
        <w:tc>
          <w:tcPr>
            <w:tcW w:w="17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682A2C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Cumul facturé</w:t>
            </w:r>
          </w:p>
        </w:tc>
      </w:tr>
      <w:tr w:rsidR="00F50D70" w:rsidRPr="00BE4F47" w14:paraId="1E686FC9"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5E5056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J0</w:t>
            </w:r>
          </w:p>
        </w:tc>
        <w:tc>
          <w:tcPr>
            <w:tcW w:w="900" w:type="dxa"/>
            <w:tcBorders>
              <w:top w:val="single" w:sz="4" w:space="0" w:color="000000"/>
              <w:left w:val="single" w:sz="4" w:space="0" w:color="000000"/>
              <w:bottom w:val="single" w:sz="4" w:space="0" w:color="000000"/>
              <w:right w:val="single" w:sz="4" w:space="0" w:color="000000"/>
            </w:tcBorders>
          </w:tcPr>
          <w:p w14:paraId="1E0CB25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12 sept.</w:t>
            </w:r>
          </w:p>
        </w:tc>
        <w:tc>
          <w:tcPr>
            <w:tcW w:w="3600" w:type="dxa"/>
            <w:tcBorders>
              <w:top w:val="single" w:sz="4" w:space="0" w:color="000000"/>
              <w:left w:val="single" w:sz="4" w:space="0" w:color="000000"/>
              <w:bottom w:val="single" w:sz="4" w:space="0" w:color="000000"/>
              <w:right w:val="single" w:sz="4" w:space="0" w:color="000000"/>
            </w:tcBorders>
          </w:tcPr>
          <w:p w14:paraId="68223B0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projet remis et accepté. Livrable L07.</w:t>
            </w:r>
          </w:p>
        </w:tc>
        <w:tc>
          <w:tcPr>
            <w:tcW w:w="1650" w:type="dxa"/>
            <w:tcBorders>
              <w:top w:val="single" w:sz="4" w:space="0" w:color="000000"/>
              <w:left w:val="single" w:sz="4" w:space="0" w:color="000000"/>
              <w:bottom w:val="single" w:sz="4" w:space="0" w:color="000000"/>
              <w:right w:val="single" w:sz="4" w:space="0" w:color="000000"/>
            </w:tcBorders>
          </w:tcPr>
          <w:p w14:paraId="043F2E5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5 123,25 $</w:t>
            </w:r>
          </w:p>
        </w:tc>
        <w:tc>
          <w:tcPr>
            <w:tcW w:w="1707" w:type="dxa"/>
            <w:tcBorders>
              <w:top w:val="single" w:sz="4" w:space="0" w:color="000000"/>
              <w:left w:val="single" w:sz="4" w:space="0" w:color="000000"/>
              <w:bottom w:val="single" w:sz="4" w:space="0" w:color="000000"/>
              <w:right w:val="single" w:sz="4" w:space="0" w:color="000000"/>
            </w:tcBorders>
          </w:tcPr>
          <w:p w14:paraId="06E1C5A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5 123,25 $</w:t>
            </w:r>
          </w:p>
        </w:tc>
      </w:tr>
      <w:tr w:rsidR="00F50D70" w:rsidRPr="00BE4F47" w14:paraId="01EC7A65"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7953CE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J1</w:t>
            </w:r>
          </w:p>
        </w:tc>
        <w:tc>
          <w:tcPr>
            <w:tcW w:w="900" w:type="dxa"/>
            <w:tcBorders>
              <w:top w:val="single" w:sz="4" w:space="0" w:color="000000"/>
              <w:left w:val="single" w:sz="4" w:space="0" w:color="000000"/>
              <w:bottom w:val="single" w:sz="4" w:space="0" w:color="000000"/>
              <w:right w:val="single" w:sz="4" w:space="0" w:color="000000"/>
            </w:tcBorders>
          </w:tcPr>
          <w:p w14:paraId="234D227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25 sept.</w:t>
            </w:r>
          </w:p>
        </w:tc>
        <w:tc>
          <w:tcPr>
            <w:tcW w:w="3600" w:type="dxa"/>
            <w:tcBorders>
              <w:top w:val="single" w:sz="4" w:space="0" w:color="000000"/>
              <w:left w:val="single" w:sz="4" w:space="0" w:color="000000"/>
              <w:bottom w:val="single" w:sz="4" w:space="0" w:color="000000"/>
              <w:right w:val="single" w:sz="4" w:space="0" w:color="000000"/>
            </w:tcBorders>
          </w:tcPr>
          <w:p w14:paraId="612FCE7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Cahier des charges, registre des exigences, GEMMA et structure de découpage. Livrables L03 et L04.</w:t>
            </w:r>
          </w:p>
        </w:tc>
        <w:tc>
          <w:tcPr>
            <w:tcW w:w="1650" w:type="dxa"/>
            <w:tcBorders>
              <w:top w:val="single" w:sz="4" w:space="0" w:color="000000"/>
              <w:left w:val="single" w:sz="4" w:space="0" w:color="000000"/>
              <w:bottom w:val="single" w:sz="4" w:space="0" w:color="000000"/>
              <w:right w:val="single" w:sz="4" w:space="0" w:color="000000"/>
            </w:tcBorders>
          </w:tcPr>
          <w:p w14:paraId="0210EE5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9 424,25 $</w:t>
            </w:r>
          </w:p>
        </w:tc>
        <w:tc>
          <w:tcPr>
            <w:tcW w:w="1707" w:type="dxa"/>
            <w:tcBorders>
              <w:top w:val="single" w:sz="4" w:space="0" w:color="000000"/>
              <w:left w:val="single" w:sz="4" w:space="0" w:color="000000"/>
              <w:bottom w:val="single" w:sz="4" w:space="0" w:color="000000"/>
              <w:right w:val="single" w:sz="4" w:space="0" w:color="000000"/>
            </w:tcBorders>
          </w:tcPr>
          <w:p w14:paraId="5E947F8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14 547,50 $</w:t>
            </w:r>
          </w:p>
        </w:tc>
      </w:tr>
      <w:tr w:rsidR="00F50D70" w:rsidRPr="00BE4F47" w14:paraId="18F74139"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82028D7"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J2</w:t>
            </w:r>
          </w:p>
        </w:tc>
        <w:tc>
          <w:tcPr>
            <w:tcW w:w="900" w:type="dxa"/>
            <w:tcBorders>
              <w:top w:val="single" w:sz="4" w:space="0" w:color="000000"/>
              <w:left w:val="single" w:sz="4" w:space="0" w:color="000000"/>
              <w:bottom w:val="single" w:sz="4" w:space="0" w:color="000000"/>
              <w:right w:val="single" w:sz="4" w:space="0" w:color="000000"/>
            </w:tcBorders>
          </w:tcPr>
          <w:p w14:paraId="34CBAA22"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oct.</w:t>
            </w:r>
          </w:p>
        </w:tc>
        <w:tc>
          <w:tcPr>
            <w:tcW w:w="3600" w:type="dxa"/>
            <w:tcBorders>
              <w:top w:val="single" w:sz="4" w:space="0" w:color="000000"/>
              <w:left w:val="single" w:sz="4" w:space="0" w:color="000000"/>
              <w:bottom w:val="single" w:sz="4" w:space="0" w:color="000000"/>
              <w:right w:val="single" w:sz="4" w:space="0" w:color="000000"/>
            </w:tcBorders>
          </w:tcPr>
          <w:p w14:paraId="044AA5A9"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Dossier de conception préliminaire, modèle de référence validé, plan de V&amp;V. Livrable L05.</w:t>
            </w:r>
          </w:p>
        </w:tc>
        <w:tc>
          <w:tcPr>
            <w:tcW w:w="1650" w:type="dxa"/>
            <w:tcBorders>
              <w:top w:val="single" w:sz="4" w:space="0" w:color="000000"/>
              <w:left w:val="single" w:sz="4" w:space="0" w:color="000000"/>
              <w:bottom w:val="single" w:sz="4" w:space="0" w:color="000000"/>
              <w:right w:val="single" w:sz="4" w:space="0" w:color="000000"/>
            </w:tcBorders>
          </w:tcPr>
          <w:p w14:paraId="3EC1E690"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14 547,50 $</w:t>
            </w:r>
          </w:p>
        </w:tc>
        <w:tc>
          <w:tcPr>
            <w:tcW w:w="1707" w:type="dxa"/>
            <w:tcBorders>
              <w:top w:val="single" w:sz="4" w:space="0" w:color="000000"/>
              <w:left w:val="single" w:sz="4" w:space="0" w:color="000000"/>
              <w:bottom w:val="single" w:sz="4" w:space="0" w:color="000000"/>
              <w:right w:val="single" w:sz="4" w:space="0" w:color="000000"/>
            </w:tcBorders>
          </w:tcPr>
          <w:p w14:paraId="2FB6F58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29 095,00 $</w:t>
            </w:r>
          </w:p>
        </w:tc>
      </w:tr>
      <w:tr w:rsidR="00F50D70" w:rsidRPr="00BE4F47" w14:paraId="40DF745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08DEC1D"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J3</w:t>
            </w:r>
          </w:p>
        </w:tc>
        <w:tc>
          <w:tcPr>
            <w:tcW w:w="900" w:type="dxa"/>
            <w:tcBorders>
              <w:top w:val="single" w:sz="4" w:space="0" w:color="000000"/>
              <w:left w:val="single" w:sz="4" w:space="0" w:color="000000"/>
              <w:bottom w:val="single" w:sz="4" w:space="0" w:color="000000"/>
              <w:right w:val="single" w:sz="4" w:space="0" w:color="000000"/>
            </w:tcBorders>
          </w:tcPr>
          <w:p w14:paraId="3FA80E85"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nov.</w:t>
            </w:r>
          </w:p>
        </w:tc>
        <w:tc>
          <w:tcPr>
            <w:tcW w:w="3600" w:type="dxa"/>
            <w:tcBorders>
              <w:top w:val="single" w:sz="4" w:space="0" w:color="000000"/>
              <w:left w:val="single" w:sz="4" w:space="0" w:color="000000"/>
              <w:bottom w:val="single" w:sz="4" w:space="0" w:color="000000"/>
              <w:right w:val="single" w:sz="4" w:space="0" w:color="000000"/>
            </w:tcBorders>
          </w:tcPr>
          <w:p w14:paraId="2D41D31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Prototype du jumeau et interface d’aide à la décision. Livrables L01 et L02.</w:t>
            </w:r>
          </w:p>
        </w:tc>
        <w:tc>
          <w:tcPr>
            <w:tcW w:w="1650" w:type="dxa"/>
            <w:tcBorders>
              <w:top w:val="single" w:sz="4" w:space="0" w:color="000000"/>
              <w:left w:val="single" w:sz="4" w:space="0" w:color="000000"/>
              <w:bottom w:val="single" w:sz="4" w:space="0" w:color="000000"/>
              <w:right w:val="single" w:sz="4" w:space="0" w:color="000000"/>
            </w:tcBorders>
          </w:tcPr>
          <w:p w14:paraId="514B0958"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21 315,25 $</w:t>
            </w:r>
          </w:p>
        </w:tc>
        <w:tc>
          <w:tcPr>
            <w:tcW w:w="1707" w:type="dxa"/>
            <w:tcBorders>
              <w:top w:val="single" w:sz="4" w:space="0" w:color="000000"/>
              <w:left w:val="single" w:sz="4" w:space="0" w:color="000000"/>
              <w:bottom w:val="single" w:sz="4" w:space="0" w:color="000000"/>
              <w:right w:val="single" w:sz="4" w:space="0" w:color="000000"/>
            </w:tcBorders>
          </w:tcPr>
          <w:p w14:paraId="46B24A76"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50 410,25 $</w:t>
            </w:r>
          </w:p>
        </w:tc>
      </w:tr>
      <w:tr w:rsidR="00F50D70" w:rsidRPr="00BE4F47" w14:paraId="281BC1BD"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78042B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J4</w:t>
            </w:r>
          </w:p>
        </w:tc>
        <w:tc>
          <w:tcPr>
            <w:tcW w:w="900" w:type="dxa"/>
            <w:tcBorders>
              <w:top w:val="single" w:sz="4" w:space="0" w:color="000000"/>
              <w:left w:val="single" w:sz="4" w:space="0" w:color="000000"/>
              <w:bottom w:val="single" w:sz="4" w:space="0" w:color="000000"/>
              <w:right w:val="single" w:sz="4" w:space="0" w:color="000000"/>
            </w:tcBorders>
          </w:tcPr>
          <w:p w14:paraId="6E8D51E1"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déc.</w:t>
            </w:r>
          </w:p>
        </w:tc>
        <w:tc>
          <w:tcPr>
            <w:tcW w:w="3600" w:type="dxa"/>
            <w:tcBorders>
              <w:top w:val="single" w:sz="4" w:space="0" w:color="000000"/>
              <w:left w:val="single" w:sz="4" w:space="0" w:color="000000"/>
              <w:bottom w:val="single" w:sz="4" w:space="0" w:color="000000"/>
              <w:right w:val="single" w:sz="4" w:space="0" w:color="000000"/>
            </w:tcBorders>
          </w:tcPr>
          <w:p w14:paraId="3E8B234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Rapport d’essais et résultats de validation. Livrable L06.</w:t>
            </w:r>
          </w:p>
        </w:tc>
        <w:tc>
          <w:tcPr>
            <w:tcW w:w="1650" w:type="dxa"/>
            <w:tcBorders>
              <w:top w:val="single" w:sz="4" w:space="0" w:color="000000"/>
              <w:left w:val="single" w:sz="4" w:space="0" w:color="000000"/>
              <w:bottom w:val="single" w:sz="4" w:space="0" w:color="000000"/>
              <w:right w:val="single" w:sz="4" w:space="0" w:color="000000"/>
            </w:tcBorders>
          </w:tcPr>
          <w:p w14:paraId="7AD5C624"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11 132,00 $</w:t>
            </w:r>
          </w:p>
        </w:tc>
        <w:tc>
          <w:tcPr>
            <w:tcW w:w="1707" w:type="dxa"/>
            <w:tcBorders>
              <w:top w:val="single" w:sz="4" w:space="0" w:color="000000"/>
              <w:left w:val="single" w:sz="4" w:space="0" w:color="000000"/>
              <w:bottom w:val="single" w:sz="4" w:space="0" w:color="000000"/>
              <w:right w:val="single" w:sz="4" w:space="0" w:color="000000"/>
            </w:tcBorders>
          </w:tcPr>
          <w:p w14:paraId="761F415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61 542,25 $</w:t>
            </w:r>
          </w:p>
        </w:tc>
      </w:tr>
      <w:tr w:rsidR="00F50D70" w:rsidRPr="00BE4F47" w14:paraId="15F90C9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BE43C9C"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J5</w:t>
            </w:r>
          </w:p>
        </w:tc>
        <w:tc>
          <w:tcPr>
            <w:tcW w:w="900" w:type="dxa"/>
            <w:tcBorders>
              <w:top w:val="single" w:sz="4" w:space="0" w:color="000000"/>
              <w:left w:val="single" w:sz="4" w:space="0" w:color="000000"/>
              <w:bottom w:val="single" w:sz="4" w:space="0" w:color="000000"/>
              <w:right w:val="single" w:sz="4" w:space="0" w:color="000000"/>
            </w:tcBorders>
          </w:tcPr>
          <w:p w14:paraId="0DF61B6B"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18 déc.</w:t>
            </w:r>
          </w:p>
        </w:tc>
        <w:tc>
          <w:tcPr>
            <w:tcW w:w="3600" w:type="dxa"/>
            <w:tcBorders>
              <w:top w:val="single" w:sz="4" w:space="0" w:color="000000"/>
              <w:left w:val="single" w:sz="4" w:space="0" w:color="000000"/>
              <w:bottom w:val="single" w:sz="4" w:space="0" w:color="000000"/>
              <w:right w:val="single" w:sz="4" w:space="0" w:color="000000"/>
            </w:tcBorders>
          </w:tcPr>
          <w:p w14:paraId="35869D2E"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Recommandation d’ingénierie, rapport final, présentation. Livrables L08 et L09.</w:t>
            </w:r>
          </w:p>
        </w:tc>
        <w:tc>
          <w:tcPr>
            <w:tcW w:w="1650" w:type="dxa"/>
            <w:tcBorders>
              <w:top w:val="single" w:sz="4" w:space="0" w:color="000000"/>
              <w:left w:val="single" w:sz="4" w:space="0" w:color="000000"/>
              <w:bottom w:val="single" w:sz="4" w:space="0" w:color="000000"/>
              <w:right w:val="single" w:sz="4" w:space="0" w:color="000000"/>
            </w:tcBorders>
          </w:tcPr>
          <w:p w14:paraId="0848C83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6 767,75 $</w:t>
            </w:r>
          </w:p>
        </w:tc>
        <w:tc>
          <w:tcPr>
            <w:tcW w:w="1707" w:type="dxa"/>
            <w:tcBorders>
              <w:top w:val="single" w:sz="4" w:space="0" w:color="000000"/>
              <w:left w:val="single" w:sz="4" w:space="0" w:color="000000"/>
              <w:bottom w:val="single" w:sz="4" w:space="0" w:color="000000"/>
              <w:right w:val="single" w:sz="4" w:space="0" w:color="000000"/>
            </w:tcBorders>
          </w:tcPr>
          <w:p w14:paraId="6B361CBA"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68 310,00 $</w:t>
            </w:r>
          </w:p>
        </w:tc>
      </w:tr>
      <w:tr w:rsidR="00F50D70" w:rsidRPr="00BE4F47" w14:paraId="6B44D62B"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E651B55" w14:textId="77777777"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c>
          <w:tcPr>
            <w:tcW w:w="900" w:type="dxa"/>
            <w:tcBorders>
              <w:top w:val="single" w:sz="4" w:space="0" w:color="000000"/>
              <w:left w:val="single" w:sz="4" w:space="0" w:color="000000"/>
              <w:bottom w:val="single" w:sz="4" w:space="0" w:color="000000"/>
              <w:right w:val="single" w:sz="4" w:space="0" w:color="000000"/>
            </w:tcBorders>
          </w:tcPr>
          <w:p w14:paraId="57D645D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Total</w:t>
            </w:r>
          </w:p>
        </w:tc>
        <w:tc>
          <w:tcPr>
            <w:tcW w:w="3600" w:type="dxa"/>
            <w:tcBorders>
              <w:top w:val="single" w:sz="4" w:space="0" w:color="000000"/>
              <w:left w:val="single" w:sz="4" w:space="0" w:color="000000"/>
              <w:bottom w:val="single" w:sz="4" w:space="0" w:color="000000"/>
              <w:right w:val="single" w:sz="4" w:space="0" w:color="000000"/>
            </w:tcBorders>
          </w:tcPr>
          <w:p w14:paraId="52436C7A" w14:textId="77777777"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c>
          <w:tcPr>
            <w:tcW w:w="1650" w:type="dxa"/>
            <w:tcBorders>
              <w:top w:val="single" w:sz="4" w:space="0" w:color="000000"/>
              <w:left w:val="single" w:sz="4" w:space="0" w:color="000000"/>
              <w:bottom w:val="single" w:sz="4" w:space="0" w:color="000000"/>
              <w:right w:val="single" w:sz="4" w:space="0" w:color="000000"/>
            </w:tcBorders>
          </w:tcPr>
          <w:p w14:paraId="7FA576CF" w14:textId="77777777" w:rsidR="00F50D70" w:rsidRPr="00BE4F47" w:rsidRDefault="00000000" w:rsidP="008E113B">
            <w:pPr>
              <w:spacing w:before="30" w:after="30" w:line="360" w:lineRule="auto"/>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68 310,00 $</w:t>
            </w:r>
          </w:p>
        </w:tc>
        <w:tc>
          <w:tcPr>
            <w:tcW w:w="1707" w:type="dxa"/>
            <w:tcBorders>
              <w:top w:val="single" w:sz="4" w:space="0" w:color="000000"/>
              <w:left w:val="single" w:sz="4" w:space="0" w:color="000000"/>
              <w:bottom w:val="single" w:sz="4" w:space="0" w:color="000000"/>
              <w:right w:val="single" w:sz="4" w:space="0" w:color="000000"/>
            </w:tcBorders>
          </w:tcPr>
          <w:p w14:paraId="09CBD206" w14:textId="77777777" w:rsidR="00F50D70" w:rsidRPr="00BE4F47" w:rsidRDefault="00F50D70" w:rsidP="008E113B">
            <w:pPr>
              <w:spacing w:before="30" w:after="30" w:line="360" w:lineRule="auto"/>
              <w:ind w:left="0"/>
              <w:jc w:val="left"/>
              <w:outlineLvl w:val="9"/>
              <w:rPr>
                <w:rFonts w:ascii="Aptos" w:eastAsia="Calibri" w:hAnsi="Aptos" w:cs="Calibri"/>
                <w:color w:val="1A1A19"/>
                <w:sz w:val="20"/>
                <w:szCs w:val="20"/>
              </w:rPr>
            </w:pPr>
          </w:p>
        </w:tc>
      </w:tr>
    </w:tbl>
    <w:p w14:paraId="4AD90CFB"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flux de trésorerie qui en découle est défavorable à l’équipe en début de mandat et le redevient à la fin. Au jalon J2, l’équipe a facturé 29 095 $ pour un coût engagé de 23 000 $, soit une position positive. Au jalon J3, elle a facturé 50 410 $ pour 39 850 $ engagés. L’écart entre les deux courbes est la marge, reconnue au fur et à mesure et non à la fin. C’est l’intérêt de la facturation par jalon : elle évite que l’équipe finance le mandat sur ses propres fonds jusqu’à la livraison finale.</w:t>
      </w:r>
    </w:p>
    <w:p w14:paraId="03D3DF9D" w14:textId="77777777" w:rsidR="00F50D70" w:rsidRPr="00BE4F47" w:rsidRDefault="00000000" w:rsidP="008E113B">
      <w:pPr>
        <w:pStyle w:val="Titre4"/>
        <w:spacing w:line="360" w:lineRule="auto"/>
        <w:rPr>
          <w:rFonts w:eastAsia="DengXian Light"/>
          <w:color w:val="2F5496"/>
          <w:sz w:val="32"/>
          <w:szCs w:val="32"/>
          <w:lang w:eastAsia="en-US"/>
        </w:rPr>
      </w:pPr>
      <w:r w:rsidRPr="00BE4F47">
        <w:rPr>
          <w:lang w:eastAsia="en-US"/>
        </w:rPr>
        <w:t>Conclusion</w:t>
      </w:r>
    </w:p>
    <w:p w14:paraId="7236491F"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plan de projet avait trois objets : établir ce que le client attend, décider comment l’équipe compte y répondre, et chiffrer ce que cela demande en temps et en argent. Les onze sections qui précèdent y répondent, et l’objectif directeur énoncé à la section 1 en donne le fil : démontrer qu’un jumeau numérique d’une boucle thermohydraulique simplifiée peut détecter une dérive, dire avec quelle confiance, et déclarer son incertitude au lieu de conclure à tort.</w:t>
      </w:r>
    </w:p>
    <w:p w14:paraId="27A02838"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lastRenderedPageBreak/>
        <w:t>Ce plan repose sur un petit nombre d’hypothèses qu’il faut rappeler, parce que tout le reste en dépend. L’enveloppe de 1 080 heures est une contrainte du mandat et non une estimation ; si elle change, l’ensemble du chiffrage change avec elle. Aucun banc d’essai physique n’est disponible, et le système de référence est un second modèle numérique développé indépendamment ; la démonstration porte donc sur la cohérence entre deux modèles. Le taux de 50,00 $ l’heure est un coût de revient et non un prix facturé ; c’est ce qui permet au mandat de dégager une marge. Et les huit membres restent disponibles pendant tout le trimestre. Le registre complet des hypothèses figure à la section 8.</w:t>
      </w:r>
    </w:p>
    <w:p w14:paraId="4633ACDB"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L’équipe formule quatre recommandations. Accepter le mandat dans le périmètre défini, en tenant l’exclusion de toute commande automatique pour ce qu’elle est : une décision de conception, non une limite technique. Conserver le banc d’essai numérique plutôt qu’une boucle physique, parce qu’un banc physique ferait basculer le projet dans une autre classe de budget. Geler les exigences au jalon J1, parce que la planification financière montre que près des trois quarts du budget sont engagés avant le jalon J3. Et maintenir les activités de vérification et de validation avant toute réduction de contenu, en réduisant d’abord les rangs 7 et 8 de la priorisation de la section 1.</w:t>
      </w:r>
    </w:p>
    <w:p w14:paraId="477B3675"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Sur la faisabilité, l’avis de l’équipe est favorable, et il est assorti de conditions. Le projet est réalisable dans l’enveloppe de 1 080 heures pour le périmètre inclus, soit la boucle simplifiée, les trois variables de procédé, la détection de dérive, la quantification de l’incertitude et l’interface d’aide à la décision. Il ne l’est pas si le périmètre s’étend à un écoulement diphasique, à des données d’exploitation réelles, à un fonctionnement en temps réel ou à une commande de l’installation. Les trois conditions de réussite sont le gel des exigences au jalon J1, le maintien de l’effectif, et l’acceptation par le client du domaine de validité énoncé à la section 2.</w:t>
      </w:r>
    </w:p>
    <w:p w14:paraId="5CE50BBB"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La suite du travail est déjà cadrée. Le jalon J1 produit le cahier des charges fonctionnel et reclasse l’estimation de coûts en classe 4, ce qui resserrera la fourchette actuelle. Le jalon J2 fixe l’architecture et le plan de vérification et de validation. Le rapport d’ingénierie des concepts reprendra la gestion des risques au stade de la mitigation, que le présent plan n’avait pas à détailler. Enfin, l’échéancier et la courbe en S de la section 10 seront mis à jour à chaque jalon, de sorte que l’écart entre ce qui était prévu et ce qui est fait reste mesurable tout au long du mandat plutôt que constaté à la fin.</w:t>
      </w:r>
    </w:p>
    <w:p w14:paraId="59FFEDFB" w14:textId="77777777" w:rsidR="00F50D70" w:rsidRPr="00B36301" w:rsidRDefault="00000000" w:rsidP="008E113B">
      <w:pPr>
        <w:pStyle w:val="Titre1"/>
        <w:spacing w:line="360" w:lineRule="auto"/>
      </w:pPr>
      <w:bookmarkStart w:id="72" w:name="__RefHeading___Toc240715289"/>
      <w:bookmarkEnd w:id="72"/>
      <w:r w:rsidRPr="00B36301">
        <w:t>Références pertinentes au projet</w:t>
      </w:r>
    </w:p>
    <w:p w14:paraId="4A59A959"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Les sources citées dans les dix sections précédentes sont rassemblées ici. Elles sont numérotées selon leur ordre d’apparition dans le document et le même numéro désigne partout la même source.</w:t>
      </w:r>
    </w:p>
    <w:p w14:paraId="6CC29C23" w14:textId="77777777" w:rsidR="00F50D70" w:rsidRPr="00BE4F47" w:rsidRDefault="00000000" w:rsidP="008E113B">
      <w:pPr>
        <w:spacing w:after="130" w:line="360" w:lineRule="auto"/>
        <w:ind w:left="360"/>
        <w:rPr>
          <w:rFonts w:ascii="Aptos" w:hAnsi="Aptos"/>
        </w:rPr>
      </w:pPr>
      <w:r w:rsidRPr="00BE4F47">
        <w:rPr>
          <w:rFonts w:ascii="Aptos" w:eastAsia="Calibri" w:hAnsi="Aptos" w:cs="Calibri"/>
          <w:color w:val="1A1A19"/>
          <w:sz w:val="20"/>
          <w:szCs w:val="20"/>
        </w:rPr>
        <w:t>Le style de citation est celui de l’IEEE. Les liens ont été vérifiés le 20 septembre 2026.</w:t>
      </w:r>
    </w:p>
    <w:p w14:paraId="00ECDEA2"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lastRenderedPageBreak/>
        <w:t xml:space="preserve">[1]  Commission canadienne de sûreté nucléaire, REGDOC-2.5.2, Conception d’installations dotées de réacteurs : centrales nucléaires, version 2.1.  </w:t>
      </w:r>
      <w:hyperlink r:id="rId14">
        <w:r w:rsidR="00F50D70" w:rsidRPr="00BE4F47">
          <w:rPr>
            <w:rFonts w:ascii="Aptos" w:hAnsi="Aptos"/>
            <w:color w:val="1155CC"/>
            <w:sz w:val="18"/>
            <w:u w:val="single"/>
          </w:rPr>
          <w:t>https://www.cnsc-ccsn.gc.ca/fra/acts-and-regulations/regulatory-documents/published/html/regdoc2-5-2-v2-1/</w:t>
        </w:r>
      </w:hyperlink>
    </w:p>
    <w:p w14:paraId="1A25A054"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rPr>
        <w:t xml:space="preserve">[2]  ISO/IEC/IEEE 12207:2026, Ingénierie des systèmes et du logiciel, Processus du cycle de vie du logiciel.  </w:t>
      </w:r>
      <w:hyperlink r:id="rId15">
        <w:r w:rsidR="00F50D70" w:rsidRPr="00BE4F47">
          <w:rPr>
            <w:rFonts w:ascii="Aptos" w:hAnsi="Aptos"/>
            <w:color w:val="1155CC"/>
            <w:sz w:val="18"/>
            <w:u w:val="single"/>
            <w:lang w:val="en-CA"/>
          </w:rPr>
          <w:t>https://www.iso.org/fr/standard/90219.html</w:t>
        </w:r>
      </w:hyperlink>
    </w:p>
    <w:p w14:paraId="30848831"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[3]  M. Hu et al., « Current status of digital twin architecture and application in nuclear energy field », Annals of Nuclear Energy, vol. 202, art. 110491, 2024.  </w:t>
      </w:r>
      <w:hyperlink r:id="rId16">
        <w:r w:rsidR="00F50D70" w:rsidRPr="00BE4F47">
          <w:rPr>
            <w:rFonts w:ascii="Aptos" w:hAnsi="Aptos"/>
            <w:color w:val="1155CC"/>
            <w:sz w:val="18"/>
            <w:u w:val="single"/>
            <w:lang w:val="en-CA"/>
          </w:rPr>
          <w:t>https://doi.org/10.1016/j.anucene.2024.110491</w:t>
        </w:r>
      </w:hyperlink>
    </w:p>
    <w:p w14:paraId="67697E54"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[4]  Q. Huang et al., « Shaping the future of nuclear reactors with digital twins: current developments and perspectives », Applied Energy, vol. 402, art. 126922, 2025.  </w:t>
      </w:r>
      <w:hyperlink r:id="rId17">
        <w:r w:rsidR="00F50D70" w:rsidRPr="00BE4F47">
          <w:rPr>
            <w:rFonts w:ascii="Aptos" w:hAnsi="Aptos"/>
            <w:color w:val="1155CC"/>
            <w:sz w:val="18"/>
            <w:u w:val="single"/>
            <w:lang w:val="en-CA"/>
          </w:rPr>
          <w:t>https://doi.org/10.1016/j.apenergy.2025.126922</w:t>
        </w:r>
      </w:hyperlink>
    </w:p>
    <w:p w14:paraId="55203963"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[5]  H. Huang, L. Yang, Y. Wang, X. Xu et Y. Lu, « Digital twin-driven online anomaly detection for an automation system based on edge intelligence », Journal of Manufacturing Systems, vol. 59, p. 138-150, 2021.  </w:t>
      </w:r>
      <w:hyperlink r:id="rId18">
        <w:r w:rsidR="00F50D70" w:rsidRPr="00BE4F47">
          <w:rPr>
            <w:rFonts w:ascii="Aptos" w:hAnsi="Aptos"/>
            <w:color w:val="1155CC"/>
            <w:sz w:val="18"/>
            <w:u w:val="single"/>
            <w:lang w:val="en-CA"/>
          </w:rPr>
          <w:t>https://doi.org/10.1016/j.jmsy.2021.02.010</w:t>
        </w:r>
      </w:hyperlink>
    </w:p>
    <w:p w14:paraId="50467D74"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[6]  C. Alcaraz et J. Lopez, « Digital twin-assisted anomaly detection for industrial scenarios », International Journal of Critical Infrastructure Protection, vol. 47, art. 100721, 2024.  </w:t>
      </w:r>
      <w:hyperlink r:id="rId19">
        <w:r w:rsidR="00F50D70" w:rsidRPr="00BE4F47">
          <w:rPr>
            <w:rFonts w:ascii="Aptos" w:hAnsi="Aptos"/>
            <w:color w:val="1155CC"/>
            <w:sz w:val="18"/>
            <w:u w:val="single"/>
            <w:lang w:val="en-CA"/>
          </w:rPr>
          <w:t>https://doi.org/10.1016/j.ijcip.2024.100721</w:t>
        </w:r>
      </w:hyperlink>
    </w:p>
    <w:p w14:paraId="3B47B9F6"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[7]  K. Kobayashi, D. Kumar et S. B. Alam, « AI-driven non-intrusive uncertainty quantification of advanced nuclear fuels for digital twin-enabling technology », Progress in Nuclear Energy, vol. 172, art. 105177, 2024.  </w:t>
      </w:r>
      <w:hyperlink r:id="rId20">
        <w:r w:rsidR="00F50D70" w:rsidRPr="00BE4F47">
          <w:rPr>
            <w:rFonts w:ascii="Aptos" w:hAnsi="Aptos"/>
            <w:color w:val="1155CC"/>
            <w:sz w:val="18"/>
            <w:u w:val="single"/>
            <w:lang w:val="en-CA"/>
          </w:rPr>
          <w:t>https://doi.org/10.1016/j.pnucene.2024.105177</w:t>
        </w:r>
      </w:hyperlink>
    </w:p>
    <w:p w14:paraId="49B5DEA5"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t xml:space="preserve">[8]  A. Sayghe, « Digital twin-driven intrusion detection for industrial SCADA: a cyber-physical case study », Sensors, vol. 25, n° 16, art. 4963, 2025.  </w:t>
      </w:r>
      <w:hyperlink r:id="rId21">
        <w:r w:rsidR="00F50D70" w:rsidRPr="00BE4F47">
          <w:rPr>
            <w:rFonts w:ascii="Aptos" w:hAnsi="Aptos"/>
            <w:color w:val="1155CC"/>
            <w:sz w:val="18"/>
            <w:u w:val="single"/>
          </w:rPr>
          <w:t>https://doi.org/10.3390/s25164963</w:t>
        </w:r>
      </w:hyperlink>
    </w:p>
    <w:p w14:paraId="612B3655"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[9]  Brevet CN118709527B, « Implementation method of digital twin model of nuclear power plant based on physical-data hybrid drive », Université Jiao Tong de Shanghai, déposé le 4 juin 2024, délivré le 1er avril 2025.  </w:t>
      </w:r>
      <w:hyperlink r:id="rId22">
        <w:r w:rsidR="00F50D70" w:rsidRPr="00BE4F47">
          <w:rPr>
            <w:rFonts w:ascii="Aptos" w:hAnsi="Aptos"/>
            <w:color w:val="1155CC"/>
            <w:sz w:val="18"/>
            <w:u w:val="single"/>
          </w:rPr>
          <w:t>https://patents.google.com/patent/CN118709527B/en</w:t>
        </w:r>
      </w:hyperlink>
    </w:p>
    <w:p w14:paraId="51D04547"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rPr>
        <w:t xml:space="preserve">[10]  Demande de brevet CN118228587A, « Uncertainty analysis method of core digital twin system based on MCMC », Université Jiao Tong de Shanghai, déposée le 26 mars 2024, publiée le 21 juin 2024, rejetée après publication.  </w:t>
      </w:r>
      <w:hyperlink r:id="rId23">
        <w:r w:rsidR="00F50D70" w:rsidRPr="00BE4F47">
          <w:rPr>
            <w:rFonts w:ascii="Aptos" w:hAnsi="Aptos"/>
            <w:color w:val="1155CC"/>
            <w:sz w:val="18"/>
            <w:u w:val="single"/>
            <w:lang w:val="en-CA"/>
          </w:rPr>
          <w:t>https://patents.google.com/patent/CN118228587A/en</w:t>
        </w:r>
      </w:hyperlink>
    </w:p>
    <w:p w14:paraId="3DFE8BEF"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t xml:space="preserve">[11]  Demande de brevet CN118779601A, « Long-term online prediction and uncertainty analysis method of multi-parameters of digital twin of nuclear power plant », Université Jiao Tong de Shanghai, déposée le 14 juin 2024, publiée le 15 octobre 2024.  </w:t>
      </w:r>
      <w:hyperlink r:id="rId24">
        <w:r w:rsidR="00F50D70" w:rsidRPr="00BE4F47">
          <w:rPr>
            <w:rFonts w:ascii="Aptos" w:hAnsi="Aptos"/>
            <w:color w:val="1155CC"/>
            <w:sz w:val="18"/>
            <w:u w:val="single"/>
          </w:rPr>
          <w:t>https://patents.google.com/patent/CN118779601A/en</w:t>
        </w:r>
      </w:hyperlink>
    </w:p>
    <w:p w14:paraId="694B332D"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rPr>
        <w:t xml:space="preserve">[12]  Demande de brevet CN118068765A, « Method for constructing anomaly detection model for industrial control systems in process industries based on digital twins », Université des sciences et technologies de Huazhong, déposée le 25 janvier 2024, publiée le 24 mai 2024.  </w:t>
      </w:r>
      <w:hyperlink r:id="rId25">
        <w:r w:rsidR="00F50D70" w:rsidRPr="00BE4F47">
          <w:rPr>
            <w:rFonts w:ascii="Aptos" w:hAnsi="Aptos"/>
            <w:color w:val="1155CC"/>
            <w:sz w:val="18"/>
            <w:u w:val="single"/>
            <w:lang w:val="en-CA"/>
          </w:rPr>
          <w:t>https://patents.google.com/patent/CN118068765A/en</w:t>
        </w:r>
      </w:hyperlink>
    </w:p>
    <w:p w14:paraId="04F74002"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lastRenderedPageBreak/>
        <w:t xml:space="preserve">[13]  Brevet US12093818B2, « Method and system for semi-supervised deep anomaly detection for large-scale industrial monitoring systems based on time-series data utilizing digital twin simulation data », Honda Motor Co., délivré le 17 septembre 2024.  </w:t>
      </w:r>
      <w:hyperlink r:id="rId26">
        <w:r w:rsidR="00F50D70" w:rsidRPr="00BE4F47">
          <w:rPr>
            <w:rFonts w:ascii="Aptos" w:hAnsi="Aptos"/>
            <w:color w:val="1155CC"/>
            <w:sz w:val="18"/>
            <w:u w:val="single"/>
          </w:rPr>
          <w:t>https://patents.google.com/patent/US12093818B2/en</w:t>
        </w:r>
      </w:hyperlink>
    </w:p>
    <w:p w14:paraId="1C5F4D78"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[14]  Ansys, Twin Builder, plateforme de création et de déploiement de jumeaux numériques de systèmes.  </w:t>
      </w:r>
      <w:hyperlink r:id="rId27">
        <w:r w:rsidR="00F50D70" w:rsidRPr="00BE4F47">
          <w:rPr>
            <w:rFonts w:ascii="Aptos" w:hAnsi="Aptos"/>
            <w:color w:val="1155CC"/>
            <w:sz w:val="18"/>
            <w:u w:val="single"/>
          </w:rPr>
          <w:t>https://www.ansys.com/en-gb/products/digital-twin/ansys-twin-builder</w:t>
        </w:r>
      </w:hyperlink>
    </w:p>
    <w:p w14:paraId="0F2BA5AD"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[15]  Siemens, Simcenter Amesim, environnement de simulation de systèmes multiphysiques, incluant les circuits thermiques et hydrauliques.  </w:t>
      </w:r>
      <w:hyperlink r:id="rId28">
        <w:r w:rsidR="00F50D70" w:rsidRPr="00BE4F47">
          <w:rPr>
            <w:rFonts w:ascii="Aptos" w:hAnsi="Aptos"/>
            <w:color w:val="1155CC"/>
            <w:sz w:val="18"/>
            <w:u w:val="single"/>
          </w:rPr>
          <w:t>https://www.siemens.com/en-us/products/simcenter/systems-simulation/amesim/</w:t>
        </w:r>
      </w:hyperlink>
    </w:p>
    <w:p w14:paraId="187F905A"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[16]  F. Casella, ThermoPower, bibliothèque Modelica libre pour la modélisation dynamique des centrales thermiques et des systèmes de conversion d’énergie.  </w:t>
      </w:r>
      <w:hyperlink r:id="rId29">
        <w:r w:rsidR="00F50D70" w:rsidRPr="00BE4F47">
          <w:rPr>
            <w:rFonts w:ascii="Aptos" w:hAnsi="Aptos"/>
            <w:color w:val="1155CC"/>
            <w:sz w:val="18"/>
            <w:u w:val="single"/>
          </w:rPr>
          <w:t>https://github.com/casella/ThermoPower</w:t>
        </w:r>
      </w:hyperlink>
    </w:p>
    <w:p w14:paraId="70D19081"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[17]  United States Nuclear Regulatory Commission, Computer Codes, codes de thermohydraulique TRACE et RELAP5 et leur programme de distribution CAMP.  </w:t>
      </w:r>
      <w:hyperlink r:id="rId30">
        <w:r w:rsidR="00F50D70" w:rsidRPr="00BE4F47">
          <w:rPr>
            <w:rFonts w:ascii="Aptos" w:hAnsi="Aptos"/>
            <w:color w:val="1155CC"/>
            <w:sz w:val="18"/>
            <w:u w:val="single"/>
          </w:rPr>
          <w:t>https://www.nrc.gov/about-nrc/regulatory/research/safetycodes</w:t>
        </w:r>
      </w:hyperlink>
    </w:p>
    <w:p w14:paraId="32A18D77"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[18]  Québec, Loi sur les ingénieurs, RLRQ, chapitre I-9.  </w:t>
      </w:r>
      <w:hyperlink r:id="rId31">
        <w:r w:rsidR="00F50D70" w:rsidRPr="00BE4F47">
          <w:rPr>
            <w:rFonts w:ascii="Aptos" w:hAnsi="Aptos"/>
            <w:color w:val="1155CC"/>
            <w:sz w:val="18"/>
            <w:u w:val="single"/>
          </w:rPr>
          <w:t>https://www.legisquebec.gouv.qc.ca/fr/document/lc/I-9</w:t>
        </w:r>
      </w:hyperlink>
    </w:p>
    <w:p w14:paraId="7ABCD795"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[19]  Ordre des ingénieurs du Québec, « Lois et règlements entourant la pratique du génie ».  </w:t>
      </w:r>
      <w:hyperlink r:id="rId32">
        <w:r w:rsidR="00F50D70" w:rsidRPr="00BE4F47">
          <w:rPr>
            <w:rFonts w:ascii="Aptos" w:hAnsi="Aptos"/>
            <w:color w:val="1155CC"/>
            <w:sz w:val="18"/>
            <w:u w:val="single"/>
          </w:rPr>
          <w:t>https://www.oiq.qc.ca/lordre/politiques-lois-et-reglements/lois-et-reglements-entourant-la-pratique-du-genie/</w:t>
        </w:r>
      </w:hyperlink>
    </w:p>
    <w:p w14:paraId="39A768AA"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[20]  Canada, Loi sur la sûreté et la réglementation nucléaires, L.C. 1997, ch. 9.  </w:t>
      </w:r>
      <w:hyperlink r:id="rId33">
        <w:r w:rsidR="00F50D70" w:rsidRPr="00BE4F47">
          <w:rPr>
            <w:rFonts w:ascii="Aptos" w:hAnsi="Aptos"/>
            <w:color w:val="1155CC"/>
            <w:sz w:val="18"/>
            <w:u w:val="single"/>
          </w:rPr>
          <w:t>https://laws-lois.justice.gc.ca/fra/lois/N-28.3/index.html</w:t>
        </w:r>
      </w:hyperlink>
    </w:p>
    <w:p w14:paraId="66670D35"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[21]  Canada, Règlement général sur la sûreté et la réglementation nucléaires, DORS/2000-202.  </w:t>
      </w:r>
      <w:hyperlink r:id="rId34">
        <w:r w:rsidR="00F50D70" w:rsidRPr="00BE4F47">
          <w:rPr>
            <w:rFonts w:ascii="Aptos" w:hAnsi="Aptos"/>
            <w:color w:val="1155CC"/>
            <w:sz w:val="18"/>
            <w:u w:val="single"/>
          </w:rPr>
          <w:t>https://laws-lois.justice.gc.ca/fra/reglements/DORS-2000-202/index.html</w:t>
        </w:r>
      </w:hyperlink>
    </w:p>
    <w:p w14:paraId="1A72A716"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[22]  Canada, Règlement sur les installations nucléaires de catégorie I, DORS/2000-204.  </w:t>
      </w:r>
      <w:hyperlink r:id="rId35">
        <w:r w:rsidR="00F50D70" w:rsidRPr="00BE4F47">
          <w:rPr>
            <w:rFonts w:ascii="Aptos" w:hAnsi="Aptos"/>
            <w:color w:val="1155CC"/>
            <w:sz w:val="18"/>
            <w:u w:val="single"/>
          </w:rPr>
          <w:t>https://laws-lois.justice.gc.ca/fra/reglements/DORS-2000-204/index.html</w:t>
        </w:r>
      </w:hyperlink>
    </w:p>
    <w:p w14:paraId="3B80C1FF"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t xml:space="preserve">[23]  CSA N290.7:21, Cyber security for nuclear facilities, Groupe CSA, Toronto, 2021.  </w:t>
      </w:r>
      <w:hyperlink r:id="rId36">
        <w:r w:rsidR="00F50D70" w:rsidRPr="00BE4F47">
          <w:rPr>
            <w:rFonts w:ascii="Aptos" w:hAnsi="Aptos"/>
            <w:color w:val="1155CC"/>
            <w:sz w:val="18"/>
            <w:u w:val="single"/>
          </w:rPr>
          <w:t>https://www.csagroup.org/store/product/2428461/</w:t>
        </w:r>
      </w:hyperlink>
    </w:p>
    <w:p w14:paraId="559F26A8"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[24]  ISO/IEC/IEEE 15288:2023, Ingénierie des systèmes et du logiciel, Processus du cycle de vie du système.  </w:t>
      </w:r>
      <w:hyperlink r:id="rId37">
        <w:r w:rsidR="00F50D70" w:rsidRPr="00BE4F47">
          <w:rPr>
            <w:rFonts w:ascii="Aptos" w:hAnsi="Aptos"/>
            <w:color w:val="1155CC"/>
            <w:sz w:val="18"/>
            <w:u w:val="single"/>
          </w:rPr>
          <w:t>https://www.iso.org/fr/standard/81702.html</w:t>
        </w:r>
      </w:hyperlink>
    </w:p>
    <w:p w14:paraId="559ADEC3"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[25]  ISO 23247-1:2021, Systèmes d’automatisation et intégration, Cadre technique de jumeau numérique dans un contexte de fabrication, Partie 1 : Vue d’ensemble et principes généraux.  </w:t>
      </w:r>
      <w:hyperlink r:id="rId38">
        <w:r w:rsidR="00F50D70" w:rsidRPr="00BE4F47">
          <w:rPr>
            <w:rFonts w:ascii="Aptos" w:hAnsi="Aptos"/>
            <w:color w:val="1155CC"/>
            <w:sz w:val="18"/>
            <w:u w:val="single"/>
          </w:rPr>
          <w:t>https://www.iso.org/fr/standard/75066.html</w:t>
        </w:r>
      </w:hyperlink>
    </w:p>
    <w:p w14:paraId="3160AF9D"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[26]  ISO/IEC 25010:2023, Ingénierie des systèmes et du logiciel, Exigences de qualité et évaluation (SQuaRE), Modèle de qualité du produit.  </w:t>
      </w:r>
      <w:hyperlink r:id="rId39">
        <w:r w:rsidR="00F50D70" w:rsidRPr="00BE4F47">
          <w:rPr>
            <w:rFonts w:ascii="Aptos" w:hAnsi="Aptos"/>
            <w:color w:val="1155CC"/>
            <w:sz w:val="18"/>
            <w:u w:val="single"/>
          </w:rPr>
          <w:t>https://www.iso.org/fr/standard/78176.html</w:t>
        </w:r>
      </w:hyperlink>
    </w:p>
    <w:p w14:paraId="653DEC87"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rPr>
        <w:lastRenderedPageBreak/>
        <w:t xml:space="preserve">[27]  ISO 31000:2018, Management du risque, Lignes directrices, Organisation internationale de normalisation, Genève, 2018.  </w:t>
      </w:r>
      <w:hyperlink r:id="rId40">
        <w:r w:rsidR="00F50D70" w:rsidRPr="00BE4F47">
          <w:rPr>
            <w:rFonts w:ascii="Aptos" w:hAnsi="Aptos"/>
            <w:color w:val="1155CC"/>
            <w:sz w:val="18"/>
            <w:u w:val="single"/>
            <w:lang w:val="en-CA"/>
          </w:rPr>
          <w:t>https://www.iso.org/fr/standard/65694.html</w:t>
        </w:r>
      </w:hyperlink>
    </w:p>
    <w:p w14:paraId="13A7F6B9"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t xml:space="preserve">[28]  ASME V&amp;V 20-2009 (R2021), Standard for Verification and Validation in Computational Fluid Dynamics and Heat Transfer, American Society of Mechanical Engineers.  </w:t>
      </w:r>
      <w:hyperlink r:id="rId41">
        <w:r w:rsidR="00F50D70" w:rsidRPr="00BE4F47">
          <w:rPr>
            <w:rFonts w:ascii="Aptos" w:hAnsi="Aptos"/>
            <w:color w:val="1155CC"/>
            <w:sz w:val="18"/>
            <w:u w:val="single"/>
          </w:rPr>
          <w:t>https://www.asme.org/codes-standards/find-codes-standards/standard-for-verification-and-validation-in-computational-fluid-dynamics-and-heat-transfer</w:t>
        </w:r>
      </w:hyperlink>
    </w:p>
    <w:p w14:paraId="2DB0DE77"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t xml:space="preserve">[29]  IEEE 1012-2024, IEEE Standard for System, Software, and Hardware Verification and Validation.  </w:t>
      </w:r>
      <w:hyperlink r:id="rId42">
        <w:r w:rsidR="00F50D70" w:rsidRPr="00BE4F47">
          <w:rPr>
            <w:rFonts w:ascii="Aptos" w:hAnsi="Aptos"/>
            <w:color w:val="1155CC"/>
            <w:sz w:val="18"/>
            <w:u w:val="single"/>
          </w:rPr>
          <w:t>https://standards.ieee.org/ieee/1012/7324</w:t>
        </w:r>
      </w:hyperlink>
    </w:p>
    <w:p w14:paraId="75534B1A"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rPr>
        <w:t xml:space="preserve">[30]  ISO 9241-210:2019, Ergonomie de l’interaction homme-système, Partie 210 : Conception centrée sur l’opérateur humain pour les systèmes interactifs.  </w:t>
      </w:r>
      <w:hyperlink r:id="rId43">
        <w:r w:rsidR="00F50D70" w:rsidRPr="00BE4F47">
          <w:rPr>
            <w:rFonts w:ascii="Aptos" w:hAnsi="Aptos"/>
            <w:color w:val="1155CC"/>
            <w:sz w:val="18"/>
            <w:u w:val="single"/>
            <w:lang w:val="en-CA"/>
          </w:rPr>
          <w:t>https://www.iso.org/fr/standard/77520.html</w:t>
        </w:r>
      </w:hyperlink>
    </w:p>
    <w:p w14:paraId="1775166A"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[31]  IEC 62645:2019, Nuclear power plants, Instrumentation, control and electrical power systems, Cybersecurity requirements.  </w:t>
      </w:r>
      <w:hyperlink r:id="rId44">
        <w:r w:rsidR="00F50D70" w:rsidRPr="00BE4F47">
          <w:rPr>
            <w:rFonts w:ascii="Aptos" w:hAnsi="Aptos"/>
            <w:color w:val="1155CC"/>
            <w:sz w:val="18"/>
            <w:u w:val="single"/>
            <w:lang w:val="en-CA"/>
          </w:rPr>
          <w:t>https://webstore.iec.ch/en/publication/32904</w:t>
        </w:r>
      </w:hyperlink>
    </w:p>
    <w:p w14:paraId="01E99EA1"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[32]  IEC 63096:2020, Nuclear power plants, Instrumentation, control and electrical power systems, Security controls.  </w:t>
      </w:r>
      <w:hyperlink r:id="rId45">
        <w:r w:rsidR="00F50D70" w:rsidRPr="00BE4F47">
          <w:rPr>
            <w:rFonts w:ascii="Aptos" w:hAnsi="Aptos"/>
            <w:color w:val="1155CC"/>
            <w:sz w:val="18"/>
            <w:u w:val="single"/>
            <w:lang w:val="en-CA"/>
          </w:rPr>
          <w:t>https://webstore.iec.ch/en/publication/32900</w:t>
        </w:r>
      </w:hyperlink>
    </w:p>
    <w:p w14:paraId="7A7729DA"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[33]  IEC 62859:2016 et son amendement A1:2019, Nuclear power plants, Instrumentation and control systems, Requirements for coordinating safety and cybersecurity.  </w:t>
      </w:r>
      <w:hyperlink r:id="rId46">
        <w:r w:rsidR="00F50D70" w:rsidRPr="00BE4F47">
          <w:rPr>
            <w:rFonts w:ascii="Aptos" w:hAnsi="Aptos"/>
            <w:color w:val="1155CC"/>
            <w:sz w:val="18"/>
            <w:u w:val="single"/>
            <w:lang w:val="en-CA"/>
          </w:rPr>
          <w:t>https://webstore.iec.ch/en/publication/26131</w:t>
        </w:r>
      </w:hyperlink>
    </w:p>
    <w:p w14:paraId="488D8636"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[34]  IEC 61513:2026 (éd. 3.0), Nuclear power plants, Instrumentation and control important to safety, General requirements for systems.  </w:t>
      </w:r>
      <w:hyperlink r:id="rId47">
        <w:r w:rsidR="00F50D70" w:rsidRPr="00BE4F47">
          <w:rPr>
            <w:rFonts w:ascii="Aptos" w:hAnsi="Aptos"/>
            <w:color w:val="1155CC"/>
            <w:sz w:val="18"/>
            <w:u w:val="single"/>
            <w:lang w:val="en-CA"/>
          </w:rPr>
          <w:t>https://webstore.iec.ch/en/publication/76309</w:t>
        </w:r>
      </w:hyperlink>
    </w:p>
    <w:p w14:paraId="78629351"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lang w:val="en-CA"/>
        </w:rPr>
        <w:t xml:space="preserve">[35]  IEC 60880:2006, Nuclear power plants, Instrumentation and control systems important to safety, Software aspects for computer-based systems performing category A functions.  </w:t>
      </w:r>
      <w:hyperlink r:id="rId48">
        <w:r w:rsidR="00F50D70" w:rsidRPr="00BE4F47">
          <w:rPr>
            <w:rFonts w:ascii="Aptos" w:hAnsi="Aptos"/>
            <w:color w:val="1155CC"/>
            <w:sz w:val="18"/>
            <w:u w:val="single"/>
            <w:lang w:val="en-CA"/>
          </w:rPr>
          <w:t>https://webstore.iec.ch/en/publication/3795</w:t>
        </w:r>
      </w:hyperlink>
    </w:p>
    <w:p w14:paraId="78BA7220"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t xml:space="preserve">[36]  IEC 62138:2018, Nuclear power plants, Instrumentation and control systems important to safety, Software aspects for computer-based systems performing category B or C functions.  </w:t>
      </w:r>
      <w:hyperlink r:id="rId49">
        <w:r w:rsidR="00F50D70" w:rsidRPr="00BE4F47">
          <w:rPr>
            <w:rFonts w:ascii="Aptos" w:hAnsi="Aptos"/>
            <w:color w:val="1155CC"/>
            <w:sz w:val="18"/>
            <w:u w:val="single"/>
          </w:rPr>
          <w:t>https://webstore.iec.ch/en/publication/30172</w:t>
        </w:r>
      </w:hyperlink>
    </w:p>
    <w:p w14:paraId="23B91E74"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[37]  ISO/IEC 27001:2022, Sécurité de l’information, cybersécurité et protection de la vie privée, Systèmes de management de la sécurité de l’information, Exigences.  </w:t>
      </w:r>
      <w:hyperlink r:id="rId50">
        <w:r w:rsidR="00F50D70" w:rsidRPr="00BE4F47">
          <w:rPr>
            <w:rFonts w:ascii="Aptos" w:hAnsi="Aptos"/>
            <w:color w:val="1155CC"/>
            <w:sz w:val="18"/>
            <w:u w:val="single"/>
          </w:rPr>
          <w:t>https://www.iso.org/fr/standard/82875.html</w:t>
        </w:r>
      </w:hyperlink>
    </w:p>
    <w:p w14:paraId="0FD2001E"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[38]  ISO/IEC 27005:2022, Sécurité de l’information, cybersécurité et protection de la vie privée, Préconisations pour la gestion des risques liés à la sécurité de l’information.  </w:t>
      </w:r>
      <w:hyperlink r:id="rId51">
        <w:r w:rsidR="00F50D70" w:rsidRPr="00BE4F47">
          <w:rPr>
            <w:rFonts w:ascii="Aptos" w:hAnsi="Aptos"/>
            <w:color w:val="1155CC"/>
            <w:sz w:val="18"/>
            <w:u w:val="single"/>
          </w:rPr>
          <w:t>https://www.iso.org/fr/standard/80585.html</w:t>
        </w:r>
      </w:hyperlink>
    </w:p>
    <w:p w14:paraId="065B2651"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[39]  Ordre des ingénieurs du Québec, « Méthodes d’identification des dangers et d’analyse des risques », Guide de pratique professionnelle.  </w:t>
      </w:r>
      <w:hyperlink r:id="rId52">
        <w:r w:rsidR="00F50D70" w:rsidRPr="00BE4F47">
          <w:rPr>
            <w:rFonts w:ascii="Aptos" w:hAnsi="Aptos"/>
            <w:color w:val="1155CC"/>
            <w:sz w:val="18"/>
            <w:u w:val="single"/>
          </w:rPr>
          <w:t>http://gpp.oiq.qc.ca/Methodes_d_identification_des_dangers_et_d_analyse_des_risques.htm</w:t>
        </w:r>
      </w:hyperlink>
    </w:p>
    <w:p w14:paraId="71D9935E"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[40]  Québec, Code de déontologie des ingénieurs, RLRQ, chapitre I-9, r. 6.  </w:t>
      </w:r>
      <w:hyperlink r:id="rId53">
        <w:r w:rsidR="00F50D70" w:rsidRPr="00BE4F47">
          <w:rPr>
            <w:rFonts w:ascii="Aptos" w:hAnsi="Aptos"/>
            <w:color w:val="1155CC"/>
            <w:sz w:val="18"/>
            <w:u w:val="single"/>
          </w:rPr>
          <w:t>https://www.legisquebec.gouv.qc.ca/fr/document/rc/I-9,%20r.%206%20/</w:t>
        </w:r>
      </w:hyperlink>
    </w:p>
    <w:p w14:paraId="42F761DA"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lastRenderedPageBreak/>
        <w:t xml:space="preserve">[41]  Organisation des Nations unies, Objectifs de développement durable, objectifs 7 et 9.  </w:t>
      </w:r>
      <w:hyperlink r:id="rId54">
        <w:r w:rsidR="00F50D70" w:rsidRPr="00BE4F47">
          <w:rPr>
            <w:rFonts w:ascii="Aptos" w:hAnsi="Aptos"/>
            <w:color w:val="1155CC"/>
            <w:sz w:val="18"/>
            <w:u w:val="single"/>
          </w:rPr>
          <w:t>https://www.un.org/sustainabledevelopment/fr/objectifs-de-developpement-durable/</w:t>
        </w:r>
      </w:hyperlink>
    </w:p>
    <w:p w14:paraId="2771C6D5"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t xml:space="preserve">[42]  AACE International, Recommended Practice No. 18R-97, Cost Estimate Classification System as Applied in Engineering, Procurement, and Construction for the Process Industries, rév. du 7 août 2020.  </w:t>
      </w:r>
      <w:hyperlink r:id="rId55">
        <w:r w:rsidR="00F50D70" w:rsidRPr="00BE4F47">
          <w:rPr>
            <w:rFonts w:ascii="Aptos" w:hAnsi="Aptos"/>
            <w:color w:val="1155CC"/>
            <w:sz w:val="18"/>
            <w:u w:val="single"/>
          </w:rPr>
          <w:t>https://web.aacei.org/docs/default-source/toc/toc_18r-97.pdf</w:t>
        </w:r>
      </w:hyperlink>
    </w:p>
    <w:p w14:paraId="52E59CAA" w14:textId="77777777" w:rsidR="00F50D70" w:rsidRPr="00BE4F47" w:rsidRDefault="00000000" w:rsidP="008E113B">
      <w:pPr>
        <w:spacing w:after="80" w:line="360" w:lineRule="auto"/>
        <w:ind w:left="480" w:hanging="480"/>
        <w:jc w:val="left"/>
        <w:rPr>
          <w:rFonts w:ascii="Aptos" w:hAnsi="Aptos"/>
          <w:lang w:val="en-CA"/>
        </w:rPr>
      </w:pPr>
      <w:r w:rsidRPr="00BE4F47">
        <w:rPr>
          <w:rFonts w:ascii="Aptos" w:eastAsia="Calibri" w:hAnsi="Aptos" w:cs="Calibri"/>
          <w:color w:val="1A1A19"/>
          <w:sz w:val="20"/>
          <w:szCs w:val="20"/>
        </w:rPr>
        <w:t xml:space="preserve">[43]  ISO 23247-2:2021, Systèmes d’automatisation et intégration, Cadre technique de jumeau numérique dans un contexte de fabrication, Partie 2 : Architecture de référence.  </w:t>
      </w:r>
      <w:hyperlink r:id="rId56">
        <w:r w:rsidR="00F50D70" w:rsidRPr="00BE4F47">
          <w:rPr>
            <w:rFonts w:ascii="Aptos" w:hAnsi="Aptos"/>
            <w:color w:val="1155CC"/>
            <w:sz w:val="18"/>
            <w:u w:val="single"/>
            <w:lang w:val="en-CA"/>
          </w:rPr>
          <w:t>https://www.iso.org/fr/standard/78743.html</w:t>
        </w:r>
      </w:hyperlink>
    </w:p>
    <w:p w14:paraId="4DB803F1"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lang w:val="en-CA"/>
        </w:rPr>
        <w:t xml:space="preserve">[44]  Agence internationale de l’énergie atomique, Verification and Validation of Software Related to Nuclear Power Plant Instrumentation and Control, Technical Reports Series n° 384, Vienne, 1999, ISBN 92-0-100799-X.  </w:t>
      </w:r>
      <w:hyperlink r:id="rId57">
        <w:r w:rsidR="00F50D70" w:rsidRPr="00BE4F47">
          <w:rPr>
            <w:rFonts w:ascii="Aptos" w:hAnsi="Aptos"/>
            <w:color w:val="1155CC"/>
            <w:sz w:val="18"/>
            <w:u w:val="single"/>
          </w:rPr>
          <w:t>https://www-pub.iaea.org/MTCD/Publications/PDF/TRS384_scr.pdf</w:t>
        </w:r>
      </w:hyperlink>
    </w:p>
    <w:p w14:paraId="277C1AC1"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[45]  Association des firmes de génie-conseil du Québec, Barème des honoraires, section Documentation et publications. Cité comme point de comparaison seulement.  </w:t>
      </w:r>
      <w:hyperlink r:id="rId58">
        <w:r w:rsidR="00F50D70" w:rsidRPr="00BE4F47">
          <w:rPr>
            <w:rFonts w:ascii="Aptos" w:hAnsi="Aptos"/>
            <w:color w:val="1155CC"/>
            <w:sz w:val="18"/>
            <w:u w:val="single"/>
          </w:rPr>
          <w:t>https://afg.quebec/documentation/publications</w:t>
        </w:r>
      </w:hyperlink>
    </w:p>
    <w:p w14:paraId="5F1B2EA9" w14:textId="77777777" w:rsidR="00F50D70" w:rsidRPr="00BE4F47" w:rsidRDefault="00000000" w:rsidP="008E113B">
      <w:pPr>
        <w:spacing w:after="80" w:line="360" w:lineRule="auto"/>
        <w:ind w:left="480" w:hanging="480"/>
        <w:jc w:val="left"/>
        <w:rPr>
          <w:rFonts w:ascii="Aptos" w:hAnsi="Aptos"/>
        </w:rPr>
      </w:pPr>
      <w:r w:rsidRPr="00BE4F47">
        <w:rPr>
          <w:rFonts w:ascii="Aptos" w:eastAsia="Calibri" w:hAnsi="Aptos" w:cs="Calibri"/>
          <w:color w:val="1A1A19"/>
          <w:sz w:val="20"/>
          <w:szCs w:val="20"/>
        </w:rPr>
        <w:t xml:space="preserve">[46]  Université du Québec à Chicoutimi, Bureau du registraire, Calendrier universitaire, trimestre d’automne 2026.  </w:t>
      </w:r>
      <w:hyperlink r:id="rId59">
        <w:r w:rsidR="00F50D70" w:rsidRPr="00BE4F47">
          <w:rPr>
            <w:rFonts w:ascii="Aptos" w:hAnsi="Aptos"/>
            <w:color w:val="1155CC"/>
            <w:sz w:val="18"/>
            <w:u w:val="single"/>
          </w:rPr>
          <w:t>https://www.uqac.ca/registraire/wp-content/uploads/2026/02/AUTOMNE-2026.pdf</w:t>
        </w:r>
      </w:hyperlink>
    </w:p>
    <w:p w14:paraId="30D9ED5A" w14:textId="77777777" w:rsidR="00F50D70" w:rsidRPr="00BE4F47" w:rsidRDefault="00F50D70" w:rsidP="008E113B">
      <w:pPr>
        <w:pStyle w:val="Corpsdetexte"/>
        <w:spacing w:line="360" w:lineRule="auto"/>
        <w:ind w:left="720"/>
        <w:outlineLvl w:val="9"/>
        <w:rPr>
          <w:rFonts w:ascii="Aptos" w:hAnsi="Aptos"/>
          <w:b w:val="0"/>
        </w:rPr>
      </w:pPr>
    </w:p>
    <w:p w14:paraId="33735503" w14:textId="77777777" w:rsidR="00F50D70" w:rsidRPr="00BE4F47" w:rsidRDefault="00F50D70" w:rsidP="008E113B">
      <w:pPr>
        <w:pStyle w:val="Corpsdetexte"/>
        <w:spacing w:line="360" w:lineRule="auto"/>
        <w:outlineLvl w:val="9"/>
        <w:rPr>
          <w:rFonts w:ascii="Aptos" w:hAnsi="Aptos"/>
          <w:b w:val="0"/>
        </w:rPr>
      </w:pPr>
    </w:p>
    <w:p w14:paraId="6A911A38" w14:textId="77777777" w:rsidR="00F50D70" w:rsidRPr="00BE4F47" w:rsidRDefault="00F50D70" w:rsidP="008E113B">
      <w:pPr>
        <w:pStyle w:val="Corpsdetexte"/>
        <w:spacing w:line="360" w:lineRule="auto"/>
        <w:outlineLvl w:val="9"/>
        <w:rPr>
          <w:rFonts w:ascii="Aptos" w:hAnsi="Aptos"/>
        </w:rPr>
      </w:pPr>
    </w:p>
    <w:p w14:paraId="5BA7D725" w14:textId="77777777" w:rsidR="00F50D70" w:rsidRPr="00BE4F47" w:rsidRDefault="00F50D70" w:rsidP="008E113B">
      <w:pPr>
        <w:spacing w:line="360" w:lineRule="auto"/>
        <w:ind w:left="0"/>
        <w:outlineLvl w:val="9"/>
        <w:rPr>
          <w:rFonts w:ascii="Aptos" w:hAnsi="Aptos"/>
        </w:rPr>
      </w:pPr>
    </w:p>
    <w:sectPr w:rsidR="00F50D70" w:rsidRPr="00BE4F47">
      <w:footerReference w:type="default" r:id="rId60"/>
      <w:footerReference w:type="first" r:id="rId61"/>
      <w:pgSz w:w="12240" w:h="15840"/>
      <w:pgMar w:top="851" w:right="1701" w:bottom="709" w:left="1701" w:header="0" w:footer="425"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A071D" w14:textId="77777777" w:rsidR="003D3A94" w:rsidRDefault="003D3A94">
      <w:r>
        <w:separator/>
      </w:r>
    </w:p>
  </w:endnote>
  <w:endnote w:type="continuationSeparator" w:id="0">
    <w:p w14:paraId="2DD91596" w14:textId="77777777" w:rsidR="003D3A94" w:rsidRDefault="003D3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Palatino;Book Antiqu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B34C" w14:textId="77777777" w:rsidR="00F50D70" w:rsidRDefault="00000000">
    <w:pPr>
      <w:pStyle w:val="Pieddepage"/>
      <w:ind w:left="0"/>
      <w:jc w:val="center"/>
    </w:pPr>
    <w:r>
      <w:fldChar w:fldCharType="begin"/>
    </w:r>
    <w:r>
      <w:instrText xml:space="preserve"> PAGE </w:instrText>
    </w:r>
    <w:r>
      <w:fldChar w:fldCharType="separate"/>
    </w:r>
    <w:r>
      <w:t>47</w:t>
    </w:r>
    <w:r>
      <w:fldChar w:fldCharType="end"/>
    </w:r>
  </w:p>
  <w:p w14:paraId="4A504BA4" w14:textId="77777777" w:rsidR="00F50D70" w:rsidRDefault="00F50D7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7E7AC" w14:textId="77777777" w:rsidR="00F50D70" w:rsidRDefault="00F50D7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627C1" w14:textId="77777777" w:rsidR="003D3A94" w:rsidRDefault="003D3A94">
      <w:r>
        <w:separator/>
      </w:r>
    </w:p>
  </w:footnote>
  <w:footnote w:type="continuationSeparator" w:id="0">
    <w:p w14:paraId="39296923" w14:textId="77777777" w:rsidR="003D3A94" w:rsidRDefault="003D3A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5D0"/>
    <w:multiLevelType w:val="multilevel"/>
    <w:tmpl w:val="040C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06B74424"/>
    <w:multiLevelType w:val="multilevel"/>
    <w:tmpl w:val="B00E7AA8"/>
    <w:lvl w:ilvl="0">
      <w:start w:val="1"/>
      <w:numFmt w:val="decimal"/>
      <w:pStyle w:val="Style2"/>
      <w:lvlText w:val="%1."/>
      <w:lvlJc w:val="left"/>
      <w:pPr>
        <w:tabs>
          <w:tab w:val="num" w:pos="425"/>
        </w:tabs>
        <w:ind w:left="425" w:hanging="425"/>
      </w:pPr>
      <w:rPr>
        <w:rFonts w:ascii="Times" w:hAnsi="Times" w:cs="Times"/>
        <w:b/>
        <w:i w:val="0"/>
        <w:sz w:val="22"/>
      </w:rPr>
    </w:lvl>
    <w:lvl w:ilvl="1">
      <w:start w:val="1"/>
      <w:numFmt w:val="decimal"/>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2" w15:restartNumberingAfterBreak="0">
    <w:nsid w:val="08AE3D62"/>
    <w:multiLevelType w:val="multilevel"/>
    <w:tmpl w:val="113693C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6.%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09540001"/>
    <w:multiLevelType w:val="multilevel"/>
    <w:tmpl w:val="B4F24F9C"/>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C0D0D21"/>
    <w:multiLevelType w:val="hybridMultilevel"/>
    <w:tmpl w:val="B8B6B41E"/>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5" w15:restartNumberingAfterBreak="0">
    <w:nsid w:val="148E3870"/>
    <w:multiLevelType w:val="multilevel"/>
    <w:tmpl w:val="A9580E9C"/>
    <w:lvl w:ilvl="0">
      <w:start w:val="1"/>
      <w:numFmt w:val="bullet"/>
      <w:pStyle w:val="Listepuces2"/>
      <w:lvlText w:val=""/>
      <w:lvlJc w:val="left"/>
      <w:pPr>
        <w:tabs>
          <w:tab w:val="num" w:pos="643"/>
        </w:tabs>
        <w:ind w:left="643"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19A4083"/>
    <w:multiLevelType w:val="multilevel"/>
    <w:tmpl w:val="39F83072"/>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6E35684"/>
    <w:multiLevelType w:val="multilevel"/>
    <w:tmpl w:val="BAE47164"/>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1116E45"/>
    <w:multiLevelType w:val="multilevel"/>
    <w:tmpl w:val="14705170"/>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1407C9A"/>
    <w:multiLevelType w:val="multilevel"/>
    <w:tmpl w:val="433A77C2"/>
    <w:lvl w:ilvl="0">
      <w:start w:val="1"/>
      <w:numFmt w:val="bullet"/>
      <w:lvlText w:val=""/>
      <w:lvlJc w:val="left"/>
      <w:pPr>
        <w:tabs>
          <w:tab w:val="num" w:pos="0"/>
        </w:tabs>
        <w:ind w:left="171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C552606"/>
    <w:multiLevelType w:val="hybridMultilevel"/>
    <w:tmpl w:val="F4FE70CC"/>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1" w15:restartNumberingAfterBreak="0">
    <w:nsid w:val="4F46695C"/>
    <w:multiLevelType w:val="multilevel"/>
    <w:tmpl w:val="46D6CB34"/>
    <w:lvl w:ilvl="0">
      <w:start w:val="1"/>
      <w:numFmt w:val="decimal"/>
      <w:pStyle w:val="Titre1"/>
      <w:lvlText w:val="%1."/>
      <w:lvlJc w:val="left"/>
      <w:pPr>
        <w:tabs>
          <w:tab w:val="num" w:pos="425"/>
        </w:tabs>
        <w:ind w:left="425" w:hanging="425"/>
      </w:pPr>
      <w:rPr>
        <w:rFonts w:ascii="Times" w:hAnsi="Times" w:cs="Times"/>
        <w:b/>
        <w:i w:val="0"/>
        <w:sz w:val="22"/>
      </w:rPr>
    </w:lvl>
    <w:lvl w:ilvl="1">
      <w:start w:val="1"/>
      <w:numFmt w:val="decimal"/>
      <w:pStyle w:val="Titre2"/>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12" w15:restartNumberingAfterBreak="0">
    <w:nsid w:val="51920C22"/>
    <w:multiLevelType w:val="multilevel"/>
    <w:tmpl w:val="53E292A4"/>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49E6FED"/>
    <w:multiLevelType w:val="multilevel"/>
    <w:tmpl w:val="2CE6FF3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6.%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598F7E0F"/>
    <w:multiLevelType w:val="multilevel"/>
    <w:tmpl w:val="D34CBE96"/>
    <w:lvl w:ilvl="0">
      <w:start w:val="1"/>
      <w:numFmt w:val="bullet"/>
      <w:lvlText w:val=""/>
      <w:lvlJc w:val="left"/>
      <w:pPr>
        <w:tabs>
          <w:tab w:val="num" w:pos="0"/>
        </w:tabs>
        <w:ind w:left="11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BE415A7"/>
    <w:multiLevelType w:val="hybridMultilevel"/>
    <w:tmpl w:val="B34E271A"/>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6" w15:restartNumberingAfterBreak="0">
    <w:nsid w:val="5E967BF2"/>
    <w:multiLevelType w:val="multilevel"/>
    <w:tmpl w:val="82927CCC"/>
    <w:lvl w:ilvl="0">
      <w:start w:val="1"/>
      <w:numFmt w:val="decimal"/>
      <w:lvlText w:val="3.%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09B5662"/>
    <w:multiLevelType w:val="hybridMultilevel"/>
    <w:tmpl w:val="80664FA6"/>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8" w15:restartNumberingAfterBreak="0">
    <w:nsid w:val="6D4E0793"/>
    <w:multiLevelType w:val="multilevel"/>
    <w:tmpl w:val="94EC9E2C"/>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73317B21"/>
    <w:multiLevelType w:val="multilevel"/>
    <w:tmpl w:val="013A5ACA"/>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69533442">
    <w:abstractNumId w:val="11"/>
  </w:num>
  <w:num w:numId="2" w16cid:durableId="879246760">
    <w:abstractNumId w:val="5"/>
  </w:num>
  <w:num w:numId="3" w16cid:durableId="1087926495">
    <w:abstractNumId w:val="1"/>
  </w:num>
  <w:num w:numId="4" w16cid:durableId="286081102">
    <w:abstractNumId w:val="14"/>
  </w:num>
  <w:num w:numId="5" w16cid:durableId="195780179">
    <w:abstractNumId w:val="8"/>
  </w:num>
  <w:num w:numId="6" w16cid:durableId="1059936052">
    <w:abstractNumId w:val="3"/>
  </w:num>
  <w:num w:numId="7" w16cid:durableId="832138966">
    <w:abstractNumId w:val="13"/>
  </w:num>
  <w:num w:numId="8" w16cid:durableId="1108311080">
    <w:abstractNumId w:val="6"/>
  </w:num>
  <w:num w:numId="9" w16cid:durableId="1263495185">
    <w:abstractNumId w:val="18"/>
  </w:num>
  <w:num w:numId="10" w16cid:durableId="843278149">
    <w:abstractNumId w:val="12"/>
  </w:num>
  <w:num w:numId="11" w16cid:durableId="2014990922">
    <w:abstractNumId w:val="19"/>
  </w:num>
  <w:num w:numId="12" w16cid:durableId="1225415507">
    <w:abstractNumId w:val="2"/>
  </w:num>
  <w:num w:numId="13" w16cid:durableId="1961842731">
    <w:abstractNumId w:val="16"/>
  </w:num>
  <w:num w:numId="14" w16cid:durableId="940066933">
    <w:abstractNumId w:val="0"/>
  </w:num>
  <w:num w:numId="15" w16cid:durableId="296952054">
    <w:abstractNumId w:val="7"/>
  </w:num>
  <w:num w:numId="16" w16cid:durableId="17509987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87633788">
    <w:abstractNumId w:val="11"/>
  </w:num>
  <w:num w:numId="18" w16cid:durableId="1778479020">
    <w:abstractNumId w:val="17"/>
  </w:num>
  <w:num w:numId="19" w16cid:durableId="1847792681">
    <w:abstractNumId w:val="4"/>
  </w:num>
  <w:num w:numId="20" w16cid:durableId="743335554">
    <w:abstractNumId w:val="10"/>
  </w:num>
  <w:num w:numId="21" w16cid:durableId="1697191494">
    <w:abstractNumId w:val="9"/>
  </w:num>
  <w:num w:numId="22" w16cid:durableId="13627766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D70"/>
    <w:rsid w:val="00006655"/>
    <w:rsid w:val="0010676F"/>
    <w:rsid w:val="00136F18"/>
    <w:rsid w:val="0015050D"/>
    <w:rsid w:val="00170BF3"/>
    <w:rsid w:val="001E0B13"/>
    <w:rsid w:val="00256140"/>
    <w:rsid w:val="00273A91"/>
    <w:rsid w:val="002A1CE1"/>
    <w:rsid w:val="003139CB"/>
    <w:rsid w:val="0036725C"/>
    <w:rsid w:val="003D3A94"/>
    <w:rsid w:val="005E5B35"/>
    <w:rsid w:val="00665895"/>
    <w:rsid w:val="006A6C35"/>
    <w:rsid w:val="00885DAC"/>
    <w:rsid w:val="008E113B"/>
    <w:rsid w:val="008F5FA3"/>
    <w:rsid w:val="00927E59"/>
    <w:rsid w:val="00962984"/>
    <w:rsid w:val="009F7B47"/>
    <w:rsid w:val="00AF05CA"/>
    <w:rsid w:val="00B03F2E"/>
    <w:rsid w:val="00B36301"/>
    <w:rsid w:val="00B50D9A"/>
    <w:rsid w:val="00BE4F47"/>
    <w:rsid w:val="00C57ECE"/>
    <w:rsid w:val="00DB0A89"/>
    <w:rsid w:val="00DE546E"/>
    <w:rsid w:val="00F50D70"/>
    <w:rsid w:val="00F515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AE536"/>
  <w15:docId w15:val="{85478345-9B3E-44FF-9FF5-ABE588B1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1701"/>
      <w:jc w:val="both"/>
      <w:outlineLvl w:val="2"/>
    </w:pPr>
    <w:rPr>
      <w:rFonts w:ascii="Times" w:eastAsia="MS Mincho" w:hAnsi="Times" w:cs="Times"/>
      <w:sz w:val="22"/>
      <w:szCs w:val="22"/>
      <w:lang w:val="fr-CA" w:eastAsia="zh-CN"/>
    </w:rPr>
  </w:style>
  <w:style w:type="paragraph" w:styleId="Titre1">
    <w:name w:val="heading 1"/>
    <w:basedOn w:val="Normal"/>
    <w:next w:val="Normal"/>
    <w:uiPriority w:val="9"/>
    <w:qFormat/>
    <w:pPr>
      <w:keepNext/>
      <w:numPr>
        <w:numId w:val="1"/>
      </w:numPr>
      <w:spacing w:before="240" w:after="60"/>
      <w:outlineLvl w:val="0"/>
    </w:pPr>
    <w:rPr>
      <w:b/>
      <w:bCs/>
      <w:kern w:val="2"/>
    </w:rPr>
  </w:style>
  <w:style w:type="paragraph" w:styleId="Titre2">
    <w:name w:val="heading 2"/>
    <w:basedOn w:val="Normal"/>
    <w:next w:val="Normal"/>
    <w:link w:val="Titre2Car"/>
    <w:uiPriority w:val="9"/>
    <w:unhideWhenUsed/>
    <w:qFormat/>
    <w:pPr>
      <w:keepNext/>
      <w:numPr>
        <w:ilvl w:val="1"/>
        <w:numId w:val="1"/>
      </w:numPr>
      <w:spacing w:before="240" w:after="60"/>
      <w:outlineLvl w:val="1"/>
    </w:pPr>
    <w:rPr>
      <w:b/>
      <w:bCs/>
    </w:rPr>
  </w:style>
  <w:style w:type="paragraph" w:styleId="Titre3">
    <w:name w:val="heading 3"/>
    <w:basedOn w:val="Retraitcorpsdetexte3"/>
    <w:next w:val="Retraitcorpsdetexte3"/>
    <w:unhideWhenUsed/>
    <w:qFormat/>
    <w:pPr>
      <w:keepNext/>
      <w:spacing w:before="240" w:after="60"/>
      <w:ind w:left="0" w:firstLine="0"/>
    </w:pPr>
  </w:style>
  <w:style w:type="paragraph" w:styleId="Titre4">
    <w:name w:val="heading 4"/>
    <w:basedOn w:val="Normal"/>
    <w:next w:val="Normal"/>
    <w:uiPriority w:val="9"/>
    <w:unhideWhenUsed/>
    <w:qFormat/>
    <w:pPr>
      <w:keepNext/>
      <w:ind w:left="0"/>
      <w:outlineLvl w:val="3"/>
    </w:pPr>
    <w:rPr>
      <w:b/>
      <w:bCs/>
    </w:rPr>
  </w:style>
  <w:style w:type="paragraph" w:styleId="Titre5">
    <w:name w:val="heading 5"/>
    <w:basedOn w:val="Normal"/>
    <w:next w:val="Normal"/>
    <w:uiPriority w:val="9"/>
    <w:semiHidden/>
    <w:unhideWhenUsed/>
    <w:qFormat/>
    <w:pPr>
      <w:keepNext/>
      <w:ind w:left="72"/>
      <w:outlineLvl w:val="4"/>
    </w:pPr>
    <w:rPr>
      <w:b/>
      <w:bCs/>
    </w:rPr>
  </w:style>
  <w:style w:type="paragraph" w:styleId="Titre6">
    <w:name w:val="heading 6"/>
    <w:basedOn w:val="Normal"/>
    <w:next w:val="Normal"/>
    <w:uiPriority w:val="9"/>
    <w:semiHidden/>
    <w:unhideWhenUsed/>
    <w:qFormat/>
    <w:pPr>
      <w:keepNext/>
      <w:ind w:left="0" w:hanging="7"/>
      <w:jc w:val="left"/>
      <w:outlineLvl w:val="5"/>
    </w:pPr>
    <w:rPr>
      <w:b/>
      <w:bCs/>
    </w:rPr>
  </w:style>
  <w:style w:type="paragraph" w:styleId="Titre7">
    <w:name w:val="heading 7"/>
    <w:basedOn w:val="Normal"/>
    <w:next w:val="Normal"/>
    <w:qFormat/>
    <w:pPr>
      <w:keepNext/>
      <w:ind w:left="0" w:hanging="7"/>
      <w:outlineLvl w:val="6"/>
    </w:pPr>
    <w:rPr>
      <w:b/>
      <w:bCs/>
    </w:rPr>
  </w:style>
  <w:style w:type="paragraph" w:styleId="Titre8">
    <w:name w:val="heading 8"/>
    <w:basedOn w:val="Normal"/>
    <w:next w:val="Normal"/>
    <w:qFormat/>
    <w:pPr>
      <w:keepNext/>
      <w:ind w:left="2120" w:hanging="2080"/>
      <w:jc w:val="center"/>
      <w:outlineLvl w:val="7"/>
    </w:pPr>
    <w:rPr>
      <w:u w:val="single"/>
    </w:rPr>
  </w:style>
  <w:style w:type="paragraph" w:styleId="Titre9">
    <w:name w:val="heading 9"/>
    <w:basedOn w:val="Normal"/>
    <w:next w:val="Normal"/>
    <w:qFormat/>
    <w:pPr>
      <w:keepNext/>
      <w:ind w:left="567" w:hanging="574"/>
      <w:outlineLvl w:val="8"/>
    </w:pPr>
    <w:rPr>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rPr>
      <w:rFonts w:ascii="Symbol" w:hAnsi="Symbol" w:cs="Symbol"/>
    </w:rPr>
  </w:style>
  <w:style w:type="character" w:customStyle="1" w:styleId="WW8Num2z0">
    <w:name w:val="WW8Num2z0"/>
    <w:qFormat/>
  </w:style>
  <w:style w:type="character" w:customStyle="1" w:styleId="WW8Num3z0">
    <w:name w:val="WW8Num3z0"/>
    <w:qFormat/>
  </w:style>
  <w:style w:type="character" w:customStyle="1" w:styleId="WW8Num4z0">
    <w:name w:val="WW8Num4z0"/>
    <w:qFormat/>
    <w:rPr>
      <w:rFonts w:ascii="Times" w:hAnsi="Times" w:cs="Times"/>
      <w:b/>
      <w:i w:val="0"/>
      <w:sz w:val="22"/>
    </w:rPr>
  </w:style>
  <w:style w:type="character" w:customStyle="1" w:styleId="WW8Num5z0">
    <w:name w:val="WW8Num5z0"/>
    <w:qFormat/>
    <w:rPr>
      <w:rFonts w:ascii="Times" w:hAnsi="Times" w:cs="Times"/>
      <w:b/>
      <w:i w:val="0"/>
      <w:sz w:val="22"/>
    </w:rPr>
  </w:style>
  <w:style w:type="character" w:customStyle="1" w:styleId="WW8Num5z1">
    <w:name w:val="WW8Num5z1"/>
    <w:qFormat/>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style>
  <w:style w:type="character" w:customStyle="1" w:styleId="WW8Num13z0">
    <w:name w:val="WW8Num13z0"/>
    <w:qFormat/>
  </w:style>
  <w:style w:type="character" w:customStyle="1" w:styleId="WW8Num14z0">
    <w:name w:val="WW8Num14z0"/>
    <w:qFormat/>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3z0">
    <w:name w:val="WW8Num23z0"/>
    <w:qFormat/>
  </w:style>
  <w:style w:type="character" w:customStyle="1" w:styleId="WW8Num24z0">
    <w:name w:val="WW8Num24z0"/>
    <w:qFormat/>
  </w:style>
  <w:style w:type="character" w:customStyle="1" w:styleId="WW8Num26z0">
    <w:name w:val="WW8Num26z0"/>
    <w:qFormat/>
    <w:rPr>
      <w:rFonts w:ascii="Symbol" w:hAnsi="Symbol" w:cs="Symbo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7z0">
    <w:name w:val="WW8Num27z0"/>
    <w:qFormat/>
  </w:style>
  <w:style w:type="character" w:customStyle="1" w:styleId="EndnoteCharacters">
    <w:name w:val="Endnote Characters"/>
    <w:qFormat/>
    <w:rPr>
      <w:vertAlign w:val="superscript"/>
    </w:rPr>
  </w:style>
  <w:style w:type="character" w:customStyle="1" w:styleId="FootnoteCharacters">
    <w:name w:val="Footnote Characters"/>
    <w:qFormat/>
    <w:rPr>
      <w:sz w:val="16"/>
      <w:szCs w:val="16"/>
      <w:vertAlign w:val="superscript"/>
    </w:rPr>
  </w:style>
  <w:style w:type="character" w:styleId="Numrodepage">
    <w:name w:val="page number"/>
    <w:rPr>
      <w:rFonts w:ascii="Palatino;Book Antiqua" w:hAnsi="Palatino;Book Antiqua" w:cs="Palatino;Book Antiqua"/>
    </w:rPr>
  </w:style>
  <w:style w:type="character" w:styleId="Hyperlien">
    <w:name w:val="Hyperlink"/>
    <w:rPr>
      <w:color w:val="0000FF"/>
      <w:u w:val="single"/>
    </w:rPr>
  </w:style>
  <w:style w:type="character" w:styleId="Accentuation">
    <w:name w:val="Emphasis"/>
    <w:qFormat/>
    <w:rPr>
      <w:i/>
      <w:iCs/>
    </w:rPr>
  </w:style>
  <w:style w:type="character" w:customStyle="1" w:styleId="CarCar">
    <w:name w:val="Car Car"/>
    <w:qFormat/>
    <w:rPr>
      <w:rFonts w:ascii="Arial Black" w:hAnsi="Arial Black" w:cs="Arial Black"/>
      <w:spacing w:val="-30"/>
      <w:kern w:val="2"/>
      <w:sz w:val="40"/>
      <w:lang w:val="fr-CA" w:bidi="ar-SA"/>
    </w:rPr>
  </w:style>
  <w:style w:type="character" w:customStyle="1" w:styleId="CarCar3">
    <w:name w:val="Car Car3"/>
    <w:qFormat/>
    <w:rPr>
      <w:smallCaps/>
      <w:sz w:val="52"/>
      <w:szCs w:val="52"/>
    </w:rPr>
  </w:style>
  <w:style w:type="character" w:customStyle="1" w:styleId="CarCar4">
    <w:name w:val="Car Car4"/>
    <w:qFormat/>
    <w:rPr>
      <w:rFonts w:ascii="Times" w:hAnsi="Times" w:cs="Times"/>
      <w:b/>
      <w:bCs/>
      <w:kern w:val="2"/>
      <w:sz w:val="22"/>
      <w:szCs w:val="22"/>
      <w:lang w:val="fr-CA" w:bidi="ar-SA"/>
    </w:rPr>
  </w:style>
  <w:style w:type="character" w:customStyle="1" w:styleId="CarCar2">
    <w:name w:val="Car Car2"/>
    <w:qFormat/>
    <w:rPr>
      <w:rFonts w:ascii="Times" w:hAnsi="Times" w:cs="Times"/>
      <w:sz w:val="22"/>
      <w:szCs w:val="22"/>
      <w:lang w:val="fr-CA"/>
    </w:rPr>
  </w:style>
  <w:style w:type="character" w:styleId="Lienvisit">
    <w:name w:val="FollowedHyperlink"/>
    <w:rPr>
      <w:color w:val="800080"/>
      <w:u w:val="single"/>
    </w:rPr>
  </w:style>
  <w:style w:type="character" w:customStyle="1" w:styleId="libelleod1">
    <w:name w:val="libelleod1"/>
    <w:qFormat/>
    <w:rPr>
      <w:rFonts w:cs="Times New Roman"/>
      <w:b/>
      <w:bCs/>
    </w:rPr>
  </w:style>
  <w:style w:type="character" w:customStyle="1" w:styleId="Titre5Car">
    <w:name w:val="Titre 5 Car"/>
    <w:qFormat/>
    <w:rPr>
      <w:rFonts w:ascii="Times" w:hAnsi="Times" w:cs="Times"/>
      <w:b/>
      <w:bCs/>
      <w:sz w:val="22"/>
      <w:szCs w:val="22"/>
      <w:lang w:val="fr-CA" w:bidi="ar-SA"/>
    </w:rPr>
  </w:style>
  <w:style w:type="character" w:customStyle="1" w:styleId="TextedebullesCar">
    <w:name w:val="Texte de bulles Car"/>
    <w:qFormat/>
    <w:rPr>
      <w:rFonts w:ascii="Tahoma" w:hAnsi="Tahoma" w:cs="Tahoma"/>
      <w:sz w:val="16"/>
      <w:szCs w:val="16"/>
    </w:rPr>
  </w:style>
  <w:style w:type="character" w:customStyle="1" w:styleId="PieddepageCar">
    <w:name w:val="Pied de page Car"/>
    <w:qFormat/>
    <w:rPr>
      <w:rFonts w:ascii="Times" w:hAnsi="Times" w:cs="Times"/>
      <w:sz w:val="22"/>
      <w:szCs w:val="22"/>
    </w:rPr>
  </w:style>
  <w:style w:type="character" w:styleId="Mentionnonrsolue">
    <w:name w:val="Unresolved Mention"/>
    <w:qFormat/>
    <w:rPr>
      <w:color w:val="605E5C"/>
      <w:shd w:val="clear" w:color="auto" w:fill="E1DFDD"/>
    </w:rPr>
  </w:style>
  <w:style w:type="character" w:styleId="Marquedecommentaire">
    <w:name w:val="annotation reference"/>
    <w:qFormat/>
    <w:rPr>
      <w:sz w:val="16"/>
      <w:szCs w:val="16"/>
    </w:rPr>
  </w:style>
  <w:style w:type="character" w:customStyle="1" w:styleId="CommentaireCar">
    <w:name w:val="Commentaire Car"/>
    <w:qFormat/>
    <w:rPr>
      <w:rFonts w:ascii="Times" w:hAnsi="Times" w:cs="Times"/>
      <w:lang w:val="fr-CA"/>
    </w:rPr>
  </w:style>
  <w:style w:type="character" w:customStyle="1" w:styleId="ObjetducommentaireCar">
    <w:name w:val="Objet du commentaire Car"/>
    <w:qFormat/>
    <w:rPr>
      <w:rFonts w:ascii="Times" w:hAnsi="Times" w:cs="Times"/>
      <w:b/>
      <w:bCs/>
      <w:lang w:val="fr-CA"/>
    </w:rPr>
  </w:style>
  <w:style w:type="character" w:styleId="lev">
    <w:name w:val="Strong"/>
    <w:qFormat/>
    <w:rPr>
      <w:b/>
      <w:bCs/>
    </w:rPr>
  </w:style>
  <w:style w:type="character" w:customStyle="1" w:styleId="IndexLink">
    <w:name w:val="Index Link"/>
    <w:qFormat/>
  </w:style>
  <w:style w:type="paragraph" w:customStyle="1" w:styleId="Heading">
    <w:name w:val="Heading"/>
    <w:basedOn w:val="Normal"/>
    <w:next w:val="Sous-titre"/>
    <w:qFormat/>
    <w:pPr>
      <w:keepNext/>
      <w:keepLines/>
      <w:pBdr>
        <w:bottom w:val="single" w:sz="6" w:space="16" w:color="000000"/>
      </w:pBdr>
      <w:spacing w:before="220" w:after="60" w:line="320" w:lineRule="atLeast"/>
      <w:ind w:left="0"/>
      <w:jc w:val="left"/>
      <w:outlineLvl w:val="9"/>
    </w:pPr>
    <w:rPr>
      <w:rFonts w:ascii="Arial Black" w:hAnsi="Arial Black" w:cs="Times New Roman"/>
      <w:spacing w:val="-30"/>
      <w:kern w:val="2"/>
      <w:sz w:val="40"/>
      <w:szCs w:val="20"/>
    </w:rPr>
  </w:style>
  <w:style w:type="paragraph" w:styleId="Corpsdetexte">
    <w:name w:val="Body Text"/>
    <w:basedOn w:val="Normal"/>
    <w:pPr>
      <w:ind w:left="0"/>
      <w:jc w:val="left"/>
    </w:pPr>
    <w:rPr>
      <w:b/>
      <w:bCs/>
    </w:rPr>
  </w:style>
  <w:style w:type="paragraph" w:styleId="Liste">
    <w:name w:val="List"/>
    <w:basedOn w:val="Normal"/>
    <w:pPr>
      <w:ind w:left="283" w:hanging="283"/>
    </w:pPr>
  </w:style>
  <w:style w:type="paragraph" w:styleId="Lgende">
    <w:name w:val="caption"/>
    <w:basedOn w:val="Normal"/>
    <w:next w:val="Normal"/>
    <w:qFormat/>
    <w:pPr>
      <w:spacing w:before="120" w:after="120"/>
    </w:pPr>
    <w:rPr>
      <w:b/>
      <w:bCs/>
    </w:rPr>
  </w:style>
  <w:style w:type="paragraph" w:customStyle="1" w:styleId="Index">
    <w:name w:val="Index"/>
    <w:basedOn w:val="Normal"/>
    <w:qFormat/>
    <w:pPr>
      <w:suppressLineNumbers/>
    </w:pPr>
    <w:rPr>
      <w:rFonts w:cs="FreeSans"/>
    </w:rPr>
  </w:style>
  <w:style w:type="paragraph" w:styleId="Retraitcorpsdetexte3">
    <w:name w:val="Body Text Indent 3"/>
    <w:basedOn w:val="Normal"/>
    <w:qFormat/>
    <w:pPr>
      <w:spacing w:line="240" w:lineRule="atLeast"/>
      <w:ind w:firstLine="23"/>
      <w:jc w:val="left"/>
    </w:pPr>
  </w:style>
  <w:style w:type="paragraph" w:styleId="TM3">
    <w:name w:val="toc 3"/>
    <w:basedOn w:val="Normal"/>
    <w:next w:val="Normal"/>
    <w:pPr>
      <w:tabs>
        <w:tab w:val="right" w:leader="dot" w:pos="8504"/>
      </w:tabs>
      <w:ind w:left="1860" w:right="850" w:hanging="760"/>
    </w:pPr>
  </w:style>
  <w:style w:type="paragraph" w:styleId="TM2">
    <w:name w:val="toc 2"/>
    <w:basedOn w:val="Normal"/>
    <w:next w:val="Normal"/>
    <w:pPr>
      <w:tabs>
        <w:tab w:val="right" w:leader="dot" w:pos="8504"/>
      </w:tabs>
      <w:spacing w:line="360" w:lineRule="atLeast"/>
      <w:ind w:left="1100" w:right="850" w:hanging="600"/>
    </w:pPr>
  </w:style>
  <w:style w:type="paragraph" w:styleId="TM1">
    <w:name w:val="toc 1"/>
    <w:basedOn w:val="Normal"/>
    <w:next w:val="Normal"/>
    <w:pPr>
      <w:tabs>
        <w:tab w:val="right" w:leader="dot" w:pos="8504"/>
      </w:tabs>
      <w:spacing w:line="480" w:lineRule="atLeast"/>
      <w:ind w:left="520" w:right="850" w:hanging="520"/>
    </w:pPr>
  </w:style>
  <w:style w:type="paragraph" w:customStyle="1" w:styleId="HeaderandFooter">
    <w:name w:val="Header and Footer"/>
    <w:basedOn w:val="Normal"/>
    <w:qFormat/>
    <w:pPr>
      <w:suppressLineNumbers/>
      <w:tabs>
        <w:tab w:val="center" w:pos="4819"/>
        <w:tab w:val="right" w:pos="9638"/>
      </w:tabs>
    </w:pPr>
  </w:style>
  <w:style w:type="paragraph" w:styleId="Pieddepage">
    <w:name w:val="footer"/>
    <w:basedOn w:val="Normal"/>
    <w:pPr>
      <w:tabs>
        <w:tab w:val="center" w:pos="4252"/>
        <w:tab w:val="right" w:pos="8504"/>
      </w:tabs>
    </w:pPr>
  </w:style>
  <w:style w:type="paragraph" w:styleId="En-tte">
    <w:name w:val="header"/>
    <w:basedOn w:val="Normal"/>
    <w:pPr>
      <w:tabs>
        <w:tab w:val="center" w:pos="4320"/>
        <w:tab w:val="right" w:pos="8640"/>
      </w:tabs>
    </w:pPr>
  </w:style>
  <w:style w:type="paragraph" w:styleId="Notedebasdepage">
    <w:name w:val="footnote text"/>
    <w:basedOn w:val="Normal"/>
    <w:rPr>
      <w:sz w:val="20"/>
      <w:szCs w:val="20"/>
    </w:rPr>
  </w:style>
  <w:style w:type="paragraph" w:styleId="Retraitcorpsdetexte">
    <w:name w:val="Body Text Indent"/>
    <w:basedOn w:val="Normal"/>
    <w:pPr>
      <w:ind w:left="520"/>
    </w:pPr>
  </w:style>
  <w:style w:type="paragraph" w:styleId="Retraitcorpsdetexte2">
    <w:name w:val="Body Text Indent 2"/>
    <w:basedOn w:val="Normal"/>
    <w:qFormat/>
    <w:pPr>
      <w:ind w:left="992"/>
      <w:outlineLvl w:val="1"/>
    </w:pPr>
  </w:style>
  <w:style w:type="paragraph" w:styleId="Listepuces">
    <w:name w:val="List Bullet"/>
    <w:basedOn w:val="Normal"/>
    <w:qFormat/>
    <w:pPr>
      <w:ind w:left="0"/>
    </w:pPr>
  </w:style>
  <w:style w:type="paragraph" w:customStyle="1" w:styleId="Style1">
    <w:name w:val="Style1"/>
    <w:basedOn w:val="Titre3"/>
    <w:qFormat/>
    <w:pPr>
      <w:outlineLvl w:val="9"/>
    </w:pPr>
  </w:style>
  <w:style w:type="paragraph" w:customStyle="1" w:styleId="Style2">
    <w:name w:val="Style2"/>
    <w:basedOn w:val="Style1"/>
    <w:qFormat/>
    <w:pPr>
      <w:numPr>
        <w:numId w:val="3"/>
      </w:numPr>
    </w:pPr>
  </w:style>
  <w:style w:type="paragraph" w:styleId="Corpsdetexte2">
    <w:name w:val="Body Text 2"/>
    <w:basedOn w:val="Normal"/>
    <w:qFormat/>
    <w:pPr>
      <w:ind w:left="0"/>
    </w:pPr>
    <w:rPr>
      <w:rFonts w:ascii="Helvetica" w:hAnsi="Helvetica" w:cs="Helvetica"/>
      <w:sz w:val="18"/>
      <w:szCs w:val="18"/>
    </w:rPr>
  </w:style>
  <w:style w:type="paragraph" w:styleId="Corpsdetexte3">
    <w:name w:val="Body Text 3"/>
    <w:basedOn w:val="Normal"/>
    <w:qFormat/>
    <w:pPr>
      <w:spacing w:line="360" w:lineRule="auto"/>
      <w:ind w:left="0" w:right="1190"/>
    </w:pPr>
    <w:rPr>
      <w:i/>
      <w:iCs/>
    </w:rPr>
  </w:style>
  <w:style w:type="paragraph" w:styleId="TM4">
    <w:name w:val="toc 4"/>
    <w:basedOn w:val="Normal"/>
    <w:next w:val="Normal"/>
    <w:pPr>
      <w:ind w:left="660"/>
    </w:pPr>
  </w:style>
  <w:style w:type="paragraph" w:styleId="TM5">
    <w:name w:val="toc 5"/>
    <w:basedOn w:val="Normal"/>
    <w:next w:val="Normal"/>
    <w:pPr>
      <w:ind w:left="880"/>
    </w:pPr>
  </w:style>
  <w:style w:type="paragraph" w:styleId="TM6">
    <w:name w:val="toc 6"/>
    <w:basedOn w:val="Normal"/>
    <w:next w:val="Normal"/>
    <w:pPr>
      <w:ind w:left="1100"/>
    </w:pPr>
  </w:style>
  <w:style w:type="paragraph" w:styleId="TM7">
    <w:name w:val="toc 7"/>
    <w:basedOn w:val="Normal"/>
    <w:next w:val="Normal"/>
    <w:pPr>
      <w:ind w:left="1320"/>
    </w:pPr>
  </w:style>
  <w:style w:type="paragraph" w:styleId="TM8">
    <w:name w:val="toc 8"/>
    <w:basedOn w:val="Normal"/>
    <w:next w:val="Normal"/>
    <w:pPr>
      <w:ind w:left="1540"/>
    </w:pPr>
  </w:style>
  <w:style w:type="paragraph" w:styleId="TM9">
    <w:name w:val="toc 9"/>
    <w:basedOn w:val="Normal"/>
    <w:next w:val="Normal"/>
    <w:pPr>
      <w:ind w:left="1760"/>
    </w:pPr>
  </w:style>
  <w:style w:type="paragraph" w:styleId="Normalcentr">
    <w:name w:val="Block Text"/>
    <w:basedOn w:val="Normal"/>
    <w:qFormat/>
    <w:pPr>
      <w:tabs>
        <w:tab w:val="right" w:leader="dot" w:pos="8504"/>
      </w:tabs>
      <w:ind w:left="1418" w:right="900" w:hanging="1418"/>
    </w:pPr>
  </w:style>
  <w:style w:type="paragraph" w:styleId="Notedefin">
    <w:name w:val="endnote text"/>
    <w:basedOn w:val="Normal"/>
    <w:rPr>
      <w:sz w:val="20"/>
      <w:szCs w:val="20"/>
    </w:rPr>
  </w:style>
  <w:style w:type="paragraph" w:styleId="Liste2">
    <w:name w:val="List 2"/>
    <w:basedOn w:val="Normal"/>
    <w:qFormat/>
    <w:pPr>
      <w:ind w:left="566" w:hanging="283"/>
    </w:pPr>
  </w:style>
  <w:style w:type="paragraph" w:styleId="Listepuces2">
    <w:name w:val="List Bullet 2"/>
    <w:basedOn w:val="Normal"/>
    <w:qFormat/>
    <w:pPr>
      <w:numPr>
        <w:numId w:val="2"/>
      </w:numPr>
    </w:pPr>
  </w:style>
  <w:style w:type="paragraph" w:styleId="Listecontinue2">
    <w:name w:val="List Continue 2"/>
    <w:basedOn w:val="Normal"/>
    <w:qFormat/>
    <w:pPr>
      <w:spacing w:after="120"/>
      <w:ind w:left="566"/>
    </w:pPr>
  </w:style>
  <w:style w:type="paragraph" w:customStyle="1" w:styleId="Adressedest">
    <w:name w:val="Adresse dest."/>
    <w:basedOn w:val="Normal"/>
    <w:qFormat/>
  </w:style>
  <w:style w:type="paragraph" w:customStyle="1" w:styleId="lattention">
    <w:name w:val="À l'attention"/>
    <w:basedOn w:val="Corpsdetexte"/>
    <w:qFormat/>
  </w:style>
  <w:style w:type="paragraph" w:styleId="NormalWeb">
    <w:name w:val="Normal (Web)"/>
    <w:basedOn w:val="Normal"/>
    <w:qFormat/>
    <w:pPr>
      <w:spacing w:before="100" w:after="100"/>
      <w:ind w:left="0"/>
      <w:jc w:val="left"/>
      <w:outlineLvl w:val="9"/>
    </w:pPr>
    <w:rPr>
      <w:rFonts w:ascii="Times New Roman" w:hAnsi="Times New Roman" w:cs="Times New Roman"/>
      <w:sz w:val="24"/>
      <w:szCs w:val="24"/>
      <w:lang w:val="fr-FR"/>
    </w:rPr>
  </w:style>
  <w:style w:type="paragraph" w:customStyle="1" w:styleId="Enttedetableau">
    <w:name w:val="Entête de tableau"/>
    <w:basedOn w:val="Normal"/>
    <w:qFormat/>
    <w:pPr>
      <w:spacing w:before="60"/>
      <w:ind w:left="0"/>
      <w:jc w:val="center"/>
      <w:outlineLvl w:val="9"/>
    </w:pPr>
    <w:rPr>
      <w:rFonts w:ascii="Arial Black" w:hAnsi="Arial Black" w:cs="Times New Roman"/>
      <w:spacing w:val="-5"/>
      <w:sz w:val="16"/>
      <w:szCs w:val="20"/>
    </w:rPr>
  </w:style>
  <w:style w:type="paragraph" w:styleId="Sous-titre">
    <w:name w:val="Subtitle"/>
    <w:basedOn w:val="Heading"/>
    <w:next w:val="Corpsdetexte"/>
    <w:uiPriority w:val="11"/>
    <w:qFormat/>
    <w:pPr>
      <w:spacing w:before="60" w:after="120" w:line="340" w:lineRule="atLeast"/>
    </w:pPr>
    <w:rPr>
      <w:rFonts w:ascii="Arial" w:hAnsi="Arial" w:cs="Arial"/>
      <w:b/>
      <w:i/>
      <w:spacing w:val="-16"/>
      <w:sz w:val="32"/>
    </w:rPr>
  </w:style>
  <w:style w:type="paragraph" w:customStyle="1" w:styleId="Textedetableau">
    <w:name w:val="Texte de tableau"/>
    <w:basedOn w:val="Normal"/>
    <w:qFormat/>
    <w:pPr>
      <w:spacing w:before="60"/>
      <w:ind w:left="0"/>
      <w:jc w:val="left"/>
      <w:outlineLvl w:val="9"/>
    </w:pPr>
    <w:rPr>
      <w:rFonts w:ascii="Arial" w:hAnsi="Arial" w:cs="Times New Roman"/>
      <w:spacing w:val="-5"/>
      <w:sz w:val="16"/>
      <w:szCs w:val="20"/>
    </w:rPr>
  </w:style>
  <w:style w:type="paragraph" w:styleId="Paragraphedeliste">
    <w:name w:val="List Paragraph"/>
    <w:basedOn w:val="Normal"/>
    <w:qFormat/>
    <w:pPr>
      <w:spacing w:after="200" w:line="276" w:lineRule="auto"/>
      <w:ind w:left="720"/>
      <w:contextualSpacing/>
      <w:jc w:val="left"/>
      <w:outlineLvl w:val="9"/>
    </w:pPr>
    <w:rPr>
      <w:rFonts w:ascii="Cambria" w:eastAsia="Calibri" w:hAnsi="Cambria" w:cs="Times New Roman"/>
      <w:lang w:val="en-US" w:bidi="en-US"/>
    </w:rPr>
  </w:style>
  <w:style w:type="paragraph" w:customStyle="1" w:styleId="desc">
    <w:name w:val="desc"/>
    <w:basedOn w:val="Normal"/>
    <w:qFormat/>
    <w:pPr>
      <w:spacing w:before="100" w:after="100"/>
      <w:ind w:left="0"/>
      <w:jc w:val="left"/>
      <w:outlineLvl w:val="9"/>
    </w:pPr>
    <w:rPr>
      <w:rFonts w:ascii="Times New Roman" w:eastAsia="Calibri" w:hAnsi="Times New Roman" w:cs="Times New Roman"/>
      <w:sz w:val="24"/>
      <w:szCs w:val="24"/>
    </w:rPr>
  </w:style>
  <w:style w:type="paragraph" w:styleId="Textedebulles">
    <w:name w:val="Balloon Text"/>
    <w:basedOn w:val="Normal"/>
    <w:qFormat/>
    <w:rPr>
      <w:rFonts w:ascii="Tahoma" w:hAnsi="Tahoma" w:cs="Times New Roman"/>
      <w:sz w:val="16"/>
      <w:szCs w:val="16"/>
      <w:lang w:val="en-US"/>
    </w:rPr>
  </w:style>
  <w:style w:type="paragraph" w:styleId="Commentaire">
    <w:name w:val="annotation text"/>
    <w:basedOn w:val="Normal"/>
    <w:qFormat/>
    <w:rPr>
      <w:sz w:val="20"/>
      <w:szCs w:val="20"/>
    </w:rPr>
  </w:style>
  <w:style w:type="paragraph" w:styleId="Objetducommentaire">
    <w:name w:val="annotation subject"/>
    <w:basedOn w:val="Commentaire"/>
    <w:next w:val="Commentaire"/>
    <w:qFormat/>
    <w:rPr>
      <w:b/>
      <w:bCs/>
    </w:rPr>
  </w:style>
  <w:style w:type="paragraph" w:styleId="Rvision">
    <w:name w:val="Revision"/>
    <w:qFormat/>
    <w:pPr>
      <w:suppressAutoHyphens/>
    </w:pPr>
    <w:rPr>
      <w:rFonts w:ascii="Times" w:eastAsia="MS Mincho" w:hAnsi="Times" w:cs="Times"/>
      <w:sz w:val="22"/>
      <w:szCs w:val="22"/>
      <w:lang w:val="fr-CA" w:eastAsia="zh-CN"/>
    </w:rPr>
  </w:style>
  <w:style w:type="paragraph" w:styleId="En-ttedetabledesmatires">
    <w:name w:val="TOC Heading"/>
    <w:basedOn w:val="Titre1"/>
    <w:next w:val="Normal"/>
    <w:qFormat/>
    <w:pPr>
      <w:keepLines/>
      <w:numPr>
        <w:numId w:val="0"/>
      </w:numPr>
      <w:spacing w:after="0" w:line="256" w:lineRule="auto"/>
      <w:jc w:val="left"/>
      <w:outlineLvl w:val="9"/>
    </w:pPr>
    <w:rPr>
      <w:rFonts w:ascii="Aptos Display" w:eastAsia="Times New Roman" w:hAnsi="Aptos Display" w:cs="Times New Roman"/>
      <w:b w:val="0"/>
      <w:bCs w:val="0"/>
      <w:color w:val="0F4761"/>
      <w:kern w:val="0"/>
      <w:sz w:val="32"/>
      <w:szCs w:val="32"/>
      <w:lang w:val="fr-FR"/>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character" w:customStyle="1" w:styleId="Titre2Car">
    <w:name w:val="Titre 2 Car"/>
    <w:link w:val="Titre2"/>
    <w:uiPriority w:val="9"/>
    <w:rsid w:val="00927E59"/>
    <w:rPr>
      <w:rFonts w:ascii="Times" w:eastAsia="MS Mincho" w:hAnsi="Times" w:cs="Times"/>
      <w:b/>
      <w:bCs/>
      <w:sz w:val="22"/>
      <w:szCs w:val="22"/>
      <w:lang w:val="fr-CA"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016/j.jmsy.2021.02.010" TargetMode="External"/><Relationship Id="rId26" Type="http://schemas.openxmlformats.org/officeDocument/2006/relationships/hyperlink" Target="https://patents.google.com/patent/US12093818B2/en" TargetMode="External"/><Relationship Id="rId39" Type="http://schemas.openxmlformats.org/officeDocument/2006/relationships/hyperlink" Target="https://www.iso.org/fr/standard/78176.html" TargetMode="External"/><Relationship Id="rId21" Type="http://schemas.openxmlformats.org/officeDocument/2006/relationships/hyperlink" Target="https://doi.org/10.3390/s25164963" TargetMode="External"/><Relationship Id="rId34" Type="http://schemas.openxmlformats.org/officeDocument/2006/relationships/hyperlink" Target="https://laws-lois.justice.gc.ca/fra/reglements/DORS-2000-202/index.html" TargetMode="External"/><Relationship Id="rId42" Type="http://schemas.openxmlformats.org/officeDocument/2006/relationships/hyperlink" Target="https://standards.ieee.org/ieee/1012/7324" TargetMode="External"/><Relationship Id="rId47" Type="http://schemas.openxmlformats.org/officeDocument/2006/relationships/hyperlink" Target="https://webstore.iec.ch/en/publication/76309" TargetMode="External"/><Relationship Id="rId50" Type="http://schemas.openxmlformats.org/officeDocument/2006/relationships/hyperlink" Target="https://www.iso.org/fr/standard/82875.html" TargetMode="External"/><Relationship Id="rId55" Type="http://schemas.openxmlformats.org/officeDocument/2006/relationships/hyperlink" Target="https://web.aacei.org/docs/default-source/toc/toc_18r-97.pdf" TargetMode="External"/><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doi.org/10.1016/j.anucene.2024.110491" TargetMode="External"/><Relationship Id="rId29" Type="http://schemas.openxmlformats.org/officeDocument/2006/relationships/hyperlink" Target="https://github.com/casella/ThermoPower" TargetMode="External"/><Relationship Id="rId11" Type="http://schemas.openxmlformats.org/officeDocument/2006/relationships/image" Target="media/image5.png"/><Relationship Id="rId24" Type="http://schemas.openxmlformats.org/officeDocument/2006/relationships/hyperlink" Target="https://patents.google.com/patent/CN118779601A/en" TargetMode="External"/><Relationship Id="rId32" Type="http://schemas.openxmlformats.org/officeDocument/2006/relationships/hyperlink" Target="https://www.oiq.qc.ca/lordre/politiques-lois-et-reglements/lois-et-reglements-entourant-la-pratique-du-genie/" TargetMode="External"/><Relationship Id="rId37" Type="http://schemas.openxmlformats.org/officeDocument/2006/relationships/hyperlink" Target="https://www.iso.org/fr/standard/81702.html" TargetMode="External"/><Relationship Id="rId40" Type="http://schemas.openxmlformats.org/officeDocument/2006/relationships/hyperlink" Target="https://www.iso.org/fr/standard/65694.html" TargetMode="External"/><Relationship Id="rId45" Type="http://schemas.openxmlformats.org/officeDocument/2006/relationships/hyperlink" Target="https://webstore.iec.ch/en/publication/32900" TargetMode="External"/><Relationship Id="rId53" Type="http://schemas.openxmlformats.org/officeDocument/2006/relationships/hyperlink" Target="https://www.legisquebec.gouv.qc.ca/fr/document/rc/I-9,%20r.%206%20/" TargetMode="External"/><Relationship Id="rId58" Type="http://schemas.openxmlformats.org/officeDocument/2006/relationships/hyperlink" Target="https://afg.quebec/documentation/publications" TargetMode="External"/><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hyperlink" Target="https://doi.org/10.1016/j.ijcip.2024.100721" TargetMode="External"/><Relationship Id="rId14" Type="http://schemas.openxmlformats.org/officeDocument/2006/relationships/hyperlink" Target="https://www.cnsc-ccsn.gc.ca/fra/acts-and-regulations/regulatory-documents/published/html/regdoc2-5-2-v2-1/" TargetMode="External"/><Relationship Id="rId22" Type="http://schemas.openxmlformats.org/officeDocument/2006/relationships/hyperlink" Target="https://patents.google.com/patent/CN118709527B/en" TargetMode="External"/><Relationship Id="rId27" Type="http://schemas.openxmlformats.org/officeDocument/2006/relationships/hyperlink" Target="https://www.ansys.com/en-gb/products/digital-twin/ansys-twin-builder" TargetMode="External"/><Relationship Id="rId30" Type="http://schemas.openxmlformats.org/officeDocument/2006/relationships/hyperlink" Target="https://www.nrc.gov/about-nrc/regulatory/research/safetycodes" TargetMode="External"/><Relationship Id="rId35" Type="http://schemas.openxmlformats.org/officeDocument/2006/relationships/hyperlink" Target="https://laws-lois.justice.gc.ca/fra/reglements/DORS-2000-204/index.html" TargetMode="External"/><Relationship Id="rId43" Type="http://schemas.openxmlformats.org/officeDocument/2006/relationships/hyperlink" Target="https://www.iso.org/fr/standard/77520.html" TargetMode="External"/><Relationship Id="rId48" Type="http://schemas.openxmlformats.org/officeDocument/2006/relationships/hyperlink" Target="https://webstore.iec.ch/en/publication/3795" TargetMode="External"/><Relationship Id="rId56" Type="http://schemas.openxmlformats.org/officeDocument/2006/relationships/hyperlink" Target="https://www.iso.org/fr/standard/78743.html" TargetMode="External"/><Relationship Id="rId8" Type="http://schemas.openxmlformats.org/officeDocument/2006/relationships/image" Target="media/image2.jpeg"/><Relationship Id="rId51" Type="http://schemas.openxmlformats.org/officeDocument/2006/relationships/hyperlink" Target="https://www.iso.org/fr/standard/80585.html"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016/j.apenergy.2025.126922" TargetMode="External"/><Relationship Id="rId25" Type="http://schemas.openxmlformats.org/officeDocument/2006/relationships/hyperlink" Target="https://patents.google.com/patent/CN118068765A/en" TargetMode="External"/><Relationship Id="rId33" Type="http://schemas.openxmlformats.org/officeDocument/2006/relationships/hyperlink" Target="https://laws-lois.justice.gc.ca/fra/lois/N-28.3/index.html" TargetMode="External"/><Relationship Id="rId38" Type="http://schemas.openxmlformats.org/officeDocument/2006/relationships/hyperlink" Target="https://www.iso.org/fr/standard/75066.html" TargetMode="External"/><Relationship Id="rId46" Type="http://schemas.openxmlformats.org/officeDocument/2006/relationships/hyperlink" Target="https://webstore.iec.ch/en/publication/26131" TargetMode="External"/><Relationship Id="rId59" Type="http://schemas.openxmlformats.org/officeDocument/2006/relationships/hyperlink" Target="https://www.uqac.ca/registraire/wp-content/uploads/2026/02/AUTOMNE-2026.pdf" TargetMode="External"/><Relationship Id="rId20" Type="http://schemas.openxmlformats.org/officeDocument/2006/relationships/hyperlink" Target="https://doi.org/10.1016/j.pnucene.2024.105177" TargetMode="External"/><Relationship Id="rId41" Type="http://schemas.openxmlformats.org/officeDocument/2006/relationships/hyperlink" Target="https://www.asme.org/codes-standards/find-codes-standards/standard-for-verification-and-validation-in-computational-fluid-dynamics-and-heat-transfer" TargetMode="External"/><Relationship Id="rId54" Type="http://schemas.openxmlformats.org/officeDocument/2006/relationships/hyperlink" Target="https://www.un.org/sustainabledevelopment/fr/objectifs-de-developpement-durable/"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iso.org/fr/standard/90219.html" TargetMode="External"/><Relationship Id="rId23" Type="http://schemas.openxmlformats.org/officeDocument/2006/relationships/hyperlink" Target="https://patents.google.com/patent/CN118228587A/en" TargetMode="External"/><Relationship Id="rId28" Type="http://schemas.openxmlformats.org/officeDocument/2006/relationships/hyperlink" Target="https://www.siemens.com/en-us/products/simcenter/systems-simulation/amesim/" TargetMode="External"/><Relationship Id="rId36" Type="http://schemas.openxmlformats.org/officeDocument/2006/relationships/hyperlink" Target="https://www.csagroup.org/store/product/2428461/" TargetMode="External"/><Relationship Id="rId49" Type="http://schemas.openxmlformats.org/officeDocument/2006/relationships/hyperlink" Target="https://webstore.iec.ch/en/publication/30172" TargetMode="External"/><Relationship Id="rId57" Type="http://schemas.openxmlformats.org/officeDocument/2006/relationships/hyperlink" Target="https://www-pub.iaea.org/MTCD/Publications/PDF/TRS384_scr.pdf" TargetMode="External"/><Relationship Id="rId10" Type="http://schemas.openxmlformats.org/officeDocument/2006/relationships/image" Target="media/image4.png"/><Relationship Id="rId31" Type="http://schemas.openxmlformats.org/officeDocument/2006/relationships/hyperlink" Target="https://www.legisquebec.gouv.qc.ca/fr/document/lc/I-9" TargetMode="External"/><Relationship Id="rId44" Type="http://schemas.openxmlformats.org/officeDocument/2006/relationships/hyperlink" Target="https://webstore.iec.ch/en/publication/32904" TargetMode="External"/><Relationship Id="rId52" Type="http://schemas.openxmlformats.org/officeDocument/2006/relationships/hyperlink" Target="http://gpp.oiq.qc.ca/Methodes_d_identification_des_dangers_et_d_analyse_des_risques.htm" TargetMode="External"/><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83</Pages>
  <Words>25301</Words>
  <Characters>139157</Characters>
  <Application>Microsoft Office Word</Application>
  <DocSecurity>0</DocSecurity>
  <Lines>1159</Lines>
  <Paragraphs>328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Sawadogo</dc:creator>
  <cp:lastModifiedBy>Christian Sawadogo</cp:lastModifiedBy>
  <cp:revision>2</cp:revision>
  <dcterms:created xsi:type="dcterms:W3CDTF">2026-09-23T15:29:00Z</dcterms:created>
  <dcterms:modified xsi:type="dcterms:W3CDTF">2026-09-23T15:29:00Z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2016-09-26T21:09:00Z</dcterms:created>
  <dc:creator>Service informatique LAB 3-519</dc:creator>
  <dc:description/>
  <cp:keywords/>
  <dc:language>en-US</dc:language>
  <cp:lastModifiedBy>Christian Sawadogo</cp:lastModifiedBy>
  <cp:lastPrinted>2016-09-26T17:09:00Z</cp:lastPrinted>
  <dcterms:modified xsi:type="dcterms:W3CDTF">2026-09-20T16:31:00Z</dcterms:modified>
  <cp:revision>36</cp:revision>
  <dc:subject/>
  <dc:title>Plan de cours</dc:title>
</cp:coreProperties>
</file>