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666666"/>
          <w:sz w:val="18"/>
          <w:szCs w:val="18"/>
        </w:rPr>
        <w:t xml:space="preserve">6GEN135 — IMP2 · UQAC</w:t>
      </w:r>
    </w:p>
    <w:p>
      <w:pPr>
        <w:pStyle w:val="Heading1"/>
        <w:spacing w:after="100"/>
      </w:pPr>
      <w:r>
        <w:rPr>
          <w:b/>
          <w:bCs/>
          <w:sz w:val="30"/>
          <w:szCs w:val="30"/>
        </w:rPr>
        <w:t xml:space="preserve">SS-6 : définition de l'évaluation des concepts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Fonction. </w:t>
      </w:r>
      <w:r>
        <w:rPr>
          <w:sz w:val="19"/>
          <w:szCs w:val="19"/>
        </w:rPr>
        <w:t xml:space="preserve">Journaliser, horodater et protéger l'intégrité de la chaîne, de l'acquisition à l'affichage.</w:t>
      </w:r>
    </w:p>
    <w:p>
      <w:pPr>
        <w:spacing w:after="180"/>
      </w:pPr>
      <w:r>
        <w:rPr>
          <w:color w:val="666666"/>
          <w:sz w:val="18"/>
          <w:szCs w:val="18"/>
        </w:rPr>
        <w:t xml:space="preserve">Lot L5 · Auteur : Christian Kévin Sawadogo · Réviseur : à désigner · Version v0.3, 21 octobre 2026</w:t>
      </w:r>
    </w:p>
    <w:p>
      <w:pPr>
        <w:spacing w:after="110"/>
      </w:pPr>
      <w:r>
        <w:rPr>
          <w:sz w:val="19"/>
          <w:szCs w:val="19"/>
        </w:rPr>
        <w:t xml:space="preserve">Étape 4 de l'analyse des concepts. Les critères et les barèmes s'appliquent aux trois concepts de la fonction, et non au seul concept dont j'ai la charge : un concept noté avec son propre barème obtient toujours une bonne note.</w:t>
      </w:r>
    </w:p>
    <w:p>
      <w:pPr>
        <w:spacing w:after="110"/>
      </w:pPr>
      <w:r>
        <w:rPr>
          <w:sz w:val="19"/>
          <w:szCs w:val="19"/>
        </w:rPr>
        <w:t xml:space="preserve">Un barème à rejet élimine le concept quel que soit son pointage ailleurs. Les pondérations sont à ratifier avant que le moindre concept soit noté.</w:t>
      </w:r>
    </w:p>
    <w:p>
      <w:pPr>
        <w:spacing w:after="140" w:before="300"/>
      </w:pPr>
      <w:r>
        <w:rPr>
          <w:b/>
          <w:bCs/>
          <w:sz w:val="24"/>
          <w:szCs w:val="24"/>
        </w:rPr>
        <w:t xml:space="preserve">Grille d'évaluation</w:t>
      </w:r>
    </w:p>
    <w:tbl>
      <w:tblPr>
        <w:tblW w:type="dxa" w:w="108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300"/>
        <w:gridCol w:w="1300"/>
        <w:gridCol w:w="4900"/>
        <w:gridCol w:w="1300"/>
      </w:tblGrid>
      <w:tr>
        <w:trPr>
          <w:tblHeader/>
        </w:trPr>
        <w:tc>
          <w:tcPr>
            <w:tcW w:type="dxa" w:w="33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Critères</w:t>
            </w:r>
          </w:p>
        </w:tc>
        <w:tc>
          <w:tcPr>
            <w:tcW w:type="dxa" w:w="13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Pondération</w:t>
            </w:r>
          </w:p>
        </w:tc>
        <w:tc>
          <w:tcPr>
            <w:tcW w:type="dxa" w:w="49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Barèmes</w:t>
            </w:r>
          </w:p>
        </w:tc>
        <w:tc>
          <w:tcPr>
            <w:tcW w:type="dxa" w:w="13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Spécification</w:t>
            </w:r>
          </w:p>
        </w:tc>
      </w:tr>
      <w:tr>
        <w:tc>
          <w:tcPr>
            <w:tcW w:type="dxa" w:w="3300"/>
            <w:vMerge w:val="restart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Preuve d'intégrité</w:t>
            </w:r>
          </w:p>
        </w:tc>
        <w:tc>
          <w:tcPr>
            <w:tcW w:type="dxa" w:w="1300"/>
            <w:vMerge w:val="restart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toute altération est détectée et localisée à l'entrée près -&gt; 100 %</w:t>
            </w:r>
          </w:p>
        </w:tc>
        <w:tc>
          <w:tcPr>
            <w:tcW w:type="dxa" w:w="1300"/>
            <w:vMerge w:val="restart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SHA-256</w:t>
            </w:r>
          </w:p>
        </w:tc>
      </w:tr>
      <w:tr>
        <w:tc>
          <w:tcPr>
            <w:tcW w:type="dxa" w:w="3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altération détectée sans localisation -&gt; 50 %</w:t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aucun mécanisme opposable à un tiers -&gt; rejet</w:t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vMerge w:val="restart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Preuve qu'aucune entrée ne manque</w:t>
            </w:r>
          </w:p>
        </w:tc>
        <w:tc>
          <w:tcPr>
            <w:tcW w:type="dxa" w:w="1300"/>
            <w:vMerge w:val="restart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 nombre d'entrées est comparable au nombre de cycles exécutés -&gt; 100 %</w:t>
            </w:r>
          </w:p>
        </w:tc>
        <w:tc>
          <w:tcPr>
            <w:tcW w:type="dxa" w:w="1300"/>
            <w:vMerge w:val="restart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essai de 60 min</w:t>
            </w:r>
          </w:p>
        </w:tc>
      </w:tr>
      <w:tr>
        <w:tc>
          <w:tcPr>
            <w:tcW w:type="dxa" w:w="3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continuité des numéros de séquence seulement -&gt; 50 %</w:t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aucune preuve autre que l'absence d'erreur constatée -&gt; rejet</w:t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vMerge w:val="restart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Possibilité de refaire le diagnostic</w:t>
            </w:r>
          </w:p>
        </w:tc>
        <w:tc>
          <w:tcPr>
            <w:tcW w:type="dxa" w:w="1300"/>
            <w:vMerge w:val="restart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les valeurs sont enregistrées, recalcul direct -&gt; 100 %</w:t>
            </w:r>
          </w:p>
        </w:tc>
        <w:tc>
          <w:tcPr>
            <w:tcW w:type="dxa" w:w="1300"/>
            <w:vMerge w:val="restart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les valeurs sont régénérables et vérifiables par empreinte -&gt; 50 %</w:t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reconstitution de la suite des décisions seulement -&gt; 25 %</w:t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vMerge w:val="restart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Effort de réalisation</w:t>
            </w:r>
          </w:p>
        </w:tc>
        <w:tc>
          <w:tcPr>
            <w:tcW w:type="dxa" w:w="1300"/>
            <w:vMerge w:val="restart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h-personnes ou moins -&gt; 100 %</w:t>
            </w:r>
          </w:p>
        </w:tc>
        <w:tc>
          <w:tcPr>
            <w:tcW w:type="dxa" w:w="1300"/>
            <w:vMerge w:val="restart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80 h-personnes</w:t>
            </w:r>
          </w:p>
        </w:tc>
      </w:tr>
      <w:tr>
        <w:tc>
          <w:tcPr>
            <w:tcW w:type="dxa" w:w="3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 40 à 80 h-personnes -&gt; 50 %</w:t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au-delà de 80 h-personnes -&gt; rejet</w:t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13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49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40" w:before="300"/>
      </w:pPr>
      <w:r>
        <w:rPr>
          <w:b/>
          <w:bCs/>
          <w:sz w:val="24"/>
          <w:szCs w:val="24"/>
        </w:rPr>
        <w:t xml:space="preserve">Critères écartés et raison</w:t>
      </w:r>
    </w:p>
    <w:p>
      <w:pPr>
        <w:spacing w:after="120"/>
      </w:pPr>
      <w:r>
        <w:rPr>
          <w:sz w:val="19"/>
          <w:szCs w:val="19"/>
        </w:rPr>
        <w:t xml:space="preserve">Une version antérieure comptait neuf critères. Elle a été réduite à quatre, parce qu'un critère que l'équipe ne peut pas mesurer dans le temps imparti, ou qui donne la même note aux trois concepts, n'aide pas à décider.</w:t>
      </w:r>
    </w:p>
    <w:tbl>
      <w:tblPr>
        <w:tblW w:type="dxa" w:w="108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300"/>
        <w:gridCol w:w="7500"/>
      </w:tblGrid>
      <w:tr>
        <w:trPr>
          <w:tblHeader/>
        </w:trPr>
        <w:tc>
          <w:tcPr>
            <w:tcW w:type="dxa" w:w="33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Critère écarté</w:t>
            </w:r>
          </w:p>
        </w:tc>
        <w:tc>
          <w:tcPr>
            <w:tcW w:type="dxa" w:w="75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Pourquoi</w:t>
            </w:r>
          </w:p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Indépendance du vérificateur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Fondue dans la preuve d'intégrité : une altération ne peut pas être localisée sans un vérificateur qui rejoue le contrôle, donc le premier critère la contient déjà.</w:t>
            </w:r>
          </w:p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Part du temps de cycle et volume produit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À l'échelle du prototype, aucun des trois concepts ne pèse sur le temps de cycle. Un critère qui donne la même note aux trois ne sert à rien.</w:t>
            </w:r>
          </w:p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Portée de la rétention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 prototype ne vit que le temps des essais, donc la durée de conservation ne départage pas les concepts.</w:t>
            </w:r>
          </w:p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Séparation des rôles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Devient une obligation documentaire : la limite de la clé détenue par celui qui écrit est à inscrire au rapport, et non à noter.</w:t>
            </w:r>
          </w:p>
        </w:tc>
      </w:tr>
    </w:tbl>
    <w:p>
      <w:pPr>
        <w:spacing w:after="140" w:before="300"/>
      </w:pPr>
      <w:r>
        <w:rPr>
          <w:b/>
          <w:bCs/>
          <w:sz w:val="24"/>
          <w:szCs w:val="24"/>
        </w:rPr>
        <w:t xml:space="preserve">Ce que ce barème dit du concept dont j'ai la charge</w:t>
      </w:r>
    </w:p>
    <w:p>
      <w:pPr>
        <w:spacing w:after="110"/>
      </w:pPr>
      <w:r>
        <w:rPr>
          <w:sz w:val="19"/>
          <w:szCs w:val="19"/>
        </w:rPr>
        <w:t xml:space="preserve">Le concept A plafonne à 50 % sur le troisième critère, parce que ses valeurs sont régénérables mais non enregistrées. Le concept B est le seul à pouvoir atteindre 100 %. Cette note bascule à 25 % si SS-1 ne tient pas une reproductibilité exacte, donc elle dépend d'une décision prise dans un autre lot.</w:t>
      </w:r>
    </w:p>
    <w:sectPr>
      <w:pgSz w:w="12240" w:h="15840" w:orient="portrait"/>
      <w:pgMar w:top="1080" w:right="720" w:bottom="10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2026-10-22T01:38:28.161Z</dcterms:created>
  <dcterms:modified xsi:type="dcterms:W3CDTF">2026-10-22T01:38:28.161Z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