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67BB" w14:textId="77777777" w:rsidR="003E1AAA" w:rsidRDefault="00000000">
      <w:pPr>
        <w:spacing w:after="40"/>
      </w:pPr>
      <w:r>
        <w:rPr>
          <w:b/>
          <w:bCs/>
          <w:color w:val="52514E"/>
          <w:sz w:val="17"/>
          <w:szCs w:val="17"/>
        </w:rPr>
        <w:t>6GEN135 — IMP2 · UQAC</w:t>
      </w:r>
    </w:p>
    <w:p w14:paraId="01BD4FDF" w14:textId="77777777" w:rsidR="003E1AAA" w:rsidRDefault="00000000">
      <w:pPr>
        <w:pBdr>
          <w:bottom w:val="single" w:sz="12" w:space="8" w:color="2A78D6"/>
        </w:pBdr>
        <w:spacing w:after="60"/>
      </w:pPr>
      <w:r>
        <w:rPr>
          <w:b/>
          <w:bCs/>
          <w:sz w:val="29"/>
          <w:szCs w:val="29"/>
        </w:rPr>
        <w:t>Section 5 — Normes, codes et standards</w:t>
      </w:r>
    </w:p>
    <w:p w14:paraId="56ADD6CE" w14:textId="77777777" w:rsidR="003E1AAA" w:rsidRDefault="00000000">
      <w:pPr>
        <w:spacing w:after="220" w:line="280" w:lineRule="auto"/>
      </w:pPr>
      <w:r>
        <w:rPr>
          <w:b/>
          <w:bCs/>
          <w:color w:val="52514E"/>
          <w:sz w:val="19"/>
          <w:szCs w:val="19"/>
        </w:rPr>
        <w:t xml:space="preserve">Auteur : </w:t>
      </w:r>
      <w:r>
        <w:rPr>
          <w:color w:val="52514E"/>
          <w:sz w:val="19"/>
          <w:szCs w:val="19"/>
        </w:rPr>
        <w:t>Abdoul Raouf Kabre</w:t>
      </w:r>
      <w:r>
        <w:rPr>
          <w:b/>
          <w:bCs/>
          <w:color w:val="52514E"/>
          <w:sz w:val="19"/>
          <w:szCs w:val="19"/>
        </w:rPr>
        <w:t xml:space="preserve">   ·   Révision : </w:t>
      </w:r>
      <w:r>
        <w:rPr>
          <w:color w:val="52514E"/>
          <w:sz w:val="19"/>
          <w:szCs w:val="19"/>
        </w:rPr>
        <w:t>Christian Kévin Sawadogo   ·   14 septembre 2026   ·   v0.2</w:t>
      </w:r>
    </w:p>
    <w:p w14:paraId="3EF17D4B" w14:textId="727C83D4" w:rsidR="003E1AAA" w:rsidRDefault="003E1AAA"/>
    <w:p w14:paraId="51607838" w14:textId="77777777" w:rsidR="003E1AAA" w:rsidRDefault="00000000">
      <w:pPr>
        <w:pStyle w:val="Titre1"/>
        <w:pBdr>
          <w:bottom w:val="single" w:sz="10" w:space="6" w:color="2A78D6"/>
        </w:pBdr>
        <w:spacing w:before="340" w:after="150"/>
      </w:pPr>
      <w:r>
        <w:rPr>
          <w:b/>
          <w:bCs/>
          <w:color w:val="1A1A19"/>
          <w:sz w:val="27"/>
          <w:szCs w:val="27"/>
        </w:rPr>
        <w:t>5.  Normes, codes et standards</w:t>
      </w:r>
    </w:p>
    <w:p w14:paraId="7CF0CB3D" w14:textId="77777777" w:rsidR="003E1AAA" w:rsidRDefault="00000000">
      <w:pPr>
        <w:spacing w:after="130" w:line="280" w:lineRule="auto"/>
      </w:pPr>
      <w:r>
        <w:t xml:space="preserve">Le projet comprend des activités d’ingénierie des exigences, de modélisation de la boucle </w:t>
      </w:r>
      <w:proofErr w:type="spellStart"/>
      <w:r>
        <w:t>thermohydraulique</w:t>
      </w:r>
      <w:proofErr w:type="spellEnd"/>
      <w:r>
        <w:t>, de conception logicielle, de cybersécurité, d’acquisition de données, de détection d’anomalies, de quantification de l’incertitude, de conception d’une interface homme-machine ainsi que de vérification et de validation. Les lois, règlements et normes retenus ont été sélectionnés en fonction de leur pertinence pour ces activités. Ils sont utilisés comme références d’ingénierie, de conception et de validation.</w:t>
      </w:r>
    </w:p>
    <w:p w14:paraId="3CB1EDA1" w14:textId="77777777" w:rsidR="003E1AAA" w:rsidRDefault="00000000">
      <w:pPr>
        <w:spacing w:after="130" w:line="280" w:lineRule="auto"/>
      </w:pPr>
      <w:r>
        <w:t>La revue distingue trois niveaux : le cadre législatif, qui détermine ce qui relève de l’exercice de l’ingénierie ; le cadre réglementaire, qui encadre les installations nucléaires canadiennes ; et les normes techniques, qui orientent les choix de conception et fournissent les critères de validation.</w:t>
      </w:r>
    </w:p>
    <w:p w14:paraId="10F606BE" w14:textId="2C97E786" w:rsidR="003E1AAA" w:rsidRDefault="00E126E4">
      <w:pPr>
        <w:pStyle w:val="Titre2"/>
        <w:spacing w:before="280" w:after="120"/>
      </w:pPr>
      <w:r>
        <w:rPr>
          <w:b/>
          <w:bCs/>
          <w:color w:val="2A78D6"/>
          <w:sz w:val="23"/>
          <w:szCs w:val="23"/>
        </w:rPr>
        <w:t>5.1 Cadre</w:t>
      </w:r>
      <w:r w:rsidR="00000000">
        <w:rPr>
          <w:b/>
          <w:bCs/>
          <w:color w:val="2A78D6"/>
          <w:sz w:val="23"/>
          <w:szCs w:val="23"/>
        </w:rPr>
        <w:t xml:space="preserve"> législatif</w:t>
      </w:r>
    </w:p>
    <w:p w14:paraId="496D64EA" w14:textId="77777777" w:rsidR="003E1AAA" w:rsidRDefault="00000000">
      <w:pPr>
        <w:spacing w:after="130" w:line="280" w:lineRule="auto"/>
      </w:pPr>
      <w:r>
        <w:t>Au Québec, l’exercice de l’ingénierie est encadré par la Loi sur les ingénieurs, RLRQ, chapitre I-9 [1]. L’Ordre des ingénieurs du Québec rappelle que cette loi définit l’exercice de l’ingénierie, les activités réservées, les ouvrages auxquels elles se rapportent ainsi que certaines responsabilités professionnelles [2]. Elle s’inscrit dans la mission de protection du public du système professionnel québécois. Quatre dispositions concernent directement le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00"/>
        <w:gridCol w:w="3960"/>
      </w:tblGrid>
      <w:tr w:rsidR="003E1AAA" w14:paraId="3B59A17D" w14:textId="77777777" w:rsidTr="00E126E4">
        <w:tblPrEx>
          <w:tblCellMar>
            <w:top w:w="0" w:type="dxa"/>
            <w:bottom w:w="0" w:type="dxa"/>
          </w:tblCellMar>
        </w:tblPrEx>
        <w:trPr>
          <w:tblHeader/>
        </w:trPr>
        <w:tc>
          <w:tcPr>
            <w:tcW w:w="1500" w:type="dxa"/>
            <w:shd w:val="clear" w:color="auto" w:fill="EFF4FB"/>
            <w:tcMar>
              <w:top w:w="70" w:type="dxa"/>
              <w:left w:w="100" w:type="dxa"/>
              <w:bottom w:w="70" w:type="dxa"/>
              <w:right w:w="100" w:type="dxa"/>
            </w:tcMar>
            <w:vAlign w:val="center"/>
          </w:tcPr>
          <w:p w14:paraId="04C54033" w14:textId="77777777" w:rsidR="003E1AAA" w:rsidRDefault="00000000">
            <w:pPr>
              <w:spacing w:before="30" w:after="30" w:line="250" w:lineRule="auto"/>
            </w:pPr>
            <w:r>
              <w:rPr>
                <w:b/>
                <w:bCs/>
                <w:sz w:val="16"/>
                <w:szCs w:val="16"/>
              </w:rPr>
              <w:t>Disposition</w:t>
            </w:r>
          </w:p>
        </w:tc>
        <w:tc>
          <w:tcPr>
            <w:tcW w:w="3900" w:type="dxa"/>
            <w:shd w:val="clear" w:color="auto" w:fill="EFF4FB"/>
            <w:tcMar>
              <w:top w:w="70" w:type="dxa"/>
              <w:left w:w="100" w:type="dxa"/>
              <w:bottom w:w="70" w:type="dxa"/>
              <w:right w:w="100" w:type="dxa"/>
            </w:tcMar>
            <w:vAlign w:val="center"/>
          </w:tcPr>
          <w:p w14:paraId="1E3C9A2E" w14:textId="77777777" w:rsidR="003E1AAA" w:rsidRDefault="00000000">
            <w:pPr>
              <w:spacing w:before="30" w:after="30" w:line="250" w:lineRule="auto"/>
            </w:pPr>
            <w:r>
              <w:rPr>
                <w:b/>
                <w:bCs/>
                <w:sz w:val="16"/>
                <w:szCs w:val="16"/>
              </w:rPr>
              <w:t>Portée</w:t>
            </w:r>
          </w:p>
        </w:tc>
        <w:tc>
          <w:tcPr>
            <w:tcW w:w="3960" w:type="dxa"/>
            <w:shd w:val="clear" w:color="auto" w:fill="EFF4FB"/>
            <w:tcMar>
              <w:top w:w="70" w:type="dxa"/>
              <w:left w:w="100" w:type="dxa"/>
              <w:bottom w:w="70" w:type="dxa"/>
              <w:right w:w="100" w:type="dxa"/>
            </w:tcMar>
            <w:vAlign w:val="center"/>
          </w:tcPr>
          <w:p w14:paraId="15F38C4A" w14:textId="77777777" w:rsidR="003E1AAA" w:rsidRDefault="00000000">
            <w:pPr>
              <w:spacing w:before="30" w:after="30" w:line="250" w:lineRule="auto"/>
            </w:pPr>
            <w:r>
              <w:rPr>
                <w:b/>
                <w:bCs/>
                <w:sz w:val="16"/>
                <w:szCs w:val="16"/>
              </w:rPr>
              <w:t>Lien avec le projet</w:t>
            </w:r>
          </w:p>
        </w:tc>
      </w:tr>
      <w:tr w:rsidR="003E1AAA" w14:paraId="111D74D3" w14:textId="77777777" w:rsidTr="00E126E4">
        <w:tblPrEx>
          <w:tblCellMar>
            <w:top w:w="0" w:type="dxa"/>
            <w:bottom w:w="0" w:type="dxa"/>
          </w:tblCellMar>
        </w:tblPrEx>
        <w:trPr>
          <w:cantSplit/>
        </w:trPr>
        <w:tc>
          <w:tcPr>
            <w:tcW w:w="1500" w:type="dxa"/>
            <w:tcMar>
              <w:top w:w="70" w:type="dxa"/>
              <w:left w:w="100" w:type="dxa"/>
              <w:bottom w:w="70" w:type="dxa"/>
              <w:right w:w="100" w:type="dxa"/>
            </w:tcMar>
            <w:vAlign w:val="center"/>
          </w:tcPr>
          <w:p w14:paraId="7895117F" w14:textId="77777777" w:rsidR="003E1AAA" w:rsidRDefault="00000000">
            <w:pPr>
              <w:spacing w:before="30" w:after="30" w:line="250" w:lineRule="auto"/>
            </w:pPr>
            <w:r>
              <w:rPr>
                <w:b/>
                <w:bCs/>
                <w:sz w:val="16"/>
                <w:szCs w:val="16"/>
              </w:rPr>
              <w:t>Article 2 (1°)</w:t>
            </w:r>
          </w:p>
        </w:tc>
        <w:tc>
          <w:tcPr>
            <w:tcW w:w="3900" w:type="dxa"/>
            <w:tcMar>
              <w:top w:w="70" w:type="dxa"/>
              <w:left w:w="100" w:type="dxa"/>
              <w:bottom w:w="70" w:type="dxa"/>
              <w:right w:w="100" w:type="dxa"/>
            </w:tcMar>
            <w:vAlign w:val="center"/>
          </w:tcPr>
          <w:p w14:paraId="09CD3438" w14:textId="77777777" w:rsidR="003E1AAA" w:rsidRDefault="00000000">
            <w:pPr>
              <w:spacing w:before="30" w:after="30" w:line="250" w:lineRule="auto"/>
            </w:pPr>
            <w:r>
              <w:rPr>
                <w:sz w:val="16"/>
                <w:szCs w:val="16"/>
              </w:rPr>
              <w:t>Déterminer les concepts, les paramètres, les équations ou les modèles permettant d’anticiper le comportement des procédés ou des systèmes.</w:t>
            </w:r>
          </w:p>
        </w:tc>
        <w:tc>
          <w:tcPr>
            <w:tcW w:w="3960" w:type="dxa"/>
            <w:tcMar>
              <w:top w:w="70" w:type="dxa"/>
              <w:left w:w="100" w:type="dxa"/>
              <w:bottom w:w="70" w:type="dxa"/>
              <w:right w:w="100" w:type="dxa"/>
            </w:tcMar>
            <w:vAlign w:val="center"/>
          </w:tcPr>
          <w:p w14:paraId="2058FE38" w14:textId="77777777" w:rsidR="003E1AAA" w:rsidRDefault="00000000">
            <w:pPr>
              <w:spacing w:before="30" w:after="30" w:line="250" w:lineRule="auto"/>
            </w:pPr>
            <w:r>
              <w:rPr>
                <w:sz w:val="16"/>
                <w:szCs w:val="16"/>
              </w:rPr>
              <w:t xml:space="preserve">Modélisation de la boucle </w:t>
            </w:r>
            <w:proofErr w:type="spellStart"/>
            <w:r>
              <w:rPr>
                <w:sz w:val="16"/>
                <w:szCs w:val="16"/>
              </w:rPr>
              <w:t>thermohydraulique</w:t>
            </w:r>
            <w:proofErr w:type="spellEnd"/>
            <w:r>
              <w:rPr>
                <w:sz w:val="16"/>
                <w:szCs w:val="16"/>
              </w:rPr>
              <w:t>, définition de ses paramètres et construction du jumeau numérique.</w:t>
            </w:r>
          </w:p>
        </w:tc>
      </w:tr>
      <w:tr w:rsidR="003E1AAA" w14:paraId="302FAB6D" w14:textId="77777777" w:rsidTr="00E126E4">
        <w:tblPrEx>
          <w:tblCellMar>
            <w:top w:w="0" w:type="dxa"/>
            <w:bottom w:w="0" w:type="dxa"/>
          </w:tblCellMar>
        </w:tblPrEx>
        <w:trPr>
          <w:cantSplit/>
        </w:trPr>
        <w:tc>
          <w:tcPr>
            <w:tcW w:w="1500" w:type="dxa"/>
            <w:tcMar>
              <w:top w:w="70" w:type="dxa"/>
              <w:left w:w="100" w:type="dxa"/>
              <w:bottom w:w="70" w:type="dxa"/>
              <w:right w:w="100" w:type="dxa"/>
            </w:tcMar>
            <w:vAlign w:val="center"/>
          </w:tcPr>
          <w:p w14:paraId="32178B42" w14:textId="77777777" w:rsidR="003E1AAA" w:rsidRDefault="00000000">
            <w:pPr>
              <w:spacing w:before="30" w:after="30" w:line="250" w:lineRule="auto"/>
            </w:pPr>
            <w:r>
              <w:rPr>
                <w:b/>
                <w:bCs/>
                <w:sz w:val="16"/>
                <w:szCs w:val="16"/>
              </w:rPr>
              <w:t>Article 2 (2°)</w:t>
            </w:r>
          </w:p>
        </w:tc>
        <w:tc>
          <w:tcPr>
            <w:tcW w:w="3900" w:type="dxa"/>
            <w:tcMar>
              <w:top w:w="70" w:type="dxa"/>
              <w:left w:w="100" w:type="dxa"/>
              <w:bottom w:w="70" w:type="dxa"/>
              <w:right w:w="100" w:type="dxa"/>
            </w:tcMar>
            <w:vAlign w:val="center"/>
          </w:tcPr>
          <w:p w14:paraId="4C463D31" w14:textId="77777777" w:rsidR="003E1AAA" w:rsidRDefault="00000000">
            <w:pPr>
              <w:spacing w:before="30" w:after="30" w:line="250" w:lineRule="auto"/>
            </w:pPr>
            <w:r>
              <w:rPr>
                <w:sz w:val="16"/>
                <w:szCs w:val="16"/>
              </w:rPr>
              <w:t>Effectuer des essais ou des calculs nécessitant le recours à des modèles issus de principes d’ingénierie.</w:t>
            </w:r>
          </w:p>
        </w:tc>
        <w:tc>
          <w:tcPr>
            <w:tcW w:w="3960" w:type="dxa"/>
            <w:tcMar>
              <w:top w:w="70" w:type="dxa"/>
              <w:left w:w="100" w:type="dxa"/>
              <w:bottom w:w="70" w:type="dxa"/>
              <w:right w:w="100" w:type="dxa"/>
            </w:tcMar>
            <w:vAlign w:val="center"/>
          </w:tcPr>
          <w:p w14:paraId="3DA64EF4" w14:textId="77777777" w:rsidR="003E1AAA" w:rsidRDefault="00000000">
            <w:pPr>
              <w:spacing w:before="30" w:after="30" w:line="250" w:lineRule="auto"/>
            </w:pPr>
            <w:r>
              <w:rPr>
                <w:sz w:val="16"/>
                <w:szCs w:val="16"/>
              </w:rPr>
              <w:t>Simulations, calculs, injection d’anomalies et campagne de vérification et de validation.</w:t>
            </w:r>
          </w:p>
        </w:tc>
      </w:tr>
      <w:tr w:rsidR="003E1AAA" w14:paraId="3C15896E" w14:textId="77777777" w:rsidTr="00E126E4">
        <w:tblPrEx>
          <w:tblCellMar>
            <w:top w:w="0" w:type="dxa"/>
            <w:bottom w:w="0" w:type="dxa"/>
          </w:tblCellMar>
        </w:tblPrEx>
        <w:trPr>
          <w:cantSplit/>
        </w:trPr>
        <w:tc>
          <w:tcPr>
            <w:tcW w:w="1500" w:type="dxa"/>
            <w:tcMar>
              <w:top w:w="70" w:type="dxa"/>
              <w:left w:w="100" w:type="dxa"/>
              <w:bottom w:w="70" w:type="dxa"/>
              <w:right w:w="100" w:type="dxa"/>
            </w:tcMar>
            <w:vAlign w:val="center"/>
          </w:tcPr>
          <w:p w14:paraId="2FD044B3" w14:textId="77777777" w:rsidR="003E1AAA" w:rsidRDefault="00000000">
            <w:pPr>
              <w:spacing w:before="30" w:after="30" w:line="250" w:lineRule="auto"/>
            </w:pPr>
            <w:r>
              <w:rPr>
                <w:b/>
                <w:bCs/>
                <w:sz w:val="16"/>
                <w:szCs w:val="16"/>
              </w:rPr>
              <w:t>Article 2 (6°)</w:t>
            </w:r>
          </w:p>
        </w:tc>
        <w:tc>
          <w:tcPr>
            <w:tcW w:w="3900" w:type="dxa"/>
            <w:tcMar>
              <w:top w:w="70" w:type="dxa"/>
              <w:left w:w="100" w:type="dxa"/>
              <w:bottom w:w="70" w:type="dxa"/>
              <w:right w:w="100" w:type="dxa"/>
            </w:tcMar>
            <w:vAlign w:val="center"/>
          </w:tcPr>
          <w:p w14:paraId="63E8412B" w14:textId="77777777" w:rsidR="003E1AAA" w:rsidRDefault="00000000">
            <w:pPr>
              <w:spacing w:before="30" w:after="30" w:line="250" w:lineRule="auto"/>
            </w:pPr>
            <w:r>
              <w:rPr>
                <w:sz w:val="16"/>
                <w:szCs w:val="16"/>
              </w:rPr>
              <w:t>Donner un avis relatif à une activité professionnelle d’ingénierie.</w:t>
            </w:r>
          </w:p>
        </w:tc>
        <w:tc>
          <w:tcPr>
            <w:tcW w:w="3960" w:type="dxa"/>
            <w:tcMar>
              <w:top w:w="70" w:type="dxa"/>
              <w:left w:w="100" w:type="dxa"/>
              <w:bottom w:w="70" w:type="dxa"/>
              <w:right w:w="100" w:type="dxa"/>
            </w:tcMar>
            <w:vAlign w:val="center"/>
          </w:tcPr>
          <w:p w14:paraId="60190D06" w14:textId="77777777" w:rsidR="003E1AAA" w:rsidRDefault="00000000">
            <w:pPr>
              <w:spacing w:before="30" w:after="30" w:line="250" w:lineRule="auto"/>
            </w:pPr>
            <w:r>
              <w:rPr>
                <w:sz w:val="16"/>
                <w:szCs w:val="16"/>
              </w:rPr>
              <w:t>Analyse des résultats, interprétation et recommandation d’ingénierie remise en fin de projet.</w:t>
            </w:r>
          </w:p>
        </w:tc>
      </w:tr>
      <w:tr w:rsidR="003E1AAA" w14:paraId="18455C98" w14:textId="77777777" w:rsidTr="00E126E4">
        <w:tblPrEx>
          <w:tblCellMar>
            <w:top w:w="0" w:type="dxa"/>
            <w:bottom w:w="0" w:type="dxa"/>
          </w:tblCellMar>
        </w:tblPrEx>
        <w:trPr>
          <w:cantSplit/>
        </w:trPr>
        <w:tc>
          <w:tcPr>
            <w:tcW w:w="1500" w:type="dxa"/>
            <w:tcMar>
              <w:top w:w="70" w:type="dxa"/>
              <w:left w:w="100" w:type="dxa"/>
              <w:bottom w:w="70" w:type="dxa"/>
              <w:right w:w="100" w:type="dxa"/>
            </w:tcMar>
            <w:vAlign w:val="center"/>
          </w:tcPr>
          <w:p w14:paraId="21460A2B" w14:textId="77777777" w:rsidR="003E1AAA" w:rsidRDefault="00000000">
            <w:pPr>
              <w:spacing w:before="30" w:after="30" w:line="250" w:lineRule="auto"/>
            </w:pPr>
            <w:r>
              <w:rPr>
                <w:b/>
                <w:bCs/>
                <w:sz w:val="16"/>
                <w:szCs w:val="16"/>
              </w:rPr>
              <w:t>Article 3 (3°)</w:t>
            </w:r>
          </w:p>
        </w:tc>
        <w:tc>
          <w:tcPr>
            <w:tcW w:w="3900" w:type="dxa"/>
            <w:tcMar>
              <w:top w:w="70" w:type="dxa"/>
              <w:left w:w="100" w:type="dxa"/>
              <w:bottom w:w="70" w:type="dxa"/>
              <w:right w:w="100" w:type="dxa"/>
            </w:tcMar>
            <w:vAlign w:val="center"/>
          </w:tcPr>
          <w:p w14:paraId="1700D8DC" w14:textId="77777777" w:rsidR="003E1AAA" w:rsidRDefault="00000000">
            <w:pPr>
              <w:spacing w:before="30" w:after="30" w:line="250" w:lineRule="auto"/>
            </w:pPr>
            <w:r>
              <w:rPr>
                <w:sz w:val="16"/>
                <w:szCs w:val="16"/>
              </w:rPr>
              <w:t>Système de génération, d’accumulation, de transmission, d’utilisation ou de distribution d’énergie sous forme électrique, mécanique ou thermique, à l’exclusion d’un système dont le dysfonctionnement ne présente pas de risque pour la sécurité des personnes.</w:t>
            </w:r>
          </w:p>
        </w:tc>
        <w:tc>
          <w:tcPr>
            <w:tcW w:w="3960" w:type="dxa"/>
            <w:tcMar>
              <w:top w:w="70" w:type="dxa"/>
              <w:left w:w="100" w:type="dxa"/>
              <w:bottom w:w="70" w:type="dxa"/>
              <w:right w:w="100" w:type="dxa"/>
            </w:tcMar>
            <w:vAlign w:val="center"/>
          </w:tcPr>
          <w:p w14:paraId="168C1D1B" w14:textId="77777777" w:rsidR="003E1AAA" w:rsidRDefault="00000000">
            <w:pPr>
              <w:spacing w:before="30" w:after="30" w:line="250" w:lineRule="auto"/>
            </w:pPr>
            <w:r>
              <w:rPr>
                <w:sz w:val="16"/>
                <w:szCs w:val="16"/>
              </w:rPr>
              <w:t xml:space="preserve">Boucle </w:t>
            </w:r>
            <w:proofErr w:type="spellStart"/>
            <w:r>
              <w:rPr>
                <w:sz w:val="16"/>
                <w:szCs w:val="16"/>
              </w:rPr>
              <w:t>thermohydraulique</w:t>
            </w:r>
            <w:proofErr w:type="spellEnd"/>
            <w:r>
              <w:rPr>
                <w:sz w:val="16"/>
                <w:szCs w:val="16"/>
              </w:rPr>
              <w:t xml:space="preserve"> : les phénomènes thermiques et mécaniques constituent le cœur du modèle. Applicabilité discutée en 5.1.1.</w:t>
            </w:r>
          </w:p>
        </w:tc>
      </w:tr>
    </w:tbl>
    <w:p w14:paraId="37FDE725" w14:textId="77777777" w:rsidR="003E1AAA" w:rsidRDefault="003E1AAA">
      <w:pPr>
        <w:spacing w:after="160"/>
      </w:pPr>
    </w:p>
    <w:p w14:paraId="22994B90" w14:textId="09671543" w:rsidR="003E1AAA" w:rsidRDefault="00A45FFE">
      <w:pPr>
        <w:pStyle w:val="Titre3"/>
        <w:spacing w:before="220" w:after="100"/>
      </w:pPr>
      <w:r>
        <w:rPr>
          <w:b/>
          <w:bCs/>
          <w:color w:val="1A1A19"/>
          <w:sz w:val="21"/>
          <w:szCs w:val="21"/>
        </w:rPr>
        <w:t>5.1.1 Applicabilité</w:t>
      </w:r>
      <w:r w:rsidR="00000000">
        <w:rPr>
          <w:b/>
          <w:bCs/>
          <w:color w:val="1A1A19"/>
          <w:sz w:val="21"/>
          <w:szCs w:val="21"/>
        </w:rPr>
        <w:t xml:space="preserve"> de l’article 3 (3°) et portée de la clause d’exclusion</w:t>
      </w:r>
    </w:p>
    <w:p w14:paraId="6DF493F9" w14:textId="77777777" w:rsidR="003E1AAA" w:rsidRDefault="00000000">
      <w:pPr>
        <w:spacing w:after="130" w:line="280" w:lineRule="auto"/>
      </w:pPr>
      <w:r>
        <w:t>L’article 3 (3°) ne s’applique qu’à deux conditions cumulatives : le système doit appartenir à la catégorie décrite, et la clause d’exclusion finale ne doit pas jouer. Les deux conditions sont examinées séparément.</w:t>
      </w:r>
    </w:p>
    <w:p w14:paraId="5ADDAE4B" w14:textId="77777777" w:rsidR="003E1AAA" w:rsidRDefault="00000000">
      <w:pPr>
        <w:spacing w:after="130" w:line="280" w:lineRule="auto"/>
      </w:pPr>
      <w:r>
        <w:rPr>
          <w:b/>
          <w:bCs/>
        </w:rPr>
        <w:t xml:space="preserve">Première condition — appartenance à la catégorie. </w:t>
      </w:r>
      <w:r>
        <w:t xml:space="preserve">Le texte vise l’énergie « sous forme électrique, mécanique ou thermique » [1]. La boucle </w:t>
      </w:r>
      <w:proofErr w:type="spellStart"/>
      <w:r>
        <w:t>thermohydraulique</w:t>
      </w:r>
      <w:proofErr w:type="spellEnd"/>
      <w:r>
        <w:t xml:space="preserve"> est un système d’utilisation et de transmission d’énergie thermique </w:t>
      </w:r>
      <w:r>
        <w:lastRenderedPageBreak/>
        <w:t>et mécanique : la mention explicite de ces deux formes d’énergie suffit à établir l’appartenance, sans avoir à invoquer une quelconque composante électrique.</w:t>
      </w:r>
    </w:p>
    <w:p w14:paraId="05745063" w14:textId="77777777" w:rsidR="003E1AAA" w:rsidRDefault="00000000">
      <w:pPr>
        <w:spacing w:after="130" w:line="280" w:lineRule="auto"/>
      </w:pPr>
      <w:r>
        <w:rPr>
          <w:b/>
          <w:bCs/>
        </w:rPr>
        <w:t xml:space="preserve">Seconde condition — la clause d’exclusion. </w:t>
      </w:r>
      <w:r>
        <w:t>Le législateur écarte les systèmes « dont le dysfonctionnement ne présente pas de risque pour la sécurité des personnes ». Il faut donc démontrer que le dysfonctionnement du système conçu présente un tel risque. Le jumeau numérique ne commande aucun équipement, mais il produit une estimation de l’état de l’installation sur laquelle un opérateur fonde une décision. Trois modes de dysfonctionnement conduisent à un risque pour les personnes : une anomalie réelle non détectée, présentée comme un fonctionnement normal ; une estimation d’état erronée provenant d’un capteur défaillant ou de données altérées ; et l’indisponibilité du système à un moment où l’opérateur s’attend à en disposer. Dans les trois cas, la défaillance se propage à la décision humaine et, de là, à la sécurité des personnes. La clause d’exclusion ne s’applique donc pas.</w:t>
      </w:r>
    </w:p>
    <w:p w14:paraId="5A3C90F9" w14:textId="77777777" w:rsidR="003E1AAA" w:rsidRDefault="00000000">
      <w:pPr>
        <w:spacing w:after="130" w:line="280" w:lineRule="auto"/>
      </w:pPr>
      <w:r>
        <w:rPr>
          <w:b/>
          <w:bCs/>
          <w:i/>
          <w:iCs/>
        </w:rPr>
        <w:t xml:space="preserve">Portée de ce raisonnement. </w:t>
      </w:r>
      <w:r>
        <w:rPr>
          <w:i/>
          <w:iCs/>
        </w:rPr>
        <w:t>Le raisonnement vaut pour le système tel que défini au mandat, c’est-à-dire un outil d’aide à la décision destiné à une installation nucléaire. Le prototype universitaire, entièrement simulé et raccordé à aucune installation réelle, n’expose personne. L’applicabilité de l’article 3 (3°) découle du scénario d’ingénierie retenu, non de l’objet matériel produit au terme du cours.</w:t>
      </w:r>
    </w:p>
    <w:p w14:paraId="60928456" w14:textId="78F054FA" w:rsidR="003E1AAA" w:rsidRDefault="00A45FFE">
      <w:pPr>
        <w:pStyle w:val="Titre2"/>
        <w:spacing w:before="280" w:after="120"/>
      </w:pPr>
      <w:r>
        <w:rPr>
          <w:b/>
          <w:bCs/>
          <w:color w:val="2A78D6"/>
          <w:sz w:val="23"/>
          <w:szCs w:val="23"/>
        </w:rPr>
        <w:t>5.2 Cadre</w:t>
      </w:r>
      <w:r w:rsidR="00000000">
        <w:rPr>
          <w:b/>
          <w:bCs/>
          <w:color w:val="2A78D6"/>
          <w:sz w:val="23"/>
          <w:szCs w:val="23"/>
        </w:rPr>
        <w:t xml:space="preserve"> réglementaire</w:t>
      </w:r>
    </w:p>
    <w:p w14:paraId="6FEBB5F3" w14:textId="2E2513D6" w:rsidR="003E1AAA" w:rsidRDefault="00000000">
      <w:pPr>
        <w:spacing w:after="130" w:line="280" w:lineRule="auto"/>
      </w:pPr>
      <w:r>
        <w:t>Le projet s’inscrit dans un scénario lié au domaine nucléaire canadien. Même si le prototype reste entièrement simulé, le cadre réglementaire applicable aux installations nucléaires est pertinent : il détermine les attentes envers un système réel de même fonction. La Loi sur la sûreté et la réglementation nucléaires [3] constitue la base du régime fédéral. Elle est mise en œuvre par le Règlement général sur la sûreté et la réglementation nucléaire [4] et, pour les centrales, par le Règlement sur les installations nucléaires de catégorie I [5].</w:t>
      </w:r>
    </w:p>
    <w:p w14:paraId="40B01BE5" w14:textId="77777777" w:rsidR="003E1AAA" w:rsidRDefault="00000000">
      <w:pPr>
        <w:spacing w:after="130" w:line="280" w:lineRule="auto"/>
      </w:pPr>
      <w:r>
        <w:t>Ces textes sont toutefois des instruments de portée générale. Les attentes techniques de la Commission canadienne de sûreté nucléaire s’expriment dans ses documents d’application. Deux d’entre eux concernent directement le projet, et c’est par les conditions de permis qu’ils rendent opposables des normes comme CSA N290.7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460"/>
      </w:tblGrid>
      <w:tr w:rsidR="003E1AAA" w14:paraId="27239EA5" w14:textId="77777777" w:rsidTr="00E126E4">
        <w:tblPrEx>
          <w:tblCellMar>
            <w:top w:w="0" w:type="dxa"/>
            <w:bottom w:w="0" w:type="dxa"/>
          </w:tblCellMar>
        </w:tblPrEx>
        <w:trPr>
          <w:tblHeader/>
        </w:trPr>
        <w:tc>
          <w:tcPr>
            <w:tcW w:w="2700" w:type="dxa"/>
            <w:shd w:val="clear" w:color="auto" w:fill="EFF4FB"/>
            <w:tcMar>
              <w:top w:w="70" w:type="dxa"/>
              <w:left w:w="100" w:type="dxa"/>
              <w:bottom w:w="70" w:type="dxa"/>
              <w:right w:w="100" w:type="dxa"/>
            </w:tcMar>
            <w:vAlign w:val="center"/>
          </w:tcPr>
          <w:p w14:paraId="3F2AFA55" w14:textId="77777777" w:rsidR="003E1AAA" w:rsidRDefault="00000000">
            <w:pPr>
              <w:spacing w:before="30" w:after="30" w:line="250" w:lineRule="auto"/>
            </w:pPr>
            <w:r>
              <w:rPr>
                <w:b/>
                <w:bCs/>
                <w:sz w:val="16"/>
                <w:szCs w:val="16"/>
              </w:rPr>
              <w:t>Référence</w:t>
            </w:r>
          </w:p>
        </w:tc>
        <w:tc>
          <w:tcPr>
            <w:tcW w:w="3200" w:type="dxa"/>
            <w:shd w:val="clear" w:color="auto" w:fill="EFF4FB"/>
            <w:tcMar>
              <w:top w:w="70" w:type="dxa"/>
              <w:left w:w="100" w:type="dxa"/>
              <w:bottom w:w="70" w:type="dxa"/>
              <w:right w:w="100" w:type="dxa"/>
            </w:tcMar>
            <w:vAlign w:val="center"/>
          </w:tcPr>
          <w:p w14:paraId="6ED2560F" w14:textId="77777777" w:rsidR="003E1AAA" w:rsidRDefault="00000000">
            <w:pPr>
              <w:spacing w:before="30" w:after="30" w:line="250" w:lineRule="auto"/>
            </w:pPr>
            <w:r>
              <w:rPr>
                <w:b/>
                <w:bCs/>
                <w:sz w:val="16"/>
                <w:szCs w:val="16"/>
              </w:rPr>
              <w:t>Objet</w:t>
            </w:r>
          </w:p>
        </w:tc>
        <w:tc>
          <w:tcPr>
            <w:tcW w:w="3460" w:type="dxa"/>
            <w:shd w:val="clear" w:color="auto" w:fill="EFF4FB"/>
            <w:tcMar>
              <w:top w:w="70" w:type="dxa"/>
              <w:left w:w="100" w:type="dxa"/>
              <w:bottom w:w="70" w:type="dxa"/>
              <w:right w:w="100" w:type="dxa"/>
            </w:tcMar>
            <w:vAlign w:val="center"/>
          </w:tcPr>
          <w:p w14:paraId="163C6CB8" w14:textId="77777777" w:rsidR="003E1AAA" w:rsidRDefault="00000000">
            <w:pPr>
              <w:spacing w:before="30" w:after="30" w:line="250" w:lineRule="auto"/>
            </w:pPr>
            <w:r>
              <w:rPr>
                <w:b/>
                <w:bCs/>
                <w:sz w:val="16"/>
                <w:szCs w:val="16"/>
              </w:rPr>
              <w:t>Lien avec le projet</w:t>
            </w:r>
          </w:p>
        </w:tc>
      </w:tr>
      <w:tr w:rsidR="003E1AAA" w14:paraId="4A7EB346" w14:textId="77777777" w:rsidTr="00E126E4">
        <w:tblPrEx>
          <w:tblCellMar>
            <w:top w:w="0" w:type="dxa"/>
            <w:bottom w:w="0" w:type="dxa"/>
          </w:tblCellMar>
        </w:tblPrEx>
        <w:trPr>
          <w:cantSplit/>
        </w:trPr>
        <w:tc>
          <w:tcPr>
            <w:tcW w:w="2700" w:type="dxa"/>
            <w:tcMar>
              <w:top w:w="70" w:type="dxa"/>
              <w:left w:w="100" w:type="dxa"/>
              <w:bottom w:w="70" w:type="dxa"/>
              <w:right w:w="100" w:type="dxa"/>
            </w:tcMar>
            <w:vAlign w:val="center"/>
          </w:tcPr>
          <w:p w14:paraId="1C89E494" w14:textId="77777777" w:rsidR="003E1AAA" w:rsidRDefault="00000000">
            <w:pPr>
              <w:spacing w:before="30" w:after="30" w:line="250" w:lineRule="auto"/>
            </w:pPr>
            <w:r>
              <w:rPr>
                <w:b/>
                <w:bCs/>
                <w:sz w:val="16"/>
                <w:szCs w:val="16"/>
              </w:rPr>
              <w:t>Loi sur la sûreté et la réglementation nucléaires [3]</w:t>
            </w:r>
          </w:p>
        </w:tc>
        <w:tc>
          <w:tcPr>
            <w:tcW w:w="3200" w:type="dxa"/>
            <w:tcMar>
              <w:top w:w="70" w:type="dxa"/>
              <w:left w:w="100" w:type="dxa"/>
              <w:bottom w:w="70" w:type="dxa"/>
              <w:right w:w="100" w:type="dxa"/>
            </w:tcMar>
            <w:vAlign w:val="center"/>
          </w:tcPr>
          <w:p w14:paraId="7112C3ED" w14:textId="77777777" w:rsidR="003E1AAA" w:rsidRDefault="00000000">
            <w:pPr>
              <w:spacing w:before="30" w:after="30" w:line="250" w:lineRule="auto"/>
            </w:pPr>
            <w:r>
              <w:rPr>
                <w:sz w:val="16"/>
                <w:szCs w:val="16"/>
              </w:rPr>
              <w:t>Cadre fédéral applicable aux activités et installations nucléaires.</w:t>
            </w:r>
          </w:p>
        </w:tc>
        <w:tc>
          <w:tcPr>
            <w:tcW w:w="3460" w:type="dxa"/>
            <w:tcMar>
              <w:top w:w="70" w:type="dxa"/>
              <w:left w:w="100" w:type="dxa"/>
              <w:bottom w:w="70" w:type="dxa"/>
              <w:right w:w="100" w:type="dxa"/>
            </w:tcMar>
            <w:vAlign w:val="center"/>
          </w:tcPr>
          <w:p w14:paraId="77F343D8" w14:textId="77777777" w:rsidR="003E1AAA" w:rsidRDefault="00000000">
            <w:pPr>
              <w:spacing w:before="30" w:after="30" w:line="250" w:lineRule="auto"/>
            </w:pPr>
            <w:r>
              <w:rPr>
                <w:sz w:val="16"/>
                <w:szCs w:val="16"/>
              </w:rPr>
              <w:t>Établit le contexte de sûreté, de responsabilité et de protection du public.</w:t>
            </w:r>
          </w:p>
        </w:tc>
      </w:tr>
      <w:tr w:rsidR="003E1AAA" w14:paraId="4795F855" w14:textId="77777777" w:rsidTr="00E126E4">
        <w:tblPrEx>
          <w:tblCellMar>
            <w:top w:w="0" w:type="dxa"/>
            <w:bottom w:w="0" w:type="dxa"/>
          </w:tblCellMar>
        </w:tblPrEx>
        <w:trPr>
          <w:cantSplit/>
        </w:trPr>
        <w:tc>
          <w:tcPr>
            <w:tcW w:w="2700" w:type="dxa"/>
            <w:tcMar>
              <w:top w:w="70" w:type="dxa"/>
              <w:left w:w="100" w:type="dxa"/>
              <w:bottom w:w="70" w:type="dxa"/>
              <w:right w:w="100" w:type="dxa"/>
            </w:tcMar>
            <w:vAlign w:val="center"/>
          </w:tcPr>
          <w:p w14:paraId="79B05D5E" w14:textId="77777777" w:rsidR="003E1AAA" w:rsidRDefault="00000000">
            <w:pPr>
              <w:spacing w:before="30" w:after="30" w:line="250" w:lineRule="auto"/>
            </w:pPr>
            <w:r>
              <w:rPr>
                <w:b/>
                <w:bCs/>
                <w:sz w:val="16"/>
                <w:szCs w:val="16"/>
              </w:rPr>
              <w:t>Règlement général sur la sûreté et la réglementation nucléaires [4]</w:t>
            </w:r>
          </w:p>
        </w:tc>
        <w:tc>
          <w:tcPr>
            <w:tcW w:w="3200" w:type="dxa"/>
            <w:tcMar>
              <w:top w:w="70" w:type="dxa"/>
              <w:left w:w="100" w:type="dxa"/>
              <w:bottom w:w="70" w:type="dxa"/>
              <w:right w:w="100" w:type="dxa"/>
            </w:tcMar>
            <w:vAlign w:val="center"/>
          </w:tcPr>
          <w:p w14:paraId="7DFAD049" w14:textId="77777777" w:rsidR="003E1AAA" w:rsidRDefault="00000000">
            <w:pPr>
              <w:spacing w:before="30" w:after="30" w:line="250" w:lineRule="auto"/>
            </w:pPr>
            <w:r>
              <w:rPr>
                <w:sz w:val="16"/>
                <w:szCs w:val="16"/>
              </w:rPr>
              <w:t>Exigences générales applicables aux activités réglementées et aux titulaires de permis.</w:t>
            </w:r>
          </w:p>
        </w:tc>
        <w:tc>
          <w:tcPr>
            <w:tcW w:w="3460" w:type="dxa"/>
            <w:tcMar>
              <w:top w:w="70" w:type="dxa"/>
              <w:left w:w="100" w:type="dxa"/>
              <w:bottom w:w="70" w:type="dxa"/>
              <w:right w:w="100" w:type="dxa"/>
            </w:tcMar>
            <w:vAlign w:val="center"/>
          </w:tcPr>
          <w:p w14:paraId="1A158B84" w14:textId="77777777" w:rsidR="003E1AAA" w:rsidRDefault="00000000">
            <w:pPr>
              <w:spacing w:before="30" w:after="30" w:line="250" w:lineRule="auto"/>
            </w:pPr>
            <w:r>
              <w:rPr>
                <w:sz w:val="16"/>
                <w:szCs w:val="16"/>
              </w:rPr>
              <w:t>Fonde les exigences de documentation, de traçabilité et de gestion de l’information du projet.</w:t>
            </w:r>
          </w:p>
        </w:tc>
      </w:tr>
      <w:tr w:rsidR="003E1AAA" w14:paraId="04B0762D" w14:textId="77777777" w:rsidTr="00E126E4">
        <w:tblPrEx>
          <w:tblCellMar>
            <w:top w:w="0" w:type="dxa"/>
            <w:bottom w:w="0" w:type="dxa"/>
          </w:tblCellMar>
        </w:tblPrEx>
        <w:trPr>
          <w:cantSplit/>
        </w:trPr>
        <w:tc>
          <w:tcPr>
            <w:tcW w:w="2700" w:type="dxa"/>
            <w:tcMar>
              <w:top w:w="70" w:type="dxa"/>
              <w:left w:w="100" w:type="dxa"/>
              <w:bottom w:w="70" w:type="dxa"/>
              <w:right w:w="100" w:type="dxa"/>
            </w:tcMar>
            <w:vAlign w:val="center"/>
          </w:tcPr>
          <w:p w14:paraId="5F64A341" w14:textId="77777777" w:rsidR="003E1AAA" w:rsidRDefault="00000000">
            <w:pPr>
              <w:spacing w:before="30" w:after="30" w:line="250" w:lineRule="auto"/>
            </w:pPr>
            <w:r>
              <w:rPr>
                <w:b/>
                <w:bCs/>
                <w:sz w:val="16"/>
                <w:szCs w:val="16"/>
              </w:rPr>
              <w:t>Règlement sur les installations nucléaires de catégorie I [5]</w:t>
            </w:r>
          </w:p>
        </w:tc>
        <w:tc>
          <w:tcPr>
            <w:tcW w:w="3200" w:type="dxa"/>
            <w:tcMar>
              <w:top w:w="70" w:type="dxa"/>
              <w:left w:w="100" w:type="dxa"/>
              <w:bottom w:w="70" w:type="dxa"/>
              <w:right w:w="100" w:type="dxa"/>
            </w:tcMar>
            <w:vAlign w:val="center"/>
          </w:tcPr>
          <w:p w14:paraId="32D7CE4E" w14:textId="77777777" w:rsidR="003E1AAA" w:rsidRDefault="00000000">
            <w:pPr>
              <w:spacing w:before="30" w:after="30" w:line="250" w:lineRule="auto"/>
            </w:pPr>
            <w:r>
              <w:rPr>
                <w:sz w:val="16"/>
                <w:szCs w:val="16"/>
              </w:rPr>
              <w:t>Encadre les phases de vie d’une installation de catégorie I, y compris l’examen périodique de sûreté.</w:t>
            </w:r>
          </w:p>
        </w:tc>
        <w:tc>
          <w:tcPr>
            <w:tcW w:w="3460" w:type="dxa"/>
            <w:tcMar>
              <w:top w:w="70" w:type="dxa"/>
              <w:left w:w="100" w:type="dxa"/>
              <w:bottom w:w="70" w:type="dxa"/>
              <w:right w:w="100" w:type="dxa"/>
            </w:tcMar>
            <w:vAlign w:val="center"/>
          </w:tcPr>
          <w:p w14:paraId="1C124A13" w14:textId="77777777" w:rsidR="003E1AAA" w:rsidRDefault="00000000">
            <w:pPr>
              <w:spacing w:before="30" w:after="30" w:line="250" w:lineRule="auto"/>
            </w:pPr>
            <w:r>
              <w:rPr>
                <w:sz w:val="16"/>
                <w:szCs w:val="16"/>
              </w:rPr>
              <w:t>Replace le jumeau numérique dans un cycle de vie : exploitation, surveillance, validation, déclassement.</w:t>
            </w:r>
          </w:p>
        </w:tc>
      </w:tr>
      <w:tr w:rsidR="003E1AAA" w14:paraId="36BEFCBB" w14:textId="77777777" w:rsidTr="00E126E4">
        <w:tblPrEx>
          <w:tblCellMar>
            <w:top w:w="0" w:type="dxa"/>
            <w:bottom w:w="0" w:type="dxa"/>
          </w:tblCellMar>
        </w:tblPrEx>
        <w:trPr>
          <w:cantSplit/>
        </w:trPr>
        <w:tc>
          <w:tcPr>
            <w:tcW w:w="2700" w:type="dxa"/>
            <w:tcMar>
              <w:top w:w="70" w:type="dxa"/>
              <w:left w:w="100" w:type="dxa"/>
              <w:bottom w:w="70" w:type="dxa"/>
              <w:right w:w="100" w:type="dxa"/>
            </w:tcMar>
            <w:vAlign w:val="center"/>
          </w:tcPr>
          <w:p w14:paraId="00B24377" w14:textId="77777777" w:rsidR="003E1AAA" w:rsidRDefault="00000000">
            <w:pPr>
              <w:spacing w:before="30" w:after="30" w:line="250" w:lineRule="auto"/>
            </w:pPr>
            <w:r>
              <w:rPr>
                <w:b/>
                <w:bCs/>
                <w:sz w:val="16"/>
                <w:szCs w:val="16"/>
              </w:rPr>
              <w:t>REGDOC-2.5.2, Conception d’installations dotées de réacteurs [6]</w:t>
            </w:r>
          </w:p>
        </w:tc>
        <w:tc>
          <w:tcPr>
            <w:tcW w:w="3200" w:type="dxa"/>
            <w:tcMar>
              <w:top w:w="70" w:type="dxa"/>
              <w:left w:w="100" w:type="dxa"/>
              <w:bottom w:w="70" w:type="dxa"/>
              <w:right w:w="100" w:type="dxa"/>
            </w:tcMar>
            <w:vAlign w:val="center"/>
          </w:tcPr>
          <w:p w14:paraId="51D2D8AA" w14:textId="77777777" w:rsidR="003E1AAA" w:rsidRDefault="00000000">
            <w:pPr>
              <w:spacing w:before="30" w:after="30" w:line="250" w:lineRule="auto"/>
            </w:pPr>
            <w:r>
              <w:rPr>
                <w:sz w:val="16"/>
                <w:szCs w:val="16"/>
              </w:rPr>
              <w:t>Attentes de conception, dont celles visant l’instrumentation et le contrôle.</w:t>
            </w:r>
          </w:p>
        </w:tc>
        <w:tc>
          <w:tcPr>
            <w:tcW w:w="3460" w:type="dxa"/>
            <w:tcMar>
              <w:top w:w="70" w:type="dxa"/>
              <w:left w:w="100" w:type="dxa"/>
              <w:bottom w:w="70" w:type="dxa"/>
              <w:right w:w="100" w:type="dxa"/>
            </w:tcMar>
            <w:vAlign w:val="center"/>
          </w:tcPr>
          <w:p w14:paraId="20CEC096" w14:textId="77777777" w:rsidR="003E1AAA" w:rsidRDefault="00000000">
            <w:pPr>
              <w:spacing w:before="30" w:after="30" w:line="250" w:lineRule="auto"/>
            </w:pPr>
            <w:r>
              <w:rPr>
                <w:sz w:val="16"/>
                <w:szCs w:val="16"/>
              </w:rPr>
              <w:t>Source des attentes envers un système d’aide à la décision raccordé à une installation réelle.</w:t>
            </w:r>
          </w:p>
        </w:tc>
      </w:tr>
      <w:tr w:rsidR="003E1AAA" w14:paraId="38B919DC" w14:textId="77777777" w:rsidTr="00E126E4">
        <w:tblPrEx>
          <w:tblCellMar>
            <w:top w:w="0" w:type="dxa"/>
            <w:bottom w:w="0" w:type="dxa"/>
          </w:tblCellMar>
        </w:tblPrEx>
        <w:trPr>
          <w:cantSplit/>
        </w:trPr>
        <w:tc>
          <w:tcPr>
            <w:tcW w:w="2700" w:type="dxa"/>
            <w:tcMar>
              <w:top w:w="70" w:type="dxa"/>
              <w:left w:w="100" w:type="dxa"/>
              <w:bottom w:w="70" w:type="dxa"/>
              <w:right w:w="100" w:type="dxa"/>
            </w:tcMar>
            <w:vAlign w:val="center"/>
          </w:tcPr>
          <w:p w14:paraId="57F25B4A" w14:textId="77777777" w:rsidR="003E1AAA" w:rsidRDefault="00000000">
            <w:pPr>
              <w:spacing w:before="30" w:after="30" w:line="250" w:lineRule="auto"/>
            </w:pPr>
            <w:r>
              <w:rPr>
                <w:b/>
                <w:bCs/>
                <w:sz w:val="16"/>
                <w:szCs w:val="16"/>
              </w:rPr>
              <w:t>REGDOC-2.1.1, Système de gestion [7]</w:t>
            </w:r>
          </w:p>
        </w:tc>
        <w:tc>
          <w:tcPr>
            <w:tcW w:w="3200" w:type="dxa"/>
            <w:tcMar>
              <w:top w:w="70" w:type="dxa"/>
              <w:left w:w="100" w:type="dxa"/>
              <w:bottom w:w="70" w:type="dxa"/>
              <w:right w:w="100" w:type="dxa"/>
            </w:tcMar>
            <w:vAlign w:val="center"/>
          </w:tcPr>
          <w:p w14:paraId="07A4F90F" w14:textId="77777777" w:rsidR="003E1AAA" w:rsidRDefault="00000000">
            <w:pPr>
              <w:spacing w:before="30" w:after="30" w:line="250" w:lineRule="auto"/>
            </w:pPr>
            <w:r>
              <w:rPr>
                <w:sz w:val="16"/>
                <w:szCs w:val="16"/>
              </w:rPr>
              <w:t>Exigences relatives au système de gestion du titulaire de permis.</w:t>
            </w:r>
          </w:p>
        </w:tc>
        <w:tc>
          <w:tcPr>
            <w:tcW w:w="3460" w:type="dxa"/>
            <w:tcMar>
              <w:top w:w="70" w:type="dxa"/>
              <w:left w:w="100" w:type="dxa"/>
              <w:bottom w:w="70" w:type="dxa"/>
              <w:right w:w="100" w:type="dxa"/>
            </w:tcMar>
            <w:vAlign w:val="center"/>
          </w:tcPr>
          <w:p w14:paraId="5EF35963" w14:textId="77777777" w:rsidR="003E1AAA" w:rsidRDefault="00000000">
            <w:pPr>
              <w:spacing w:before="30" w:after="30" w:line="250" w:lineRule="auto"/>
            </w:pPr>
            <w:r>
              <w:rPr>
                <w:sz w:val="16"/>
                <w:szCs w:val="16"/>
              </w:rPr>
              <w:t>Cadre la gestion documentaire, le contrôle des versions et la traçabilité des résultats d’essai.</w:t>
            </w:r>
          </w:p>
        </w:tc>
      </w:tr>
    </w:tbl>
    <w:p w14:paraId="3021E02B" w14:textId="77777777" w:rsidR="003E1AAA" w:rsidRDefault="00000000">
      <w:r>
        <w:br w:type="page"/>
      </w:r>
    </w:p>
    <w:p w14:paraId="1EA1A3E5" w14:textId="058CCBEB" w:rsidR="003E1AAA" w:rsidRDefault="00A45FFE">
      <w:pPr>
        <w:pStyle w:val="Titre2"/>
        <w:spacing w:before="280" w:after="120"/>
      </w:pPr>
      <w:r>
        <w:rPr>
          <w:b/>
          <w:bCs/>
          <w:color w:val="2A78D6"/>
          <w:sz w:val="23"/>
          <w:szCs w:val="23"/>
        </w:rPr>
        <w:lastRenderedPageBreak/>
        <w:t>5.3 Normes</w:t>
      </w:r>
      <w:r w:rsidR="00000000">
        <w:rPr>
          <w:b/>
          <w:bCs/>
          <w:color w:val="2A78D6"/>
          <w:sz w:val="23"/>
          <w:szCs w:val="23"/>
        </w:rPr>
        <w:t xml:space="preserve"> applicables</w:t>
      </w:r>
    </w:p>
    <w:p w14:paraId="3A194C9A" w14:textId="77777777" w:rsidR="003E1AAA" w:rsidRDefault="00000000">
      <w:pPr>
        <w:spacing w:after="130" w:line="280" w:lineRule="auto"/>
      </w:pPr>
      <w:r>
        <w:t>La revue couvre les principaux aspects techniques du projet : cycle de vie du système et du logiciel, cadre du jumeau numérique, qualité, gestion des risques, vérification et validation des modèles numériques, cybersécurité, sûreté nucléaire, instrumentation et contrôle, et interface homme-machine. Dix-sept normes ont été retenues et sont présentées au tableau de la section 5.3.2.</w:t>
      </w:r>
    </w:p>
    <w:p w14:paraId="779C8390" w14:textId="77777777" w:rsidR="003E1AAA" w:rsidRDefault="00000000">
      <w:pPr>
        <w:pStyle w:val="Titre3"/>
        <w:spacing w:before="220" w:after="100"/>
      </w:pPr>
      <w:proofErr w:type="gramStart"/>
      <w:r>
        <w:rPr>
          <w:b/>
          <w:bCs/>
          <w:color w:val="1A1A19"/>
          <w:sz w:val="21"/>
          <w:szCs w:val="21"/>
        </w:rPr>
        <w:t>5.3.1  Déclaration</w:t>
      </w:r>
      <w:proofErr w:type="gramEnd"/>
      <w:r>
        <w:rPr>
          <w:b/>
          <w:bCs/>
          <w:color w:val="1A1A19"/>
          <w:sz w:val="21"/>
          <w:szCs w:val="21"/>
        </w:rPr>
        <w:t xml:space="preserve"> d’applicabilité</w:t>
      </w:r>
    </w:p>
    <w:p w14:paraId="4A70206D" w14:textId="77777777" w:rsidR="003E1AAA" w:rsidRDefault="00000000">
      <w:pPr>
        <w:spacing w:after="130" w:line="280" w:lineRule="auto"/>
      </w:pPr>
      <w:r>
        <w:t>Une revue de normes qui ne distinguerait pas ce qui est appliqué de ce qui est consulté engagerait l’équipe sur une conformité qu’elle ne peut pas démontrer en 800 heures. Les dix-sept normes sont donc réparties en deux catégories.</w:t>
      </w:r>
    </w:p>
    <w:p w14:paraId="4A98CBD7" w14:textId="77777777" w:rsidR="003E1AAA" w:rsidRDefault="00000000">
      <w:pPr>
        <w:spacing w:after="130" w:line="280" w:lineRule="auto"/>
      </w:pPr>
      <w:r>
        <w:rPr>
          <w:b/>
          <w:bCs/>
        </w:rPr>
        <w:t xml:space="preserve">Normes appliquées. </w:t>
      </w:r>
      <w:r>
        <w:t>Huit normes structurent effectivement le travail. L’équipe en retient des exigences précises, les traduit en critères de conception ou d’essai, et démontrera leur respect dans le rapport final. Les articles retenus seront identifiés au moment de la conception détaillée.</w:t>
      </w:r>
    </w:p>
    <w:p w14:paraId="62D0D391" w14:textId="77777777" w:rsidR="003E1AAA" w:rsidRDefault="00000000">
      <w:pPr>
        <w:spacing w:after="130" w:line="280" w:lineRule="auto"/>
      </w:pPr>
      <w:r>
        <w:rPr>
          <w:b/>
          <w:bCs/>
        </w:rPr>
        <w:t xml:space="preserve">Normes consultées. </w:t>
      </w:r>
      <w:r>
        <w:t>Neuf normes s’adressent à l’exploitant d’une installation réelle et titulaire d’un permis, non à un prototype universitaire. L’équipe en tire des principes de conception — séparation des fonctions, intégrité des données, journalisation, coordination entre sûreté et cybersécurité — sans prétendre à la conformité. Cette distinction est assumée : elle reflète le périmètre du mandat, pas une lacune de la revue.</w:t>
      </w:r>
    </w:p>
    <w:p w14:paraId="00514110" w14:textId="77777777" w:rsidR="003E1AAA" w:rsidRDefault="003E1AAA">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E1AAA" w14:paraId="001DC293" w14:textId="77777777" w:rsidTr="00E126E4">
        <w:tblPrEx>
          <w:tblCellMar>
            <w:top w:w="0" w:type="dxa"/>
            <w:bottom w:w="0" w:type="dxa"/>
          </w:tblCellMar>
        </w:tblPrEx>
        <w:trPr>
          <w:tblHeader/>
        </w:trPr>
        <w:tc>
          <w:tcPr>
            <w:tcW w:w="4680" w:type="dxa"/>
            <w:shd w:val="clear" w:color="auto" w:fill="EFF4FB"/>
            <w:tcMar>
              <w:top w:w="70" w:type="dxa"/>
              <w:left w:w="100" w:type="dxa"/>
              <w:bottom w:w="70" w:type="dxa"/>
              <w:right w:w="100" w:type="dxa"/>
            </w:tcMar>
            <w:vAlign w:val="center"/>
          </w:tcPr>
          <w:p w14:paraId="4839BF0E" w14:textId="77777777" w:rsidR="003E1AAA" w:rsidRDefault="00000000">
            <w:pPr>
              <w:spacing w:before="30" w:after="30" w:line="250" w:lineRule="auto"/>
            </w:pPr>
            <w:r>
              <w:rPr>
                <w:b/>
                <w:bCs/>
                <w:sz w:val="16"/>
                <w:szCs w:val="16"/>
              </w:rPr>
              <w:t>Normes appliquées — conformité démontrée</w:t>
            </w:r>
          </w:p>
        </w:tc>
        <w:tc>
          <w:tcPr>
            <w:tcW w:w="4680" w:type="dxa"/>
            <w:shd w:val="clear" w:color="auto" w:fill="EFF4FB"/>
            <w:tcMar>
              <w:top w:w="70" w:type="dxa"/>
              <w:left w:w="100" w:type="dxa"/>
              <w:bottom w:w="70" w:type="dxa"/>
              <w:right w:w="100" w:type="dxa"/>
            </w:tcMar>
            <w:vAlign w:val="center"/>
          </w:tcPr>
          <w:p w14:paraId="6A63576C" w14:textId="77777777" w:rsidR="003E1AAA" w:rsidRDefault="00000000">
            <w:pPr>
              <w:spacing w:before="30" w:after="30" w:line="250" w:lineRule="auto"/>
            </w:pPr>
            <w:r>
              <w:rPr>
                <w:b/>
                <w:bCs/>
                <w:sz w:val="16"/>
                <w:szCs w:val="16"/>
              </w:rPr>
              <w:t>Normes consultées — principes retenus, conformité non démontrée</w:t>
            </w:r>
          </w:p>
        </w:tc>
      </w:tr>
      <w:tr w:rsidR="003E1AAA" w14:paraId="20DD871B" w14:textId="77777777" w:rsidTr="00E126E4">
        <w:tblPrEx>
          <w:tblCellMar>
            <w:top w:w="0" w:type="dxa"/>
            <w:bottom w:w="0" w:type="dxa"/>
          </w:tblCellMar>
        </w:tblPrEx>
        <w:trPr>
          <w:cantSplit/>
        </w:trPr>
        <w:tc>
          <w:tcPr>
            <w:tcW w:w="4680" w:type="dxa"/>
            <w:tcMar>
              <w:top w:w="70" w:type="dxa"/>
              <w:left w:w="100" w:type="dxa"/>
              <w:bottom w:w="70" w:type="dxa"/>
              <w:right w:w="100" w:type="dxa"/>
            </w:tcMar>
            <w:vAlign w:val="center"/>
          </w:tcPr>
          <w:p w14:paraId="10BE29F1" w14:textId="77777777" w:rsidR="003E1AAA" w:rsidRPr="00E126E4" w:rsidRDefault="00000000">
            <w:pPr>
              <w:spacing w:before="30" w:after="30" w:line="250" w:lineRule="auto"/>
              <w:rPr>
                <w:lang w:val="en-CA"/>
              </w:rPr>
            </w:pPr>
            <w:r w:rsidRPr="00E126E4">
              <w:rPr>
                <w:sz w:val="17"/>
                <w:szCs w:val="17"/>
                <w:lang w:val="en-CA"/>
              </w:rPr>
              <w:t>ISO/IEC/IEEE 15288:2023 [8]</w:t>
            </w:r>
          </w:p>
          <w:p w14:paraId="6A5BC04A" w14:textId="77777777" w:rsidR="003E1AAA" w:rsidRPr="00E126E4" w:rsidRDefault="00000000">
            <w:pPr>
              <w:spacing w:before="30" w:after="30" w:line="250" w:lineRule="auto"/>
              <w:rPr>
                <w:lang w:val="en-CA"/>
              </w:rPr>
            </w:pPr>
            <w:r w:rsidRPr="00E126E4">
              <w:rPr>
                <w:sz w:val="17"/>
                <w:szCs w:val="17"/>
                <w:lang w:val="en-CA"/>
              </w:rPr>
              <w:t>ISO/IEC/IEEE 12207:2026 [9]</w:t>
            </w:r>
          </w:p>
          <w:p w14:paraId="5CECD8DD" w14:textId="77777777" w:rsidR="003E1AAA" w:rsidRPr="00E126E4" w:rsidRDefault="00000000">
            <w:pPr>
              <w:spacing w:before="30" w:after="30" w:line="250" w:lineRule="auto"/>
              <w:rPr>
                <w:lang w:val="en-CA"/>
              </w:rPr>
            </w:pPr>
            <w:r w:rsidRPr="00E126E4">
              <w:rPr>
                <w:sz w:val="17"/>
                <w:szCs w:val="17"/>
                <w:lang w:val="en-CA"/>
              </w:rPr>
              <w:t>ISO 23247-1:2021 [10]</w:t>
            </w:r>
          </w:p>
          <w:p w14:paraId="05487D9D" w14:textId="77777777" w:rsidR="003E1AAA" w:rsidRPr="00E126E4" w:rsidRDefault="00000000">
            <w:pPr>
              <w:spacing w:before="30" w:after="30" w:line="250" w:lineRule="auto"/>
              <w:rPr>
                <w:lang w:val="en-CA"/>
              </w:rPr>
            </w:pPr>
            <w:r w:rsidRPr="00E126E4">
              <w:rPr>
                <w:sz w:val="17"/>
                <w:szCs w:val="17"/>
                <w:lang w:val="en-CA"/>
              </w:rPr>
              <w:t>ISO/IEC 25010:2023 [11]</w:t>
            </w:r>
          </w:p>
          <w:p w14:paraId="4907B605" w14:textId="77777777" w:rsidR="003E1AAA" w:rsidRPr="00E126E4" w:rsidRDefault="00000000">
            <w:pPr>
              <w:spacing w:before="30" w:after="30" w:line="250" w:lineRule="auto"/>
              <w:rPr>
                <w:lang w:val="en-CA"/>
              </w:rPr>
            </w:pPr>
            <w:r w:rsidRPr="00E126E4">
              <w:rPr>
                <w:sz w:val="17"/>
                <w:szCs w:val="17"/>
                <w:lang w:val="en-CA"/>
              </w:rPr>
              <w:t>ISO 31000:2018 [12]</w:t>
            </w:r>
          </w:p>
          <w:p w14:paraId="47DEAA51" w14:textId="77777777" w:rsidR="003E1AAA" w:rsidRPr="00E126E4" w:rsidRDefault="00000000">
            <w:pPr>
              <w:spacing w:before="30" w:after="30" w:line="250" w:lineRule="auto"/>
              <w:rPr>
                <w:lang w:val="en-CA"/>
              </w:rPr>
            </w:pPr>
            <w:r w:rsidRPr="00E126E4">
              <w:rPr>
                <w:sz w:val="17"/>
                <w:szCs w:val="17"/>
                <w:lang w:val="en-CA"/>
              </w:rPr>
              <w:t>ASME V&amp;V 20-2009 (R2021) [13]</w:t>
            </w:r>
          </w:p>
          <w:p w14:paraId="4438D0B9" w14:textId="77777777" w:rsidR="003E1AAA" w:rsidRDefault="00000000">
            <w:pPr>
              <w:spacing w:before="30" w:after="30" w:line="250" w:lineRule="auto"/>
            </w:pPr>
            <w:r>
              <w:rPr>
                <w:sz w:val="17"/>
                <w:szCs w:val="17"/>
              </w:rPr>
              <w:t>IEEE 1012-2024 [14]</w:t>
            </w:r>
          </w:p>
          <w:p w14:paraId="52AC273E" w14:textId="77777777" w:rsidR="003E1AAA" w:rsidRDefault="00000000">
            <w:pPr>
              <w:spacing w:before="30" w:after="30" w:line="250" w:lineRule="auto"/>
            </w:pPr>
            <w:r>
              <w:rPr>
                <w:sz w:val="17"/>
                <w:szCs w:val="17"/>
              </w:rPr>
              <w:t>ISO 9241-210:2019 [15]</w:t>
            </w:r>
          </w:p>
        </w:tc>
        <w:tc>
          <w:tcPr>
            <w:tcW w:w="4680" w:type="dxa"/>
            <w:tcMar>
              <w:top w:w="70" w:type="dxa"/>
              <w:left w:w="100" w:type="dxa"/>
              <w:bottom w:w="70" w:type="dxa"/>
              <w:right w:w="100" w:type="dxa"/>
            </w:tcMar>
            <w:vAlign w:val="center"/>
          </w:tcPr>
          <w:p w14:paraId="316A4DCA" w14:textId="77777777" w:rsidR="003E1AAA" w:rsidRDefault="00000000">
            <w:pPr>
              <w:spacing w:before="30" w:after="30" w:line="250" w:lineRule="auto"/>
            </w:pPr>
            <w:r>
              <w:rPr>
                <w:sz w:val="17"/>
                <w:szCs w:val="17"/>
              </w:rPr>
              <w:t>CSA N290.7:21 [16]</w:t>
            </w:r>
          </w:p>
          <w:p w14:paraId="5637172C" w14:textId="77777777" w:rsidR="003E1AAA" w:rsidRDefault="00000000">
            <w:pPr>
              <w:spacing w:before="30" w:after="30" w:line="250" w:lineRule="auto"/>
            </w:pPr>
            <w:r>
              <w:rPr>
                <w:sz w:val="17"/>
                <w:szCs w:val="17"/>
              </w:rPr>
              <w:t>IEC 62645:2019 [17]</w:t>
            </w:r>
          </w:p>
          <w:p w14:paraId="1A80D631" w14:textId="77777777" w:rsidR="003E1AAA" w:rsidRDefault="00000000">
            <w:pPr>
              <w:spacing w:before="30" w:after="30" w:line="250" w:lineRule="auto"/>
            </w:pPr>
            <w:r>
              <w:rPr>
                <w:sz w:val="17"/>
                <w:szCs w:val="17"/>
              </w:rPr>
              <w:t>IEC 63096:2020 [18]</w:t>
            </w:r>
          </w:p>
          <w:p w14:paraId="5BA5DC28" w14:textId="77777777" w:rsidR="003E1AAA" w:rsidRDefault="00000000">
            <w:pPr>
              <w:spacing w:before="30" w:after="30" w:line="250" w:lineRule="auto"/>
            </w:pPr>
            <w:r>
              <w:rPr>
                <w:sz w:val="17"/>
                <w:szCs w:val="17"/>
              </w:rPr>
              <w:t>IEC 62859:2016 + A1:2019 [19]</w:t>
            </w:r>
          </w:p>
          <w:p w14:paraId="04FBD9E1" w14:textId="77777777" w:rsidR="003E1AAA" w:rsidRDefault="00000000">
            <w:pPr>
              <w:spacing w:before="30" w:after="30" w:line="250" w:lineRule="auto"/>
            </w:pPr>
            <w:r>
              <w:rPr>
                <w:sz w:val="17"/>
                <w:szCs w:val="17"/>
              </w:rPr>
              <w:t>IEC 61513:2026 [20]</w:t>
            </w:r>
          </w:p>
          <w:p w14:paraId="4CE23D11" w14:textId="77777777" w:rsidR="003E1AAA" w:rsidRDefault="00000000">
            <w:pPr>
              <w:spacing w:before="30" w:after="30" w:line="250" w:lineRule="auto"/>
            </w:pPr>
            <w:r>
              <w:rPr>
                <w:sz w:val="17"/>
                <w:szCs w:val="17"/>
              </w:rPr>
              <w:t>IEC 60880:2006 [21]</w:t>
            </w:r>
          </w:p>
          <w:p w14:paraId="1E4D9516" w14:textId="77777777" w:rsidR="003E1AAA" w:rsidRDefault="00000000">
            <w:pPr>
              <w:spacing w:before="30" w:after="30" w:line="250" w:lineRule="auto"/>
            </w:pPr>
            <w:r>
              <w:rPr>
                <w:sz w:val="17"/>
                <w:szCs w:val="17"/>
              </w:rPr>
              <w:t>IEC 62138:2018 [22]</w:t>
            </w:r>
          </w:p>
          <w:p w14:paraId="215D33A7" w14:textId="77777777" w:rsidR="003E1AAA" w:rsidRDefault="00000000">
            <w:pPr>
              <w:spacing w:before="30" w:after="30" w:line="250" w:lineRule="auto"/>
            </w:pPr>
            <w:r>
              <w:rPr>
                <w:sz w:val="17"/>
                <w:szCs w:val="17"/>
              </w:rPr>
              <w:t>ISO/IEC 27001:2022 [23]</w:t>
            </w:r>
          </w:p>
          <w:p w14:paraId="0F934C29" w14:textId="77777777" w:rsidR="003E1AAA" w:rsidRDefault="00000000">
            <w:pPr>
              <w:spacing w:before="30" w:after="30" w:line="250" w:lineRule="auto"/>
            </w:pPr>
            <w:r>
              <w:rPr>
                <w:sz w:val="17"/>
                <w:szCs w:val="17"/>
              </w:rPr>
              <w:t>ISO/IEC 27005:2022 [24]</w:t>
            </w:r>
          </w:p>
        </w:tc>
      </w:tr>
    </w:tbl>
    <w:p w14:paraId="6D94D1DA" w14:textId="77777777" w:rsidR="003E1AAA" w:rsidRDefault="003E1AAA">
      <w:pPr>
        <w:spacing w:after="180"/>
      </w:pPr>
    </w:p>
    <w:p w14:paraId="01437722" w14:textId="3B5F5F46" w:rsidR="003E1AAA" w:rsidRDefault="00A45FFE">
      <w:pPr>
        <w:pStyle w:val="Titre3"/>
        <w:spacing w:before="220" w:after="100"/>
      </w:pPr>
      <w:r>
        <w:rPr>
          <w:b/>
          <w:bCs/>
          <w:color w:val="1A1A19"/>
          <w:sz w:val="21"/>
          <w:szCs w:val="21"/>
        </w:rPr>
        <w:t>5.3.2 Tableau</w:t>
      </w:r>
      <w:r w:rsidR="00000000">
        <w:rPr>
          <w:b/>
          <w:bCs/>
          <w:color w:val="1A1A19"/>
          <w:sz w:val="21"/>
          <w:szCs w:val="21"/>
        </w:rPr>
        <w:t xml:space="preserve"> des normes retenues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1000"/>
        <w:gridCol w:w="2060"/>
        <w:gridCol w:w="1800"/>
        <w:gridCol w:w="3180"/>
      </w:tblGrid>
      <w:tr w:rsidR="003E1AAA" w14:paraId="36E76FB9" w14:textId="77777777" w:rsidTr="00E126E4">
        <w:tblPrEx>
          <w:tblCellMar>
            <w:top w:w="0" w:type="dxa"/>
            <w:bottom w:w="0" w:type="dxa"/>
          </w:tblCellMar>
        </w:tblPrEx>
        <w:trPr>
          <w:tblHeader/>
        </w:trPr>
        <w:tc>
          <w:tcPr>
            <w:tcW w:w="1320" w:type="dxa"/>
            <w:shd w:val="clear" w:color="auto" w:fill="EFF4FB"/>
            <w:tcMar>
              <w:top w:w="70" w:type="dxa"/>
              <w:left w:w="100" w:type="dxa"/>
              <w:bottom w:w="70" w:type="dxa"/>
              <w:right w:w="100" w:type="dxa"/>
            </w:tcMar>
            <w:vAlign w:val="center"/>
          </w:tcPr>
          <w:p w14:paraId="143E0C3A" w14:textId="77777777" w:rsidR="003E1AAA" w:rsidRDefault="00000000">
            <w:pPr>
              <w:spacing w:before="30" w:after="30" w:line="250" w:lineRule="auto"/>
            </w:pPr>
            <w:r>
              <w:rPr>
                <w:b/>
                <w:bCs/>
                <w:sz w:val="16"/>
                <w:szCs w:val="16"/>
              </w:rPr>
              <w:t>Norme</w:t>
            </w:r>
          </w:p>
        </w:tc>
        <w:tc>
          <w:tcPr>
            <w:tcW w:w="1000" w:type="dxa"/>
            <w:shd w:val="clear" w:color="auto" w:fill="EFF4FB"/>
            <w:tcMar>
              <w:top w:w="70" w:type="dxa"/>
              <w:left w:w="100" w:type="dxa"/>
              <w:bottom w:w="70" w:type="dxa"/>
              <w:right w:w="100" w:type="dxa"/>
            </w:tcMar>
            <w:vAlign w:val="center"/>
          </w:tcPr>
          <w:p w14:paraId="2B67BB61" w14:textId="77777777" w:rsidR="003E1AAA" w:rsidRDefault="00000000">
            <w:pPr>
              <w:spacing w:before="30" w:after="30" w:line="250" w:lineRule="auto"/>
            </w:pPr>
            <w:r>
              <w:rPr>
                <w:b/>
                <w:bCs/>
                <w:sz w:val="16"/>
                <w:szCs w:val="16"/>
              </w:rPr>
              <w:t>Millésime</w:t>
            </w:r>
          </w:p>
        </w:tc>
        <w:tc>
          <w:tcPr>
            <w:tcW w:w="2060" w:type="dxa"/>
            <w:shd w:val="clear" w:color="auto" w:fill="EFF4FB"/>
            <w:tcMar>
              <w:top w:w="70" w:type="dxa"/>
              <w:left w:w="100" w:type="dxa"/>
              <w:bottom w:w="70" w:type="dxa"/>
              <w:right w:w="100" w:type="dxa"/>
            </w:tcMar>
            <w:vAlign w:val="center"/>
          </w:tcPr>
          <w:p w14:paraId="458C40F5" w14:textId="77777777" w:rsidR="003E1AAA" w:rsidRDefault="00000000">
            <w:pPr>
              <w:spacing w:before="30" w:after="30" w:line="250" w:lineRule="auto"/>
            </w:pPr>
            <w:r>
              <w:rPr>
                <w:b/>
                <w:bCs/>
                <w:sz w:val="16"/>
                <w:szCs w:val="16"/>
              </w:rPr>
              <w:t>Objet principal</w:t>
            </w:r>
          </w:p>
        </w:tc>
        <w:tc>
          <w:tcPr>
            <w:tcW w:w="1800" w:type="dxa"/>
            <w:shd w:val="clear" w:color="auto" w:fill="EFF4FB"/>
            <w:tcMar>
              <w:top w:w="70" w:type="dxa"/>
              <w:left w:w="100" w:type="dxa"/>
              <w:bottom w:w="70" w:type="dxa"/>
              <w:right w:w="100" w:type="dxa"/>
            </w:tcMar>
            <w:vAlign w:val="center"/>
          </w:tcPr>
          <w:p w14:paraId="30A4C87D" w14:textId="77777777" w:rsidR="003E1AAA" w:rsidRDefault="00000000">
            <w:pPr>
              <w:spacing w:before="30" w:after="30" w:line="250" w:lineRule="auto"/>
            </w:pPr>
            <w:r>
              <w:rPr>
                <w:b/>
                <w:bCs/>
                <w:sz w:val="16"/>
                <w:szCs w:val="16"/>
              </w:rPr>
              <w:t>Éléments retenus</w:t>
            </w:r>
          </w:p>
        </w:tc>
        <w:tc>
          <w:tcPr>
            <w:tcW w:w="3180" w:type="dxa"/>
            <w:shd w:val="clear" w:color="auto" w:fill="EFF4FB"/>
            <w:tcMar>
              <w:top w:w="70" w:type="dxa"/>
              <w:left w:w="100" w:type="dxa"/>
              <w:bottom w:w="70" w:type="dxa"/>
              <w:right w:w="100" w:type="dxa"/>
            </w:tcMar>
            <w:vAlign w:val="center"/>
          </w:tcPr>
          <w:p w14:paraId="3CAC3E86" w14:textId="77777777" w:rsidR="003E1AAA" w:rsidRDefault="00000000">
            <w:pPr>
              <w:spacing w:before="30" w:after="30" w:line="250" w:lineRule="auto"/>
            </w:pPr>
            <w:r>
              <w:rPr>
                <w:b/>
                <w:bCs/>
                <w:sz w:val="16"/>
                <w:szCs w:val="16"/>
              </w:rPr>
              <w:t>Incidence sur la conception</w:t>
            </w:r>
          </w:p>
        </w:tc>
      </w:tr>
      <w:tr w:rsidR="003E1AAA" w14:paraId="57026F59"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67B5EC43" w14:textId="77777777" w:rsidR="003E1AAA" w:rsidRDefault="00000000">
            <w:pPr>
              <w:spacing w:before="30" w:after="30" w:line="250" w:lineRule="auto"/>
            </w:pPr>
            <w:r>
              <w:rPr>
                <w:b/>
                <w:bCs/>
                <w:sz w:val="15"/>
                <w:szCs w:val="15"/>
              </w:rPr>
              <w:t>ISO/IEC/IEEE 15288 [8]</w:t>
            </w:r>
          </w:p>
        </w:tc>
        <w:tc>
          <w:tcPr>
            <w:tcW w:w="1000" w:type="dxa"/>
            <w:tcMar>
              <w:top w:w="70" w:type="dxa"/>
              <w:left w:w="100" w:type="dxa"/>
              <w:bottom w:w="70" w:type="dxa"/>
              <w:right w:w="100" w:type="dxa"/>
            </w:tcMar>
            <w:vAlign w:val="center"/>
          </w:tcPr>
          <w:p w14:paraId="4935C14C" w14:textId="77777777" w:rsidR="003E1AAA" w:rsidRDefault="00000000">
            <w:pPr>
              <w:spacing w:before="30" w:after="30" w:line="250" w:lineRule="auto"/>
            </w:pPr>
            <w:r>
              <w:rPr>
                <w:sz w:val="15"/>
                <w:szCs w:val="15"/>
              </w:rPr>
              <w:t>2023</w:t>
            </w:r>
          </w:p>
        </w:tc>
        <w:tc>
          <w:tcPr>
            <w:tcW w:w="2060" w:type="dxa"/>
            <w:tcMar>
              <w:top w:w="70" w:type="dxa"/>
              <w:left w:w="100" w:type="dxa"/>
              <w:bottom w:w="70" w:type="dxa"/>
              <w:right w:w="100" w:type="dxa"/>
            </w:tcMar>
            <w:vAlign w:val="center"/>
          </w:tcPr>
          <w:p w14:paraId="2E455D39" w14:textId="77777777" w:rsidR="003E1AAA" w:rsidRDefault="00000000">
            <w:pPr>
              <w:spacing w:before="30" w:after="30" w:line="250" w:lineRule="auto"/>
            </w:pPr>
            <w:r>
              <w:rPr>
                <w:sz w:val="15"/>
                <w:szCs w:val="15"/>
              </w:rPr>
              <w:t>Processus du cycle de vie des systèmes</w:t>
            </w:r>
          </w:p>
        </w:tc>
        <w:tc>
          <w:tcPr>
            <w:tcW w:w="1800" w:type="dxa"/>
            <w:tcMar>
              <w:top w:w="70" w:type="dxa"/>
              <w:left w:w="100" w:type="dxa"/>
              <w:bottom w:w="70" w:type="dxa"/>
              <w:right w:w="100" w:type="dxa"/>
            </w:tcMar>
            <w:vAlign w:val="center"/>
          </w:tcPr>
          <w:p w14:paraId="36161AAA" w14:textId="77777777" w:rsidR="003E1AAA" w:rsidRDefault="00000000">
            <w:pPr>
              <w:spacing w:before="30" w:after="30" w:line="250" w:lineRule="auto"/>
            </w:pPr>
            <w:r>
              <w:rPr>
                <w:sz w:val="15"/>
                <w:szCs w:val="15"/>
              </w:rPr>
              <w:t>Besoins, architecture, intégration, V&amp;V</w:t>
            </w:r>
          </w:p>
        </w:tc>
        <w:tc>
          <w:tcPr>
            <w:tcW w:w="3180" w:type="dxa"/>
            <w:tcMar>
              <w:top w:w="70" w:type="dxa"/>
              <w:left w:w="100" w:type="dxa"/>
              <w:bottom w:w="70" w:type="dxa"/>
              <w:right w:w="100" w:type="dxa"/>
            </w:tcMar>
            <w:vAlign w:val="center"/>
          </w:tcPr>
          <w:p w14:paraId="0909C620" w14:textId="77777777" w:rsidR="003E1AAA" w:rsidRDefault="00000000">
            <w:pPr>
              <w:spacing w:before="30" w:after="30" w:line="250" w:lineRule="auto"/>
            </w:pPr>
            <w:r>
              <w:rPr>
                <w:sz w:val="15"/>
                <w:szCs w:val="15"/>
              </w:rPr>
              <w:t>Structure la démarche d’ingénierie : analyse des besoins, architecture globale, intégration et validation du jumeau numérique.</w:t>
            </w:r>
          </w:p>
        </w:tc>
      </w:tr>
      <w:tr w:rsidR="003E1AAA" w14:paraId="76A83449"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13768C3E" w14:textId="77777777" w:rsidR="003E1AAA" w:rsidRDefault="00000000">
            <w:pPr>
              <w:spacing w:before="30" w:after="30" w:line="250" w:lineRule="auto"/>
            </w:pPr>
            <w:r>
              <w:rPr>
                <w:b/>
                <w:bCs/>
                <w:sz w:val="15"/>
                <w:szCs w:val="15"/>
              </w:rPr>
              <w:t>ISO/IEC/IEEE 12207 [9]</w:t>
            </w:r>
          </w:p>
        </w:tc>
        <w:tc>
          <w:tcPr>
            <w:tcW w:w="1000" w:type="dxa"/>
            <w:tcMar>
              <w:top w:w="70" w:type="dxa"/>
              <w:left w:w="100" w:type="dxa"/>
              <w:bottom w:w="70" w:type="dxa"/>
              <w:right w:w="100" w:type="dxa"/>
            </w:tcMar>
            <w:vAlign w:val="center"/>
          </w:tcPr>
          <w:p w14:paraId="45EED102" w14:textId="77777777" w:rsidR="003E1AAA" w:rsidRDefault="00000000">
            <w:pPr>
              <w:spacing w:before="30" w:after="30" w:line="250" w:lineRule="auto"/>
            </w:pPr>
            <w:r>
              <w:rPr>
                <w:sz w:val="15"/>
                <w:szCs w:val="15"/>
              </w:rPr>
              <w:t>2026</w:t>
            </w:r>
          </w:p>
        </w:tc>
        <w:tc>
          <w:tcPr>
            <w:tcW w:w="2060" w:type="dxa"/>
            <w:tcMar>
              <w:top w:w="70" w:type="dxa"/>
              <w:left w:w="100" w:type="dxa"/>
              <w:bottom w:w="70" w:type="dxa"/>
              <w:right w:w="100" w:type="dxa"/>
            </w:tcMar>
            <w:vAlign w:val="center"/>
          </w:tcPr>
          <w:p w14:paraId="75D51330" w14:textId="77777777" w:rsidR="003E1AAA" w:rsidRDefault="00000000">
            <w:pPr>
              <w:spacing w:before="30" w:after="30" w:line="250" w:lineRule="auto"/>
            </w:pPr>
            <w:r>
              <w:rPr>
                <w:sz w:val="15"/>
                <w:szCs w:val="15"/>
              </w:rPr>
              <w:t>Processus du cycle de vie du logiciel</w:t>
            </w:r>
          </w:p>
        </w:tc>
        <w:tc>
          <w:tcPr>
            <w:tcW w:w="1800" w:type="dxa"/>
            <w:tcMar>
              <w:top w:w="70" w:type="dxa"/>
              <w:left w:w="100" w:type="dxa"/>
              <w:bottom w:w="70" w:type="dxa"/>
              <w:right w:w="100" w:type="dxa"/>
            </w:tcMar>
            <w:vAlign w:val="center"/>
          </w:tcPr>
          <w:p w14:paraId="0A4E13FF" w14:textId="77777777" w:rsidR="003E1AAA" w:rsidRDefault="00000000">
            <w:pPr>
              <w:spacing w:before="30" w:after="30" w:line="250" w:lineRule="auto"/>
            </w:pPr>
            <w:r>
              <w:rPr>
                <w:sz w:val="15"/>
                <w:szCs w:val="15"/>
              </w:rPr>
              <w:t>Développement, intégration, essais, maintenance</w:t>
            </w:r>
          </w:p>
        </w:tc>
        <w:tc>
          <w:tcPr>
            <w:tcW w:w="3180" w:type="dxa"/>
            <w:tcMar>
              <w:top w:w="70" w:type="dxa"/>
              <w:left w:w="100" w:type="dxa"/>
              <w:bottom w:w="70" w:type="dxa"/>
              <w:right w:w="100" w:type="dxa"/>
            </w:tcMar>
            <w:vAlign w:val="center"/>
          </w:tcPr>
          <w:p w14:paraId="7061E557" w14:textId="77777777" w:rsidR="003E1AAA" w:rsidRDefault="00000000">
            <w:pPr>
              <w:spacing w:before="30" w:after="30" w:line="250" w:lineRule="auto"/>
            </w:pPr>
            <w:r>
              <w:rPr>
                <w:sz w:val="15"/>
                <w:szCs w:val="15"/>
              </w:rPr>
              <w:t>Structure les activités logicielles : développement, simulation, intégration des modules et essais. Édition 2 publiée en avril 2026, remplace l’édition 2017 annulée.</w:t>
            </w:r>
          </w:p>
        </w:tc>
      </w:tr>
      <w:tr w:rsidR="003E1AAA" w14:paraId="26278065"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2DEAD420" w14:textId="77777777" w:rsidR="003E1AAA" w:rsidRDefault="00000000">
            <w:pPr>
              <w:spacing w:before="30" w:after="30" w:line="250" w:lineRule="auto"/>
            </w:pPr>
            <w:r>
              <w:rPr>
                <w:b/>
                <w:bCs/>
                <w:sz w:val="15"/>
                <w:szCs w:val="15"/>
              </w:rPr>
              <w:t>ISO 23247-1 [10]</w:t>
            </w:r>
          </w:p>
        </w:tc>
        <w:tc>
          <w:tcPr>
            <w:tcW w:w="1000" w:type="dxa"/>
            <w:tcMar>
              <w:top w:w="70" w:type="dxa"/>
              <w:left w:w="100" w:type="dxa"/>
              <w:bottom w:w="70" w:type="dxa"/>
              <w:right w:w="100" w:type="dxa"/>
            </w:tcMar>
            <w:vAlign w:val="center"/>
          </w:tcPr>
          <w:p w14:paraId="24D88FFE" w14:textId="77777777" w:rsidR="003E1AAA" w:rsidRDefault="00000000">
            <w:pPr>
              <w:spacing w:before="30" w:after="30" w:line="250" w:lineRule="auto"/>
            </w:pPr>
            <w:r>
              <w:rPr>
                <w:sz w:val="15"/>
                <w:szCs w:val="15"/>
              </w:rPr>
              <w:t>2021</w:t>
            </w:r>
          </w:p>
        </w:tc>
        <w:tc>
          <w:tcPr>
            <w:tcW w:w="2060" w:type="dxa"/>
            <w:tcMar>
              <w:top w:w="70" w:type="dxa"/>
              <w:left w:w="100" w:type="dxa"/>
              <w:bottom w:w="70" w:type="dxa"/>
              <w:right w:w="100" w:type="dxa"/>
            </w:tcMar>
            <w:vAlign w:val="center"/>
          </w:tcPr>
          <w:p w14:paraId="2318B7E0" w14:textId="77777777" w:rsidR="003E1AAA" w:rsidRDefault="00000000">
            <w:pPr>
              <w:spacing w:before="30" w:after="30" w:line="250" w:lineRule="auto"/>
            </w:pPr>
            <w:r>
              <w:rPr>
                <w:sz w:val="15"/>
                <w:szCs w:val="15"/>
              </w:rPr>
              <w:t>Cadre du jumeau numérique</w:t>
            </w:r>
          </w:p>
        </w:tc>
        <w:tc>
          <w:tcPr>
            <w:tcW w:w="1800" w:type="dxa"/>
            <w:tcMar>
              <w:top w:w="70" w:type="dxa"/>
              <w:left w:w="100" w:type="dxa"/>
              <w:bottom w:w="70" w:type="dxa"/>
              <w:right w:w="100" w:type="dxa"/>
            </w:tcMar>
            <w:vAlign w:val="center"/>
          </w:tcPr>
          <w:p w14:paraId="0652D37C" w14:textId="77777777" w:rsidR="003E1AAA" w:rsidRDefault="00000000">
            <w:pPr>
              <w:spacing w:before="30" w:after="30" w:line="250" w:lineRule="auto"/>
            </w:pPr>
            <w:r>
              <w:rPr>
                <w:sz w:val="15"/>
                <w:szCs w:val="15"/>
              </w:rPr>
              <w:t>Principes généraux et architecture de référence</w:t>
            </w:r>
          </w:p>
        </w:tc>
        <w:tc>
          <w:tcPr>
            <w:tcW w:w="3180" w:type="dxa"/>
            <w:tcMar>
              <w:top w:w="70" w:type="dxa"/>
              <w:left w:w="100" w:type="dxa"/>
              <w:bottom w:w="70" w:type="dxa"/>
              <w:right w:w="100" w:type="dxa"/>
            </w:tcMar>
            <w:vAlign w:val="center"/>
          </w:tcPr>
          <w:p w14:paraId="3287FDFC" w14:textId="77777777" w:rsidR="003E1AAA" w:rsidRDefault="00000000">
            <w:pPr>
              <w:spacing w:before="30" w:after="30" w:line="250" w:lineRule="auto"/>
            </w:pPr>
            <w:r>
              <w:rPr>
                <w:sz w:val="15"/>
                <w:szCs w:val="15"/>
              </w:rPr>
              <w:t>Sépare les composantes : boucle simulée, acquisition, modèle numérique, analyse, interface. Norme établie pour la fabrication ; employée ici par analogie, hors de son domaine d’application déclaré.</w:t>
            </w:r>
          </w:p>
        </w:tc>
      </w:tr>
      <w:tr w:rsidR="003E1AAA" w14:paraId="41D28B8F"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54755FFB" w14:textId="77777777" w:rsidR="003E1AAA" w:rsidRDefault="00000000">
            <w:pPr>
              <w:spacing w:before="30" w:after="30" w:line="250" w:lineRule="auto"/>
            </w:pPr>
            <w:r>
              <w:rPr>
                <w:b/>
                <w:bCs/>
                <w:sz w:val="15"/>
                <w:szCs w:val="15"/>
              </w:rPr>
              <w:lastRenderedPageBreak/>
              <w:t>ISO/IEC 25010 [11]</w:t>
            </w:r>
          </w:p>
        </w:tc>
        <w:tc>
          <w:tcPr>
            <w:tcW w:w="1000" w:type="dxa"/>
            <w:tcMar>
              <w:top w:w="70" w:type="dxa"/>
              <w:left w:w="100" w:type="dxa"/>
              <w:bottom w:w="70" w:type="dxa"/>
              <w:right w:w="100" w:type="dxa"/>
            </w:tcMar>
            <w:vAlign w:val="center"/>
          </w:tcPr>
          <w:p w14:paraId="35F0105A" w14:textId="77777777" w:rsidR="003E1AAA" w:rsidRDefault="00000000">
            <w:pPr>
              <w:spacing w:before="30" w:after="30" w:line="250" w:lineRule="auto"/>
            </w:pPr>
            <w:r>
              <w:rPr>
                <w:sz w:val="15"/>
                <w:szCs w:val="15"/>
              </w:rPr>
              <w:t>2023</w:t>
            </w:r>
          </w:p>
        </w:tc>
        <w:tc>
          <w:tcPr>
            <w:tcW w:w="2060" w:type="dxa"/>
            <w:tcMar>
              <w:top w:w="70" w:type="dxa"/>
              <w:left w:w="100" w:type="dxa"/>
              <w:bottom w:w="70" w:type="dxa"/>
              <w:right w:w="100" w:type="dxa"/>
            </w:tcMar>
            <w:vAlign w:val="center"/>
          </w:tcPr>
          <w:p w14:paraId="55B02350" w14:textId="77777777" w:rsidR="003E1AAA" w:rsidRDefault="00000000">
            <w:pPr>
              <w:spacing w:before="30" w:after="30" w:line="250" w:lineRule="auto"/>
            </w:pPr>
            <w:r>
              <w:rPr>
                <w:sz w:val="15"/>
                <w:szCs w:val="15"/>
              </w:rPr>
              <w:t>Qualité des systèmes et du logiciel (</w:t>
            </w:r>
            <w:proofErr w:type="spellStart"/>
            <w:r>
              <w:rPr>
                <w:sz w:val="15"/>
                <w:szCs w:val="15"/>
              </w:rPr>
              <w:t>SQuaRE</w:t>
            </w:r>
            <w:proofErr w:type="spellEnd"/>
            <w:r>
              <w:rPr>
                <w:sz w:val="15"/>
                <w:szCs w:val="15"/>
              </w:rPr>
              <w:t>)</w:t>
            </w:r>
          </w:p>
        </w:tc>
        <w:tc>
          <w:tcPr>
            <w:tcW w:w="1800" w:type="dxa"/>
            <w:tcMar>
              <w:top w:w="70" w:type="dxa"/>
              <w:left w:w="100" w:type="dxa"/>
              <w:bottom w:w="70" w:type="dxa"/>
              <w:right w:w="100" w:type="dxa"/>
            </w:tcMar>
            <w:vAlign w:val="center"/>
          </w:tcPr>
          <w:p w14:paraId="61478D00" w14:textId="77777777" w:rsidR="003E1AAA" w:rsidRDefault="00000000">
            <w:pPr>
              <w:spacing w:before="30" w:after="30" w:line="250" w:lineRule="auto"/>
            </w:pPr>
            <w:r>
              <w:rPr>
                <w:sz w:val="15"/>
                <w:szCs w:val="15"/>
              </w:rPr>
              <w:t>Fiabilité, performance, sécurité, maintenabilité, utilisabilité</w:t>
            </w:r>
          </w:p>
        </w:tc>
        <w:tc>
          <w:tcPr>
            <w:tcW w:w="3180" w:type="dxa"/>
            <w:tcMar>
              <w:top w:w="70" w:type="dxa"/>
              <w:left w:w="100" w:type="dxa"/>
              <w:bottom w:w="70" w:type="dxa"/>
              <w:right w:w="100" w:type="dxa"/>
            </w:tcMar>
            <w:vAlign w:val="center"/>
          </w:tcPr>
          <w:p w14:paraId="10F92A25" w14:textId="77777777" w:rsidR="003E1AAA" w:rsidRDefault="00000000">
            <w:pPr>
              <w:spacing w:before="30" w:after="30" w:line="250" w:lineRule="auto"/>
            </w:pPr>
            <w:r>
              <w:rPr>
                <w:sz w:val="15"/>
                <w:szCs w:val="15"/>
              </w:rPr>
              <w:t>Fournit les caractéristiques de qualité servant de critères d’acceptation mesurables du prototype.</w:t>
            </w:r>
          </w:p>
        </w:tc>
      </w:tr>
      <w:tr w:rsidR="003E1AAA" w14:paraId="25BA2521"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4540B6AE" w14:textId="77777777" w:rsidR="003E1AAA" w:rsidRDefault="00000000">
            <w:pPr>
              <w:spacing w:before="30" w:after="30" w:line="250" w:lineRule="auto"/>
            </w:pPr>
            <w:r>
              <w:rPr>
                <w:b/>
                <w:bCs/>
                <w:sz w:val="15"/>
                <w:szCs w:val="15"/>
              </w:rPr>
              <w:t>ISO 31000 [12]</w:t>
            </w:r>
          </w:p>
        </w:tc>
        <w:tc>
          <w:tcPr>
            <w:tcW w:w="1000" w:type="dxa"/>
            <w:tcMar>
              <w:top w:w="70" w:type="dxa"/>
              <w:left w:w="100" w:type="dxa"/>
              <w:bottom w:w="70" w:type="dxa"/>
              <w:right w:w="100" w:type="dxa"/>
            </w:tcMar>
            <w:vAlign w:val="center"/>
          </w:tcPr>
          <w:p w14:paraId="5EAD00DC" w14:textId="77777777" w:rsidR="003E1AAA" w:rsidRDefault="00000000">
            <w:pPr>
              <w:spacing w:before="30" w:after="30" w:line="250" w:lineRule="auto"/>
            </w:pPr>
            <w:r>
              <w:rPr>
                <w:sz w:val="15"/>
                <w:szCs w:val="15"/>
              </w:rPr>
              <w:t>2018</w:t>
            </w:r>
          </w:p>
        </w:tc>
        <w:tc>
          <w:tcPr>
            <w:tcW w:w="2060" w:type="dxa"/>
            <w:tcMar>
              <w:top w:w="70" w:type="dxa"/>
              <w:left w:w="100" w:type="dxa"/>
              <w:bottom w:w="70" w:type="dxa"/>
              <w:right w:w="100" w:type="dxa"/>
            </w:tcMar>
            <w:vAlign w:val="center"/>
          </w:tcPr>
          <w:p w14:paraId="2E06D4FC" w14:textId="77777777" w:rsidR="003E1AAA" w:rsidRDefault="00000000">
            <w:pPr>
              <w:spacing w:before="30" w:after="30" w:line="250" w:lineRule="auto"/>
            </w:pPr>
            <w:r>
              <w:rPr>
                <w:sz w:val="15"/>
                <w:szCs w:val="15"/>
              </w:rPr>
              <w:t>Management du risque</w:t>
            </w:r>
          </w:p>
        </w:tc>
        <w:tc>
          <w:tcPr>
            <w:tcW w:w="1800" w:type="dxa"/>
            <w:tcMar>
              <w:top w:w="70" w:type="dxa"/>
              <w:left w:w="100" w:type="dxa"/>
              <w:bottom w:w="70" w:type="dxa"/>
              <w:right w:w="100" w:type="dxa"/>
            </w:tcMar>
            <w:vAlign w:val="center"/>
          </w:tcPr>
          <w:p w14:paraId="572591F3" w14:textId="77777777" w:rsidR="003E1AAA" w:rsidRDefault="00000000">
            <w:pPr>
              <w:spacing w:before="30" w:after="30" w:line="250" w:lineRule="auto"/>
            </w:pPr>
            <w:r>
              <w:rPr>
                <w:sz w:val="15"/>
                <w:szCs w:val="15"/>
              </w:rPr>
              <w:t>Identification, analyse, évaluation, traitement</w:t>
            </w:r>
          </w:p>
        </w:tc>
        <w:tc>
          <w:tcPr>
            <w:tcW w:w="3180" w:type="dxa"/>
            <w:tcMar>
              <w:top w:w="70" w:type="dxa"/>
              <w:left w:w="100" w:type="dxa"/>
              <w:bottom w:w="70" w:type="dxa"/>
              <w:right w:w="100" w:type="dxa"/>
            </w:tcMar>
            <w:vAlign w:val="center"/>
          </w:tcPr>
          <w:p w14:paraId="575CFF47" w14:textId="77777777" w:rsidR="003E1AAA" w:rsidRDefault="00000000">
            <w:pPr>
              <w:spacing w:before="30" w:after="30" w:line="250" w:lineRule="auto"/>
            </w:pPr>
            <w:r>
              <w:rPr>
                <w:sz w:val="15"/>
                <w:szCs w:val="15"/>
              </w:rPr>
              <w:t>Structure la démarche de gestion des risques et alimente la section 7 du plan. Norme en cours de révision ; l’édition 2018 demeure en vigueur.</w:t>
            </w:r>
          </w:p>
        </w:tc>
      </w:tr>
      <w:tr w:rsidR="003E1AAA" w14:paraId="7DD7319C"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712F30C3" w14:textId="77777777" w:rsidR="003E1AAA" w:rsidRDefault="00000000">
            <w:pPr>
              <w:spacing w:before="30" w:after="30" w:line="250" w:lineRule="auto"/>
            </w:pPr>
            <w:r>
              <w:rPr>
                <w:b/>
                <w:bCs/>
                <w:sz w:val="15"/>
                <w:szCs w:val="15"/>
              </w:rPr>
              <w:t>ASME V&amp;V 20 [13]</w:t>
            </w:r>
          </w:p>
        </w:tc>
        <w:tc>
          <w:tcPr>
            <w:tcW w:w="1000" w:type="dxa"/>
            <w:tcMar>
              <w:top w:w="70" w:type="dxa"/>
              <w:left w:w="100" w:type="dxa"/>
              <w:bottom w:w="70" w:type="dxa"/>
              <w:right w:w="100" w:type="dxa"/>
            </w:tcMar>
            <w:vAlign w:val="center"/>
          </w:tcPr>
          <w:p w14:paraId="3A6E9782" w14:textId="77777777" w:rsidR="003E1AAA" w:rsidRDefault="00000000">
            <w:pPr>
              <w:spacing w:before="30" w:after="30" w:line="250" w:lineRule="auto"/>
            </w:pPr>
            <w:r>
              <w:rPr>
                <w:sz w:val="15"/>
                <w:szCs w:val="15"/>
              </w:rPr>
              <w:t>2009 (R2021)</w:t>
            </w:r>
          </w:p>
        </w:tc>
        <w:tc>
          <w:tcPr>
            <w:tcW w:w="2060" w:type="dxa"/>
            <w:tcMar>
              <w:top w:w="70" w:type="dxa"/>
              <w:left w:w="100" w:type="dxa"/>
              <w:bottom w:w="70" w:type="dxa"/>
              <w:right w:w="100" w:type="dxa"/>
            </w:tcMar>
            <w:vAlign w:val="center"/>
          </w:tcPr>
          <w:p w14:paraId="3FB73B01" w14:textId="77777777" w:rsidR="003E1AAA" w:rsidRDefault="00000000">
            <w:pPr>
              <w:spacing w:before="30" w:after="30" w:line="250" w:lineRule="auto"/>
            </w:pPr>
            <w:r>
              <w:rPr>
                <w:sz w:val="15"/>
                <w:szCs w:val="15"/>
              </w:rPr>
              <w:t>Vérification et validation en mécanique des fluides numérique et transferts thermiques</w:t>
            </w:r>
          </w:p>
        </w:tc>
        <w:tc>
          <w:tcPr>
            <w:tcW w:w="1800" w:type="dxa"/>
            <w:tcMar>
              <w:top w:w="70" w:type="dxa"/>
              <w:left w:w="100" w:type="dxa"/>
              <w:bottom w:w="70" w:type="dxa"/>
              <w:right w:w="100" w:type="dxa"/>
            </w:tcMar>
            <w:vAlign w:val="center"/>
          </w:tcPr>
          <w:p w14:paraId="735F7AF7" w14:textId="77777777" w:rsidR="003E1AAA" w:rsidRDefault="00000000">
            <w:pPr>
              <w:spacing w:before="30" w:after="30" w:line="250" w:lineRule="auto"/>
            </w:pPr>
            <w:r>
              <w:rPr>
                <w:sz w:val="15"/>
                <w:szCs w:val="15"/>
              </w:rPr>
              <w:t>Erreur numérique, erreur de modèle, incertitude de validation</w:t>
            </w:r>
          </w:p>
        </w:tc>
        <w:tc>
          <w:tcPr>
            <w:tcW w:w="3180" w:type="dxa"/>
            <w:tcMar>
              <w:top w:w="70" w:type="dxa"/>
              <w:left w:w="100" w:type="dxa"/>
              <w:bottom w:w="70" w:type="dxa"/>
              <w:right w:w="100" w:type="dxa"/>
            </w:tcMar>
            <w:vAlign w:val="center"/>
          </w:tcPr>
          <w:p w14:paraId="30FD3B42" w14:textId="77777777" w:rsidR="003E1AAA" w:rsidRDefault="00000000">
            <w:pPr>
              <w:spacing w:before="30" w:after="30" w:line="250" w:lineRule="auto"/>
            </w:pPr>
            <w:r>
              <w:rPr>
                <w:sz w:val="15"/>
                <w:szCs w:val="15"/>
              </w:rPr>
              <w:t xml:space="preserve">Fournit la méthode pour établir la crédibilité du modèle </w:t>
            </w:r>
            <w:proofErr w:type="spellStart"/>
            <w:r>
              <w:rPr>
                <w:sz w:val="15"/>
                <w:szCs w:val="15"/>
              </w:rPr>
              <w:t>thermohydraulique</w:t>
            </w:r>
            <w:proofErr w:type="spellEnd"/>
            <w:r>
              <w:rPr>
                <w:sz w:val="15"/>
                <w:szCs w:val="15"/>
              </w:rPr>
              <w:t xml:space="preserve"> et pour quantifier l’incertitude comparée aux données de référence. C’est la norme qui outille la campagne d’essais.</w:t>
            </w:r>
          </w:p>
        </w:tc>
      </w:tr>
      <w:tr w:rsidR="003E1AAA" w14:paraId="7149D126"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43971752" w14:textId="77777777" w:rsidR="003E1AAA" w:rsidRDefault="00000000">
            <w:pPr>
              <w:spacing w:before="30" w:after="30" w:line="250" w:lineRule="auto"/>
            </w:pPr>
            <w:r>
              <w:rPr>
                <w:b/>
                <w:bCs/>
                <w:sz w:val="15"/>
                <w:szCs w:val="15"/>
              </w:rPr>
              <w:t>IEEE 1012 [14]</w:t>
            </w:r>
          </w:p>
        </w:tc>
        <w:tc>
          <w:tcPr>
            <w:tcW w:w="1000" w:type="dxa"/>
            <w:tcMar>
              <w:top w:w="70" w:type="dxa"/>
              <w:left w:w="100" w:type="dxa"/>
              <w:bottom w:w="70" w:type="dxa"/>
              <w:right w:w="100" w:type="dxa"/>
            </w:tcMar>
            <w:vAlign w:val="center"/>
          </w:tcPr>
          <w:p w14:paraId="16668320" w14:textId="77777777" w:rsidR="003E1AAA" w:rsidRDefault="00000000">
            <w:pPr>
              <w:spacing w:before="30" w:after="30" w:line="250" w:lineRule="auto"/>
            </w:pPr>
            <w:r>
              <w:rPr>
                <w:sz w:val="15"/>
                <w:szCs w:val="15"/>
              </w:rPr>
              <w:t>2024</w:t>
            </w:r>
          </w:p>
        </w:tc>
        <w:tc>
          <w:tcPr>
            <w:tcW w:w="2060" w:type="dxa"/>
            <w:tcMar>
              <w:top w:w="70" w:type="dxa"/>
              <w:left w:w="100" w:type="dxa"/>
              <w:bottom w:w="70" w:type="dxa"/>
              <w:right w:w="100" w:type="dxa"/>
            </w:tcMar>
            <w:vAlign w:val="center"/>
          </w:tcPr>
          <w:p w14:paraId="75C13066" w14:textId="77777777" w:rsidR="003E1AAA" w:rsidRDefault="00000000">
            <w:pPr>
              <w:spacing w:before="30" w:after="30" w:line="250" w:lineRule="auto"/>
            </w:pPr>
            <w:r>
              <w:rPr>
                <w:sz w:val="15"/>
                <w:szCs w:val="15"/>
              </w:rPr>
              <w:t>Vérification et validation des systèmes, du logiciel et du matériel</w:t>
            </w:r>
          </w:p>
        </w:tc>
        <w:tc>
          <w:tcPr>
            <w:tcW w:w="1800" w:type="dxa"/>
            <w:tcMar>
              <w:top w:w="70" w:type="dxa"/>
              <w:left w:w="100" w:type="dxa"/>
              <w:bottom w:w="70" w:type="dxa"/>
              <w:right w:w="100" w:type="dxa"/>
            </w:tcMar>
            <w:vAlign w:val="center"/>
          </w:tcPr>
          <w:p w14:paraId="0F6AA7BA" w14:textId="77777777" w:rsidR="003E1AAA" w:rsidRDefault="00000000">
            <w:pPr>
              <w:spacing w:before="30" w:after="30" w:line="250" w:lineRule="auto"/>
            </w:pPr>
            <w:r>
              <w:rPr>
                <w:sz w:val="15"/>
                <w:szCs w:val="15"/>
              </w:rPr>
              <w:t>Plan de V&amp;V, niveaux d’intégrité, indépendance de la V&amp;V</w:t>
            </w:r>
          </w:p>
        </w:tc>
        <w:tc>
          <w:tcPr>
            <w:tcW w:w="3180" w:type="dxa"/>
            <w:tcMar>
              <w:top w:w="70" w:type="dxa"/>
              <w:left w:w="100" w:type="dxa"/>
              <w:bottom w:w="70" w:type="dxa"/>
              <w:right w:w="100" w:type="dxa"/>
            </w:tcMar>
            <w:vAlign w:val="center"/>
          </w:tcPr>
          <w:p w14:paraId="09B148FD" w14:textId="77777777" w:rsidR="003E1AAA" w:rsidRDefault="00000000">
            <w:pPr>
              <w:spacing w:before="30" w:after="30" w:line="250" w:lineRule="auto"/>
            </w:pPr>
            <w:r>
              <w:rPr>
                <w:sz w:val="15"/>
                <w:szCs w:val="15"/>
              </w:rPr>
              <w:t>Définit le contenu du plan de V&amp;V et le degré d’indépendance attendu entre le développement et la vérification.</w:t>
            </w:r>
          </w:p>
        </w:tc>
      </w:tr>
      <w:tr w:rsidR="003E1AAA" w14:paraId="1F316E89"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37E98455" w14:textId="77777777" w:rsidR="003E1AAA" w:rsidRDefault="00000000">
            <w:pPr>
              <w:spacing w:before="30" w:after="30" w:line="250" w:lineRule="auto"/>
            </w:pPr>
            <w:r>
              <w:rPr>
                <w:b/>
                <w:bCs/>
                <w:sz w:val="15"/>
                <w:szCs w:val="15"/>
              </w:rPr>
              <w:t>ISO 9241-210 [15]</w:t>
            </w:r>
          </w:p>
        </w:tc>
        <w:tc>
          <w:tcPr>
            <w:tcW w:w="1000" w:type="dxa"/>
            <w:tcMar>
              <w:top w:w="70" w:type="dxa"/>
              <w:left w:w="100" w:type="dxa"/>
              <w:bottom w:w="70" w:type="dxa"/>
              <w:right w:w="100" w:type="dxa"/>
            </w:tcMar>
            <w:vAlign w:val="center"/>
          </w:tcPr>
          <w:p w14:paraId="14868F84" w14:textId="77777777" w:rsidR="003E1AAA" w:rsidRDefault="00000000">
            <w:pPr>
              <w:spacing w:before="30" w:after="30" w:line="250" w:lineRule="auto"/>
            </w:pPr>
            <w:r>
              <w:rPr>
                <w:sz w:val="15"/>
                <w:szCs w:val="15"/>
              </w:rPr>
              <w:t>2019</w:t>
            </w:r>
          </w:p>
        </w:tc>
        <w:tc>
          <w:tcPr>
            <w:tcW w:w="2060" w:type="dxa"/>
            <w:tcMar>
              <w:top w:w="70" w:type="dxa"/>
              <w:left w:w="100" w:type="dxa"/>
              <w:bottom w:w="70" w:type="dxa"/>
              <w:right w:w="100" w:type="dxa"/>
            </w:tcMar>
            <w:vAlign w:val="center"/>
          </w:tcPr>
          <w:p w14:paraId="093C7E3E" w14:textId="77777777" w:rsidR="003E1AAA" w:rsidRDefault="00000000">
            <w:pPr>
              <w:spacing w:before="30" w:after="30" w:line="250" w:lineRule="auto"/>
            </w:pPr>
            <w:r>
              <w:rPr>
                <w:sz w:val="15"/>
                <w:szCs w:val="15"/>
              </w:rPr>
              <w:t>Conception centrée sur l’humain</w:t>
            </w:r>
          </w:p>
        </w:tc>
        <w:tc>
          <w:tcPr>
            <w:tcW w:w="1800" w:type="dxa"/>
            <w:tcMar>
              <w:top w:w="70" w:type="dxa"/>
              <w:left w:w="100" w:type="dxa"/>
              <w:bottom w:w="70" w:type="dxa"/>
              <w:right w:w="100" w:type="dxa"/>
            </w:tcMar>
            <w:vAlign w:val="center"/>
          </w:tcPr>
          <w:p w14:paraId="70C3C858" w14:textId="77777777" w:rsidR="003E1AAA" w:rsidRDefault="00000000">
            <w:pPr>
              <w:spacing w:before="30" w:after="30" w:line="250" w:lineRule="auto"/>
            </w:pPr>
            <w:r>
              <w:rPr>
                <w:sz w:val="15"/>
                <w:szCs w:val="15"/>
              </w:rPr>
              <w:t>Principes de conception et d’évaluation de l’IHM</w:t>
            </w:r>
          </w:p>
        </w:tc>
        <w:tc>
          <w:tcPr>
            <w:tcW w:w="3180" w:type="dxa"/>
            <w:tcMar>
              <w:top w:w="70" w:type="dxa"/>
              <w:left w:w="100" w:type="dxa"/>
              <w:bottom w:w="70" w:type="dxa"/>
              <w:right w:w="100" w:type="dxa"/>
            </w:tcMar>
            <w:vAlign w:val="center"/>
          </w:tcPr>
          <w:p w14:paraId="21E9BE2C" w14:textId="77777777" w:rsidR="003E1AAA" w:rsidRDefault="00000000">
            <w:pPr>
              <w:spacing w:before="30" w:after="30" w:line="250" w:lineRule="auto"/>
            </w:pPr>
            <w:r>
              <w:rPr>
                <w:sz w:val="15"/>
                <w:szCs w:val="15"/>
              </w:rPr>
              <w:t>Oriente l’affichage des alertes, la lisibilité des états et la présentation de l’incertitude à l’opérateur.</w:t>
            </w:r>
          </w:p>
        </w:tc>
      </w:tr>
      <w:tr w:rsidR="003E1AAA" w14:paraId="2F9518D9"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466A3B5C" w14:textId="77777777" w:rsidR="003E1AAA" w:rsidRDefault="00000000">
            <w:pPr>
              <w:spacing w:before="30" w:after="30" w:line="250" w:lineRule="auto"/>
            </w:pPr>
            <w:r>
              <w:rPr>
                <w:b/>
                <w:bCs/>
                <w:sz w:val="15"/>
                <w:szCs w:val="15"/>
              </w:rPr>
              <w:t>CSA N290.7 [16]</w:t>
            </w:r>
          </w:p>
        </w:tc>
        <w:tc>
          <w:tcPr>
            <w:tcW w:w="1000" w:type="dxa"/>
            <w:tcMar>
              <w:top w:w="70" w:type="dxa"/>
              <w:left w:w="100" w:type="dxa"/>
              <w:bottom w:w="70" w:type="dxa"/>
              <w:right w:w="100" w:type="dxa"/>
            </w:tcMar>
            <w:vAlign w:val="center"/>
          </w:tcPr>
          <w:p w14:paraId="74741E19" w14:textId="77777777" w:rsidR="003E1AAA" w:rsidRDefault="00000000">
            <w:pPr>
              <w:spacing w:before="30" w:after="30" w:line="250" w:lineRule="auto"/>
            </w:pPr>
            <w:r>
              <w:rPr>
                <w:sz w:val="15"/>
                <w:szCs w:val="15"/>
              </w:rPr>
              <w:t>2021</w:t>
            </w:r>
          </w:p>
        </w:tc>
        <w:tc>
          <w:tcPr>
            <w:tcW w:w="2060" w:type="dxa"/>
            <w:tcMar>
              <w:top w:w="70" w:type="dxa"/>
              <w:left w:w="100" w:type="dxa"/>
              <w:bottom w:w="70" w:type="dxa"/>
              <w:right w:w="100" w:type="dxa"/>
            </w:tcMar>
            <w:vAlign w:val="center"/>
          </w:tcPr>
          <w:p w14:paraId="25B39195" w14:textId="77777777" w:rsidR="003E1AAA" w:rsidRDefault="00000000">
            <w:pPr>
              <w:spacing w:before="30" w:after="30" w:line="250" w:lineRule="auto"/>
            </w:pPr>
            <w:r>
              <w:rPr>
                <w:sz w:val="15"/>
                <w:szCs w:val="15"/>
              </w:rPr>
              <w:t>Cybersécurité des installations nucléaires</w:t>
            </w:r>
          </w:p>
        </w:tc>
        <w:tc>
          <w:tcPr>
            <w:tcW w:w="1800" w:type="dxa"/>
            <w:tcMar>
              <w:top w:w="70" w:type="dxa"/>
              <w:left w:w="100" w:type="dxa"/>
              <w:bottom w:w="70" w:type="dxa"/>
              <w:right w:w="100" w:type="dxa"/>
            </w:tcMar>
            <w:vAlign w:val="center"/>
          </w:tcPr>
          <w:p w14:paraId="74E4B533" w14:textId="77777777" w:rsidR="003E1AAA" w:rsidRDefault="00000000">
            <w:pPr>
              <w:spacing w:before="30" w:after="30" w:line="250" w:lineRule="auto"/>
            </w:pPr>
            <w:r>
              <w:rPr>
                <w:sz w:val="15"/>
                <w:szCs w:val="15"/>
              </w:rPr>
              <w:t>Intégrité, disponibilité, contrôle d’accès, surveillance</w:t>
            </w:r>
          </w:p>
        </w:tc>
        <w:tc>
          <w:tcPr>
            <w:tcW w:w="3180" w:type="dxa"/>
            <w:tcMar>
              <w:top w:w="70" w:type="dxa"/>
              <w:left w:w="100" w:type="dxa"/>
              <w:bottom w:w="70" w:type="dxa"/>
              <w:right w:w="100" w:type="dxa"/>
            </w:tcMar>
            <w:vAlign w:val="center"/>
          </w:tcPr>
          <w:p w14:paraId="05086EF3" w14:textId="77777777" w:rsidR="003E1AAA" w:rsidRDefault="00000000">
            <w:pPr>
              <w:spacing w:before="30" w:after="30" w:line="250" w:lineRule="auto"/>
            </w:pPr>
            <w:r>
              <w:rPr>
                <w:sz w:val="15"/>
                <w:szCs w:val="15"/>
              </w:rPr>
              <w:t>Oriente la protection des données du jumeau, la gestion des accès et la journalisation. Rendue opposable à l’exploitant par les conditions de permis.</w:t>
            </w:r>
          </w:p>
        </w:tc>
      </w:tr>
      <w:tr w:rsidR="003E1AAA" w14:paraId="3239B078"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05E71BFF" w14:textId="77777777" w:rsidR="003E1AAA" w:rsidRDefault="00000000">
            <w:pPr>
              <w:spacing w:before="30" w:after="30" w:line="250" w:lineRule="auto"/>
            </w:pPr>
            <w:r>
              <w:rPr>
                <w:b/>
                <w:bCs/>
                <w:sz w:val="15"/>
                <w:szCs w:val="15"/>
              </w:rPr>
              <w:t>IEC 62645 [17]</w:t>
            </w:r>
          </w:p>
        </w:tc>
        <w:tc>
          <w:tcPr>
            <w:tcW w:w="1000" w:type="dxa"/>
            <w:tcMar>
              <w:top w:w="70" w:type="dxa"/>
              <w:left w:w="100" w:type="dxa"/>
              <w:bottom w:w="70" w:type="dxa"/>
              <w:right w:w="100" w:type="dxa"/>
            </w:tcMar>
            <w:vAlign w:val="center"/>
          </w:tcPr>
          <w:p w14:paraId="0E29ACFA" w14:textId="77777777" w:rsidR="003E1AAA" w:rsidRDefault="00000000">
            <w:pPr>
              <w:spacing w:before="30" w:after="30" w:line="250" w:lineRule="auto"/>
            </w:pPr>
            <w:r>
              <w:rPr>
                <w:sz w:val="15"/>
                <w:szCs w:val="15"/>
              </w:rPr>
              <w:t>2019</w:t>
            </w:r>
          </w:p>
        </w:tc>
        <w:tc>
          <w:tcPr>
            <w:tcW w:w="2060" w:type="dxa"/>
            <w:tcMar>
              <w:top w:w="70" w:type="dxa"/>
              <w:left w:w="100" w:type="dxa"/>
              <w:bottom w:w="70" w:type="dxa"/>
              <w:right w:w="100" w:type="dxa"/>
            </w:tcMar>
            <w:vAlign w:val="center"/>
          </w:tcPr>
          <w:p w14:paraId="6FDDB428" w14:textId="77777777" w:rsidR="003E1AAA" w:rsidRDefault="00000000">
            <w:pPr>
              <w:spacing w:before="30" w:after="30" w:line="250" w:lineRule="auto"/>
            </w:pPr>
            <w:r>
              <w:rPr>
                <w:sz w:val="15"/>
                <w:szCs w:val="15"/>
              </w:rPr>
              <w:t>Cybersécurité des systèmes I&amp;C nucléaires</w:t>
            </w:r>
          </w:p>
        </w:tc>
        <w:tc>
          <w:tcPr>
            <w:tcW w:w="1800" w:type="dxa"/>
            <w:tcMar>
              <w:top w:w="70" w:type="dxa"/>
              <w:left w:w="100" w:type="dxa"/>
              <w:bottom w:w="70" w:type="dxa"/>
              <w:right w:w="100" w:type="dxa"/>
            </w:tcMar>
            <w:vAlign w:val="center"/>
          </w:tcPr>
          <w:p w14:paraId="27554B5C" w14:textId="77777777" w:rsidR="003E1AAA" w:rsidRDefault="00000000">
            <w:pPr>
              <w:spacing w:before="30" w:after="30" w:line="250" w:lineRule="auto"/>
            </w:pPr>
            <w:r>
              <w:rPr>
                <w:sz w:val="15"/>
                <w:szCs w:val="15"/>
              </w:rPr>
              <w:t>Prévention, détection, surveillance, réaction</w:t>
            </w:r>
          </w:p>
        </w:tc>
        <w:tc>
          <w:tcPr>
            <w:tcW w:w="3180" w:type="dxa"/>
            <w:tcMar>
              <w:top w:w="70" w:type="dxa"/>
              <w:left w:w="100" w:type="dxa"/>
              <w:bottom w:w="70" w:type="dxa"/>
              <w:right w:w="100" w:type="dxa"/>
            </w:tcMar>
            <w:vAlign w:val="center"/>
          </w:tcPr>
          <w:p w14:paraId="0E38C066" w14:textId="77777777" w:rsidR="003E1AAA" w:rsidRDefault="00000000">
            <w:pPr>
              <w:spacing w:before="30" w:after="30" w:line="250" w:lineRule="auto"/>
            </w:pPr>
            <w:r>
              <w:rPr>
                <w:sz w:val="15"/>
                <w:szCs w:val="15"/>
              </w:rPr>
              <w:t>Encadre l’acquisition de données, la détection d’informations incohérentes et le fonctionnement en mode dégradé.</w:t>
            </w:r>
          </w:p>
        </w:tc>
      </w:tr>
      <w:tr w:rsidR="003E1AAA" w14:paraId="674018A8"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6A33B3E6" w14:textId="77777777" w:rsidR="003E1AAA" w:rsidRDefault="00000000">
            <w:pPr>
              <w:spacing w:before="30" w:after="30" w:line="250" w:lineRule="auto"/>
            </w:pPr>
            <w:r>
              <w:rPr>
                <w:b/>
                <w:bCs/>
                <w:sz w:val="15"/>
                <w:szCs w:val="15"/>
              </w:rPr>
              <w:t>IEC 63096 [18]</w:t>
            </w:r>
          </w:p>
        </w:tc>
        <w:tc>
          <w:tcPr>
            <w:tcW w:w="1000" w:type="dxa"/>
            <w:tcMar>
              <w:top w:w="70" w:type="dxa"/>
              <w:left w:w="100" w:type="dxa"/>
              <w:bottom w:w="70" w:type="dxa"/>
              <w:right w:w="100" w:type="dxa"/>
            </w:tcMar>
            <w:vAlign w:val="center"/>
          </w:tcPr>
          <w:p w14:paraId="5C896342" w14:textId="77777777" w:rsidR="003E1AAA" w:rsidRDefault="00000000">
            <w:pPr>
              <w:spacing w:before="30" w:after="30" w:line="250" w:lineRule="auto"/>
            </w:pPr>
            <w:r>
              <w:rPr>
                <w:sz w:val="15"/>
                <w:szCs w:val="15"/>
              </w:rPr>
              <w:t>2020</w:t>
            </w:r>
          </w:p>
        </w:tc>
        <w:tc>
          <w:tcPr>
            <w:tcW w:w="2060" w:type="dxa"/>
            <w:tcMar>
              <w:top w:w="70" w:type="dxa"/>
              <w:left w:w="100" w:type="dxa"/>
              <w:bottom w:w="70" w:type="dxa"/>
              <w:right w:w="100" w:type="dxa"/>
            </w:tcMar>
            <w:vAlign w:val="center"/>
          </w:tcPr>
          <w:p w14:paraId="1DB1B99D" w14:textId="77777777" w:rsidR="003E1AAA" w:rsidRDefault="00000000">
            <w:pPr>
              <w:spacing w:before="30" w:after="30" w:line="250" w:lineRule="auto"/>
            </w:pPr>
            <w:r>
              <w:rPr>
                <w:sz w:val="15"/>
                <w:szCs w:val="15"/>
              </w:rPr>
              <w:t>Contrôles de cybersécurité</w:t>
            </w:r>
          </w:p>
        </w:tc>
        <w:tc>
          <w:tcPr>
            <w:tcW w:w="1800" w:type="dxa"/>
            <w:tcMar>
              <w:top w:w="70" w:type="dxa"/>
              <w:left w:w="100" w:type="dxa"/>
              <w:bottom w:w="70" w:type="dxa"/>
              <w:right w:w="100" w:type="dxa"/>
            </w:tcMar>
            <w:vAlign w:val="center"/>
          </w:tcPr>
          <w:p w14:paraId="462A7F52" w14:textId="77777777" w:rsidR="003E1AAA" w:rsidRDefault="00000000">
            <w:pPr>
              <w:spacing w:before="30" w:after="30" w:line="250" w:lineRule="auto"/>
            </w:pPr>
            <w:r>
              <w:rPr>
                <w:sz w:val="15"/>
                <w:szCs w:val="15"/>
              </w:rPr>
              <w:t>Accès, intégrité, journalisation, communications</w:t>
            </w:r>
          </w:p>
        </w:tc>
        <w:tc>
          <w:tcPr>
            <w:tcW w:w="3180" w:type="dxa"/>
            <w:tcMar>
              <w:top w:w="70" w:type="dxa"/>
              <w:left w:w="100" w:type="dxa"/>
              <w:bottom w:w="70" w:type="dxa"/>
              <w:right w:w="100" w:type="dxa"/>
            </w:tcMar>
            <w:vAlign w:val="center"/>
          </w:tcPr>
          <w:p w14:paraId="67634AF9" w14:textId="77777777" w:rsidR="003E1AAA" w:rsidRDefault="00000000">
            <w:pPr>
              <w:spacing w:before="30" w:after="30" w:line="250" w:lineRule="auto"/>
            </w:pPr>
            <w:r>
              <w:rPr>
                <w:sz w:val="15"/>
                <w:szCs w:val="15"/>
              </w:rPr>
              <w:t>Oriente le choix des mécanismes de contrôle d’accès et de protection des échanges.</w:t>
            </w:r>
          </w:p>
        </w:tc>
      </w:tr>
      <w:tr w:rsidR="003E1AAA" w14:paraId="01343F0C"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20FEDBF2" w14:textId="77777777" w:rsidR="003E1AAA" w:rsidRDefault="00000000">
            <w:pPr>
              <w:spacing w:before="30" w:after="30" w:line="250" w:lineRule="auto"/>
            </w:pPr>
            <w:r>
              <w:rPr>
                <w:b/>
                <w:bCs/>
                <w:sz w:val="15"/>
                <w:szCs w:val="15"/>
              </w:rPr>
              <w:t>IEC 62859 [19]</w:t>
            </w:r>
          </w:p>
        </w:tc>
        <w:tc>
          <w:tcPr>
            <w:tcW w:w="1000" w:type="dxa"/>
            <w:tcMar>
              <w:top w:w="70" w:type="dxa"/>
              <w:left w:w="100" w:type="dxa"/>
              <w:bottom w:w="70" w:type="dxa"/>
              <w:right w:w="100" w:type="dxa"/>
            </w:tcMar>
            <w:vAlign w:val="center"/>
          </w:tcPr>
          <w:p w14:paraId="6C489081" w14:textId="77777777" w:rsidR="003E1AAA" w:rsidRDefault="00000000">
            <w:pPr>
              <w:spacing w:before="30" w:after="30" w:line="250" w:lineRule="auto"/>
            </w:pPr>
            <w:r>
              <w:rPr>
                <w:sz w:val="15"/>
                <w:szCs w:val="15"/>
              </w:rPr>
              <w:t>2016 + A1:2019</w:t>
            </w:r>
          </w:p>
        </w:tc>
        <w:tc>
          <w:tcPr>
            <w:tcW w:w="2060" w:type="dxa"/>
            <w:tcMar>
              <w:top w:w="70" w:type="dxa"/>
              <w:left w:w="100" w:type="dxa"/>
              <w:bottom w:w="70" w:type="dxa"/>
              <w:right w:w="100" w:type="dxa"/>
            </w:tcMar>
            <w:vAlign w:val="center"/>
          </w:tcPr>
          <w:p w14:paraId="36DC8A8B" w14:textId="77777777" w:rsidR="003E1AAA" w:rsidRDefault="00000000">
            <w:pPr>
              <w:spacing w:before="30" w:after="30" w:line="250" w:lineRule="auto"/>
            </w:pPr>
            <w:r>
              <w:rPr>
                <w:sz w:val="15"/>
                <w:szCs w:val="15"/>
              </w:rPr>
              <w:t>Coordination entre sûreté et cybersécurité</w:t>
            </w:r>
          </w:p>
        </w:tc>
        <w:tc>
          <w:tcPr>
            <w:tcW w:w="1800" w:type="dxa"/>
            <w:tcMar>
              <w:top w:w="70" w:type="dxa"/>
              <w:left w:w="100" w:type="dxa"/>
              <w:bottom w:w="70" w:type="dxa"/>
              <w:right w:w="100" w:type="dxa"/>
            </w:tcMar>
            <w:vAlign w:val="center"/>
          </w:tcPr>
          <w:p w14:paraId="45BBBCB4" w14:textId="77777777" w:rsidR="003E1AAA" w:rsidRDefault="00000000">
            <w:pPr>
              <w:spacing w:before="30" w:after="30" w:line="250" w:lineRule="auto"/>
            </w:pPr>
            <w:r>
              <w:rPr>
                <w:sz w:val="15"/>
                <w:szCs w:val="15"/>
              </w:rPr>
              <w:t>Interaction entre mesures de sûreté et mesures de sécurité</w:t>
            </w:r>
          </w:p>
        </w:tc>
        <w:tc>
          <w:tcPr>
            <w:tcW w:w="3180" w:type="dxa"/>
            <w:tcMar>
              <w:top w:w="70" w:type="dxa"/>
              <w:left w:w="100" w:type="dxa"/>
              <w:bottom w:w="70" w:type="dxa"/>
              <w:right w:w="100" w:type="dxa"/>
            </w:tcMar>
            <w:vAlign w:val="center"/>
          </w:tcPr>
          <w:p w14:paraId="4E4326CC" w14:textId="77777777" w:rsidR="003E1AAA" w:rsidRDefault="00000000">
            <w:pPr>
              <w:spacing w:before="30" w:after="30" w:line="250" w:lineRule="auto"/>
            </w:pPr>
            <w:r>
              <w:rPr>
                <w:sz w:val="15"/>
                <w:szCs w:val="15"/>
              </w:rPr>
              <w:t>Garantit qu’une mesure de cybersécurité n’empêche pas l’opérateur de percevoir l’état réel du système.</w:t>
            </w:r>
          </w:p>
        </w:tc>
      </w:tr>
      <w:tr w:rsidR="003E1AAA" w14:paraId="22601A81"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4C636828" w14:textId="77777777" w:rsidR="003E1AAA" w:rsidRDefault="00000000">
            <w:pPr>
              <w:spacing w:before="30" w:after="30" w:line="250" w:lineRule="auto"/>
            </w:pPr>
            <w:r>
              <w:rPr>
                <w:b/>
                <w:bCs/>
                <w:sz w:val="15"/>
                <w:szCs w:val="15"/>
              </w:rPr>
              <w:t>IEC 61513 [20]</w:t>
            </w:r>
          </w:p>
        </w:tc>
        <w:tc>
          <w:tcPr>
            <w:tcW w:w="1000" w:type="dxa"/>
            <w:tcMar>
              <w:top w:w="70" w:type="dxa"/>
              <w:left w:w="100" w:type="dxa"/>
              <w:bottom w:w="70" w:type="dxa"/>
              <w:right w:w="100" w:type="dxa"/>
            </w:tcMar>
            <w:vAlign w:val="center"/>
          </w:tcPr>
          <w:p w14:paraId="1C9F943C" w14:textId="77777777" w:rsidR="003E1AAA" w:rsidRDefault="00000000">
            <w:pPr>
              <w:spacing w:before="30" w:after="30" w:line="250" w:lineRule="auto"/>
            </w:pPr>
            <w:r>
              <w:rPr>
                <w:sz w:val="15"/>
                <w:szCs w:val="15"/>
              </w:rPr>
              <w:t>2026 (éd. 3.0)</w:t>
            </w:r>
          </w:p>
        </w:tc>
        <w:tc>
          <w:tcPr>
            <w:tcW w:w="2060" w:type="dxa"/>
            <w:tcMar>
              <w:top w:w="70" w:type="dxa"/>
              <w:left w:w="100" w:type="dxa"/>
              <w:bottom w:w="70" w:type="dxa"/>
              <w:right w:w="100" w:type="dxa"/>
            </w:tcMar>
            <w:vAlign w:val="center"/>
          </w:tcPr>
          <w:p w14:paraId="31068E9A" w14:textId="77777777" w:rsidR="003E1AAA" w:rsidRDefault="00000000">
            <w:pPr>
              <w:spacing w:before="30" w:after="30" w:line="250" w:lineRule="auto"/>
            </w:pPr>
            <w:r>
              <w:rPr>
                <w:sz w:val="15"/>
                <w:szCs w:val="15"/>
              </w:rPr>
              <w:t>Systèmes I&amp;C importants pour la sûreté</w:t>
            </w:r>
          </w:p>
        </w:tc>
        <w:tc>
          <w:tcPr>
            <w:tcW w:w="1800" w:type="dxa"/>
            <w:tcMar>
              <w:top w:w="70" w:type="dxa"/>
              <w:left w:w="100" w:type="dxa"/>
              <w:bottom w:w="70" w:type="dxa"/>
              <w:right w:w="100" w:type="dxa"/>
            </w:tcMar>
            <w:vAlign w:val="center"/>
          </w:tcPr>
          <w:p w14:paraId="63996463" w14:textId="77777777" w:rsidR="003E1AAA" w:rsidRDefault="00000000">
            <w:pPr>
              <w:spacing w:before="30" w:after="30" w:line="250" w:lineRule="auto"/>
            </w:pPr>
            <w:r>
              <w:rPr>
                <w:sz w:val="15"/>
                <w:szCs w:val="15"/>
              </w:rPr>
              <w:t>Architecture, exigences, cycle de vie</w:t>
            </w:r>
          </w:p>
        </w:tc>
        <w:tc>
          <w:tcPr>
            <w:tcW w:w="3180" w:type="dxa"/>
            <w:tcMar>
              <w:top w:w="70" w:type="dxa"/>
              <w:left w:w="100" w:type="dxa"/>
              <w:bottom w:w="70" w:type="dxa"/>
              <w:right w:w="100" w:type="dxa"/>
            </w:tcMar>
            <w:vAlign w:val="center"/>
          </w:tcPr>
          <w:p w14:paraId="0EAD1DE2" w14:textId="77777777" w:rsidR="003E1AAA" w:rsidRDefault="00000000">
            <w:pPr>
              <w:spacing w:before="30" w:after="30" w:line="250" w:lineRule="auto"/>
            </w:pPr>
            <w:r>
              <w:rPr>
                <w:sz w:val="15"/>
                <w:szCs w:val="15"/>
              </w:rPr>
              <w:t>Référence pour l’architecture, la définition des fonctions et la validation du système simulé.</w:t>
            </w:r>
          </w:p>
        </w:tc>
      </w:tr>
      <w:tr w:rsidR="003E1AAA" w14:paraId="60A2E049"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5BE59191" w14:textId="77777777" w:rsidR="003E1AAA" w:rsidRDefault="00000000">
            <w:pPr>
              <w:spacing w:before="30" w:after="30" w:line="250" w:lineRule="auto"/>
            </w:pPr>
            <w:r>
              <w:rPr>
                <w:b/>
                <w:bCs/>
                <w:sz w:val="15"/>
                <w:szCs w:val="15"/>
              </w:rPr>
              <w:t>IEC 60880 [21]</w:t>
            </w:r>
          </w:p>
        </w:tc>
        <w:tc>
          <w:tcPr>
            <w:tcW w:w="1000" w:type="dxa"/>
            <w:tcMar>
              <w:top w:w="70" w:type="dxa"/>
              <w:left w:w="100" w:type="dxa"/>
              <w:bottom w:w="70" w:type="dxa"/>
              <w:right w:w="100" w:type="dxa"/>
            </w:tcMar>
            <w:vAlign w:val="center"/>
          </w:tcPr>
          <w:p w14:paraId="110E4531" w14:textId="77777777" w:rsidR="003E1AAA" w:rsidRDefault="00000000">
            <w:pPr>
              <w:spacing w:before="30" w:after="30" w:line="250" w:lineRule="auto"/>
            </w:pPr>
            <w:r>
              <w:rPr>
                <w:sz w:val="15"/>
                <w:szCs w:val="15"/>
              </w:rPr>
              <w:t>2006</w:t>
            </w:r>
          </w:p>
        </w:tc>
        <w:tc>
          <w:tcPr>
            <w:tcW w:w="2060" w:type="dxa"/>
            <w:tcMar>
              <w:top w:w="70" w:type="dxa"/>
              <w:left w:w="100" w:type="dxa"/>
              <w:bottom w:w="70" w:type="dxa"/>
              <w:right w:w="100" w:type="dxa"/>
            </w:tcMar>
            <w:vAlign w:val="center"/>
          </w:tcPr>
          <w:p w14:paraId="6B811049" w14:textId="77777777" w:rsidR="003E1AAA" w:rsidRDefault="00000000">
            <w:pPr>
              <w:spacing w:before="30" w:after="30" w:line="250" w:lineRule="auto"/>
            </w:pPr>
            <w:r>
              <w:rPr>
                <w:sz w:val="15"/>
                <w:szCs w:val="15"/>
              </w:rPr>
              <w:t>Logiciels des fonctions de catégorie A</w:t>
            </w:r>
          </w:p>
        </w:tc>
        <w:tc>
          <w:tcPr>
            <w:tcW w:w="1800" w:type="dxa"/>
            <w:tcMar>
              <w:top w:w="70" w:type="dxa"/>
              <w:left w:w="100" w:type="dxa"/>
              <w:bottom w:w="70" w:type="dxa"/>
              <w:right w:w="100" w:type="dxa"/>
            </w:tcMar>
            <w:vAlign w:val="center"/>
          </w:tcPr>
          <w:p w14:paraId="515AB628" w14:textId="77777777" w:rsidR="003E1AAA" w:rsidRDefault="00000000">
            <w:pPr>
              <w:spacing w:before="30" w:after="30" w:line="250" w:lineRule="auto"/>
            </w:pPr>
            <w:r>
              <w:rPr>
                <w:sz w:val="15"/>
                <w:szCs w:val="15"/>
              </w:rPr>
              <w:t>Développement, vérification, validation</w:t>
            </w:r>
          </w:p>
        </w:tc>
        <w:tc>
          <w:tcPr>
            <w:tcW w:w="3180" w:type="dxa"/>
            <w:tcMar>
              <w:top w:w="70" w:type="dxa"/>
              <w:left w:w="100" w:type="dxa"/>
              <w:bottom w:w="70" w:type="dxa"/>
              <w:right w:w="100" w:type="dxa"/>
            </w:tcMar>
            <w:vAlign w:val="center"/>
          </w:tcPr>
          <w:p w14:paraId="200AFD44" w14:textId="77777777" w:rsidR="003E1AAA" w:rsidRDefault="00000000">
            <w:pPr>
              <w:spacing w:before="30" w:after="30" w:line="250" w:lineRule="auto"/>
            </w:pPr>
            <w:r>
              <w:rPr>
                <w:sz w:val="15"/>
                <w:szCs w:val="15"/>
              </w:rPr>
              <w:t>Référence de rigueur pour la vérification, la validation et la traçabilité des fonctions logicielles.</w:t>
            </w:r>
          </w:p>
        </w:tc>
      </w:tr>
      <w:tr w:rsidR="003E1AAA" w14:paraId="3D0598DE"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63832E67" w14:textId="77777777" w:rsidR="003E1AAA" w:rsidRDefault="00000000">
            <w:pPr>
              <w:spacing w:before="30" w:after="30" w:line="250" w:lineRule="auto"/>
            </w:pPr>
            <w:r>
              <w:rPr>
                <w:b/>
                <w:bCs/>
                <w:sz w:val="15"/>
                <w:szCs w:val="15"/>
              </w:rPr>
              <w:t>IEC 62138 [22]</w:t>
            </w:r>
          </w:p>
        </w:tc>
        <w:tc>
          <w:tcPr>
            <w:tcW w:w="1000" w:type="dxa"/>
            <w:tcMar>
              <w:top w:w="70" w:type="dxa"/>
              <w:left w:w="100" w:type="dxa"/>
              <w:bottom w:w="70" w:type="dxa"/>
              <w:right w:w="100" w:type="dxa"/>
            </w:tcMar>
            <w:vAlign w:val="center"/>
          </w:tcPr>
          <w:p w14:paraId="3A98161C" w14:textId="77777777" w:rsidR="003E1AAA" w:rsidRDefault="00000000">
            <w:pPr>
              <w:spacing w:before="30" w:after="30" w:line="250" w:lineRule="auto"/>
            </w:pPr>
            <w:r>
              <w:rPr>
                <w:sz w:val="15"/>
                <w:szCs w:val="15"/>
              </w:rPr>
              <w:t>2018</w:t>
            </w:r>
          </w:p>
        </w:tc>
        <w:tc>
          <w:tcPr>
            <w:tcW w:w="2060" w:type="dxa"/>
            <w:tcMar>
              <w:top w:w="70" w:type="dxa"/>
              <w:left w:w="100" w:type="dxa"/>
              <w:bottom w:w="70" w:type="dxa"/>
              <w:right w:w="100" w:type="dxa"/>
            </w:tcMar>
            <w:vAlign w:val="center"/>
          </w:tcPr>
          <w:p w14:paraId="77951133" w14:textId="77777777" w:rsidR="003E1AAA" w:rsidRDefault="00000000">
            <w:pPr>
              <w:spacing w:before="30" w:after="30" w:line="250" w:lineRule="auto"/>
            </w:pPr>
            <w:r>
              <w:rPr>
                <w:sz w:val="15"/>
                <w:szCs w:val="15"/>
              </w:rPr>
              <w:t>Logiciels des fonctions de catégorie B ou C</w:t>
            </w:r>
          </w:p>
        </w:tc>
        <w:tc>
          <w:tcPr>
            <w:tcW w:w="1800" w:type="dxa"/>
            <w:tcMar>
              <w:top w:w="70" w:type="dxa"/>
              <w:left w:w="100" w:type="dxa"/>
              <w:bottom w:w="70" w:type="dxa"/>
              <w:right w:w="100" w:type="dxa"/>
            </w:tcMar>
            <w:vAlign w:val="center"/>
          </w:tcPr>
          <w:p w14:paraId="2CC1DA59" w14:textId="77777777" w:rsidR="003E1AAA" w:rsidRDefault="00000000">
            <w:pPr>
              <w:spacing w:before="30" w:after="30" w:line="250" w:lineRule="auto"/>
            </w:pPr>
            <w:r>
              <w:rPr>
                <w:sz w:val="15"/>
                <w:szCs w:val="15"/>
              </w:rPr>
              <w:t>Développement, essais, documentation</w:t>
            </w:r>
          </w:p>
        </w:tc>
        <w:tc>
          <w:tcPr>
            <w:tcW w:w="3180" w:type="dxa"/>
            <w:tcMar>
              <w:top w:w="70" w:type="dxa"/>
              <w:left w:w="100" w:type="dxa"/>
              <w:bottom w:w="70" w:type="dxa"/>
              <w:right w:w="100" w:type="dxa"/>
            </w:tcMar>
            <w:vAlign w:val="center"/>
          </w:tcPr>
          <w:p w14:paraId="23E255E3" w14:textId="77777777" w:rsidR="003E1AAA" w:rsidRDefault="00000000">
            <w:pPr>
              <w:spacing w:before="30" w:after="30" w:line="250" w:lineRule="auto"/>
            </w:pPr>
            <w:r>
              <w:rPr>
                <w:sz w:val="15"/>
                <w:szCs w:val="15"/>
              </w:rPr>
              <w:t>Encadre les essais, la documentation et la validation des modules logiciels.</w:t>
            </w:r>
          </w:p>
        </w:tc>
      </w:tr>
      <w:tr w:rsidR="003E1AAA" w14:paraId="33C307A1"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1AC6475B" w14:textId="77777777" w:rsidR="003E1AAA" w:rsidRDefault="00000000">
            <w:pPr>
              <w:spacing w:before="30" w:after="30" w:line="250" w:lineRule="auto"/>
            </w:pPr>
            <w:r>
              <w:rPr>
                <w:b/>
                <w:bCs/>
                <w:sz w:val="15"/>
                <w:szCs w:val="15"/>
              </w:rPr>
              <w:t>ISO/IEC 27001 [23]</w:t>
            </w:r>
          </w:p>
        </w:tc>
        <w:tc>
          <w:tcPr>
            <w:tcW w:w="1000" w:type="dxa"/>
            <w:tcMar>
              <w:top w:w="70" w:type="dxa"/>
              <w:left w:w="100" w:type="dxa"/>
              <w:bottom w:w="70" w:type="dxa"/>
              <w:right w:w="100" w:type="dxa"/>
            </w:tcMar>
            <w:vAlign w:val="center"/>
          </w:tcPr>
          <w:p w14:paraId="43AC2535" w14:textId="77777777" w:rsidR="003E1AAA" w:rsidRDefault="00000000">
            <w:pPr>
              <w:spacing w:before="30" w:after="30" w:line="250" w:lineRule="auto"/>
            </w:pPr>
            <w:r>
              <w:rPr>
                <w:sz w:val="15"/>
                <w:szCs w:val="15"/>
              </w:rPr>
              <w:t>2022</w:t>
            </w:r>
          </w:p>
        </w:tc>
        <w:tc>
          <w:tcPr>
            <w:tcW w:w="2060" w:type="dxa"/>
            <w:tcMar>
              <w:top w:w="70" w:type="dxa"/>
              <w:left w:w="100" w:type="dxa"/>
              <w:bottom w:w="70" w:type="dxa"/>
              <w:right w:w="100" w:type="dxa"/>
            </w:tcMar>
            <w:vAlign w:val="center"/>
          </w:tcPr>
          <w:p w14:paraId="3E1C301B" w14:textId="77777777" w:rsidR="003E1AAA" w:rsidRDefault="00000000">
            <w:pPr>
              <w:spacing w:before="30" w:after="30" w:line="250" w:lineRule="auto"/>
            </w:pPr>
            <w:r>
              <w:rPr>
                <w:sz w:val="15"/>
                <w:szCs w:val="15"/>
              </w:rPr>
              <w:t>Management de la sécurité de l’information</w:t>
            </w:r>
          </w:p>
        </w:tc>
        <w:tc>
          <w:tcPr>
            <w:tcW w:w="1800" w:type="dxa"/>
            <w:tcMar>
              <w:top w:w="70" w:type="dxa"/>
              <w:left w:w="100" w:type="dxa"/>
              <w:bottom w:w="70" w:type="dxa"/>
              <w:right w:w="100" w:type="dxa"/>
            </w:tcMar>
            <w:vAlign w:val="center"/>
          </w:tcPr>
          <w:p w14:paraId="5A6E4B15" w14:textId="77777777" w:rsidR="003E1AAA" w:rsidRDefault="00000000">
            <w:pPr>
              <w:spacing w:before="30" w:after="30" w:line="250" w:lineRule="auto"/>
            </w:pPr>
            <w:r>
              <w:rPr>
                <w:sz w:val="15"/>
                <w:szCs w:val="15"/>
              </w:rPr>
              <w:t>Accès, intégrité, disponibilité</w:t>
            </w:r>
          </w:p>
        </w:tc>
        <w:tc>
          <w:tcPr>
            <w:tcW w:w="3180" w:type="dxa"/>
            <w:tcMar>
              <w:top w:w="70" w:type="dxa"/>
              <w:left w:w="100" w:type="dxa"/>
              <w:bottom w:w="70" w:type="dxa"/>
              <w:right w:w="100" w:type="dxa"/>
            </w:tcMar>
            <w:vAlign w:val="center"/>
          </w:tcPr>
          <w:p w14:paraId="54434536" w14:textId="77777777" w:rsidR="003E1AAA" w:rsidRDefault="00000000">
            <w:pPr>
              <w:spacing w:before="30" w:after="30" w:line="250" w:lineRule="auto"/>
            </w:pPr>
            <w:r>
              <w:rPr>
                <w:sz w:val="15"/>
                <w:szCs w:val="15"/>
              </w:rPr>
              <w:t>Prise en compte de la disponibilité des données, de leur intégrité et de la gestion des accès au prototype.</w:t>
            </w:r>
          </w:p>
        </w:tc>
      </w:tr>
      <w:tr w:rsidR="003E1AAA" w14:paraId="5B3E2054" w14:textId="77777777" w:rsidTr="00E126E4">
        <w:tblPrEx>
          <w:tblCellMar>
            <w:top w:w="0" w:type="dxa"/>
            <w:bottom w:w="0" w:type="dxa"/>
          </w:tblCellMar>
        </w:tblPrEx>
        <w:trPr>
          <w:cantSplit/>
        </w:trPr>
        <w:tc>
          <w:tcPr>
            <w:tcW w:w="1320" w:type="dxa"/>
            <w:tcMar>
              <w:top w:w="70" w:type="dxa"/>
              <w:left w:w="100" w:type="dxa"/>
              <w:bottom w:w="70" w:type="dxa"/>
              <w:right w:w="100" w:type="dxa"/>
            </w:tcMar>
            <w:vAlign w:val="center"/>
          </w:tcPr>
          <w:p w14:paraId="5C086B40" w14:textId="77777777" w:rsidR="003E1AAA" w:rsidRDefault="00000000">
            <w:pPr>
              <w:spacing w:before="30" w:after="30" w:line="250" w:lineRule="auto"/>
            </w:pPr>
            <w:r>
              <w:rPr>
                <w:b/>
                <w:bCs/>
                <w:sz w:val="15"/>
                <w:szCs w:val="15"/>
              </w:rPr>
              <w:t>ISO/IEC 27005 [24]</w:t>
            </w:r>
          </w:p>
        </w:tc>
        <w:tc>
          <w:tcPr>
            <w:tcW w:w="1000" w:type="dxa"/>
            <w:tcMar>
              <w:top w:w="70" w:type="dxa"/>
              <w:left w:w="100" w:type="dxa"/>
              <w:bottom w:w="70" w:type="dxa"/>
              <w:right w:w="100" w:type="dxa"/>
            </w:tcMar>
            <w:vAlign w:val="center"/>
          </w:tcPr>
          <w:p w14:paraId="4A076631" w14:textId="77777777" w:rsidR="003E1AAA" w:rsidRDefault="00000000">
            <w:pPr>
              <w:spacing w:before="30" w:after="30" w:line="250" w:lineRule="auto"/>
            </w:pPr>
            <w:r>
              <w:rPr>
                <w:sz w:val="15"/>
                <w:szCs w:val="15"/>
              </w:rPr>
              <w:t>2022</w:t>
            </w:r>
          </w:p>
        </w:tc>
        <w:tc>
          <w:tcPr>
            <w:tcW w:w="2060" w:type="dxa"/>
            <w:tcMar>
              <w:top w:w="70" w:type="dxa"/>
              <w:left w:w="100" w:type="dxa"/>
              <w:bottom w:w="70" w:type="dxa"/>
              <w:right w:w="100" w:type="dxa"/>
            </w:tcMar>
            <w:vAlign w:val="center"/>
          </w:tcPr>
          <w:p w14:paraId="18E84DE1" w14:textId="77777777" w:rsidR="003E1AAA" w:rsidRDefault="00000000">
            <w:pPr>
              <w:spacing w:before="30" w:after="30" w:line="250" w:lineRule="auto"/>
            </w:pPr>
            <w:r>
              <w:rPr>
                <w:sz w:val="15"/>
                <w:szCs w:val="15"/>
              </w:rPr>
              <w:t>Gestion des risques de sécurité de l’information</w:t>
            </w:r>
          </w:p>
        </w:tc>
        <w:tc>
          <w:tcPr>
            <w:tcW w:w="1800" w:type="dxa"/>
            <w:tcMar>
              <w:top w:w="70" w:type="dxa"/>
              <w:left w:w="100" w:type="dxa"/>
              <w:bottom w:w="70" w:type="dxa"/>
              <w:right w:w="100" w:type="dxa"/>
            </w:tcMar>
            <w:vAlign w:val="center"/>
          </w:tcPr>
          <w:p w14:paraId="23006FAE" w14:textId="77777777" w:rsidR="003E1AAA" w:rsidRDefault="00000000">
            <w:pPr>
              <w:spacing w:before="30" w:after="30" w:line="250" w:lineRule="auto"/>
            </w:pPr>
            <w:r>
              <w:rPr>
                <w:sz w:val="15"/>
                <w:szCs w:val="15"/>
              </w:rPr>
              <w:t>Identification, analyse et traitement des risques</w:t>
            </w:r>
          </w:p>
        </w:tc>
        <w:tc>
          <w:tcPr>
            <w:tcW w:w="3180" w:type="dxa"/>
            <w:tcMar>
              <w:top w:w="70" w:type="dxa"/>
              <w:left w:w="100" w:type="dxa"/>
              <w:bottom w:w="70" w:type="dxa"/>
              <w:right w:w="100" w:type="dxa"/>
            </w:tcMar>
            <w:vAlign w:val="center"/>
          </w:tcPr>
          <w:p w14:paraId="62C92FDD" w14:textId="77777777" w:rsidR="003E1AAA" w:rsidRDefault="00000000">
            <w:pPr>
              <w:spacing w:before="30" w:after="30" w:line="250" w:lineRule="auto"/>
            </w:pPr>
            <w:r>
              <w:rPr>
                <w:sz w:val="15"/>
                <w:szCs w:val="15"/>
              </w:rPr>
              <w:t>Structure l’analyse des risques liés aux données, aux communications et aux fonctions numériques.</w:t>
            </w:r>
          </w:p>
        </w:tc>
      </w:tr>
    </w:tbl>
    <w:p w14:paraId="1EC3B828" w14:textId="77777777" w:rsidR="003E1AAA" w:rsidRDefault="00000000">
      <w:r>
        <w:br w:type="page"/>
      </w:r>
    </w:p>
    <w:p w14:paraId="557C8A15" w14:textId="4144DBA0" w:rsidR="003E1AAA" w:rsidRDefault="00E126E4">
      <w:pPr>
        <w:pStyle w:val="Titre2"/>
        <w:spacing w:before="280" w:after="120"/>
      </w:pPr>
      <w:r>
        <w:rPr>
          <w:b/>
          <w:bCs/>
          <w:color w:val="2A78D6"/>
          <w:sz w:val="23"/>
          <w:szCs w:val="23"/>
        </w:rPr>
        <w:lastRenderedPageBreak/>
        <w:t>5.4 Incidence</w:t>
      </w:r>
      <w:r w:rsidR="00000000">
        <w:rPr>
          <w:b/>
          <w:bCs/>
          <w:color w:val="2A78D6"/>
          <w:sz w:val="23"/>
          <w:szCs w:val="23"/>
        </w:rPr>
        <w:t xml:space="preserve"> sur la conception</w:t>
      </w:r>
    </w:p>
    <w:p w14:paraId="25CA2045" w14:textId="77777777" w:rsidR="003E1AAA" w:rsidRDefault="00000000">
      <w:pPr>
        <w:spacing w:after="130" w:line="280" w:lineRule="auto"/>
      </w:pPr>
      <w:r>
        <w:t>L’analyse législative, réglementaire et normative influence directement plusieurs choix de conception. Elle ne constitue donc pas une simple recherche documentaire : elle transforme des exigences générales en contraintes techniques et en critères de validation vérifiables.</w:t>
      </w:r>
    </w:p>
    <w:p w14:paraId="5644CC55" w14:textId="77777777" w:rsidR="003E1AAA" w:rsidRDefault="00000000">
      <w:pPr>
        <w:pStyle w:val="Titre3"/>
        <w:spacing w:before="220" w:after="100"/>
      </w:pPr>
      <w:r>
        <w:rPr>
          <w:b/>
          <w:bCs/>
          <w:color w:val="1A1A19"/>
          <w:sz w:val="21"/>
          <w:szCs w:val="21"/>
        </w:rPr>
        <w:t>Modélisation et comportement physique</w:t>
      </w:r>
    </w:p>
    <w:p w14:paraId="285FCDD8" w14:textId="77777777" w:rsidR="003E1AAA" w:rsidRDefault="00000000">
      <w:pPr>
        <w:spacing w:after="130" w:line="280" w:lineRule="auto"/>
      </w:pPr>
      <w:r>
        <w:t xml:space="preserve">Les dispositions de la Loi sur les ingénieurs relatives aux modèles et aux calculs [1] sont directement liées à la conception de la boucle </w:t>
      </w:r>
      <w:proofErr w:type="spellStart"/>
      <w:r>
        <w:t>thermohydraulique</w:t>
      </w:r>
      <w:proofErr w:type="spellEnd"/>
      <w:r>
        <w:t xml:space="preserve"> simulée. Les variables de température, de pression et de débit doivent reposer sur un modèle cohérent, documenté et vérifiable. Les hypothèses du modèle doivent être explicitement énoncées afin de distinguer la simulation universitaire d’un modèle représentant réellement Gentilly-2.</w:t>
      </w:r>
    </w:p>
    <w:p w14:paraId="7E689FB2" w14:textId="77777777" w:rsidR="003E1AAA" w:rsidRDefault="00000000">
      <w:pPr>
        <w:pStyle w:val="Titre3"/>
        <w:spacing w:before="220" w:after="100"/>
      </w:pPr>
      <w:r>
        <w:rPr>
          <w:b/>
          <w:bCs/>
          <w:color w:val="1A1A19"/>
          <w:sz w:val="21"/>
          <w:szCs w:val="21"/>
        </w:rPr>
        <w:t>Crédibilité du modèle numérique</w:t>
      </w:r>
    </w:p>
    <w:p w14:paraId="0EC373C4" w14:textId="77777777" w:rsidR="003E1AAA" w:rsidRDefault="00000000">
      <w:pPr>
        <w:spacing w:after="130" w:line="280" w:lineRule="auto"/>
      </w:pPr>
      <w:r>
        <w:t>C’est le point où un jumeau numérique se distingue d’un logiciel ordinaire : la question n’est pas seulement de savoir si le programme est correct, mais si le modèle représente fidèlement le système. ASME V&amp;V 20 [13] sépare trois contributions — l’erreur numérique de résolution, l’erreur de modélisation et l’incertitude des données de référence — et fournit la méthode pour les combiner en une incertitude de validation. Cette décomposition détermine le contenu de la campagne d’essais et la forme des résultats : un écart entre le jumeau et le système de référence n’a de sens que rapporté à l’incertitude de validation. IEEE 1012 [14] complète en fixant le contenu du plan de V&amp;V et le degré d’indépendance attendu entre celui qui développe une fonction et celui qui la vérifie.</w:t>
      </w:r>
    </w:p>
    <w:p w14:paraId="7B3CE2AB" w14:textId="77777777" w:rsidR="003E1AAA" w:rsidRDefault="00000000">
      <w:pPr>
        <w:pStyle w:val="Titre3"/>
        <w:spacing w:before="220" w:after="100"/>
      </w:pPr>
      <w:r>
        <w:rPr>
          <w:b/>
          <w:bCs/>
          <w:color w:val="1A1A19"/>
          <w:sz w:val="21"/>
          <w:szCs w:val="21"/>
        </w:rPr>
        <w:t>Architecture du jumeau numérique</w:t>
      </w:r>
    </w:p>
    <w:p w14:paraId="69D0AA5D" w14:textId="77777777" w:rsidR="003E1AAA" w:rsidRDefault="00000000">
      <w:pPr>
        <w:spacing w:after="130" w:line="280" w:lineRule="auto"/>
      </w:pPr>
      <w:r>
        <w:t xml:space="preserve">Les normes relatives au cycle de vie des systèmes [8], au cycle de vie du logiciel [9] et au cadre du jumeau numérique [10] conduisent à séparer clairement les fonctions du prototype : boucle </w:t>
      </w:r>
      <w:proofErr w:type="spellStart"/>
      <w:r>
        <w:t>thermohydraulique</w:t>
      </w:r>
      <w:proofErr w:type="spellEnd"/>
      <w:r>
        <w:t xml:space="preserve"> simulée, acquisition des données, jumeau numérique, analyse, interface d’aide à la décision. Cette séparation facilite le développement, les essais et la validation de chaque fonction indépendamment.</w:t>
      </w:r>
    </w:p>
    <w:p w14:paraId="05248F86" w14:textId="77777777" w:rsidR="003E1AAA" w:rsidRDefault="00000000">
      <w:pPr>
        <w:pStyle w:val="Titre3"/>
        <w:spacing w:before="220" w:after="100"/>
      </w:pPr>
      <w:r>
        <w:rPr>
          <w:b/>
          <w:bCs/>
          <w:color w:val="1A1A19"/>
          <w:sz w:val="21"/>
          <w:szCs w:val="21"/>
        </w:rPr>
        <w:t>Cybersécurité et résilience</w:t>
      </w:r>
    </w:p>
    <w:p w14:paraId="66A2C412" w14:textId="77777777" w:rsidR="003E1AAA" w:rsidRDefault="00000000">
      <w:pPr>
        <w:spacing w:after="130" w:line="280" w:lineRule="auto"/>
      </w:pPr>
      <w:r>
        <w:t>Les normes de cybersécurité [16] [17] [18] [23] conduisent à intégrer plusieurs principes dans la conception :</w:t>
      </w:r>
    </w:p>
    <w:p w14:paraId="0D48CFD1" w14:textId="77777777" w:rsidR="003E1AAA" w:rsidRDefault="00000000">
      <w:pPr>
        <w:pStyle w:val="Paragraphedeliste"/>
        <w:numPr>
          <w:ilvl w:val="0"/>
          <w:numId w:val="2"/>
        </w:numPr>
        <w:spacing w:after="70" w:line="266" w:lineRule="auto"/>
      </w:pPr>
      <w:r>
        <w:t>protection de l’intégrité des données ;</w:t>
      </w:r>
    </w:p>
    <w:p w14:paraId="3D594045" w14:textId="77777777" w:rsidR="003E1AAA" w:rsidRDefault="00000000">
      <w:pPr>
        <w:pStyle w:val="Paragraphedeliste"/>
        <w:numPr>
          <w:ilvl w:val="0"/>
          <w:numId w:val="2"/>
        </w:numPr>
        <w:spacing w:after="70" w:line="266" w:lineRule="auto"/>
      </w:pPr>
      <w:r>
        <w:t>contrôle des accès ;</w:t>
      </w:r>
    </w:p>
    <w:p w14:paraId="24036B83" w14:textId="77777777" w:rsidR="003E1AAA" w:rsidRDefault="00000000">
      <w:pPr>
        <w:pStyle w:val="Paragraphedeliste"/>
        <w:numPr>
          <w:ilvl w:val="0"/>
          <w:numId w:val="2"/>
        </w:numPr>
        <w:spacing w:after="70" w:line="266" w:lineRule="auto"/>
      </w:pPr>
      <w:r>
        <w:t>journalisation des événements ;</w:t>
      </w:r>
    </w:p>
    <w:p w14:paraId="32404F44" w14:textId="77777777" w:rsidR="003E1AAA" w:rsidRDefault="00000000">
      <w:pPr>
        <w:pStyle w:val="Paragraphedeliste"/>
        <w:numPr>
          <w:ilvl w:val="0"/>
          <w:numId w:val="2"/>
        </w:numPr>
        <w:spacing w:after="70" w:line="266" w:lineRule="auto"/>
      </w:pPr>
      <w:r>
        <w:t>surveillance des communications ;</w:t>
      </w:r>
    </w:p>
    <w:p w14:paraId="682DB2E6" w14:textId="77777777" w:rsidR="003E1AAA" w:rsidRDefault="00000000">
      <w:pPr>
        <w:pStyle w:val="Paragraphedeliste"/>
        <w:numPr>
          <w:ilvl w:val="0"/>
          <w:numId w:val="2"/>
        </w:numPr>
        <w:spacing w:after="70" w:line="266" w:lineRule="auto"/>
      </w:pPr>
      <w:r>
        <w:t>identification des données incohérentes ;</w:t>
      </w:r>
    </w:p>
    <w:p w14:paraId="3C352188" w14:textId="77777777" w:rsidR="003E1AAA" w:rsidRDefault="00000000">
      <w:pPr>
        <w:pStyle w:val="Paragraphedeliste"/>
        <w:numPr>
          <w:ilvl w:val="0"/>
          <w:numId w:val="2"/>
        </w:numPr>
        <w:spacing w:after="70" w:line="266" w:lineRule="auto"/>
      </w:pPr>
      <w:r>
        <w:t>détection d’une perte de communication ;</w:t>
      </w:r>
    </w:p>
    <w:p w14:paraId="5D544189" w14:textId="77777777" w:rsidR="003E1AAA" w:rsidRDefault="00000000">
      <w:pPr>
        <w:pStyle w:val="Paragraphedeliste"/>
        <w:numPr>
          <w:ilvl w:val="0"/>
          <w:numId w:val="2"/>
        </w:numPr>
        <w:spacing w:after="70" w:line="266" w:lineRule="auto"/>
      </w:pPr>
      <w:r>
        <w:t>fonctionnement contrôlé lorsque certaines informations deviennent indisponibles.</w:t>
      </w:r>
    </w:p>
    <w:p w14:paraId="04630A87" w14:textId="77777777" w:rsidR="003E1AAA" w:rsidRDefault="00000000">
      <w:pPr>
        <w:spacing w:after="130" w:line="280" w:lineRule="auto"/>
      </w:pPr>
      <w:r>
        <w:t>Le prototype doit être capable de signaler qu’une information est incertaine ou indisponible plutôt que de présenter une donnée potentiellement incorrecte comme fiable. La norme IEC 62859 [19] ajoute une contrainte que les autres n’imposent pas : une mesure de cybersécurité ne doit jamais empêcher l’opérateur de percevoir l’état réel du système. Une coupure de flux décidée pour des motifs de sécurité doit donc être signalée, et non silencieuse.</w:t>
      </w:r>
    </w:p>
    <w:p w14:paraId="669783C7" w14:textId="77777777" w:rsidR="003E1AAA" w:rsidRDefault="00000000">
      <w:pPr>
        <w:pStyle w:val="Titre3"/>
        <w:spacing w:before="220" w:after="100"/>
      </w:pPr>
      <w:r>
        <w:rPr>
          <w:b/>
          <w:bCs/>
          <w:color w:val="1A1A19"/>
          <w:sz w:val="21"/>
          <w:szCs w:val="21"/>
        </w:rPr>
        <w:t>Aide à la décision et interface</w:t>
      </w:r>
    </w:p>
    <w:p w14:paraId="5DA765F9" w14:textId="77777777" w:rsidR="003E1AAA" w:rsidRDefault="00000000">
      <w:pPr>
        <w:spacing w:after="130" w:line="280" w:lineRule="auto"/>
      </w:pPr>
      <w:r>
        <w:lastRenderedPageBreak/>
        <w:t>Le jumeau numérique demeure un outil d’aide à la décision. Conformément aux principes de conception centrée sur l’humain [15], l’interface doit présenter clairement :</w:t>
      </w:r>
    </w:p>
    <w:p w14:paraId="79FFE4E2" w14:textId="77777777" w:rsidR="003E1AAA" w:rsidRDefault="00000000">
      <w:pPr>
        <w:pStyle w:val="Paragraphedeliste"/>
        <w:numPr>
          <w:ilvl w:val="0"/>
          <w:numId w:val="2"/>
        </w:numPr>
        <w:spacing w:after="70" w:line="266" w:lineRule="auto"/>
      </w:pPr>
      <w:r>
        <w:t>l’état de la boucle simulée ;</w:t>
      </w:r>
    </w:p>
    <w:p w14:paraId="68FCB3BA" w14:textId="77777777" w:rsidR="003E1AAA" w:rsidRDefault="00000000">
      <w:pPr>
        <w:pStyle w:val="Paragraphedeliste"/>
        <w:numPr>
          <w:ilvl w:val="0"/>
          <w:numId w:val="2"/>
        </w:numPr>
        <w:spacing w:after="70" w:line="266" w:lineRule="auto"/>
      </w:pPr>
      <w:r>
        <w:t>les valeurs importantes ;</w:t>
      </w:r>
    </w:p>
    <w:p w14:paraId="4187C9B3" w14:textId="77777777" w:rsidR="003E1AAA" w:rsidRDefault="00000000">
      <w:pPr>
        <w:pStyle w:val="Paragraphedeliste"/>
        <w:numPr>
          <w:ilvl w:val="0"/>
          <w:numId w:val="2"/>
        </w:numPr>
        <w:spacing w:after="70" w:line="266" w:lineRule="auto"/>
      </w:pPr>
      <w:r>
        <w:t>les anomalies détectées ;</w:t>
      </w:r>
    </w:p>
    <w:p w14:paraId="1151BDC8" w14:textId="77777777" w:rsidR="003E1AAA" w:rsidRDefault="00000000">
      <w:pPr>
        <w:pStyle w:val="Paragraphedeliste"/>
        <w:numPr>
          <w:ilvl w:val="0"/>
          <w:numId w:val="2"/>
        </w:numPr>
        <w:spacing w:after="70" w:line="266" w:lineRule="auto"/>
      </w:pPr>
      <w:r>
        <w:t>les alertes ;</w:t>
      </w:r>
    </w:p>
    <w:p w14:paraId="07EA6EC3" w14:textId="77777777" w:rsidR="003E1AAA" w:rsidRDefault="00000000">
      <w:pPr>
        <w:pStyle w:val="Paragraphedeliste"/>
        <w:numPr>
          <w:ilvl w:val="0"/>
          <w:numId w:val="2"/>
        </w:numPr>
        <w:spacing w:after="70" w:line="266" w:lineRule="auto"/>
      </w:pPr>
      <w:r>
        <w:t>les informations manquantes ;</w:t>
      </w:r>
    </w:p>
    <w:p w14:paraId="47A7DECB" w14:textId="77777777" w:rsidR="003E1AAA" w:rsidRDefault="00000000">
      <w:pPr>
        <w:pStyle w:val="Paragraphedeliste"/>
        <w:numPr>
          <w:ilvl w:val="0"/>
          <w:numId w:val="2"/>
        </w:numPr>
        <w:spacing w:after="70" w:line="266" w:lineRule="auto"/>
      </w:pPr>
      <w:r>
        <w:t>le niveau d’incertitude lorsqu’il est pertinent.</w:t>
      </w:r>
    </w:p>
    <w:p w14:paraId="0E1AF52E" w14:textId="77777777" w:rsidR="003E1AAA" w:rsidRDefault="00000000">
      <w:pPr>
        <w:spacing w:after="130" w:line="280" w:lineRule="auto"/>
      </w:pPr>
      <w:r>
        <w:t>La décision finale demeure sous la responsabilité de l’opérateur. Le prototype agit uniquement comme outil d’aide à la décision et ne commande aucune installation nucléaire réelle.</w:t>
      </w:r>
    </w:p>
    <w:p w14:paraId="3B3C9A9C" w14:textId="77777777" w:rsidR="003E1AAA" w:rsidRDefault="00000000">
      <w:pPr>
        <w:pStyle w:val="Titre3"/>
        <w:spacing w:before="220" w:after="100"/>
      </w:pPr>
      <w:r>
        <w:rPr>
          <w:b/>
          <w:bCs/>
          <w:color w:val="1A1A19"/>
          <w:sz w:val="21"/>
          <w:szCs w:val="21"/>
        </w:rPr>
        <w:t>Vérification et validation</w:t>
      </w:r>
    </w:p>
    <w:p w14:paraId="1F0435A8" w14:textId="77777777" w:rsidR="003E1AAA" w:rsidRDefault="00000000">
      <w:pPr>
        <w:spacing w:after="130" w:line="280" w:lineRule="auto"/>
      </w:pPr>
      <w:r>
        <w:t>Les exigences liées à la qualité logicielle [11], à la sûreté [20] [21] [22], à la gestion des risques [12] et à la validation des modèles [13] [14] conduisent à prévoir une campagne d’essais structurée comprenant :</w:t>
      </w:r>
    </w:p>
    <w:p w14:paraId="7F8B1F7B" w14:textId="77777777" w:rsidR="003E1AAA" w:rsidRDefault="00000000">
      <w:pPr>
        <w:pStyle w:val="Paragraphedeliste"/>
        <w:numPr>
          <w:ilvl w:val="0"/>
          <w:numId w:val="2"/>
        </w:numPr>
        <w:spacing w:after="70" w:line="266" w:lineRule="auto"/>
      </w:pPr>
      <w:r>
        <w:t>essais du fonctionnement normal ;</w:t>
      </w:r>
    </w:p>
    <w:p w14:paraId="1743AD65" w14:textId="77777777" w:rsidR="003E1AAA" w:rsidRDefault="00000000">
      <w:pPr>
        <w:pStyle w:val="Paragraphedeliste"/>
        <w:numPr>
          <w:ilvl w:val="0"/>
          <w:numId w:val="2"/>
        </w:numPr>
        <w:spacing w:after="70" w:line="266" w:lineRule="auto"/>
      </w:pPr>
      <w:r>
        <w:t>essais avec données anormales ;</w:t>
      </w:r>
    </w:p>
    <w:p w14:paraId="1A5FAAF9" w14:textId="77777777" w:rsidR="003E1AAA" w:rsidRDefault="00000000">
      <w:pPr>
        <w:pStyle w:val="Paragraphedeliste"/>
        <w:numPr>
          <w:ilvl w:val="0"/>
          <w:numId w:val="2"/>
        </w:numPr>
        <w:spacing w:after="70" w:line="266" w:lineRule="auto"/>
      </w:pPr>
      <w:r>
        <w:t>essais de perte de données ou de communication ;</w:t>
      </w:r>
    </w:p>
    <w:p w14:paraId="632EDD89" w14:textId="77777777" w:rsidR="003E1AAA" w:rsidRDefault="00000000">
      <w:pPr>
        <w:pStyle w:val="Paragraphedeliste"/>
        <w:numPr>
          <w:ilvl w:val="0"/>
          <w:numId w:val="2"/>
        </w:numPr>
        <w:spacing w:after="70" w:line="266" w:lineRule="auto"/>
      </w:pPr>
      <w:r>
        <w:t>essais des fonctions de détection ;</w:t>
      </w:r>
    </w:p>
    <w:p w14:paraId="17F5AAC3" w14:textId="77777777" w:rsidR="003E1AAA" w:rsidRDefault="00000000">
      <w:pPr>
        <w:pStyle w:val="Paragraphedeliste"/>
        <w:numPr>
          <w:ilvl w:val="0"/>
          <w:numId w:val="2"/>
        </w:numPr>
        <w:spacing w:after="70" w:line="266" w:lineRule="auto"/>
      </w:pPr>
      <w:r>
        <w:t>essais de l’interface ;</w:t>
      </w:r>
    </w:p>
    <w:p w14:paraId="46A4B416" w14:textId="77777777" w:rsidR="003E1AAA" w:rsidRDefault="00000000">
      <w:pPr>
        <w:pStyle w:val="Paragraphedeliste"/>
        <w:numPr>
          <w:ilvl w:val="0"/>
          <w:numId w:val="2"/>
        </w:numPr>
        <w:spacing w:after="70" w:line="266" w:lineRule="auto"/>
      </w:pPr>
      <w:r>
        <w:t>vérification des alertes ;</w:t>
      </w:r>
    </w:p>
    <w:p w14:paraId="379D8124" w14:textId="77777777" w:rsidR="003E1AAA" w:rsidRDefault="00000000">
      <w:pPr>
        <w:pStyle w:val="Paragraphedeliste"/>
        <w:numPr>
          <w:ilvl w:val="0"/>
          <w:numId w:val="2"/>
        </w:numPr>
        <w:spacing w:after="70" w:line="266" w:lineRule="auto"/>
      </w:pPr>
      <w:r>
        <w:t>quantification de l’incertitude de validation ;</w:t>
      </w:r>
    </w:p>
    <w:p w14:paraId="3070110E" w14:textId="77777777" w:rsidR="003E1AAA" w:rsidRDefault="00000000">
      <w:pPr>
        <w:pStyle w:val="Paragraphedeliste"/>
        <w:numPr>
          <w:ilvl w:val="0"/>
          <w:numId w:val="2"/>
        </w:numPr>
        <w:spacing w:after="70" w:line="266" w:lineRule="auto"/>
      </w:pPr>
      <w:r>
        <w:t>analyse des résultats ;</w:t>
      </w:r>
    </w:p>
    <w:p w14:paraId="564B0ACB" w14:textId="77777777" w:rsidR="003E1AAA" w:rsidRDefault="00000000">
      <w:pPr>
        <w:pStyle w:val="Paragraphedeliste"/>
        <w:numPr>
          <w:ilvl w:val="0"/>
          <w:numId w:val="2"/>
        </w:numPr>
        <w:spacing w:after="70" w:line="266" w:lineRule="auto"/>
      </w:pPr>
      <w:r>
        <w:t>identification des limites du prototype.</w:t>
      </w:r>
    </w:p>
    <w:p w14:paraId="17E9FD3E" w14:textId="77777777" w:rsidR="003E1AAA" w:rsidRDefault="00000000">
      <w:pPr>
        <w:spacing w:after="130" w:line="280" w:lineRule="auto"/>
      </w:pPr>
      <w:r>
        <w:t>Les résultats serviront à déterminer si le système répond aux besoins définis et à produire les recommandations finales.</w:t>
      </w:r>
    </w:p>
    <w:p w14:paraId="06A4F1CB" w14:textId="77777777" w:rsidR="003E1AAA" w:rsidRDefault="00000000">
      <w:pPr>
        <w:pStyle w:val="Titre2"/>
        <w:spacing w:before="280" w:after="120"/>
      </w:pPr>
      <w:r>
        <w:rPr>
          <w:b/>
          <w:bCs/>
          <w:color w:val="2A78D6"/>
          <w:sz w:val="23"/>
          <w:szCs w:val="23"/>
        </w:rPr>
        <w:t>Conclusion</w:t>
      </w:r>
    </w:p>
    <w:p w14:paraId="00DCAA0E" w14:textId="77777777" w:rsidR="003E1AAA" w:rsidRDefault="00000000">
      <w:pPr>
        <w:spacing w:after="130" w:line="280" w:lineRule="auto"/>
      </w:pPr>
      <w:r>
        <w:t xml:space="preserve">L’analyse du cadre législatif, réglementaire et normatif encadre les principaux choix techniques du projet. Les exigences identifiées influencent la modélisation de la boucle </w:t>
      </w:r>
      <w:proofErr w:type="spellStart"/>
      <w:r>
        <w:t>thermohydraulique</w:t>
      </w:r>
      <w:proofErr w:type="spellEnd"/>
      <w:r>
        <w:t>, l’architecture du jumeau numérique, le développement logiciel, la cybersécurité, l’interface d’aide à la décision ainsi que la stratégie de vérification et de validation. La démarche transforme des exigences générales en contraintes de conception et en critères d’essai vérifiables. Bien que le prototype demeure un système universitaire entièrement simulé, l’usage de ces références permet d’adopter une démarche cohérente avec les pratiques reconnues en ingénierie, en sûreté nucléaire, en cybersécurité et en génie logiciel. La déclaration d’applicabilité de la section 5.3.1 précise la portée exacte de cet engagement.</w:t>
      </w:r>
    </w:p>
    <w:p w14:paraId="2C747C21" w14:textId="77777777" w:rsidR="003E1AAA" w:rsidRDefault="00000000">
      <w:r>
        <w:br w:type="page"/>
      </w:r>
    </w:p>
    <w:p w14:paraId="0BCADBCE" w14:textId="77777777" w:rsidR="003E1AAA" w:rsidRDefault="00000000">
      <w:pPr>
        <w:pStyle w:val="Titre1"/>
        <w:pBdr>
          <w:bottom w:val="single" w:sz="10" w:space="6" w:color="2A78D6"/>
        </w:pBdr>
        <w:spacing w:before="340" w:after="150"/>
      </w:pPr>
      <w:r>
        <w:rPr>
          <w:b/>
          <w:bCs/>
          <w:color w:val="1A1A19"/>
          <w:sz w:val="27"/>
          <w:szCs w:val="27"/>
        </w:rPr>
        <w:lastRenderedPageBreak/>
        <w:t>Références de la section 5</w:t>
      </w:r>
    </w:p>
    <w:p w14:paraId="005F1657" w14:textId="09AA6E5B" w:rsidR="003E1AAA" w:rsidRDefault="00000000">
      <w:pPr>
        <w:spacing w:after="130" w:line="280" w:lineRule="auto"/>
      </w:pPr>
      <w:r>
        <w:t xml:space="preserve">Ces entrées doivent être fusionnées avec celles des autres sections dans la section 10 du plan, et renumérotées en conséquence. </w:t>
      </w:r>
    </w:p>
    <w:p w14:paraId="5AE8AEAE" w14:textId="77777777" w:rsidR="003E1AAA" w:rsidRDefault="00000000">
      <w:pPr>
        <w:spacing w:after="110" w:line="262" w:lineRule="auto"/>
        <w:ind w:left="620" w:hanging="620"/>
      </w:pPr>
      <w:r>
        <w:rPr>
          <w:b/>
          <w:bCs/>
          <w:sz w:val="18"/>
          <w:szCs w:val="18"/>
        </w:rPr>
        <w:t>[1</w:t>
      </w:r>
      <w:proofErr w:type="gramStart"/>
      <w:r>
        <w:rPr>
          <w:b/>
          <w:bCs/>
          <w:sz w:val="18"/>
          <w:szCs w:val="18"/>
        </w:rPr>
        <w:t xml:space="preserve">]  </w:t>
      </w:r>
      <w:r>
        <w:rPr>
          <w:sz w:val="18"/>
          <w:szCs w:val="18"/>
        </w:rPr>
        <w:t>Québec</w:t>
      </w:r>
      <w:proofErr w:type="gramEnd"/>
      <w:r>
        <w:rPr>
          <w:sz w:val="18"/>
          <w:szCs w:val="18"/>
        </w:rPr>
        <w:t xml:space="preserve">, Loi sur les ingénieurs, RLRQ, chapitre I-9. </w:t>
      </w:r>
      <w:hyperlink r:id="rId7" w:history="1">
        <w:r>
          <w:rPr>
            <w:color w:val="1155CC"/>
            <w:sz w:val="17"/>
            <w:szCs w:val="17"/>
            <w:u w:val="single"/>
          </w:rPr>
          <w:t>https://www.legisquebec.gouv.qc.ca/fr/document/lc/I-9</w:t>
        </w:r>
      </w:hyperlink>
    </w:p>
    <w:p w14:paraId="2B822BB5" w14:textId="77777777" w:rsidR="003E1AAA" w:rsidRDefault="00000000">
      <w:pPr>
        <w:spacing w:after="110" w:line="262" w:lineRule="auto"/>
        <w:ind w:left="620" w:hanging="620"/>
      </w:pPr>
      <w:r>
        <w:rPr>
          <w:b/>
          <w:bCs/>
          <w:sz w:val="18"/>
          <w:szCs w:val="18"/>
        </w:rPr>
        <w:t>[2</w:t>
      </w:r>
      <w:proofErr w:type="gramStart"/>
      <w:r>
        <w:rPr>
          <w:b/>
          <w:bCs/>
          <w:sz w:val="18"/>
          <w:szCs w:val="18"/>
        </w:rPr>
        <w:t xml:space="preserve">]  </w:t>
      </w:r>
      <w:r>
        <w:rPr>
          <w:sz w:val="18"/>
          <w:szCs w:val="18"/>
        </w:rPr>
        <w:t>Ordre</w:t>
      </w:r>
      <w:proofErr w:type="gramEnd"/>
      <w:r>
        <w:rPr>
          <w:sz w:val="18"/>
          <w:szCs w:val="18"/>
        </w:rPr>
        <w:t xml:space="preserve"> des ingénieurs du Québec, Lois et règlements entourant la pratique du génie. </w:t>
      </w:r>
      <w:hyperlink r:id="rId8" w:history="1">
        <w:r>
          <w:rPr>
            <w:color w:val="1155CC"/>
            <w:sz w:val="17"/>
            <w:szCs w:val="17"/>
            <w:u w:val="single"/>
          </w:rPr>
          <w:t>https://www.oiq.qc.ca/lordre/politiques-lois-et-reglements/lois-et-reglements-entourant-la-pratique-du-genie/</w:t>
        </w:r>
      </w:hyperlink>
    </w:p>
    <w:p w14:paraId="3BD38ACF" w14:textId="77777777" w:rsidR="003E1AAA" w:rsidRDefault="00000000">
      <w:pPr>
        <w:spacing w:after="110" w:line="262" w:lineRule="auto"/>
        <w:ind w:left="620" w:hanging="620"/>
      </w:pPr>
      <w:r>
        <w:rPr>
          <w:b/>
          <w:bCs/>
          <w:sz w:val="18"/>
          <w:szCs w:val="18"/>
        </w:rPr>
        <w:t>[3</w:t>
      </w:r>
      <w:proofErr w:type="gramStart"/>
      <w:r>
        <w:rPr>
          <w:b/>
          <w:bCs/>
          <w:sz w:val="18"/>
          <w:szCs w:val="18"/>
        </w:rPr>
        <w:t xml:space="preserve">]  </w:t>
      </w:r>
      <w:r>
        <w:rPr>
          <w:sz w:val="18"/>
          <w:szCs w:val="18"/>
        </w:rPr>
        <w:t>Canada</w:t>
      </w:r>
      <w:proofErr w:type="gramEnd"/>
      <w:r>
        <w:rPr>
          <w:sz w:val="18"/>
          <w:szCs w:val="18"/>
        </w:rPr>
        <w:t xml:space="preserve">, Loi sur la sûreté et la réglementation nucléaires, L.C. 1997, ch. 9. </w:t>
      </w:r>
      <w:hyperlink r:id="rId9" w:history="1">
        <w:r>
          <w:rPr>
            <w:color w:val="1155CC"/>
            <w:sz w:val="17"/>
            <w:szCs w:val="17"/>
            <w:u w:val="single"/>
          </w:rPr>
          <w:t>https://laws-lois.justice.gc.ca/fra/lois/N-28.3/index.html</w:t>
        </w:r>
      </w:hyperlink>
    </w:p>
    <w:p w14:paraId="3D80E8B0" w14:textId="77777777" w:rsidR="003E1AAA" w:rsidRDefault="00000000">
      <w:pPr>
        <w:spacing w:after="110" w:line="262" w:lineRule="auto"/>
        <w:ind w:left="620" w:hanging="620"/>
      </w:pPr>
      <w:r>
        <w:rPr>
          <w:b/>
          <w:bCs/>
          <w:sz w:val="18"/>
          <w:szCs w:val="18"/>
        </w:rPr>
        <w:t>[4</w:t>
      </w:r>
      <w:proofErr w:type="gramStart"/>
      <w:r>
        <w:rPr>
          <w:b/>
          <w:bCs/>
          <w:sz w:val="18"/>
          <w:szCs w:val="18"/>
        </w:rPr>
        <w:t xml:space="preserve">]  </w:t>
      </w:r>
      <w:r>
        <w:rPr>
          <w:sz w:val="18"/>
          <w:szCs w:val="18"/>
        </w:rPr>
        <w:t>Canada</w:t>
      </w:r>
      <w:proofErr w:type="gramEnd"/>
      <w:r>
        <w:rPr>
          <w:sz w:val="18"/>
          <w:szCs w:val="18"/>
        </w:rPr>
        <w:t xml:space="preserve">, Règlement général sur la sûreté et la réglementation nucléaires, DORS/2000-202. </w:t>
      </w:r>
      <w:hyperlink r:id="rId10" w:history="1">
        <w:r>
          <w:rPr>
            <w:color w:val="1155CC"/>
            <w:sz w:val="17"/>
            <w:szCs w:val="17"/>
            <w:u w:val="single"/>
          </w:rPr>
          <w:t>https://laws-lois.justice.gc.ca/fra/reglements/DORS-2000-202/index.html</w:t>
        </w:r>
      </w:hyperlink>
    </w:p>
    <w:p w14:paraId="156B7857" w14:textId="77777777" w:rsidR="003E1AAA" w:rsidRDefault="00000000">
      <w:pPr>
        <w:spacing w:after="110" w:line="262" w:lineRule="auto"/>
        <w:ind w:left="620" w:hanging="620"/>
      </w:pPr>
      <w:r>
        <w:rPr>
          <w:b/>
          <w:bCs/>
          <w:sz w:val="18"/>
          <w:szCs w:val="18"/>
        </w:rPr>
        <w:t>[5</w:t>
      </w:r>
      <w:proofErr w:type="gramStart"/>
      <w:r>
        <w:rPr>
          <w:b/>
          <w:bCs/>
          <w:sz w:val="18"/>
          <w:szCs w:val="18"/>
        </w:rPr>
        <w:t xml:space="preserve">]  </w:t>
      </w:r>
      <w:r>
        <w:rPr>
          <w:sz w:val="18"/>
          <w:szCs w:val="18"/>
        </w:rPr>
        <w:t>Canada</w:t>
      </w:r>
      <w:proofErr w:type="gramEnd"/>
      <w:r>
        <w:rPr>
          <w:sz w:val="18"/>
          <w:szCs w:val="18"/>
        </w:rPr>
        <w:t xml:space="preserve">, Règlement sur les installations nucléaires de catégorie I, DORS/2000-204. </w:t>
      </w:r>
      <w:hyperlink r:id="rId11" w:history="1">
        <w:r>
          <w:rPr>
            <w:color w:val="1155CC"/>
            <w:sz w:val="17"/>
            <w:szCs w:val="17"/>
            <w:u w:val="single"/>
          </w:rPr>
          <w:t>https://laws-lois.justice.gc.ca/fra/reglements/DORS-2000-204/index.html</w:t>
        </w:r>
      </w:hyperlink>
    </w:p>
    <w:p w14:paraId="56F45142" w14:textId="77777777" w:rsidR="003E1AAA" w:rsidRDefault="00000000">
      <w:pPr>
        <w:spacing w:after="110" w:line="262" w:lineRule="auto"/>
        <w:ind w:left="620" w:hanging="620"/>
      </w:pPr>
      <w:r>
        <w:rPr>
          <w:b/>
          <w:bCs/>
          <w:sz w:val="18"/>
          <w:szCs w:val="18"/>
        </w:rPr>
        <w:t>[6</w:t>
      </w:r>
      <w:proofErr w:type="gramStart"/>
      <w:r>
        <w:rPr>
          <w:b/>
          <w:bCs/>
          <w:sz w:val="18"/>
          <w:szCs w:val="18"/>
        </w:rPr>
        <w:t xml:space="preserve">]  </w:t>
      </w:r>
      <w:r>
        <w:rPr>
          <w:sz w:val="18"/>
          <w:szCs w:val="18"/>
        </w:rPr>
        <w:t>CCSN</w:t>
      </w:r>
      <w:proofErr w:type="gramEnd"/>
      <w:r>
        <w:rPr>
          <w:sz w:val="18"/>
          <w:szCs w:val="18"/>
        </w:rPr>
        <w:t xml:space="preserve">, REGDOC-2.5.2, Conception d’installations dotées de réacteurs, version 2.1. </w:t>
      </w:r>
      <w:hyperlink r:id="rId12" w:history="1">
        <w:r>
          <w:rPr>
            <w:color w:val="1155CC"/>
            <w:sz w:val="17"/>
            <w:szCs w:val="17"/>
            <w:u w:val="single"/>
          </w:rPr>
          <w:t>https://www.cnsc-ccsn.gc.ca/fra/acts-and-regulations/regulatory-documents/published/html/regdoc2-5-2-v2-1/</w:t>
        </w:r>
      </w:hyperlink>
    </w:p>
    <w:p w14:paraId="75DE3EE5" w14:textId="77777777" w:rsidR="003E1AAA" w:rsidRDefault="00000000">
      <w:pPr>
        <w:spacing w:after="110" w:line="262" w:lineRule="auto"/>
        <w:ind w:left="620" w:hanging="620"/>
      </w:pPr>
      <w:r>
        <w:rPr>
          <w:b/>
          <w:bCs/>
          <w:sz w:val="18"/>
          <w:szCs w:val="18"/>
        </w:rPr>
        <w:t>[7</w:t>
      </w:r>
      <w:proofErr w:type="gramStart"/>
      <w:r>
        <w:rPr>
          <w:b/>
          <w:bCs/>
          <w:sz w:val="18"/>
          <w:szCs w:val="18"/>
        </w:rPr>
        <w:t xml:space="preserve">]  </w:t>
      </w:r>
      <w:r>
        <w:rPr>
          <w:sz w:val="18"/>
          <w:szCs w:val="18"/>
        </w:rPr>
        <w:t>CCSN</w:t>
      </w:r>
      <w:proofErr w:type="gramEnd"/>
      <w:r>
        <w:rPr>
          <w:sz w:val="18"/>
          <w:szCs w:val="18"/>
        </w:rPr>
        <w:t xml:space="preserve">, REGDOC-2.1.1, Système de gestion. </w:t>
      </w:r>
      <w:hyperlink r:id="rId13" w:history="1">
        <w:r>
          <w:rPr>
            <w:color w:val="1155CC"/>
            <w:sz w:val="17"/>
            <w:szCs w:val="17"/>
            <w:u w:val="single"/>
          </w:rPr>
          <w:t>https://www.cnsc-ccsn.gc.ca/fra/acts-and-regulations/regulatory-documents/published/html/regdoc2-1-1/</w:t>
        </w:r>
      </w:hyperlink>
    </w:p>
    <w:p w14:paraId="6A1FC2F0" w14:textId="77777777" w:rsidR="003E1AAA" w:rsidRDefault="00000000">
      <w:pPr>
        <w:spacing w:after="110" w:line="262" w:lineRule="auto"/>
        <w:ind w:left="620" w:hanging="620"/>
      </w:pPr>
      <w:r>
        <w:rPr>
          <w:b/>
          <w:bCs/>
          <w:sz w:val="18"/>
          <w:szCs w:val="18"/>
        </w:rPr>
        <w:t>[8</w:t>
      </w:r>
      <w:proofErr w:type="gramStart"/>
      <w:r>
        <w:rPr>
          <w:b/>
          <w:bCs/>
          <w:sz w:val="18"/>
          <w:szCs w:val="18"/>
        </w:rPr>
        <w:t xml:space="preserve">]  </w:t>
      </w:r>
      <w:r>
        <w:rPr>
          <w:sz w:val="18"/>
          <w:szCs w:val="18"/>
        </w:rPr>
        <w:t>ISO</w:t>
      </w:r>
      <w:proofErr w:type="gramEnd"/>
      <w:r>
        <w:rPr>
          <w:sz w:val="18"/>
          <w:szCs w:val="18"/>
        </w:rPr>
        <w:t xml:space="preserve">/IEC/IEEE 15288:2023, Ingénierie des systèmes et du logiciel — Processus du cycle de vie du système. </w:t>
      </w:r>
      <w:hyperlink r:id="rId14" w:history="1">
        <w:r>
          <w:rPr>
            <w:color w:val="1155CC"/>
            <w:sz w:val="17"/>
            <w:szCs w:val="17"/>
            <w:u w:val="single"/>
          </w:rPr>
          <w:t>https://www.iso.org/fr/standard/81702.html</w:t>
        </w:r>
      </w:hyperlink>
    </w:p>
    <w:p w14:paraId="5F8652D1" w14:textId="77777777" w:rsidR="003E1AAA" w:rsidRDefault="00000000">
      <w:pPr>
        <w:spacing w:after="110" w:line="262" w:lineRule="auto"/>
        <w:ind w:left="620" w:hanging="620"/>
      </w:pPr>
      <w:r>
        <w:rPr>
          <w:b/>
          <w:bCs/>
          <w:sz w:val="18"/>
          <w:szCs w:val="18"/>
        </w:rPr>
        <w:t>[9</w:t>
      </w:r>
      <w:proofErr w:type="gramStart"/>
      <w:r>
        <w:rPr>
          <w:b/>
          <w:bCs/>
          <w:sz w:val="18"/>
          <w:szCs w:val="18"/>
        </w:rPr>
        <w:t xml:space="preserve">]  </w:t>
      </w:r>
      <w:r>
        <w:rPr>
          <w:sz w:val="18"/>
          <w:szCs w:val="18"/>
        </w:rPr>
        <w:t>ISO</w:t>
      </w:r>
      <w:proofErr w:type="gramEnd"/>
      <w:r>
        <w:rPr>
          <w:sz w:val="18"/>
          <w:szCs w:val="18"/>
        </w:rPr>
        <w:t xml:space="preserve">/IEC/IEEE 12207:2026, Ingénierie des systèmes et du logiciel — Processus du cycle de vie du logiciel. </w:t>
      </w:r>
      <w:hyperlink r:id="rId15" w:history="1">
        <w:r>
          <w:rPr>
            <w:color w:val="1155CC"/>
            <w:sz w:val="17"/>
            <w:szCs w:val="17"/>
            <w:u w:val="single"/>
          </w:rPr>
          <w:t>https://www.iso.org/fr/standard/90219.html</w:t>
        </w:r>
      </w:hyperlink>
    </w:p>
    <w:p w14:paraId="3F240FC4" w14:textId="77777777" w:rsidR="003E1AAA" w:rsidRDefault="00000000">
      <w:pPr>
        <w:spacing w:after="110" w:line="262" w:lineRule="auto"/>
        <w:ind w:left="620" w:hanging="620"/>
      </w:pPr>
      <w:r>
        <w:rPr>
          <w:b/>
          <w:bCs/>
          <w:sz w:val="18"/>
          <w:szCs w:val="18"/>
        </w:rPr>
        <w:t>[10</w:t>
      </w:r>
      <w:proofErr w:type="gramStart"/>
      <w:r>
        <w:rPr>
          <w:b/>
          <w:bCs/>
          <w:sz w:val="18"/>
          <w:szCs w:val="18"/>
        </w:rPr>
        <w:t xml:space="preserve">]  </w:t>
      </w:r>
      <w:r>
        <w:rPr>
          <w:sz w:val="18"/>
          <w:szCs w:val="18"/>
        </w:rPr>
        <w:t>ISO</w:t>
      </w:r>
      <w:proofErr w:type="gramEnd"/>
      <w:r>
        <w:rPr>
          <w:sz w:val="18"/>
          <w:szCs w:val="18"/>
        </w:rPr>
        <w:t xml:space="preserve"> 23247-1:2021, Systèmes d’automatisation et intégration — Cadre technique de jumeau numérique dans un contexte de fabrication — Partie 1 : Vue d’ensemble et principes généraux. </w:t>
      </w:r>
      <w:hyperlink r:id="rId16" w:history="1">
        <w:r>
          <w:rPr>
            <w:color w:val="1155CC"/>
            <w:sz w:val="17"/>
            <w:szCs w:val="17"/>
            <w:u w:val="single"/>
          </w:rPr>
          <w:t>https://www.iso.org/fr/standard/75066.html</w:t>
        </w:r>
      </w:hyperlink>
    </w:p>
    <w:p w14:paraId="657DA4FF" w14:textId="77777777" w:rsidR="003E1AAA" w:rsidRDefault="00000000">
      <w:pPr>
        <w:spacing w:after="110" w:line="262" w:lineRule="auto"/>
        <w:ind w:left="620" w:hanging="620"/>
      </w:pPr>
      <w:r>
        <w:rPr>
          <w:b/>
          <w:bCs/>
          <w:sz w:val="18"/>
          <w:szCs w:val="18"/>
        </w:rPr>
        <w:t>[11</w:t>
      </w:r>
      <w:proofErr w:type="gramStart"/>
      <w:r>
        <w:rPr>
          <w:b/>
          <w:bCs/>
          <w:sz w:val="18"/>
          <w:szCs w:val="18"/>
        </w:rPr>
        <w:t xml:space="preserve">]  </w:t>
      </w:r>
      <w:r>
        <w:rPr>
          <w:sz w:val="18"/>
          <w:szCs w:val="18"/>
        </w:rPr>
        <w:t>ISO</w:t>
      </w:r>
      <w:proofErr w:type="gramEnd"/>
      <w:r>
        <w:rPr>
          <w:sz w:val="18"/>
          <w:szCs w:val="18"/>
        </w:rPr>
        <w:t>/IEC 25010:2023, Ingénierie des systèmes et du logiciel — Exigences de qualité et évaluation (</w:t>
      </w:r>
      <w:proofErr w:type="spellStart"/>
      <w:r>
        <w:rPr>
          <w:sz w:val="18"/>
          <w:szCs w:val="18"/>
        </w:rPr>
        <w:t>SQuaRE</w:t>
      </w:r>
      <w:proofErr w:type="spellEnd"/>
      <w:r>
        <w:rPr>
          <w:sz w:val="18"/>
          <w:szCs w:val="18"/>
        </w:rPr>
        <w:t xml:space="preserve">) — Modèle de qualité du produit. </w:t>
      </w:r>
      <w:hyperlink r:id="rId17" w:history="1">
        <w:r>
          <w:rPr>
            <w:color w:val="1155CC"/>
            <w:sz w:val="17"/>
            <w:szCs w:val="17"/>
            <w:u w:val="single"/>
          </w:rPr>
          <w:t>https://www.iso.org/fr/standard/78176.html</w:t>
        </w:r>
      </w:hyperlink>
    </w:p>
    <w:p w14:paraId="202FBFD4" w14:textId="77777777" w:rsidR="003E1AAA" w:rsidRPr="00E126E4" w:rsidRDefault="00000000">
      <w:pPr>
        <w:spacing w:after="110" w:line="262" w:lineRule="auto"/>
        <w:ind w:left="620" w:hanging="620"/>
        <w:rPr>
          <w:lang w:val="en-CA"/>
        </w:rPr>
      </w:pPr>
      <w:r>
        <w:rPr>
          <w:b/>
          <w:bCs/>
          <w:sz w:val="18"/>
          <w:szCs w:val="18"/>
        </w:rPr>
        <w:t>[12</w:t>
      </w:r>
      <w:proofErr w:type="gramStart"/>
      <w:r>
        <w:rPr>
          <w:b/>
          <w:bCs/>
          <w:sz w:val="18"/>
          <w:szCs w:val="18"/>
        </w:rPr>
        <w:t xml:space="preserve">]  </w:t>
      </w:r>
      <w:r>
        <w:rPr>
          <w:sz w:val="18"/>
          <w:szCs w:val="18"/>
        </w:rPr>
        <w:t>ISO</w:t>
      </w:r>
      <w:proofErr w:type="gramEnd"/>
      <w:r>
        <w:rPr>
          <w:sz w:val="18"/>
          <w:szCs w:val="18"/>
        </w:rPr>
        <w:t xml:space="preserve"> 31000:2018, Management du risque — Lignes directrices. </w:t>
      </w:r>
      <w:hyperlink r:id="rId18" w:history="1">
        <w:r w:rsidRPr="00E126E4">
          <w:rPr>
            <w:color w:val="1155CC"/>
            <w:sz w:val="17"/>
            <w:szCs w:val="17"/>
            <w:u w:val="single"/>
            <w:lang w:val="en-CA"/>
          </w:rPr>
          <w:t>https://www.iso.org/fr/standard/65694.html</w:t>
        </w:r>
      </w:hyperlink>
    </w:p>
    <w:p w14:paraId="62DEDEC9" w14:textId="77777777" w:rsidR="003E1AAA" w:rsidRDefault="00000000">
      <w:pPr>
        <w:spacing w:after="110" w:line="262" w:lineRule="auto"/>
        <w:ind w:left="620" w:hanging="620"/>
      </w:pPr>
      <w:r w:rsidRPr="00E126E4">
        <w:rPr>
          <w:b/>
          <w:bCs/>
          <w:sz w:val="18"/>
          <w:szCs w:val="18"/>
          <w:lang w:val="en-CA"/>
        </w:rPr>
        <w:t>[13</w:t>
      </w:r>
      <w:proofErr w:type="gramStart"/>
      <w:r w:rsidRPr="00E126E4">
        <w:rPr>
          <w:b/>
          <w:bCs/>
          <w:sz w:val="18"/>
          <w:szCs w:val="18"/>
          <w:lang w:val="en-CA"/>
        </w:rPr>
        <w:t xml:space="preserve">]  </w:t>
      </w:r>
      <w:r w:rsidRPr="00E126E4">
        <w:rPr>
          <w:sz w:val="18"/>
          <w:szCs w:val="18"/>
          <w:lang w:val="en-CA"/>
        </w:rPr>
        <w:t>ASME</w:t>
      </w:r>
      <w:proofErr w:type="gramEnd"/>
      <w:r w:rsidRPr="00E126E4">
        <w:rPr>
          <w:sz w:val="18"/>
          <w:szCs w:val="18"/>
          <w:lang w:val="en-CA"/>
        </w:rPr>
        <w:t xml:space="preserve"> V&amp;V 20-2009 (R2021), Standard for Verification and Validation in Computational Fluid Dynamics and Heat Transfer. </w:t>
      </w:r>
      <w:hyperlink r:id="rId19" w:history="1">
        <w:r>
          <w:rPr>
            <w:color w:val="1155CC"/>
            <w:sz w:val="17"/>
            <w:szCs w:val="17"/>
            <w:u w:val="single"/>
          </w:rPr>
          <w:t>https://www.asme.org/codes-standards/find-codes-standards/standard-for-verification-and-validation-in-computational-fluid-dynamics-and-heat-transfer</w:t>
        </w:r>
      </w:hyperlink>
    </w:p>
    <w:p w14:paraId="1B15BCC2" w14:textId="77777777" w:rsidR="003E1AAA" w:rsidRDefault="00000000">
      <w:pPr>
        <w:spacing w:after="110" w:line="262" w:lineRule="auto"/>
        <w:ind w:left="620" w:hanging="620"/>
      </w:pPr>
      <w:r w:rsidRPr="00E126E4">
        <w:rPr>
          <w:b/>
          <w:bCs/>
          <w:sz w:val="18"/>
          <w:szCs w:val="18"/>
          <w:lang w:val="en-CA"/>
        </w:rPr>
        <w:t>[14</w:t>
      </w:r>
      <w:proofErr w:type="gramStart"/>
      <w:r w:rsidRPr="00E126E4">
        <w:rPr>
          <w:b/>
          <w:bCs/>
          <w:sz w:val="18"/>
          <w:szCs w:val="18"/>
          <w:lang w:val="en-CA"/>
        </w:rPr>
        <w:t xml:space="preserve">]  </w:t>
      </w:r>
      <w:r w:rsidRPr="00E126E4">
        <w:rPr>
          <w:sz w:val="18"/>
          <w:szCs w:val="18"/>
          <w:lang w:val="en-CA"/>
        </w:rPr>
        <w:t>IEEE</w:t>
      </w:r>
      <w:proofErr w:type="gramEnd"/>
      <w:r w:rsidRPr="00E126E4">
        <w:rPr>
          <w:sz w:val="18"/>
          <w:szCs w:val="18"/>
          <w:lang w:val="en-CA"/>
        </w:rPr>
        <w:t xml:space="preserve"> 1012-2024, IEEE Standard for System, Software, and Hardware Verification and Validation. </w:t>
      </w:r>
      <w:hyperlink r:id="rId20" w:history="1">
        <w:r>
          <w:rPr>
            <w:color w:val="1155CC"/>
            <w:sz w:val="17"/>
            <w:szCs w:val="17"/>
            <w:u w:val="single"/>
          </w:rPr>
          <w:t>https://standards.ieee.org/ieee/1012/7324</w:t>
        </w:r>
      </w:hyperlink>
    </w:p>
    <w:p w14:paraId="2BF71BFF" w14:textId="77777777" w:rsidR="003E1AAA" w:rsidRPr="00E126E4" w:rsidRDefault="00000000">
      <w:pPr>
        <w:spacing w:after="110" w:line="262" w:lineRule="auto"/>
        <w:ind w:left="620" w:hanging="620"/>
        <w:rPr>
          <w:lang w:val="en-CA"/>
        </w:rPr>
      </w:pPr>
      <w:r>
        <w:rPr>
          <w:b/>
          <w:bCs/>
          <w:sz w:val="18"/>
          <w:szCs w:val="18"/>
        </w:rPr>
        <w:t>[15</w:t>
      </w:r>
      <w:proofErr w:type="gramStart"/>
      <w:r>
        <w:rPr>
          <w:b/>
          <w:bCs/>
          <w:sz w:val="18"/>
          <w:szCs w:val="18"/>
        </w:rPr>
        <w:t xml:space="preserve">]  </w:t>
      </w:r>
      <w:r>
        <w:rPr>
          <w:sz w:val="18"/>
          <w:szCs w:val="18"/>
        </w:rPr>
        <w:t>ISO</w:t>
      </w:r>
      <w:proofErr w:type="gramEnd"/>
      <w:r>
        <w:rPr>
          <w:sz w:val="18"/>
          <w:szCs w:val="18"/>
        </w:rPr>
        <w:t xml:space="preserve"> 9241-210:2019, Ergonomie de l’interaction homme-système — Partie 210 : Conception centrée sur l’opérateur humain pour les systèmes interactifs. </w:t>
      </w:r>
      <w:hyperlink r:id="rId21" w:history="1">
        <w:r w:rsidRPr="00E126E4">
          <w:rPr>
            <w:color w:val="1155CC"/>
            <w:sz w:val="17"/>
            <w:szCs w:val="17"/>
            <w:u w:val="single"/>
            <w:lang w:val="en-CA"/>
          </w:rPr>
          <w:t>https://www.iso.org/fr/standard/77520.html</w:t>
        </w:r>
      </w:hyperlink>
    </w:p>
    <w:p w14:paraId="41F9BDFC" w14:textId="77777777" w:rsidR="003E1AAA" w:rsidRPr="00E126E4" w:rsidRDefault="00000000">
      <w:pPr>
        <w:spacing w:after="110" w:line="262" w:lineRule="auto"/>
        <w:ind w:left="620" w:hanging="620"/>
        <w:rPr>
          <w:lang w:val="en-CA"/>
        </w:rPr>
      </w:pPr>
      <w:r w:rsidRPr="00E126E4">
        <w:rPr>
          <w:b/>
          <w:bCs/>
          <w:sz w:val="18"/>
          <w:szCs w:val="18"/>
          <w:lang w:val="en-CA"/>
        </w:rPr>
        <w:t>[16</w:t>
      </w:r>
      <w:proofErr w:type="gramStart"/>
      <w:r w:rsidRPr="00E126E4">
        <w:rPr>
          <w:b/>
          <w:bCs/>
          <w:sz w:val="18"/>
          <w:szCs w:val="18"/>
          <w:lang w:val="en-CA"/>
        </w:rPr>
        <w:t xml:space="preserve">]  </w:t>
      </w:r>
      <w:r w:rsidRPr="00E126E4">
        <w:rPr>
          <w:sz w:val="18"/>
          <w:szCs w:val="18"/>
          <w:lang w:val="en-CA"/>
        </w:rPr>
        <w:t>CSA</w:t>
      </w:r>
      <w:proofErr w:type="gramEnd"/>
      <w:r w:rsidRPr="00E126E4">
        <w:rPr>
          <w:sz w:val="18"/>
          <w:szCs w:val="18"/>
          <w:lang w:val="en-CA"/>
        </w:rPr>
        <w:t xml:space="preserve"> N290.7:21, Cyber security for nuclear facilities. </w:t>
      </w:r>
      <w:hyperlink r:id="rId22" w:history="1">
        <w:r w:rsidRPr="00E126E4">
          <w:rPr>
            <w:color w:val="1155CC"/>
            <w:sz w:val="17"/>
            <w:szCs w:val="17"/>
            <w:u w:val="single"/>
            <w:lang w:val="en-CA"/>
          </w:rPr>
          <w:t>https://www.csagroup.org/store/product/2428461/</w:t>
        </w:r>
      </w:hyperlink>
    </w:p>
    <w:p w14:paraId="24FA36CE" w14:textId="77777777" w:rsidR="003E1AAA" w:rsidRPr="00E126E4" w:rsidRDefault="00000000">
      <w:pPr>
        <w:spacing w:after="110" w:line="262" w:lineRule="auto"/>
        <w:ind w:left="620" w:hanging="620"/>
        <w:rPr>
          <w:lang w:val="en-CA"/>
        </w:rPr>
      </w:pPr>
      <w:r w:rsidRPr="00E126E4">
        <w:rPr>
          <w:b/>
          <w:bCs/>
          <w:sz w:val="18"/>
          <w:szCs w:val="18"/>
          <w:lang w:val="en-CA"/>
        </w:rPr>
        <w:t>[17</w:t>
      </w:r>
      <w:proofErr w:type="gramStart"/>
      <w:r w:rsidRPr="00E126E4">
        <w:rPr>
          <w:b/>
          <w:bCs/>
          <w:sz w:val="18"/>
          <w:szCs w:val="18"/>
          <w:lang w:val="en-CA"/>
        </w:rPr>
        <w:t xml:space="preserve">]  </w:t>
      </w:r>
      <w:r w:rsidRPr="00E126E4">
        <w:rPr>
          <w:sz w:val="18"/>
          <w:szCs w:val="18"/>
          <w:lang w:val="en-CA"/>
        </w:rPr>
        <w:t>IEC</w:t>
      </w:r>
      <w:proofErr w:type="gramEnd"/>
      <w:r w:rsidRPr="00E126E4">
        <w:rPr>
          <w:sz w:val="18"/>
          <w:szCs w:val="18"/>
          <w:lang w:val="en-CA"/>
        </w:rPr>
        <w:t xml:space="preserve"> 62645:2019, Nuclear power plants — Instrumentation, control and electrical power systems — Cybersecurity requirements. </w:t>
      </w:r>
      <w:hyperlink r:id="rId23" w:history="1">
        <w:r w:rsidRPr="00E126E4">
          <w:rPr>
            <w:color w:val="1155CC"/>
            <w:sz w:val="17"/>
            <w:szCs w:val="17"/>
            <w:u w:val="single"/>
            <w:lang w:val="en-CA"/>
          </w:rPr>
          <w:t>https://webstore.iec.ch/en/publication/32904</w:t>
        </w:r>
      </w:hyperlink>
    </w:p>
    <w:p w14:paraId="2E15308A" w14:textId="77777777" w:rsidR="003E1AAA" w:rsidRPr="00E126E4" w:rsidRDefault="00000000">
      <w:pPr>
        <w:spacing w:after="110" w:line="262" w:lineRule="auto"/>
        <w:ind w:left="620" w:hanging="620"/>
        <w:rPr>
          <w:lang w:val="en-CA"/>
        </w:rPr>
      </w:pPr>
      <w:r w:rsidRPr="00E126E4">
        <w:rPr>
          <w:b/>
          <w:bCs/>
          <w:sz w:val="18"/>
          <w:szCs w:val="18"/>
          <w:lang w:val="en-CA"/>
        </w:rPr>
        <w:t>[18</w:t>
      </w:r>
      <w:proofErr w:type="gramStart"/>
      <w:r w:rsidRPr="00E126E4">
        <w:rPr>
          <w:b/>
          <w:bCs/>
          <w:sz w:val="18"/>
          <w:szCs w:val="18"/>
          <w:lang w:val="en-CA"/>
        </w:rPr>
        <w:t xml:space="preserve">]  </w:t>
      </w:r>
      <w:r w:rsidRPr="00E126E4">
        <w:rPr>
          <w:sz w:val="18"/>
          <w:szCs w:val="18"/>
          <w:lang w:val="en-CA"/>
        </w:rPr>
        <w:t>IEC</w:t>
      </w:r>
      <w:proofErr w:type="gramEnd"/>
      <w:r w:rsidRPr="00E126E4">
        <w:rPr>
          <w:sz w:val="18"/>
          <w:szCs w:val="18"/>
          <w:lang w:val="en-CA"/>
        </w:rPr>
        <w:t xml:space="preserve"> 63096:2020, Nuclear power plants — Instrumentation, control and electrical power systems — Security controls. </w:t>
      </w:r>
      <w:hyperlink r:id="rId24" w:history="1">
        <w:r w:rsidRPr="00E126E4">
          <w:rPr>
            <w:color w:val="1155CC"/>
            <w:sz w:val="17"/>
            <w:szCs w:val="17"/>
            <w:u w:val="single"/>
            <w:lang w:val="en-CA"/>
          </w:rPr>
          <w:t>https://webstore.iec.ch/en/publication/32900</w:t>
        </w:r>
      </w:hyperlink>
    </w:p>
    <w:p w14:paraId="7DF3DE58" w14:textId="77777777" w:rsidR="003E1AAA" w:rsidRPr="00E126E4" w:rsidRDefault="00000000">
      <w:pPr>
        <w:spacing w:after="110" w:line="262" w:lineRule="auto"/>
        <w:ind w:left="620" w:hanging="620"/>
        <w:rPr>
          <w:lang w:val="en-CA"/>
        </w:rPr>
      </w:pPr>
      <w:r w:rsidRPr="00E126E4">
        <w:rPr>
          <w:b/>
          <w:bCs/>
          <w:sz w:val="18"/>
          <w:szCs w:val="18"/>
          <w:lang w:val="en-CA"/>
        </w:rPr>
        <w:t>[19</w:t>
      </w:r>
      <w:proofErr w:type="gramStart"/>
      <w:r w:rsidRPr="00E126E4">
        <w:rPr>
          <w:b/>
          <w:bCs/>
          <w:sz w:val="18"/>
          <w:szCs w:val="18"/>
          <w:lang w:val="en-CA"/>
        </w:rPr>
        <w:t xml:space="preserve">]  </w:t>
      </w:r>
      <w:r w:rsidRPr="00E126E4">
        <w:rPr>
          <w:sz w:val="18"/>
          <w:szCs w:val="18"/>
          <w:lang w:val="en-CA"/>
        </w:rPr>
        <w:t>IEC</w:t>
      </w:r>
      <w:proofErr w:type="gramEnd"/>
      <w:r w:rsidRPr="00E126E4">
        <w:rPr>
          <w:sz w:val="18"/>
          <w:szCs w:val="18"/>
          <w:lang w:val="en-CA"/>
        </w:rPr>
        <w:t xml:space="preserve"> 62859:2016 et son </w:t>
      </w:r>
      <w:proofErr w:type="spellStart"/>
      <w:r w:rsidRPr="00E126E4">
        <w:rPr>
          <w:sz w:val="18"/>
          <w:szCs w:val="18"/>
          <w:lang w:val="en-CA"/>
        </w:rPr>
        <w:t>amendement</w:t>
      </w:r>
      <w:proofErr w:type="spellEnd"/>
      <w:r w:rsidRPr="00E126E4">
        <w:rPr>
          <w:sz w:val="18"/>
          <w:szCs w:val="18"/>
          <w:lang w:val="en-CA"/>
        </w:rPr>
        <w:t xml:space="preserve"> A1:2019, Nuclear power plants — Instrumentation and control systems — Requirements for coordinating safety and cybersecurity. </w:t>
      </w:r>
      <w:hyperlink r:id="rId25" w:history="1">
        <w:r w:rsidRPr="00E126E4">
          <w:rPr>
            <w:color w:val="1155CC"/>
            <w:sz w:val="17"/>
            <w:szCs w:val="17"/>
            <w:u w:val="single"/>
            <w:lang w:val="en-CA"/>
          </w:rPr>
          <w:t>https://webstore.iec.ch/en/publication/26131</w:t>
        </w:r>
      </w:hyperlink>
    </w:p>
    <w:p w14:paraId="0FA5C95D" w14:textId="77777777" w:rsidR="003E1AAA" w:rsidRPr="00E126E4" w:rsidRDefault="00000000">
      <w:pPr>
        <w:spacing w:after="110" w:line="262" w:lineRule="auto"/>
        <w:ind w:left="620" w:hanging="620"/>
        <w:rPr>
          <w:lang w:val="en-CA"/>
        </w:rPr>
      </w:pPr>
      <w:r w:rsidRPr="00E126E4">
        <w:rPr>
          <w:b/>
          <w:bCs/>
          <w:sz w:val="18"/>
          <w:szCs w:val="18"/>
          <w:lang w:val="en-CA"/>
        </w:rPr>
        <w:t>[20</w:t>
      </w:r>
      <w:proofErr w:type="gramStart"/>
      <w:r w:rsidRPr="00E126E4">
        <w:rPr>
          <w:b/>
          <w:bCs/>
          <w:sz w:val="18"/>
          <w:szCs w:val="18"/>
          <w:lang w:val="en-CA"/>
        </w:rPr>
        <w:t xml:space="preserve">]  </w:t>
      </w:r>
      <w:r w:rsidRPr="00E126E4">
        <w:rPr>
          <w:sz w:val="18"/>
          <w:szCs w:val="18"/>
          <w:lang w:val="en-CA"/>
        </w:rPr>
        <w:t>IEC</w:t>
      </w:r>
      <w:proofErr w:type="gramEnd"/>
      <w:r w:rsidRPr="00E126E4">
        <w:rPr>
          <w:sz w:val="18"/>
          <w:szCs w:val="18"/>
          <w:lang w:val="en-CA"/>
        </w:rPr>
        <w:t xml:space="preserve"> 61513:2026 (</w:t>
      </w:r>
      <w:proofErr w:type="spellStart"/>
      <w:r w:rsidRPr="00E126E4">
        <w:rPr>
          <w:sz w:val="18"/>
          <w:szCs w:val="18"/>
          <w:lang w:val="en-CA"/>
        </w:rPr>
        <w:t>éd</w:t>
      </w:r>
      <w:proofErr w:type="spellEnd"/>
      <w:r w:rsidRPr="00E126E4">
        <w:rPr>
          <w:sz w:val="18"/>
          <w:szCs w:val="18"/>
          <w:lang w:val="en-CA"/>
        </w:rPr>
        <w:t xml:space="preserve">. 3.0), Nuclear power plants — Instrumentation and control important to safety — General requirements for systems. </w:t>
      </w:r>
      <w:hyperlink r:id="rId26" w:history="1">
        <w:r w:rsidRPr="00E126E4">
          <w:rPr>
            <w:color w:val="1155CC"/>
            <w:sz w:val="17"/>
            <w:szCs w:val="17"/>
            <w:u w:val="single"/>
            <w:lang w:val="en-CA"/>
          </w:rPr>
          <w:t>https://webstore.iec.ch/en/publication/76309</w:t>
        </w:r>
      </w:hyperlink>
    </w:p>
    <w:p w14:paraId="662A9DC5" w14:textId="77777777" w:rsidR="003E1AAA" w:rsidRPr="00E126E4" w:rsidRDefault="00000000">
      <w:pPr>
        <w:spacing w:after="110" w:line="262" w:lineRule="auto"/>
        <w:ind w:left="620" w:hanging="620"/>
        <w:rPr>
          <w:lang w:val="en-CA"/>
        </w:rPr>
      </w:pPr>
      <w:r w:rsidRPr="00E126E4">
        <w:rPr>
          <w:b/>
          <w:bCs/>
          <w:sz w:val="18"/>
          <w:szCs w:val="18"/>
          <w:lang w:val="en-CA"/>
        </w:rPr>
        <w:t>[21</w:t>
      </w:r>
      <w:proofErr w:type="gramStart"/>
      <w:r w:rsidRPr="00E126E4">
        <w:rPr>
          <w:b/>
          <w:bCs/>
          <w:sz w:val="18"/>
          <w:szCs w:val="18"/>
          <w:lang w:val="en-CA"/>
        </w:rPr>
        <w:t xml:space="preserve">]  </w:t>
      </w:r>
      <w:r w:rsidRPr="00E126E4">
        <w:rPr>
          <w:sz w:val="18"/>
          <w:szCs w:val="18"/>
          <w:lang w:val="en-CA"/>
        </w:rPr>
        <w:t>IEC</w:t>
      </w:r>
      <w:proofErr w:type="gramEnd"/>
      <w:r w:rsidRPr="00E126E4">
        <w:rPr>
          <w:sz w:val="18"/>
          <w:szCs w:val="18"/>
          <w:lang w:val="en-CA"/>
        </w:rPr>
        <w:t xml:space="preserve"> 60880:2006, Nuclear power plants — Instrumentation and control systems important to safety — Software aspects for computer-based systems performing category A functions. </w:t>
      </w:r>
      <w:hyperlink r:id="rId27" w:history="1">
        <w:r w:rsidRPr="00E126E4">
          <w:rPr>
            <w:color w:val="1155CC"/>
            <w:sz w:val="17"/>
            <w:szCs w:val="17"/>
            <w:u w:val="single"/>
            <w:lang w:val="en-CA"/>
          </w:rPr>
          <w:t>https://webstore.iec.ch</w:t>
        </w:r>
        <w:r w:rsidRPr="00E126E4">
          <w:rPr>
            <w:color w:val="1155CC"/>
            <w:sz w:val="17"/>
            <w:szCs w:val="17"/>
            <w:u w:val="single"/>
            <w:lang w:val="en-CA"/>
          </w:rPr>
          <w:t>/</w:t>
        </w:r>
        <w:r w:rsidRPr="00E126E4">
          <w:rPr>
            <w:color w:val="1155CC"/>
            <w:sz w:val="17"/>
            <w:szCs w:val="17"/>
            <w:u w:val="single"/>
            <w:lang w:val="en-CA"/>
          </w:rPr>
          <w:t>en/publication/3795</w:t>
        </w:r>
      </w:hyperlink>
    </w:p>
    <w:p w14:paraId="0BF3761F" w14:textId="77777777" w:rsidR="003E1AAA" w:rsidRDefault="00000000">
      <w:pPr>
        <w:spacing w:after="110" w:line="262" w:lineRule="auto"/>
        <w:ind w:left="620" w:hanging="620"/>
      </w:pPr>
      <w:r w:rsidRPr="00E126E4">
        <w:rPr>
          <w:b/>
          <w:bCs/>
          <w:sz w:val="18"/>
          <w:szCs w:val="18"/>
          <w:lang w:val="en-CA"/>
        </w:rPr>
        <w:lastRenderedPageBreak/>
        <w:t>[22</w:t>
      </w:r>
      <w:proofErr w:type="gramStart"/>
      <w:r w:rsidRPr="00E126E4">
        <w:rPr>
          <w:b/>
          <w:bCs/>
          <w:sz w:val="18"/>
          <w:szCs w:val="18"/>
          <w:lang w:val="en-CA"/>
        </w:rPr>
        <w:t xml:space="preserve">]  </w:t>
      </w:r>
      <w:r w:rsidRPr="00E126E4">
        <w:rPr>
          <w:sz w:val="18"/>
          <w:szCs w:val="18"/>
          <w:lang w:val="en-CA"/>
        </w:rPr>
        <w:t>IEC</w:t>
      </w:r>
      <w:proofErr w:type="gramEnd"/>
      <w:r w:rsidRPr="00E126E4">
        <w:rPr>
          <w:sz w:val="18"/>
          <w:szCs w:val="18"/>
          <w:lang w:val="en-CA"/>
        </w:rPr>
        <w:t xml:space="preserve"> 62138:2018, Nuclear power plants — Instrumentation and control systems important to safety — Software aspects for computer-based systems performing category B or C functions. </w:t>
      </w:r>
      <w:hyperlink r:id="rId28" w:history="1">
        <w:r>
          <w:rPr>
            <w:color w:val="1155CC"/>
            <w:sz w:val="17"/>
            <w:szCs w:val="17"/>
            <w:u w:val="single"/>
          </w:rPr>
          <w:t>https://webstore.iec.ch/en/publication/30172</w:t>
        </w:r>
      </w:hyperlink>
    </w:p>
    <w:p w14:paraId="160737CA" w14:textId="77777777" w:rsidR="003E1AAA" w:rsidRDefault="00000000">
      <w:pPr>
        <w:spacing w:after="110" w:line="262" w:lineRule="auto"/>
        <w:ind w:left="620" w:hanging="620"/>
      </w:pPr>
      <w:r>
        <w:rPr>
          <w:b/>
          <w:bCs/>
          <w:sz w:val="18"/>
          <w:szCs w:val="18"/>
        </w:rPr>
        <w:t>[23</w:t>
      </w:r>
      <w:proofErr w:type="gramStart"/>
      <w:r>
        <w:rPr>
          <w:b/>
          <w:bCs/>
          <w:sz w:val="18"/>
          <w:szCs w:val="18"/>
        </w:rPr>
        <w:t xml:space="preserve">]  </w:t>
      </w:r>
      <w:r>
        <w:rPr>
          <w:sz w:val="18"/>
          <w:szCs w:val="18"/>
        </w:rPr>
        <w:t>ISO</w:t>
      </w:r>
      <w:proofErr w:type="gramEnd"/>
      <w:r>
        <w:rPr>
          <w:sz w:val="18"/>
          <w:szCs w:val="18"/>
        </w:rPr>
        <w:t xml:space="preserve">/IEC 27001:2022, Sécurité de l’information, cybersécurité et protection de la vie privée — Systèmes de management de la sécurité de l’information — Exigences. </w:t>
      </w:r>
      <w:hyperlink r:id="rId29" w:history="1">
        <w:r>
          <w:rPr>
            <w:color w:val="1155CC"/>
            <w:sz w:val="17"/>
            <w:szCs w:val="17"/>
            <w:u w:val="single"/>
          </w:rPr>
          <w:t>https://www.iso.org/fr/standard/82875.html</w:t>
        </w:r>
      </w:hyperlink>
    </w:p>
    <w:p w14:paraId="2DF40086" w14:textId="77777777" w:rsidR="003E1AAA" w:rsidRDefault="00000000">
      <w:pPr>
        <w:spacing w:after="110" w:line="262" w:lineRule="auto"/>
        <w:ind w:left="620" w:hanging="620"/>
      </w:pPr>
      <w:r>
        <w:rPr>
          <w:b/>
          <w:bCs/>
          <w:sz w:val="18"/>
          <w:szCs w:val="18"/>
        </w:rPr>
        <w:t>[24</w:t>
      </w:r>
      <w:proofErr w:type="gramStart"/>
      <w:r>
        <w:rPr>
          <w:b/>
          <w:bCs/>
          <w:sz w:val="18"/>
          <w:szCs w:val="18"/>
        </w:rPr>
        <w:t xml:space="preserve">]  </w:t>
      </w:r>
      <w:r>
        <w:rPr>
          <w:sz w:val="18"/>
          <w:szCs w:val="18"/>
        </w:rPr>
        <w:t>ISO</w:t>
      </w:r>
      <w:proofErr w:type="gramEnd"/>
      <w:r>
        <w:rPr>
          <w:sz w:val="18"/>
          <w:szCs w:val="18"/>
        </w:rPr>
        <w:t xml:space="preserve">/IEC 27005:2022, Sécurité de l’information, cybersécurité et protection de la vie privée — Préconisations pour la gestion des risques liés à la sécurité de l’information. </w:t>
      </w:r>
      <w:hyperlink r:id="rId30" w:history="1">
        <w:r>
          <w:rPr>
            <w:color w:val="1155CC"/>
            <w:sz w:val="17"/>
            <w:szCs w:val="17"/>
            <w:u w:val="single"/>
          </w:rPr>
          <w:t>https://www.iso.org/fr/standard/80585.html</w:t>
        </w:r>
      </w:hyperlink>
    </w:p>
    <w:p w14:paraId="2B6F2697" w14:textId="5AC47B30" w:rsidR="00AC71F8" w:rsidRDefault="00AC71F8"/>
    <w:sectPr w:rsidR="00AC71F8">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413B7" w14:textId="77777777" w:rsidR="00AC71F8" w:rsidRDefault="00AC71F8">
      <w:r>
        <w:separator/>
      </w:r>
    </w:p>
  </w:endnote>
  <w:endnote w:type="continuationSeparator" w:id="0">
    <w:p w14:paraId="49E85B68" w14:textId="77777777" w:rsidR="00AC71F8" w:rsidRDefault="00AC7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E2B6" w14:textId="77777777" w:rsidR="003E1AAA" w:rsidRDefault="00000000">
    <w:pPr>
      <w:jc w:val="center"/>
    </w:pPr>
    <w:r>
      <w:rPr>
        <w:color w:val="52514E"/>
        <w:sz w:val="17"/>
        <w:szCs w:val="17"/>
      </w:rPr>
      <w:fldChar w:fldCharType="begin"/>
    </w:r>
    <w:r>
      <w:rPr>
        <w:color w:val="52514E"/>
        <w:sz w:val="17"/>
        <w:szCs w:val="17"/>
      </w:rPr>
      <w:instrText>PAGE</w:instrText>
    </w:r>
    <w:r>
      <w:rPr>
        <w:color w:val="52514E"/>
        <w:sz w:val="17"/>
        <w:szCs w:val="17"/>
      </w:rPr>
      <w:fldChar w:fldCharType="separate"/>
    </w:r>
    <w:r w:rsidR="00E126E4">
      <w:rPr>
        <w:noProof/>
        <w:color w:val="52514E"/>
        <w:sz w:val="17"/>
        <w:szCs w:val="17"/>
      </w:rPr>
      <w:t>1</w:t>
    </w:r>
    <w:r>
      <w:rPr>
        <w:color w:val="52514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18461" w14:textId="77777777" w:rsidR="00AC71F8" w:rsidRDefault="00AC71F8">
      <w:r>
        <w:separator/>
      </w:r>
    </w:p>
  </w:footnote>
  <w:footnote w:type="continuationSeparator" w:id="0">
    <w:p w14:paraId="37D5BA92" w14:textId="77777777" w:rsidR="00AC71F8" w:rsidRDefault="00AC71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526F0"/>
    <w:multiLevelType w:val="hybridMultilevel"/>
    <w:tmpl w:val="F438A970"/>
    <w:lvl w:ilvl="0" w:tplc="98A464E0">
      <w:start w:val="1"/>
      <w:numFmt w:val="bullet"/>
      <w:lvlText w:val="–"/>
      <w:lvlJc w:val="left"/>
      <w:pPr>
        <w:ind w:left="420" w:hanging="220"/>
      </w:pPr>
    </w:lvl>
    <w:lvl w:ilvl="1" w:tplc="439AE3FC">
      <w:numFmt w:val="decimal"/>
      <w:lvlText w:val=""/>
      <w:lvlJc w:val="left"/>
    </w:lvl>
    <w:lvl w:ilvl="2" w:tplc="EED86FEA">
      <w:numFmt w:val="decimal"/>
      <w:lvlText w:val=""/>
      <w:lvlJc w:val="left"/>
    </w:lvl>
    <w:lvl w:ilvl="3" w:tplc="0038AA28">
      <w:numFmt w:val="decimal"/>
      <w:lvlText w:val=""/>
      <w:lvlJc w:val="left"/>
    </w:lvl>
    <w:lvl w:ilvl="4" w:tplc="69C05460">
      <w:numFmt w:val="decimal"/>
      <w:lvlText w:val=""/>
      <w:lvlJc w:val="left"/>
    </w:lvl>
    <w:lvl w:ilvl="5" w:tplc="54221070">
      <w:numFmt w:val="decimal"/>
      <w:lvlText w:val=""/>
      <w:lvlJc w:val="left"/>
    </w:lvl>
    <w:lvl w:ilvl="6" w:tplc="DD7A2FCC">
      <w:numFmt w:val="decimal"/>
      <w:lvlText w:val=""/>
      <w:lvlJc w:val="left"/>
    </w:lvl>
    <w:lvl w:ilvl="7" w:tplc="0C985F6C">
      <w:numFmt w:val="decimal"/>
      <w:lvlText w:val=""/>
      <w:lvlJc w:val="left"/>
    </w:lvl>
    <w:lvl w:ilvl="8" w:tplc="0B90EB66">
      <w:numFmt w:val="decimal"/>
      <w:lvlText w:val=""/>
      <w:lvlJc w:val="left"/>
    </w:lvl>
  </w:abstractNum>
  <w:abstractNum w:abstractNumId="1" w15:restartNumberingAfterBreak="0">
    <w:nsid w:val="254A4CCC"/>
    <w:multiLevelType w:val="hybridMultilevel"/>
    <w:tmpl w:val="894CD358"/>
    <w:lvl w:ilvl="0" w:tplc="583A3866">
      <w:start w:val="1"/>
      <w:numFmt w:val="bullet"/>
      <w:lvlText w:val="●"/>
      <w:lvlJc w:val="left"/>
      <w:pPr>
        <w:ind w:left="720" w:hanging="360"/>
      </w:pPr>
    </w:lvl>
    <w:lvl w:ilvl="1" w:tplc="ECAE97EC">
      <w:start w:val="1"/>
      <w:numFmt w:val="bullet"/>
      <w:lvlText w:val="○"/>
      <w:lvlJc w:val="left"/>
      <w:pPr>
        <w:ind w:left="1440" w:hanging="360"/>
      </w:pPr>
    </w:lvl>
    <w:lvl w:ilvl="2" w:tplc="A45ABA5C">
      <w:start w:val="1"/>
      <w:numFmt w:val="bullet"/>
      <w:lvlText w:val="■"/>
      <w:lvlJc w:val="left"/>
      <w:pPr>
        <w:ind w:left="2160" w:hanging="360"/>
      </w:pPr>
    </w:lvl>
    <w:lvl w:ilvl="3" w:tplc="DA081C32">
      <w:start w:val="1"/>
      <w:numFmt w:val="bullet"/>
      <w:lvlText w:val="●"/>
      <w:lvlJc w:val="left"/>
      <w:pPr>
        <w:ind w:left="2880" w:hanging="360"/>
      </w:pPr>
    </w:lvl>
    <w:lvl w:ilvl="4" w:tplc="062E4EAC">
      <w:start w:val="1"/>
      <w:numFmt w:val="bullet"/>
      <w:lvlText w:val="○"/>
      <w:lvlJc w:val="left"/>
      <w:pPr>
        <w:ind w:left="3600" w:hanging="360"/>
      </w:pPr>
    </w:lvl>
    <w:lvl w:ilvl="5" w:tplc="8A4287F2">
      <w:start w:val="1"/>
      <w:numFmt w:val="bullet"/>
      <w:lvlText w:val="■"/>
      <w:lvlJc w:val="left"/>
      <w:pPr>
        <w:ind w:left="4320" w:hanging="360"/>
      </w:pPr>
    </w:lvl>
    <w:lvl w:ilvl="6" w:tplc="C2A4BD58">
      <w:start w:val="1"/>
      <w:numFmt w:val="bullet"/>
      <w:lvlText w:val="●"/>
      <w:lvlJc w:val="left"/>
      <w:pPr>
        <w:ind w:left="5040" w:hanging="360"/>
      </w:pPr>
    </w:lvl>
    <w:lvl w:ilvl="7" w:tplc="76A03CE4">
      <w:start w:val="1"/>
      <w:numFmt w:val="bullet"/>
      <w:lvlText w:val="●"/>
      <w:lvlJc w:val="left"/>
      <w:pPr>
        <w:ind w:left="5760" w:hanging="360"/>
      </w:pPr>
    </w:lvl>
    <w:lvl w:ilvl="8" w:tplc="49547FF2">
      <w:start w:val="1"/>
      <w:numFmt w:val="bullet"/>
      <w:lvlText w:val="●"/>
      <w:lvlJc w:val="left"/>
      <w:pPr>
        <w:ind w:left="6480" w:hanging="360"/>
      </w:pPr>
    </w:lvl>
  </w:abstractNum>
  <w:num w:numId="1" w16cid:durableId="1605770111">
    <w:abstractNumId w:val="1"/>
    <w:lvlOverride w:ilvl="0">
      <w:startOverride w:val="1"/>
    </w:lvlOverride>
  </w:num>
  <w:num w:numId="2" w16cid:durableId="272372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AAA"/>
    <w:rsid w:val="003E1AAA"/>
    <w:rsid w:val="00A45FFE"/>
    <w:rsid w:val="00AC71F8"/>
    <w:rsid w:val="00D84513"/>
    <w:rsid w:val="00DB59DD"/>
    <w:rsid w:val="00E126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4FDB"/>
  <w15:docId w15:val="{42C8596C-458B-4B94-BA1D-2E6B51CC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9"/>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nsc-ccsn.gc.ca/fra/acts-and-regulations/regulatory-documents/published/html/regdoc2-1-1/" TargetMode="External"/><Relationship Id="rId18" Type="http://schemas.openxmlformats.org/officeDocument/2006/relationships/hyperlink" Target="https://www.iso.org/fr/standard/65694.html" TargetMode="External"/><Relationship Id="rId26" Type="http://schemas.openxmlformats.org/officeDocument/2006/relationships/hyperlink" Target="https://webstore.iec.ch/en/publication/76309" TargetMode="External"/><Relationship Id="rId3" Type="http://schemas.openxmlformats.org/officeDocument/2006/relationships/settings" Target="settings.xml"/><Relationship Id="rId21" Type="http://schemas.openxmlformats.org/officeDocument/2006/relationships/hyperlink" Target="https://www.iso.org/fr/standard/77520.html" TargetMode="External"/><Relationship Id="rId7" Type="http://schemas.openxmlformats.org/officeDocument/2006/relationships/hyperlink" Target="https://www.legisquebec.gouv.qc.ca/fr/document/lc/I-9" TargetMode="External"/><Relationship Id="rId12" Type="http://schemas.openxmlformats.org/officeDocument/2006/relationships/hyperlink" Target="https://www.cnsc-ccsn.gc.ca/fra/acts-and-regulations/regulatory-documents/published/html/regdoc2-5-2-v2-1/" TargetMode="External"/><Relationship Id="rId17" Type="http://schemas.openxmlformats.org/officeDocument/2006/relationships/hyperlink" Target="https://www.iso.org/fr/standard/78176.html" TargetMode="External"/><Relationship Id="rId25" Type="http://schemas.openxmlformats.org/officeDocument/2006/relationships/hyperlink" Target="https://webstore.iec.ch/en/publication/2613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so.org/fr/standard/75066.html" TargetMode="External"/><Relationship Id="rId20" Type="http://schemas.openxmlformats.org/officeDocument/2006/relationships/hyperlink" Target="https://standards.ieee.org/ieee/1012/7324" TargetMode="External"/><Relationship Id="rId29" Type="http://schemas.openxmlformats.org/officeDocument/2006/relationships/hyperlink" Target="https://www.iso.org/fr/standard/82875.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aws-lois.justice.gc.ca/fra/reglements/DORS-2000-204/index.html" TargetMode="External"/><Relationship Id="rId24" Type="http://schemas.openxmlformats.org/officeDocument/2006/relationships/hyperlink" Target="https://webstore.iec.ch/en/publication/3290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iso.org/fr/standard/90219.html" TargetMode="External"/><Relationship Id="rId23" Type="http://schemas.openxmlformats.org/officeDocument/2006/relationships/hyperlink" Target="https://webstore.iec.ch/en/publication/32904" TargetMode="External"/><Relationship Id="rId28" Type="http://schemas.openxmlformats.org/officeDocument/2006/relationships/hyperlink" Target="https://webstore.iec.ch/en/publication/30172" TargetMode="External"/><Relationship Id="rId10" Type="http://schemas.openxmlformats.org/officeDocument/2006/relationships/hyperlink" Target="https://laws-lois.justice.gc.ca/fra/reglements/DORS-2000-202/index.html" TargetMode="External"/><Relationship Id="rId19" Type="http://schemas.openxmlformats.org/officeDocument/2006/relationships/hyperlink" Target="https://www.asme.org/codes-standards/find-codes-standards/standard-for-verification-and-validation-in-computational-fluid-dynamics-and-heat-transfer"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laws-lois.justice.gc.ca/fra/lois/N-28.3/index.html" TargetMode="External"/><Relationship Id="rId14" Type="http://schemas.openxmlformats.org/officeDocument/2006/relationships/hyperlink" Target="https://www.iso.org/fr/standard/81702.html" TargetMode="External"/><Relationship Id="rId22" Type="http://schemas.openxmlformats.org/officeDocument/2006/relationships/hyperlink" Target="https://www.csagroup.org/store/product/2428461/" TargetMode="External"/><Relationship Id="rId27" Type="http://schemas.openxmlformats.org/officeDocument/2006/relationships/hyperlink" Target="https://webstore.iec.ch/en/publication/3795" TargetMode="External"/><Relationship Id="rId30" Type="http://schemas.openxmlformats.org/officeDocument/2006/relationships/hyperlink" Target="https://www.iso.org/fr/standard/80585.html" TargetMode="External"/><Relationship Id="rId8" Type="http://schemas.openxmlformats.org/officeDocument/2006/relationships/hyperlink" Target="https://www.oiq.qc.ca/lordre/politiques-lois-et-reglements/lois-et-reglements-entourant-la-pratique-du-geni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3684</Words>
  <Characters>20266</Characters>
  <Application>Microsoft Office Word</Application>
  <DocSecurity>0</DocSecurity>
  <Lines>168</Lines>
  <Paragraphs>47</Paragraphs>
  <ScaleCrop>false</ScaleCrop>
  <Company/>
  <LinksUpToDate>false</LinksUpToDate>
  <CharactersWithSpaces>23903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IMP2 — Section 5, Normes codes et standards, v0.2</dc:title>
  <dc:creator>Abdoul Raouf Kabre;révision Christian Kévin Sawadogo</dc:creator>
  <cp:lastModifiedBy>Christian Sawadogo</cp:lastModifiedBy>
  <cp:revision>2</cp:revision>
  <dcterms:created xsi:type="dcterms:W3CDTF">2026-09-14T16:01:00Z</dcterms:created>
  <dcterms:modified xsi:type="dcterms:W3CDTF">2026-09-14T16:01:00Z</dcterms:modified>
</cp:coreProperties>
</file>