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0EC77" w14:textId="77777777" w:rsidR="00F50D70" w:rsidRPr="00BE4F47" w:rsidRDefault="002A1CE1" w:rsidP="008E113B">
      <w:pPr>
        <w:keepNext/>
        <w:spacing w:line="360" w:lineRule="auto"/>
        <w:ind w:left="0"/>
        <w:outlineLvl w:val="9"/>
        <w:rPr>
          <w:rFonts w:ascii="Aptos" w:hAnsi="Aptos" w:cs="Arial"/>
          <w:b/>
          <w:sz w:val="40"/>
        </w:rPr>
      </w:pPr>
      <w:r>
        <w:rPr>
          <w:rFonts w:ascii="Aptos" w:hAnsi="Aptos"/>
          <w:noProof/>
        </w:rPr>
        <w:drawing>
          <wp:inline distT="0" distB="0" distL="0" distR="0" wp14:anchorId="29CEB848" wp14:editId="28EA24B1">
            <wp:extent cx="2225040" cy="1333500"/>
            <wp:effectExtent l="0" t="0" r="0" b="0"/>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11">
                      <a:extLst>
                        <a:ext uri="{28A0092B-C50C-407E-A947-70E740481C1C}">
                          <a14:useLocalDpi xmlns:a14="http://schemas.microsoft.com/office/drawing/2010/main" val="0"/>
                        </a:ext>
                      </a:extLst>
                    </a:blip>
                    <a:srcRect l="-11" t="-18" r="-11" b="-18"/>
                    <a:stretch>
                      <a:fillRect/>
                    </a:stretch>
                  </pic:blipFill>
                  <pic:spPr bwMode="auto">
                    <a:xfrm>
                      <a:off x="0" y="0"/>
                      <a:ext cx="2225040" cy="1333500"/>
                    </a:xfrm>
                    <a:prstGeom prst="rect">
                      <a:avLst/>
                    </a:prstGeom>
                    <a:noFill/>
                    <a:ln>
                      <a:noFill/>
                    </a:ln>
                  </pic:spPr>
                </pic:pic>
              </a:graphicData>
            </a:graphic>
          </wp:inline>
        </w:drawing>
      </w:r>
      <w:r w:rsidR="00273A91" w:rsidRPr="00BE4F47">
        <w:rPr>
          <w:rFonts w:ascii="Aptos" w:eastAsia="Times" w:hAnsi="Aptos"/>
          <w:b/>
          <w:sz w:val="40"/>
        </w:rPr>
        <w:t xml:space="preserve"> </w:t>
      </w:r>
    </w:p>
    <w:p w14:paraId="720C4C7F" w14:textId="77777777" w:rsidR="00F50D70" w:rsidRPr="00BE4F47" w:rsidRDefault="00F50D70" w:rsidP="008E113B">
      <w:pPr>
        <w:spacing w:line="360" w:lineRule="auto"/>
        <w:ind w:left="0"/>
        <w:outlineLvl w:val="9"/>
        <w:rPr>
          <w:rFonts w:ascii="Aptos" w:hAnsi="Aptos" w:cs="Arial"/>
          <w:b/>
          <w:sz w:val="40"/>
        </w:rPr>
      </w:pPr>
    </w:p>
    <w:p w14:paraId="5CDF97F9" w14:textId="77777777" w:rsidR="00F50D70" w:rsidRPr="00BE4F47" w:rsidRDefault="00137D7F" w:rsidP="008E113B">
      <w:pPr>
        <w:pBdr>
          <w:bottom w:val="single" w:sz="6" w:space="1" w:color="000000"/>
        </w:pBdr>
        <w:spacing w:line="360" w:lineRule="auto"/>
        <w:ind w:left="0" w:right="-77"/>
        <w:jc w:val="right"/>
        <w:outlineLvl w:val="9"/>
        <w:rPr>
          <w:rFonts w:ascii="Aptos" w:hAnsi="Aptos" w:cs="Arial"/>
          <w:b/>
          <w:sz w:val="24"/>
          <w:szCs w:val="24"/>
        </w:rPr>
      </w:pPr>
      <w:r w:rsidRPr="00BE4F47">
        <w:rPr>
          <w:rFonts w:ascii="Aptos" w:eastAsia="Calibri" w:hAnsi="Aptos" w:cs="Calibri"/>
          <w:b/>
          <w:color w:val="1A1A19"/>
          <w:sz w:val="20"/>
          <w:szCs w:val="20"/>
        </w:rPr>
        <w:t>MODULE D’INGÉNIERIE</w:t>
      </w:r>
    </w:p>
    <w:p w14:paraId="08D624C5" w14:textId="77777777" w:rsidR="00F50D70" w:rsidRPr="00BE4F47" w:rsidRDefault="00137D7F" w:rsidP="008E113B">
      <w:pPr>
        <w:pBdr>
          <w:bottom w:val="single" w:sz="6" w:space="1" w:color="000000"/>
        </w:pBdr>
        <w:spacing w:line="360" w:lineRule="auto"/>
        <w:ind w:left="0" w:right="-77"/>
        <w:jc w:val="right"/>
        <w:outlineLvl w:val="9"/>
        <w:rPr>
          <w:rFonts w:ascii="Aptos" w:hAnsi="Aptos" w:cs="Arial"/>
          <w:b/>
          <w:sz w:val="24"/>
          <w:szCs w:val="24"/>
        </w:rPr>
      </w:pPr>
      <w:r w:rsidRPr="00BE4F47">
        <w:rPr>
          <w:rFonts w:ascii="Aptos" w:eastAsia="Calibri" w:hAnsi="Aptos" w:cs="Calibri"/>
          <w:b/>
          <w:color w:val="1A1A19"/>
          <w:sz w:val="20"/>
          <w:szCs w:val="20"/>
        </w:rPr>
        <w:t>GÉNIE INFORMATIQUE</w:t>
      </w:r>
    </w:p>
    <w:p w14:paraId="1A4D4FF8" w14:textId="3EB4F5E3" w:rsidR="00F50D70" w:rsidRPr="00BE4F47" w:rsidRDefault="00137D7F" w:rsidP="008E113B">
      <w:pPr>
        <w:pBdr>
          <w:bottom w:val="single" w:sz="6" w:space="1" w:color="000000"/>
        </w:pBdr>
        <w:spacing w:line="360" w:lineRule="auto"/>
        <w:ind w:left="0" w:right="-77"/>
        <w:jc w:val="right"/>
        <w:outlineLvl w:val="9"/>
        <w:rPr>
          <w:rFonts w:ascii="Aptos" w:hAnsi="Aptos" w:cs="Arial"/>
        </w:rPr>
      </w:pPr>
      <w:r w:rsidRPr="00BE4F47">
        <w:rPr>
          <w:rFonts w:ascii="Aptos" w:eastAsia="Calibri" w:hAnsi="Aptos" w:cs="Calibri"/>
          <w:b/>
          <w:color w:val="1A1A19"/>
          <w:sz w:val="20"/>
          <w:szCs w:val="20"/>
        </w:rPr>
        <w:t>6GEN</w:t>
      </w:r>
      <w:r w:rsidR="00F355AE" w:rsidRPr="00BE4F47">
        <w:rPr>
          <w:rFonts w:ascii="Aptos" w:eastAsia="Calibri" w:hAnsi="Aptos" w:cs="Calibri"/>
          <w:b/>
          <w:color w:val="1A1A19"/>
          <w:sz w:val="20"/>
          <w:szCs w:val="20"/>
        </w:rPr>
        <w:t>135 ·</w:t>
      </w:r>
      <w:r w:rsidRPr="00BE4F47">
        <w:rPr>
          <w:rFonts w:ascii="Aptos" w:eastAsia="Calibri" w:hAnsi="Aptos" w:cs="Calibri"/>
          <w:b/>
          <w:color w:val="1A1A19"/>
          <w:sz w:val="20"/>
          <w:szCs w:val="20"/>
        </w:rPr>
        <w:t xml:space="preserve">  INGÉNIERIE : MÉTHODES ET PRATIQUE II</w:t>
      </w:r>
    </w:p>
    <w:p w14:paraId="23018BA0" w14:textId="77777777" w:rsidR="00F50D70" w:rsidRPr="00BE4F47" w:rsidRDefault="00F50D70" w:rsidP="008E113B">
      <w:pPr>
        <w:spacing w:line="360" w:lineRule="auto"/>
        <w:outlineLvl w:val="9"/>
        <w:rPr>
          <w:rFonts w:ascii="Aptos" w:hAnsi="Aptos" w:cs="Arial"/>
        </w:rPr>
      </w:pPr>
    </w:p>
    <w:p w14:paraId="0D564B40" w14:textId="77777777" w:rsidR="00F50D70" w:rsidRPr="00BE4F47" w:rsidRDefault="00137D7F" w:rsidP="008E113B">
      <w:pPr>
        <w:pStyle w:val="Heading"/>
        <w:pBdr>
          <w:bottom w:val="single" w:sz="4" w:space="24" w:color="000000"/>
        </w:pBdr>
        <w:spacing w:after="0" w:line="360" w:lineRule="auto"/>
        <w:jc w:val="right"/>
        <w:rPr>
          <w:rFonts w:ascii="Aptos" w:hAnsi="Aptos"/>
        </w:rPr>
      </w:pPr>
      <w:r w:rsidRPr="00BE4F47">
        <w:rPr>
          <w:rFonts w:ascii="Aptos" w:hAnsi="Aptos"/>
        </w:rPr>
        <w:t>Plan de projet</w:t>
      </w:r>
    </w:p>
    <w:p w14:paraId="42918CB9" w14:textId="77777777" w:rsidR="00F50D70" w:rsidRPr="00BE4F47" w:rsidRDefault="00F50D70" w:rsidP="008E113B">
      <w:pPr>
        <w:spacing w:line="360" w:lineRule="auto"/>
        <w:outlineLvl w:val="9"/>
        <w:rPr>
          <w:rFonts w:ascii="Aptos" w:hAnsi="Aptos"/>
        </w:rPr>
      </w:pPr>
    </w:p>
    <w:p w14:paraId="64D07111" w14:textId="77777777" w:rsidR="00F50D70" w:rsidRPr="00BE4F47" w:rsidRDefault="00F50D70" w:rsidP="008E113B">
      <w:pPr>
        <w:spacing w:line="360" w:lineRule="auto"/>
        <w:ind w:left="0"/>
        <w:outlineLvl w:val="9"/>
        <w:rPr>
          <w:rFonts w:ascii="Aptos" w:hAnsi="Aptos"/>
        </w:rPr>
      </w:pPr>
    </w:p>
    <w:p w14:paraId="2B8E8D8A" w14:textId="77777777" w:rsidR="00F50D70" w:rsidRPr="00BE4F47" w:rsidRDefault="00137D7F" w:rsidP="008E113B">
      <w:pPr>
        <w:pStyle w:val="Heading"/>
        <w:spacing w:after="0" w:line="360" w:lineRule="auto"/>
        <w:jc w:val="center"/>
        <w:rPr>
          <w:rFonts w:ascii="Aptos" w:hAnsi="Aptos" w:cs="Arial"/>
          <w:b/>
          <w:sz w:val="28"/>
          <w:szCs w:val="28"/>
        </w:rPr>
      </w:pPr>
      <w:r w:rsidRPr="00BE4F47">
        <w:rPr>
          <w:rFonts w:ascii="Aptos" w:hAnsi="Aptos" w:cs="Arial"/>
          <w:b/>
          <w:sz w:val="28"/>
          <w:szCs w:val="28"/>
        </w:rPr>
        <w:t>Projet :</w:t>
      </w:r>
    </w:p>
    <w:p w14:paraId="16D8C459" w14:textId="77777777" w:rsidR="00F50D70" w:rsidRPr="00BE4F47" w:rsidRDefault="00137D7F" w:rsidP="008E113B">
      <w:pPr>
        <w:pStyle w:val="Heading"/>
        <w:spacing w:after="0" w:line="360" w:lineRule="auto"/>
        <w:jc w:val="center"/>
        <w:rPr>
          <w:rFonts w:ascii="Aptos" w:hAnsi="Aptos" w:cs="Arial"/>
          <w:b/>
          <w:sz w:val="28"/>
          <w:szCs w:val="28"/>
        </w:rPr>
      </w:pPr>
      <w:r w:rsidRPr="00BE4F47">
        <w:rPr>
          <w:rFonts w:ascii="Aptos" w:hAnsi="Aptos" w:cs="Arial"/>
          <w:b/>
          <w:sz w:val="28"/>
          <w:szCs w:val="28"/>
        </w:rPr>
        <w:t>Jumeau numérique de surveillance d’une boucle thermohydraulique</w:t>
      </w:r>
    </w:p>
    <w:p w14:paraId="14F13C50" w14:textId="77777777" w:rsidR="00F50D70" w:rsidRPr="00BE4F47" w:rsidRDefault="00F50D70" w:rsidP="008E113B">
      <w:pPr>
        <w:spacing w:line="360" w:lineRule="auto"/>
        <w:outlineLvl w:val="9"/>
        <w:rPr>
          <w:rFonts w:ascii="Aptos" w:hAnsi="Aptos" w:cs="Arial"/>
          <w:b/>
          <w:sz w:val="28"/>
          <w:szCs w:val="28"/>
        </w:rPr>
      </w:pPr>
    </w:p>
    <w:p w14:paraId="05A38276" w14:textId="77777777" w:rsidR="00F50D70" w:rsidRPr="00BE4F47" w:rsidRDefault="00F50D70" w:rsidP="008E113B">
      <w:pPr>
        <w:spacing w:line="360" w:lineRule="auto"/>
        <w:outlineLvl w:val="9"/>
        <w:rPr>
          <w:rFonts w:ascii="Aptos" w:hAnsi="Aptos"/>
        </w:rPr>
      </w:pPr>
    </w:p>
    <w:p w14:paraId="6CD0A196" w14:textId="77777777" w:rsidR="00F50D70" w:rsidRPr="00BE4F47" w:rsidRDefault="00F50D70" w:rsidP="008E113B">
      <w:pPr>
        <w:spacing w:line="360" w:lineRule="auto"/>
        <w:outlineLvl w:val="9"/>
        <w:rPr>
          <w:rFonts w:ascii="Aptos" w:hAnsi="Aptos"/>
        </w:rPr>
      </w:pPr>
    </w:p>
    <w:p w14:paraId="1AD3E497" w14:textId="77777777" w:rsidR="00F50D70" w:rsidRPr="00BE4F47" w:rsidRDefault="00137D7F" w:rsidP="008E113B">
      <w:pPr>
        <w:spacing w:line="360" w:lineRule="auto"/>
        <w:ind w:left="0"/>
        <w:jc w:val="center"/>
        <w:outlineLvl w:val="9"/>
        <w:rPr>
          <w:rFonts w:ascii="Aptos" w:hAnsi="Aptos"/>
          <w:sz w:val="24"/>
          <w:szCs w:val="24"/>
        </w:rPr>
      </w:pPr>
      <w:r w:rsidRPr="00BE4F47">
        <w:rPr>
          <w:rFonts w:ascii="Aptos" w:eastAsia="Calibri" w:hAnsi="Aptos" w:cs="Calibri"/>
          <w:color w:val="1A1A19"/>
          <w:sz w:val="20"/>
          <w:szCs w:val="20"/>
        </w:rPr>
        <w:t>Préparé par</w:t>
      </w:r>
    </w:p>
    <w:p w14:paraId="4DF53A50" w14:textId="77777777" w:rsidR="00F50D70" w:rsidRPr="00BE4F47" w:rsidRDefault="00F50D70" w:rsidP="008E113B">
      <w:pPr>
        <w:spacing w:line="360" w:lineRule="auto"/>
        <w:ind w:left="0"/>
        <w:outlineLvl w:val="9"/>
        <w:rPr>
          <w:rFonts w:ascii="Aptos" w:hAnsi="Aptos"/>
          <w:sz w:val="24"/>
          <w:szCs w:val="24"/>
        </w:rPr>
      </w:pPr>
    </w:p>
    <w:p w14:paraId="53CAF783" w14:textId="77777777" w:rsidR="00F50D70" w:rsidRPr="00BE4F47" w:rsidRDefault="00137D7F" w:rsidP="008E113B">
      <w:pPr>
        <w:spacing w:line="360" w:lineRule="auto"/>
        <w:ind w:left="0"/>
        <w:jc w:val="center"/>
        <w:outlineLvl w:val="9"/>
        <w:rPr>
          <w:rFonts w:ascii="Aptos" w:hAnsi="Aptos"/>
        </w:rPr>
      </w:pPr>
      <w:r w:rsidRPr="00BE4F47">
        <w:rPr>
          <w:rFonts w:ascii="Aptos" w:eastAsia="Calibri" w:hAnsi="Aptos" w:cs="Calibri"/>
          <w:color w:val="1A1A19"/>
          <w:sz w:val="20"/>
          <w:szCs w:val="20"/>
        </w:rPr>
        <w:t>Christian Kévin Sawadogo, Abdoul Raouf Kabré, Rayane Arèmou Akorede Alimi, Ibrahim Diallo, Aboubacar Sidiki Yansané, Djasra Wilson Thoroum, Jérémie Arno Tchawo Soppewe et Abdramane [ NOM À COMPLÉTER ]</w:t>
      </w:r>
    </w:p>
    <w:p w14:paraId="2C863E5F" w14:textId="77777777" w:rsidR="00F50D70" w:rsidRPr="00BE4F47" w:rsidRDefault="00F50D70" w:rsidP="008E113B">
      <w:pPr>
        <w:spacing w:line="360" w:lineRule="auto"/>
        <w:ind w:left="0"/>
        <w:outlineLvl w:val="9"/>
        <w:rPr>
          <w:rFonts w:ascii="Aptos" w:hAnsi="Aptos"/>
        </w:rPr>
      </w:pPr>
    </w:p>
    <w:p w14:paraId="35139DED" w14:textId="77777777" w:rsidR="00F50D70" w:rsidRPr="00BE4F47" w:rsidRDefault="00F50D70" w:rsidP="008E113B">
      <w:pPr>
        <w:spacing w:line="360" w:lineRule="auto"/>
        <w:ind w:left="0"/>
        <w:outlineLvl w:val="9"/>
        <w:rPr>
          <w:rFonts w:ascii="Aptos" w:hAnsi="Aptos"/>
        </w:rPr>
      </w:pPr>
    </w:p>
    <w:p w14:paraId="4C9E57A7" w14:textId="77777777" w:rsidR="00F50D70" w:rsidRPr="00BE4F47" w:rsidRDefault="00F50D70" w:rsidP="008E113B">
      <w:pPr>
        <w:spacing w:line="360" w:lineRule="auto"/>
        <w:ind w:left="0"/>
        <w:outlineLvl w:val="9"/>
        <w:rPr>
          <w:rFonts w:ascii="Aptos" w:hAnsi="Aptos"/>
        </w:rPr>
      </w:pPr>
    </w:p>
    <w:p w14:paraId="7195713D" w14:textId="77777777" w:rsidR="00F50D70" w:rsidRPr="00BE4F47" w:rsidRDefault="00137D7F" w:rsidP="008E113B">
      <w:pPr>
        <w:spacing w:line="360" w:lineRule="auto"/>
        <w:ind w:left="0"/>
        <w:jc w:val="center"/>
        <w:outlineLvl w:val="9"/>
        <w:rPr>
          <w:rFonts w:ascii="Aptos" w:hAnsi="Aptos"/>
        </w:rPr>
      </w:pPr>
      <w:r w:rsidRPr="00BE4F47">
        <w:rPr>
          <w:rFonts w:ascii="Aptos" w:eastAsia="Calibri" w:hAnsi="Aptos" w:cs="Calibri"/>
          <w:color w:val="1A1A19"/>
          <w:sz w:val="20"/>
          <w:szCs w:val="20"/>
        </w:rPr>
        <w:t>Pour</w:t>
      </w:r>
    </w:p>
    <w:p w14:paraId="0D262D9F" w14:textId="77777777" w:rsidR="00F50D70" w:rsidRPr="00BE4F47" w:rsidRDefault="00F50D70" w:rsidP="008E113B">
      <w:pPr>
        <w:spacing w:line="360" w:lineRule="auto"/>
        <w:ind w:left="0"/>
        <w:jc w:val="center"/>
        <w:outlineLvl w:val="9"/>
        <w:rPr>
          <w:rFonts w:ascii="Aptos" w:hAnsi="Aptos"/>
        </w:rPr>
      </w:pPr>
    </w:p>
    <w:p w14:paraId="0CB0D500" w14:textId="77777777" w:rsidR="00F50D70" w:rsidRPr="00BE4F47" w:rsidRDefault="00137D7F" w:rsidP="008E113B">
      <w:pPr>
        <w:spacing w:line="360" w:lineRule="auto"/>
        <w:ind w:left="0"/>
        <w:jc w:val="center"/>
        <w:outlineLvl w:val="9"/>
        <w:rPr>
          <w:rFonts w:ascii="Aptos" w:hAnsi="Aptos"/>
        </w:rPr>
      </w:pPr>
      <w:r w:rsidRPr="00BE4F47">
        <w:rPr>
          <w:rFonts w:ascii="Aptos" w:eastAsia="Calibri" w:hAnsi="Aptos" w:cs="Calibri"/>
          <w:color w:val="1A1A19"/>
          <w:sz w:val="20"/>
          <w:szCs w:val="20"/>
        </w:rPr>
        <w:t>(PROMOTEUR)</w:t>
      </w:r>
    </w:p>
    <w:p w14:paraId="43829A2B" w14:textId="77777777" w:rsidR="00F50D70" w:rsidRPr="00BE4F47" w:rsidRDefault="00137D7F" w:rsidP="008E113B">
      <w:pPr>
        <w:spacing w:line="360" w:lineRule="auto"/>
        <w:ind w:left="0"/>
        <w:jc w:val="center"/>
        <w:outlineLvl w:val="9"/>
        <w:rPr>
          <w:rFonts w:ascii="Aptos" w:hAnsi="Aptos"/>
        </w:rPr>
      </w:pPr>
      <w:r w:rsidRPr="00BE4F47">
        <w:rPr>
          <w:rFonts w:ascii="Aptos" w:eastAsia="Calibri" w:hAnsi="Aptos" w:cs="Calibri"/>
          <w:color w:val="1A1A19"/>
          <w:sz w:val="20"/>
          <w:szCs w:val="20"/>
        </w:rPr>
        <w:lastRenderedPageBreak/>
        <w:t>HYDRO-QUÉBEC  (client fictif du scénario de cours)</w:t>
      </w:r>
    </w:p>
    <w:p w14:paraId="04614675" w14:textId="77777777" w:rsidR="00F50D70" w:rsidRPr="00BE4F47" w:rsidRDefault="00F50D70" w:rsidP="008E113B">
      <w:pPr>
        <w:spacing w:line="360" w:lineRule="auto"/>
        <w:ind w:left="0"/>
        <w:jc w:val="center"/>
        <w:outlineLvl w:val="9"/>
        <w:rPr>
          <w:rFonts w:ascii="Aptos" w:hAnsi="Aptos"/>
        </w:rPr>
      </w:pPr>
    </w:p>
    <w:p w14:paraId="22D89A06" w14:textId="77777777" w:rsidR="00F50D70" w:rsidRPr="00BE4F47" w:rsidRDefault="00F50D70" w:rsidP="008E113B">
      <w:pPr>
        <w:spacing w:line="360" w:lineRule="auto"/>
        <w:ind w:left="0"/>
        <w:jc w:val="center"/>
        <w:outlineLvl w:val="9"/>
        <w:rPr>
          <w:rFonts w:ascii="Aptos" w:hAnsi="Aptos"/>
        </w:rPr>
      </w:pPr>
    </w:p>
    <w:p w14:paraId="6A998F66" w14:textId="77777777" w:rsidR="00F50D70" w:rsidRPr="00BE4F47" w:rsidRDefault="00137D7F" w:rsidP="008E113B">
      <w:pPr>
        <w:spacing w:line="360" w:lineRule="auto"/>
        <w:ind w:left="0"/>
        <w:jc w:val="center"/>
        <w:outlineLvl w:val="9"/>
        <w:rPr>
          <w:rFonts w:ascii="Aptos" w:hAnsi="Aptos"/>
        </w:rPr>
      </w:pPr>
      <w:r w:rsidRPr="00BE4F47">
        <w:rPr>
          <w:rFonts w:ascii="Aptos" w:eastAsia="Calibri" w:hAnsi="Aptos" w:cs="Calibri"/>
          <w:color w:val="1A1A19"/>
          <w:sz w:val="20"/>
          <w:szCs w:val="20"/>
        </w:rPr>
        <w:t>2 octobre 2026</w:t>
      </w:r>
    </w:p>
    <w:p w14:paraId="201F373D" w14:textId="77777777" w:rsidR="00F50D70" w:rsidRPr="00BE4F47" w:rsidRDefault="00F50D70" w:rsidP="008E113B">
      <w:pPr>
        <w:spacing w:line="360" w:lineRule="auto"/>
        <w:ind w:left="0"/>
        <w:outlineLvl w:val="9"/>
        <w:rPr>
          <w:rFonts w:ascii="Aptos" w:hAnsi="Aptos"/>
        </w:rPr>
      </w:pPr>
    </w:p>
    <w:p w14:paraId="6896EA50" w14:textId="77777777" w:rsidR="00F50D70" w:rsidRPr="00BE4F47" w:rsidRDefault="00F50D70" w:rsidP="008E113B">
      <w:pPr>
        <w:spacing w:line="360" w:lineRule="auto"/>
        <w:ind w:left="0"/>
        <w:jc w:val="center"/>
        <w:outlineLvl w:val="9"/>
        <w:rPr>
          <w:rFonts w:ascii="Aptos" w:hAnsi="Aptos"/>
        </w:rPr>
      </w:pPr>
    </w:p>
    <w:p w14:paraId="00A7E006" w14:textId="77777777" w:rsidR="00F50D70" w:rsidRPr="00BE4F47" w:rsidRDefault="00F50D70" w:rsidP="008E113B">
      <w:pPr>
        <w:spacing w:line="360" w:lineRule="auto"/>
        <w:ind w:left="0"/>
        <w:jc w:val="center"/>
        <w:outlineLvl w:val="9"/>
        <w:rPr>
          <w:rFonts w:ascii="Aptos" w:hAnsi="Aptos"/>
        </w:rPr>
      </w:pPr>
    </w:p>
    <w:p w14:paraId="4349FB4E" w14:textId="77777777" w:rsidR="00F50D70" w:rsidRPr="00BE4F47" w:rsidRDefault="00F50D70" w:rsidP="008E113B">
      <w:pPr>
        <w:spacing w:line="360" w:lineRule="auto"/>
        <w:ind w:left="0"/>
        <w:jc w:val="center"/>
        <w:outlineLvl w:val="9"/>
        <w:rPr>
          <w:rFonts w:ascii="Aptos" w:hAnsi="Aptos"/>
        </w:rPr>
      </w:pPr>
    </w:p>
    <w:p w14:paraId="083AB0DD" w14:textId="77777777" w:rsidR="00F50D70" w:rsidRPr="00BE4F47" w:rsidRDefault="00F50D70" w:rsidP="008E113B">
      <w:pPr>
        <w:tabs>
          <w:tab w:val="left" w:pos="5670"/>
        </w:tabs>
        <w:spacing w:line="360" w:lineRule="auto"/>
        <w:ind w:left="0"/>
        <w:outlineLvl w:val="9"/>
        <w:rPr>
          <w:rFonts w:ascii="Aptos" w:hAnsi="Aptos"/>
        </w:rPr>
      </w:pPr>
    </w:p>
    <w:p w14:paraId="4E9FBED7" w14:textId="77777777" w:rsidR="00F50D70" w:rsidRPr="00BE4F47" w:rsidRDefault="00137D7F" w:rsidP="008E113B">
      <w:pPr>
        <w:tabs>
          <w:tab w:val="left" w:pos="5670"/>
        </w:tabs>
        <w:spacing w:line="360" w:lineRule="auto"/>
        <w:ind w:left="0"/>
        <w:outlineLvl w:val="9"/>
        <w:rPr>
          <w:rFonts w:ascii="Aptos" w:hAnsi="Aptos"/>
        </w:rPr>
      </w:pPr>
      <w:r w:rsidRPr="00BE4F47">
        <w:rPr>
          <w:rFonts w:ascii="Aptos" w:eastAsia="Calibri" w:hAnsi="Aptos" w:cs="Calibri"/>
          <w:color w:val="1A1A19"/>
          <w:sz w:val="20"/>
          <w:szCs w:val="20"/>
        </w:rPr>
        <w:t>CONSEILLER :  Martin Otis, ing.</w:t>
      </w:r>
    </w:p>
    <w:p w14:paraId="61690C8E" w14:textId="77777777" w:rsidR="00F50D70" w:rsidRPr="00BE4F47" w:rsidRDefault="00F50D70" w:rsidP="008E113B">
      <w:pPr>
        <w:tabs>
          <w:tab w:val="left" w:pos="5670"/>
        </w:tabs>
        <w:spacing w:line="360" w:lineRule="auto"/>
        <w:ind w:left="0"/>
        <w:outlineLvl w:val="9"/>
        <w:rPr>
          <w:rFonts w:ascii="Aptos" w:hAnsi="Aptos"/>
        </w:rPr>
      </w:pPr>
    </w:p>
    <w:p w14:paraId="1613843F" w14:textId="77777777" w:rsidR="00F50D70" w:rsidRPr="00BE4F47" w:rsidRDefault="00F50D70" w:rsidP="008E113B">
      <w:pPr>
        <w:tabs>
          <w:tab w:val="left" w:pos="5670"/>
        </w:tabs>
        <w:spacing w:line="360" w:lineRule="auto"/>
        <w:ind w:left="0"/>
        <w:outlineLvl w:val="9"/>
        <w:rPr>
          <w:rFonts w:ascii="Aptos" w:hAnsi="Aptos"/>
        </w:rPr>
      </w:pPr>
    </w:p>
    <w:p w14:paraId="05C52481" w14:textId="77777777" w:rsidR="00F50D70" w:rsidRPr="00BE4F47" w:rsidRDefault="00F50D70" w:rsidP="008E113B">
      <w:pPr>
        <w:spacing w:line="360" w:lineRule="auto"/>
        <w:ind w:left="0"/>
        <w:outlineLvl w:val="9"/>
        <w:rPr>
          <w:rFonts w:ascii="Aptos" w:hAnsi="Aptos"/>
        </w:rPr>
      </w:pPr>
    </w:p>
    <w:p w14:paraId="77162481" w14:textId="77777777" w:rsidR="00F50D70" w:rsidRPr="00BE4F47" w:rsidRDefault="00F50D70" w:rsidP="008E113B">
      <w:pPr>
        <w:spacing w:line="360" w:lineRule="auto"/>
        <w:outlineLvl w:val="9"/>
        <w:rPr>
          <w:rFonts w:ascii="Aptos" w:hAnsi="Aptos"/>
        </w:rPr>
      </w:pPr>
    </w:p>
    <w:p w14:paraId="2783592F" w14:textId="77777777" w:rsidR="00F50D70" w:rsidRPr="00BE4F47" w:rsidRDefault="00F50D70" w:rsidP="008E113B">
      <w:pPr>
        <w:spacing w:line="360" w:lineRule="auto"/>
        <w:outlineLvl w:val="9"/>
        <w:rPr>
          <w:rFonts w:ascii="Aptos" w:hAnsi="Aptos"/>
        </w:rPr>
      </w:pPr>
    </w:p>
    <w:p w14:paraId="75011E56" w14:textId="77777777" w:rsidR="00F50D70" w:rsidRPr="00BE4F47" w:rsidRDefault="00F50D70" w:rsidP="008E113B">
      <w:pPr>
        <w:spacing w:line="360" w:lineRule="auto"/>
        <w:outlineLvl w:val="9"/>
        <w:rPr>
          <w:rFonts w:ascii="Aptos" w:hAnsi="Aptos"/>
        </w:rPr>
      </w:pPr>
    </w:p>
    <w:p w14:paraId="46F5C746" w14:textId="77777777" w:rsidR="00F50D70" w:rsidRPr="00BE4F47" w:rsidRDefault="00F50D70" w:rsidP="008E113B">
      <w:pPr>
        <w:spacing w:line="360" w:lineRule="auto"/>
        <w:outlineLvl w:val="9"/>
        <w:rPr>
          <w:rFonts w:ascii="Aptos" w:hAnsi="Aptos"/>
        </w:rPr>
      </w:pPr>
    </w:p>
    <w:tbl>
      <w:tblPr>
        <w:tblW w:w="7020" w:type="dxa"/>
        <w:tblInd w:w="648" w:type="dxa"/>
        <w:tblLayout w:type="fixed"/>
        <w:tblLook w:val="04A0" w:firstRow="1" w:lastRow="0" w:firstColumn="1" w:lastColumn="0" w:noHBand="0" w:noVBand="1"/>
      </w:tblPr>
      <w:tblGrid>
        <w:gridCol w:w="2154"/>
        <w:gridCol w:w="4866"/>
      </w:tblGrid>
      <w:tr w:rsidR="00F50D70" w:rsidRPr="00BE4F47" w14:paraId="0AA2A24C" w14:textId="77777777">
        <w:tc>
          <w:tcPr>
            <w:tcW w:w="7020" w:type="dxa"/>
            <w:gridSpan w:val="2"/>
            <w:tcBorders>
              <w:top w:val="single" w:sz="6" w:space="0" w:color="000000"/>
              <w:left w:val="single" w:sz="6" w:space="0" w:color="000000"/>
              <w:bottom w:val="single" w:sz="4" w:space="0" w:color="000000"/>
              <w:right w:val="single" w:sz="6" w:space="0" w:color="000000"/>
            </w:tcBorders>
          </w:tcPr>
          <w:p w14:paraId="5DEA8FFC" w14:textId="77777777" w:rsidR="00F50D70" w:rsidRPr="00BE4F47" w:rsidRDefault="00137D7F" w:rsidP="008E113B">
            <w:pPr>
              <w:pStyle w:val="Enttedetableau"/>
              <w:spacing w:before="20" w:after="20"/>
              <w:rPr>
                <w:rFonts w:ascii="Aptos" w:hAnsi="Aptos"/>
              </w:rPr>
            </w:pPr>
            <w:r w:rsidRPr="00BE4F47">
              <w:rPr>
                <w:rFonts w:ascii="Aptos" w:hAnsi="Aptos" w:cs="Arial"/>
                <w:b/>
                <w:sz w:val="20"/>
              </w:rPr>
              <w:t>Approbation de la proposition de services pour diffusion</w:t>
            </w:r>
          </w:p>
        </w:tc>
      </w:tr>
      <w:tr w:rsidR="00F50D70" w:rsidRPr="00BE4F47" w14:paraId="45FF45FF" w14:textId="77777777">
        <w:tc>
          <w:tcPr>
            <w:tcW w:w="2154" w:type="dxa"/>
            <w:tcBorders>
              <w:left w:val="single" w:sz="6" w:space="0" w:color="000000"/>
            </w:tcBorders>
          </w:tcPr>
          <w:p w14:paraId="1C38F8BB" w14:textId="77777777" w:rsidR="00F50D70" w:rsidRPr="00BE4F47" w:rsidRDefault="00137D7F" w:rsidP="008E113B">
            <w:pPr>
              <w:pStyle w:val="Textedetableau"/>
              <w:spacing w:before="20" w:after="20"/>
              <w:rPr>
                <w:rFonts w:ascii="Aptos" w:hAnsi="Aptos"/>
              </w:rPr>
            </w:pPr>
            <w:r w:rsidRPr="00BE4F47">
              <w:rPr>
                <w:rFonts w:ascii="Aptos" w:hAnsi="Aptos"/>
                <w:sz w:val="20"/>
              </w:rPr>
              <w:t>Nom du conseiller</w:t>
            </w:r>
          </w:p>
        </w:tc>
        <w:tc>
          <w:tcPr>
            <w:tcW w:w="4866" w:type="dxa"/>
            <w:tcBorders>
              <w:right w:val="single" w:sz="6" w:space="0" w:color="000000"/>
            </w:tcBorders>
          </w:tcPr>
          <w:p w14:paraId="50AADD79" w14:textId="77777777" w:rsidR="00F50D70" w:rsidRPr="00BE4F47" w:rsidRDefault="00F50D70" w:rsidP="008E113B">
            <w:pPr>
              <w:pStyle w:val="Textedetableau"/>
              <w:snapToGrid w:val="0"/>
              <w:spacing w:before="20" w:after="20"/>
              <w:rPr>
                <w:rFonts w:ascii="Aptos" w:hAnsi="Aptos"/>
                <w:sz w:val="20"/>
              </w:rPr>
            </w:pPr>
          </w:p>
        </w:tc>
      </w:tr>
      <w:tr w:rsidR="00F50D70" w:rsidRPr="00BE4F47" w14:paraId="1AD1F6E8" w14:textId="77777777">
        <w:tc>
          <w:tcPr>
            <w:tcW w:w="2154" w:type="dxa"/>
            <w:tcBorders>
              <w:left w:val="single" w:sz="6" w:space="0" w:color="000000"/>
            </w:tcBorders>
          </w:tcPr>
          <w:p w14:paraId="6D2D15B6" w14:textId="77777777" w:rsidR="00F50D70" w:rsidRPr="00BE4F47" w:rsidRDefault="00137D7F" w:rsidP="008E113B">
            <w:pPr>
              <w:pStyle w:val="Textedetableau"/>
              <w:spacing w:before="20" w:after="20"/>
              <w:rPr>
                <w:rFonts w:ascii="Aptos" w:hAnsi="Aptos"/>
                <w:sz w:val="20"/>
              </w:rPr>
            </w:pPr>
            <w:r w:rsidRPr="00BE4F47">
              <w:rPr>
                <w:rFonts w:ascii="Aptos" w:hAnsi="Aptos"/>
                <w:sz w:val="20"/>
              </w:rPr>
              <w:t>Date</w:t>
            </w:r>
          </w:p>
        </w:tc>
        <w:tc>
          <w:tcPr>
            <w:tcW w:w="4866" w:type="dxa"/>
            <w:tcBorders>
              <w:right w:val="single" w:sz="6" w:space="0" w:color="000000"/>
            </w:tcBorders>
          </w:tcPr>
          <w:p w14:paraId="75A6CB4B" w14:textId="77777777" w:rsidR="00F50D70" w:rsidRPr="00BE4F47" w:rsidRDefault="00F50D70" w:rsidP="008E113B">
            <w:pPr>
              <w:pStyle w:val="Textedetableau"/>
              <w:snapToGrid w:val="0"/>
              <w:spacing w:before="20" w:after="20"/>
              <w:rPr>
                <w:rFonts w:ascii="Aptos" w:hAnsi="Aptos"/>
                <w:sz w:val="20"/>
              </w:rPr>
            </w:pPr>
          </w:p>
        </w:tc>
      </w:tr>
      <w:tr w:rsidR="00F50D70" w:rsidRPr="00BE4F47" w14:paraId="5A813CBB" w14:textId="77777777">
        <w:tc>
          <w:tcPr>
            <w:tcW w:w="2154" w:type="dxa"/>
            <w:tcBorders>
              <w:left w:val="single" w:sz="6" w:space="0" w:color="000000"/>
              <w:bottom w:val="single" w:sz="4" w:space="0" w:color="000000"/>
            </w:tcBorders>
          </w:tcPr>
          <w:p w14:paraId="03F9E319" w14:textId="77777777" w:rsidR="00F50D70" w:rsidRPr="00BE4F47" w:rsidRDefault="00137D7F" w:rsidP="008E113B">
            <w:pPr>
              <w:pStyle w:val="Textedetableau"/>
              <w:spacing w:before="20" w:after="20"/>
              <w:rPr>
                <w:rFonts w:ascii="Aptos" w:hAnsi="Aptos"/>
                <w:sz w:val="20"/>
              </w:rPr>
            </w:pPr>
            <w:r w:rsidRPr="00BE4F47">
              <w:rPr>
                <w:rFonts w:ascii="Aptos" w:hAnsi="Aptos"/>
                <w:sz w:val="20"/>
              </w:rPr>
              <w:t>Signature</w:t>
            </w:r>
          </w:p>
        </w:tc>
        <w:tc>
          <w:tcPr>
            <w:tcW w:w="4866" w:type="dxa"/>
            <w:tcBorders>
              <w:bottom w:val="single" w:sz="4" w:space="0" w:color="000000"/>
              <w:right w:val="single" w:sz="6" w:space="0" w:color="000000"/>
            </w:tcBorders>
          </w:tcPr>
          <w:p w14:paraId="2489EE21" w14:textId="77777777" w:rsidR="00F50D70" w:rsidRPr="00BE4F47" w:rsidRDefault="00F50D70" w:rsidP="008E113B">
            <w:pPr>
              <w:pStyle w:val="Textedetableau"/>
              <w:snapToGrid w:val="0"/>
              <w:spacing w:before="20" w:after="20"/>
              <w:rPr>
                <w:rFonts w:ascii="Aptos" w:hAnsi="Aptos"/>
                <w:sz w:val="20"/>
              </w:rPr>
            </w:pPr>
          </w:p>
        </w:tc>
      </w:tr>
    </w:tbl>
    <w:p w14:paraId="2B03BC7C" w14:textId="77777777" w:rsidR="00F50D70" w:rsidRPr="00BE4F47" w:rsidRDefault="00F50D70" w:rsidP="008E113B">
      <w:pPr>
        <w:spacing w:line="360" w:lineRule="auto"/>
        <w:outlineLvl w:val="9"/>
        <w:rPr>
          <w:rFonts w:ascii="Aptos" w:hAnsi="Aptos"/>
        </w:rPr>
      </w:pPr>
    </w:p>
    <w:p w14:paraId="49629FC3" w14:textId="77777777" w:rsidR="00F50D70" w:rsidRPr="00BE4F47" w:rsidRDefault="00F50D70" w:rsidP="008E113B">
      <w:pPr>
        <w:spacing w:line="360" w:lineRule="auto"/>
        <w:ind w:left="0"/>
        <w:outlineLvl w:val="9"/>
        <w:rPr>
          <w:rFonts w:ascii="Aptos" w:hAnsi="Aptos"/>
        </w:rPr>
      </w:pPr>
    </w:p>
    <w:p w14:paraId="6797D6F3" w14:textId="77777777" w:rsidR="00F50D70" w:rsidRPr="00BE4F47" w:rsidRDefault="00F50D70" w:rsidP="008E113B">
      <w:pPr>
        <w:spacing w:line="360" w:lineRule="auto"/>
        <w:ind w:left="0"/>
        <w:outlineLvl w:val="9"/>
        <w:rPr>
          <w:rFonts w:ascii="Aptos" w:eastAsia="DengXian Light" w:hAnsi="Aptos"/>
          <w:b/>
          <w:bCs/>
          <w:color w:val="2F5496"/>
          <w:sz w:val="32"/>
          <w:szCs w:val="32"/>
          <w:lang w:eastAsia="en-US"/>
        </w:rPr>
      </w:pPr>
    </w:p>
    <w:p w14:paraId="471E23AF" w14:textId="77777777" w:rsidR="00F50D70" w:rsidRPr="00BE4F47" w:rsidRDefault="00137D7F" w:rsidP="008E113B">
      <w:pPr>
        <w:spacing w:line="360" w:lineRule="auto"/>
        <w:ind w:left="0"/>
        <w:outlineLvl w:val="9"/>
        <w:rPr>
          <w:rFonts w:ascii="Aptos" w:eastAsia="DengXian Light" w:hAnsi="Aptos"/>
          <w:bCs/>
          <w:color w:val="2F5496"/>
          <w:sz w:val="32"/>
          <w:szCs w:val="32"/>
          <w:lang w:eastAsia="en-US"/>
        </w:rPr>
      </w:pPr>
      <w:r w:rsidRPr="00BE4F47">
        <w:rPr>
          <w:rFonts w:ascii="Aptos" w:eastAsia="Calibri" w:hAnsi="Aptos" w:cs="Calibri"/>
          <w:bCs/>
          <w:color w:val="1A1A19"/>
          <w:sz w:val="20"/>
          <w:szCs w:val="20"/>
          <w:lang w:eastAsia="en-US"/>
        </w:rPr>
        <w:t>Historique des révisions</w:t>
      </w:r>
    </w:p>
    <w:tbl>
      <w:tblPr>
        <w:tblW w:w="9054" w:type="dxa"/>
        <w:tblLayout w:type="fixed"/>
        <w:tblLook w:val="04A0" w:firstRow="1" w:lastRow="0" w:firstColumn="1" w:lastColumn="0" w:noHBand="0" w:noVBand="1"/>
      </w:tblPr>
      <w:tblGrid>
        <w:gridCol w:w="2250"/>
        <w:gridCol w:w="2263"/>
        <w:gridCol w:w="2282"/>
        <w:gridCol w:w="2259"/>
      </w:tblGrid>
      <w:tr w:rsidR="00F50D70" w:rsidRPr="00BE4F47" w14:paraId="7F0B08DC" w14:textId="77777777">
        <w:tc>
          <w:tcPr>
            <w:tcW w:w="2126" w:type="dxa"/>
            <w:tcBorders>
              <w:top w:val="single" w:sz="4" w:space="0" w:color="000000"/>
              <w:left w:val="single" w:sz="4" w:space="0" w:color="000000"/>
              <w:bottom w:val="single" w:sz="4" w:space="0" w:color="000000"/>
              <w:right w:val="single" w:sz="4" w:space="0" w:color="000000"/>
            </w:tcBorders>
            <w:shd w:val="clear" w:color="auto" w:fill="C5E0B3"/>
          </w:tcPr>
          <w:p w14:paraId="6A4BD0A1" w14:textId="77777777" w:rsidR="00F50D70" w:rsidRPr="00BE4F47" w:rsidRDefault="00137D7F" w:rsidP="008E113B">
            <w:pPr>
              <w:spacing w:before="20" w:after="20"/>
              <w:ind w:left="0"/>
              <w:jc w:val="left"/>
              <w:outlineLvl w:val="9"/>
              <w:rPr>
                <w:rFonts w:ascii="Aptos" w:eastAsia="Calibri" w:hAnsi="Aptos" w:cs="Times New Roman"/>
                <w:b/>
                <w:lang w:eastAsia="en-US"/>
              </w:rPr>
            </w:pPr>
            <w:r w:rsidRPr="00BE4F47">
              <w:rPr>
                <w:rFonts w:ascii="Aptos" w:eastAsia="Calibri" w:hAnsi="Aptos" w:cs="Times New Roman"/>
                <w:b/>
                <w:lang w:eastAsia="en-US"/>
              </w:rPr>
              <w:t>Date</w:t>
            </w:r>
          </w:p>
        </w:tc>
        <w:tc>
          <w:tcPr>
            <w:tcW w:w="2139" w:type="dxa"/>
            <w:tcBorders>
              <w:top w:val="single" w:sz="4" w:space="0" w:color="000000"/>
              <w:left w:val="single" w:sz="4" w:space="0" w:color="000000"/>
              <w:bottom w:val="single" w:sz="4" w:space="0" w:color="000000"/>
              <w:right w:val="single" w:sz="4" w:space="0" w:color="000000"/>
            </w:tcBorders>
            <w:shd w:val="clear" w:color="auto" w:fill="C5E0B3"/>
          </w:tcPr>
          <w:p w14:paraId="798FAB71" w14:textId="77777777" w:rsidR="00F50D70" w:rsidRPr="00BE4F47" w:rsidRDefault="00137D7F" w:rsidP="008E113B">
            <w:pPr>
              <w:spacing w:before="20" w:after="20"/>
              <w:ind w:left="0"/>
              <w:jc w:val="left"/>
              <w:outlineLvl w:val="9"/>
              <w:rPr>
                <w:rFonts w:ascii="Aptos" w:eastAsia="Calibri" w:hAnsi="Aptos" w:cs="Times New Roman"/>
                <w:b/>
                <w:lang w:eastAsia="en-US"/>
              </w:rPr>
            </w:pPr>
            <w:r w:rsidRPr="00BE4F47">
              <w:rPr>
                <w:rFonts w:ascii="Aptos" w:eastAsia="Calibri" w:hAnsi="Aptos" w:cs="Times New Roman"/>
                <w:b/>
                <w:lang w:eastAsia="en-US"/>
              </w:rPr>
              <w:t>Version</w:t>
            </w:r>
          </w:p>
        </w:tc>
        <w:tc>
          <w:tcPr>
            <w:tcW w:w="2157" w:type="dxa"/>
            <w:tcBorders>
              <w:top w:val="single" w:sz="4" w:space="0" w:color="000000"/>
              <w:left w:val="single" w:sz="4" w:space="0" w:color="000000"/>
              <w:bottom w:val="single" w:sz="4" w:space="0" w:color="000000"/>
              <w:right w:val="single" w:sz="4" w:space="0" w:color="000000"/>
            </w:tcBorders>
            <w:shd w:val="clear" w:color="auto" w:fill="C5E0B3"/>
          </w:tcPr>
          <w:p w14:paraId="17B11107" w14:textId="77777777" w:rsidR="00F50D70" w:rsidRPr="00BE4F47" w:rsidRDefault="00137D7F" w:rsidP="008E113B">
            <w:pPr>
              <w:spacing w:before="20" w:after="20"/>
              <w:ind w:left="0"/>
              <w:jc w:val="left"/>
              <w:outlineLvl w:val="9"/>
              <w:rPr>
                <w:rFonts w:ascii="Aptos" w:eastAsia="Calibri" w:hAnsi="Aptos" w:cs="Times New Roman"/>
                <w:b/>
                <w:lang w:eastAsia="en-US"/>
              </w:rPr>
            </w:pPr>
            <w:r w:rsidRPr="00BE4F47">
              <w:rPr>
                <w:rFonts w:ascii="Aptos" w:eastAsia="Calibri" w:hAnsi="Aptos" w:cs="Times New Roman"/>
                <w:b/>
                <w:lang w:eastAsia="en-US"/>
              </w:rPr>
              <w:t>Description</w:t>
            </w:r>
          </w:p>
        </w:tc>
        <w:tc>
          <w:tcPr>
            <w:tcW w:w="2135" w:type="dxa"/>
            <w:tcBorders>
              <w:top w:val="single" w:sz="4" w:space="0" w:color="000000"/>
              <w:left w:val="single" w:sz="4" w:space="0" w:color="000000"/>
              <w:bottom w:val="single" w:sz="4" w:space="0" w:color="000000"/>
              <w:right w:val="single" w:sz="4" w:space="0" w:color="000000"/>
            </w:tcBorders>
            <w:shd w:val="clear" w:color="auto" w:fill="C5E0B3"/>
          </w:tcPr>
          <w:p w14:paraId="7EE7007F" w14:textId="77777777" w:rsidR="00F50D70" w:rsidRPr="00BE4F47" w:rsidRDefault="00137D7F" w:rsidP="008E113B">
            <w:pPr>
              <w:spacing w:before="20" w:after="20"/>
              <w:ind w:left="0"/>
              <w:jc w:val="left"/>
              <w:outlineLvl w:val="9"/>
              <w:rPr>
                <w:rFonts w:ascii="Aptos" w:eastAsia="Calibri" w:hAnsi="Aptos" w:cs="Times New Roman"/>
                <w:b/>
                <w:lang w:eastAsia="en-US"/>
              </w:rPr>
            </w:pPr>
            <w:r w:rsidRPr="00BE4F47">
              <w:rPr>
                <w:rFonts w:ascii="Aptos" w:eastAsia="Calibri" w:hAnsi="Aptos" w:cs="Times New Roman"/>
                <w:b/>
                <w:lang w:eastAsia="en-US"/>
              </w:rPr>
              <w:t>Auteur</w:t>
            </w:r>
          </w:p>
        </w:tc>
      </w:tr>
      <w:tr w:rsidR="00F50D70" w:rsidRPr="00BE4F47" w14:paraId="622E64D5" w14:textId="77777777">
        <w:tc>
          <w:tcPr>
            <w:tcW w:w="2126" w:type="dxa"/>
            <w:tcBorders>
              <w:top w:val="single" w:sz="4" w:space="0" w:color="000000"/>
              <w:left w:val="single" w:sz="4" w:space="0" w:color="000000"/>
              <w:bottom w:val="single" w:sz="4" w:space="0" w:color="000000"/>
              <w:right w:val="single" w:sz="4" w:space="0" w:color="000000"/>
            </w:tcBorders>
          </w:tcPr>
          <w:p w14:paraId="655FE285" w14:textId="77777777" w:rsidR="00F50D70" w:rsidRPr="00BE4F47" w:rsidRDefault="00137D7F" w:rsidP="008E113B">
            <w:pPr>
              <w:snapToGrid w:val="0"/>
              <w:spacing w:before="20" w:after="20"/>
              <w:ind w:left="0"/>
              <w:jc w:val="left"/>
              <w:outlineLvl w:val="9"/>
              <w:rPr>
                <w:rFonts w:ascii="Aptos" w:eastAsia="Calibri" w:hAnsi="Aptos" w:cs="Times New Roman"/>
                <w:b/>
                <w:lang w:eastAsia="en-US"/>
              </w:rPr>
            </w:pPr>
            <w:r w:rsidRPr="00BE4F47">
              <w:rPr>
                <w:rFonts w:ascii="Aptos" w:eastAsia="Calibri" w:hAnsi="Aptos" w:cs="Times New Roman"/>
                <w:b/>
                <w:lang w:eastAsia="en-US"/>
              </w:rPr>
              <w:t>2 octobre 2026</w:t>
            </w:r>
          </w:p>
        </w:tc>
        <w:tc>
          <w:tcPr>
            <w:tcW w:w="2139" w:type="dxa"/>
            <w:tcBorders>
              <w:top w:val="single" w:sz="4" w:space="0" w:color="000000"/>
              <w:left w:val="single" w:sz="4" w:space="0" w:color="000000"/>
              <w:bottom w:val="single" w:sz="4" w:space="0" w:color="000000"/>
              <w:right w:val="single" w:sz="4" w:space="0" w:color="000000"/>
            </w:tcBorders>
          </w:tcPr>
          <w:p w14:paraId="2A81F93C"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1.0</w:t>
            </w:r>
          </w:p>
        </w:tc>
        <w:tc>
          <w:tcPr>
            <w:tcW w:w="2157" w:type="dxa"/>
            <w:tcBorders>
              <w:top w:val="single" w:sz="4" w:space="0" w:color="000000"/>
              <w:left w:val="single" w:sz="4" w:space="0" w:color="000000"/>
              <w:bottom w:val="single" w:sz="4" w:space="0" w:color="000000"/>
              <w:right w:val="single" w:sz="4" w:space="0" w:color="000000"/>
            </w:tcBorders>
          </w:tcPr>
          <w:p w14:paraId="5743425F"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Première version consolidée du plan de projet.</w:t>
            </w:r>
          </w:p>
        </w:tc>
        <w:tc>
          <w:tcPr>
            <w:tcW w:w="2135" w:type="dxa"/>
            <w:tcBorders>
              <w:top w:val="single" w:sz="4" w:space="0" w:color="000000"/>
              <w:left w:val="single" w:sz="4" w:space="0" w:color="000000"/>
              <w:bottom w:val="single" w:sz="4" w:space="0" w:color="000000"/>
              <w:right w:val="single" w:sz="4" w:space="0" w:color="000000"/>
            </w:tcBorders>
          </w:tcPr>
          <w:p w14:paraId="4A560C9B"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Christian Kévin Sawadogo</w:t>
            </w:r>
          </w:p>
        </w:tc>
      </w:tr>
      <w:tr w:rsidR="00F50D70" w:rsidRPr="00BE4F47" w14:paraId="08383951" w14:textId="77777777">
        <w:tc>
          <w:tcPr>
            <w:tcW w:w="2126" w:type="dxa"/>
            <w:tcBorders>
              <w:top w:val="single" w:sz="4" w:space="0" w:color="000000"/>
              <w:left w:val="single" w:sz="4" w:space="0" w:color="000000"/>
              <w:bottom w:val="single" w:sz="4" w:space="0" w:color="000000"/>
              <w:right w:val="single" w:sz="4" w:space="0" w:color="000000"/>
            </w:tcBorders>
          </w:tcPr>
          <w:p w14:paraId="28DF2702" w14:textId="77777777" w:rsidR="00F50D70" w:rsidRPr="00BE4F47" w:rsidRDefault="00137D7F" w:rsidP="008E113B">
            <w:pPr>
              <w:snapToGrid w:val="0"/>
              <w:spacing w:before="20" w:after="20"/>
              <w:ind w:left="0"/>
              <w:jc w:val="left"/>
              <w:outlineLvl w:val="9"/>
              <w:rPr>
                <w:rFonts w:ascii="Aptos" w:eastAsia="Calibri" w:hAnsi="Aptos" w:cs="Times New Roman"/>
                <w:b/>
                <w:lang w:eastAsia="en-US"/>
              </w:rPr>
            </w:pPr>
            <w:r w:rsidRPr="00BE4F47">
              <w:rPr>
                <w:rFonts w:ascii="Aptos" w:eastAsia="Calibri" w:hAnsi="Aptos" w:cs="Times New Roman"/>
                <w:b/>
                <w:lang w:eastAsia="en-US"/>
              </w:rPr>
              <w:t>[ DATE ]</w:t>
            </w:r>
          </w:p>
        </w:tc>
        <w:tc>
          <w:tcPr>
            <w:tcW w:w="2139" w:type="dxa"/>
            <w:tcBorders>
              <w:top w:val="single" w:sz="4" w:space="0" w:color="000000"/>
              <w:left w:val="single" w:sz="4" w:space="0" w:color="000000"/>
              <w:bottom w:val="single" w:sz="4" w:space="0" w:color="000000"/>
              <w:right w:val="single" w:sz="4" w:space="0" w:color="000000"/>
            </w:tcBorders>
          </w:tcPr>
          <w:p w14:paraId="13E83339"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1.1</w:t>
            </w:r>
          </w:p>
        </w:tc>
        <w:tc>
          <w:tcPr>
            <w:tcW w:w="2157" w:type="dxa"/>
            <w:tcBorders>
              <w:top w:val="single" w:sz="4" w:space="0" w:color="000000"/>
              <w:left w:val="single" w:sz="4" w:space="0" w:color="000000"/>
              <w:bottom w:val="single" w:sz="4" w:space="0" w:color="000000"/>
              <w:right w:val="single" w:sz="4" w:space="0" w:color="000000"/>
            </w:tcBorders>
          </w:tcPr>
          <w:p w14:paraId="4E01CDB9"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 DESCRIPTION DE LA RÉVISION ]</w:t>
            </w:r>
          </w:p>
        </w:tc>
        <w:tc>
          <w:tcPr>
            <w:tcW w:w="2135" w:type="dxa"/>
            <w:tcBorders>
              <w:top w:val="single" w:sz="4" w:space="0" w:color="000000"/>
              <w:left w:val="single" w:sz="4" w:space="0" w:color="000000"/>
              <w:bottom w:val="single" w:sz="4" w:space="0" w:color="000000"/>
              <w:right w:val="single" w:sz="4" w:space="0" w:color="000000"/>
            </w:tcBorders>
          </w:tcPr>
          <w:p w14:paraId="363E1F01"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 AUTEUR ]</w:t>
            </w:r>
          </w:p>
        </w:tc>
      </w:tr>
    </w:tbl>
    <w:p w14:paraId="6FFB84A2" w14:textId="77777777" w:rsidR="00F50D70" w:rsidRPr="00BE4F47" w:rsidRDefault="00F50D70" w:rsidP="008E113B">
      <w:pPr>
        <w:keepLines/>
        <w:spacing w:before="240" w:line="360" w:lineRule="auto"/>
        <w:ind w:left="0"/>
        <w:jc w:val="left"/>
        <w:outlineLvl w:val="0"/>
        <w:rPr>
          <w:rFonts w:ascii="Aptos" w:eastAsia="DengXian Light" w:hAnsi="Aptos" w:cs="Times New Roman"/>
          <w:color w:val="2F5496"/>
          <w:sz w:val="32"/>
          <w:szCs w:val="32"/>
          <w:lang w:eastAsia="en-US"/>
        </w:rPr>
      </w:pPr>
    </w:p>
    <w:p w14:paraId="1F1C1B23" w14:textId="77777777" w:rsidR="00F50D70" w:rsidRPr="00BE4F47" w:rsidRDefault="00137D7F" w:rsidP="008E113B">
      <w:pPr>
        <w:spacing w:line="360" w:lineRule="auto"/>
        <w:ind w:left="0"/>
        <w:outlineLvl w:val="9"/>
        <w:rPr>
          <w:rFonts w:ascii="Aptos" w:eastAsia="DengXian Light" w:hAnsi="Aptos"/>
          <w:bCs/>
          <w:color w:val="2F5496"/>
          <w:sz w:val="32"/>
          <w:szCs w:val="32"/>
          <w:lang w:eastAsia="en-US"/>
        </w:rPr>
      </w:pPr>
      <w:bookmarkStart w:id="0" w:name="__RefHeading___Toc240715052"/>
      <w:bookmarkEnd w:id="0"/>
      <w:r w:rsidRPr="00BE4F47">
        <w:rPr>
          <w:rFonts w:ascii="Aptos" w:eastAsia="Calibri" w:hAnsi="Aptos" w:cs="Calibri"/>
          <w:bCs/>
          <w:color w:val="1A1A19"/>
          <w:sz w:val="20"/>
          <w:szCs w:val="20"/>
          <w:lang w:eastAsia="en-US"/>
        </w:rPr>
        <w:t>Définitions</w:t>
      </w:r>
    </w:p>
    <w:tbl>
      <w:tblPr>
        <w:tblW w:w="9054" w:type="dxa"/>
        <w:tblLayout w:type="fixed"/>
        <w:tblLook w:val="04A0" w:firstRow="1" w:lastRow="0" w:firstColumn="1" w:lastColumn="0" w:noHBand="0" w:noVBand="1"/>
      </w:tblPr>
      <w:tblGrid>
        <w:gridCol w:w="2434"/>
        <w:gridCol w:w="6620"/>
      </w:tblGrid>
      <w:tr w:rsidR="00F50D70" w:rsidRPr="00BE4F47" w14:paraId="45B04663" w14:textId="77777777">
        <w:tc>
          <w:tcPr>
            <w:tcW w:w="2300" w:type="dxa"/>
            <w:tcBorders>
              <w:top w:val="single" w:sz="4" w:space="0" w:color="000000"/>
              <w:left w:val="single" w:sz="4" w:space="0" w:color="000000"/>
              <w:bottom w:val="single" w:sz="4" w:space="0" w:color="000000"/>
              <w:right w:val="single" w:sz="4" w:space="0" w:color="000000"/>
            </w:tcBorders>
            <w:shd w:val="clear" w:color="auto" w:fill="C5E0B3"/>
          </w:tcPr>
          <w:p w14:paraId="1449D0EE" w14:textId="77777777" w:rsidR="00F50D70" w:rsidRPr="00BE4F47" w:rsidRDefault="00137D7F" w:rsidP="008E113B">
            <w:pPr>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Terme</w:t>
            </w:r>
          </w:p>
        </w:tc>
        <w:tc>
          <w:tcPr>
            <w:tcW w:w="6257" w:type="dxa"/>
            <w:tcBorders>
              <w:top w:val="single" w:sz="4" w:space="0" w:color="000000"/>
              <w:left w:val="single" w:sz="4" w:space="0" w:color="000000"/>
              <w:bottom w:val="single" w:sz="4" w:space="0" w:color="000000"/>
              <w:right w:val="single" w:sz="4" w:space="0" w:color="000000"/>
            </w:tcBorders>
            <w:shd w:val="clear" w:color="auto" w:fill="C5E0B3"/>
          </w:tcPr>
          <w:p w14:paraId="6EE0EB50" w14:textId="77777777" w:rsidR="00F50D70" w:rsidRPr="00BE4F47" w:rsidRDefault="00137D7F" w:rsidP="008E113B">
            <w:pPr>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Définition</w:t>
            </w:r>
          </w:p>
        </w:tc>
      </w:tr>
      <w:tr w:rsidR="00F50D70" w:rsidRPr="00BE4F47" w14:paraId="61FB179C" w14:textId="77777777">
        <w:tc>
          <w:tcPr>
            <w:tcW w:w="2300" w:type="dxa"/>
            <w:tcBorders>
              <w:top w:val="single" w:sz="4" w:space="0" w:color="000000"/>
              <w:left w:val="single" w:sz="4" w:space="0" w:color="000000"/>
              <w:bottom w:val="single" w:sz="4" w:space="0" w:color="000000"/>
              <w:right w:val="single" w:sz="4" w:space="0" w:color="000000"/>
            </w:tcBorders>
          </w:tcPr>
          <w:p w14:paraId="16891437"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Jumeau numérique</w:t>
            </w:r>
          </w:p>
        </w:tc>
        <w:tc>
          <w:tcPr>
            <w:tcW w:w="6257" w:type="dxa"/>
            <w:tcBorders>
              <w:top w:val="single" w:sz="4" w:space="0" w:color="000000"/>
              <w:left w:val="single" w:sz="4" w:space="0" w:color="000000"/>
              <w:bottom w:val="single" w:sz="4" w:space="0" w:color="000000"/>
              <w:right w:val="single" w:sz="4" w:space="0" w:color="000000"/>
            </w:tcBorders>
          </w:tcPr>
          <w:p w14:paraId="23D94A10"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Modèle numérique d’un système réel, alimenté par les données de ce système, qui reproduit son comportement et permet de l’étudier sans agir sur lui.</w:t>
            </w:r>
          </w:p>
        </w:tc>
      </w:tr>
      <w:tr w:rsidR="00F50D70" w:rsidRPr="00BE4F47" w14:paraId="491260C4" w14:textId="77777777">
        <w:tc>
          <w:tcPr>
            <w:tcW w:w="2300" w:type="dxa"/>
            <w:tcBorders>
              <w:top w:val="single" w:sz="4" w:space="0" w:color="000000"/>
              <w:left w:val="single" w:sz="4" w:space="0" w:color="000000"/>
              <w:bottom w:val="single" w:sz="4" w:space="0" w:color="000000"/>
              <w:right w:val="single" w:sz="4" w:space="0" w:color="000000"/>
            </w:tcBorders>
          </w:tcPr>
          <w:p w14:paraId="78C5A6AB"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lastRenderedPageBreak/>
              <w:t>Boucle thermohydraulique</w:t>
            </w:r>
          </w:p>
        </w:tc>
        <w:tc>
          <w:tcPr>
            <w:tcW w:w="6257" w:type="dxa"/>
            <w:tcBorders>
              <w:top w:val="single" w:sz="4" w:space="0" w:color="000000"/>
              <w:left w:val="single" w:sz="4" w:space="0" w:color="000000"/>
              <w:bottom w:val="single" w:sz="4" w:space="0" w:color="000000"/>
              <w:right w:val="single" w:sz="4" w:space="0" w:color="000000"/>
            </w:tcBorders>
          </w:tcPr>
          <w:p w14:paraId="5197D6A5"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Circuit fermé où un fluide transporte de la chaleur. Ici, une version simplifiée d’un système de refroidissement, décrite à la section 1.</w:t>
            </w:r>
          </w:p>
        </w:tc>
      </w:tr>
      <w:tr w:rsidR="00F50D70" w:rsidRPr="00BE4F47" w14:paraId="6EE3BD0F" w14:textId="77777777">
        <w:tc>
          <w:tcPr>
            <w:tcW w:w="2300" w:type="dxa"/>
            <w:tcBorders>
              <w:top w:val="single" w:sz="4" w:space="0" w:color="000000"/>
              <w:left w:val="single" w:sz="4" w:space="0" w:color="000000"/>
              <w:bottom w:val="single" w:sz="4" w:space="0" w:color="000000"/>
              <w:right w:val="single" w:sz="4" w:space="0" w:color="000000"/>
            </w:tcBorders>
          </w:tcPr>
          <w:p w14:paraId="61171D76"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GEMMA</w:t>
            </w:r>
          </w:p>
        </w:tc>
        <w:tc>
          <w:tcPr>
            <w:tcW w:w="6257" w:type="dxa"/>
            <w:tcBorders>
              <w:top w:val="single" w:sz="4" w:space="0" w:color="000000"/>
              <w:left w:val="single" w:sz="4" w:space="0" w:color="000000"/>
              <w:bottom w:val="single" w:sz="4" w:space="0" w:color="000000"/>
              <w:right w:val="single" w:sz="4" w:space="0" w:color="000000"/>
            </w:tcBorders>
          </w:tcPr>
          <w:p w14:paraId="4ED2250A"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Guide d’étude des modes de marche et d’arrêt. Logigramme qui recense les états de fonctionnement, d’arrêt et de défaillance d’un système.</w:t>
            </w:r>
          </w:p>
        </w:tc>
      </w:tr>
      <w:tr w:rsidR="00F50D70" w:rsidRPr="00BE4F47" w14:paraId="3630838A" w14:textId="77777777">
        <w:tc>
          <w:tcPr>
            <w:tcW w:w="2300" w:type="dxa"/>
            <w:tcBorders>
              <w:top w:val="single" w:sz="4" w:space="0" w:color="000000"/>
              <w:left w:val="single" w:sz="4" w:space="0" w:color="000000"/>
              <w:bottom w:val="single" w:sz="4" w:space="0" w:color="000000"/>
              <w:right w:val="single" w:sz="4" w:space="0" w:color="000000"/>
            </w:tcBorders>
          </w:tcPr>
          <w:p w14:paraId="31D8CCC8"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Jalon</w:t>
            </w:r>
          </w:p>
        </w:tc>
        <w:tc>
          <w:tcPr>
            <w:tcW w:w="6257" w:type="dxa"/>
            <w:tcBorders>
              <w:top w:val="single" w:sz="4" w:space="0" w:color="000000"/>
              <w:left w:val="single" w:sz="4" w:space="0" w:color="000000"/>
              <w:bottom w:val="single" w:sz="4" w:space="0" w:color="000000"/>
              <w:right w:val="single" w:sz="4" w:space="0" w:color="000000"/>
            </w:tcBorders>
          </w:tcPr>
          <w:p w14:paraId="6534D086"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Point de contrôle assorti d’un livrable identifié. Il est franchi ou il ne l’est pas, sans état intermédiaire.</w:t>
            </w:r>
          </w:p>
        </w:tc>
      </w:tr>
      <w:tr w:rsidR="00F50D70" w:rsidRPr="00BE4F47" w14:paraId="288F99C9" w14:textId="77777777">
        <w:tc>
          <w:tcPr>
            <w:tcW w:w="2300" w:type="dxa"/>
            <w:tcBorders>
              <w:top w:val="single" w:sz="4" w:space="0" w:color="000000"/>
              <w:left w:val="single" w:sz="4" w:space="0" w:color="000000"/>
              <w:bottom w:val="single" w:sz="4" w:space="0" w:color="000000"/>
              <w:right w:val="single" w:sz="4" w:space="0" w:color="000000"/>
            </w:tcBorders>
          </w:tcPr>
          <w:p w14:paraId="7E331D52"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Lot de travail</w:t>
            </w:r>
          </w:p>
        </w:tc>
        <w:tc>
          <w:tcPr>
            <w:tcW w:w="6257" w:type="dxa"/>
            <w:tcBorders>
              <w:top w:val="single" w:sz="4" w:space="0" w:color="000000"/>
              <w:left w:val="single" w:sz="4" w:space="0" w:color="000000"/>
              <w:bottom w:val="single" w:sz="4" w:space="0" w:color="000000"/>
              <w:right w:val="single" w:sz="4" w:space="0" w:color="000000"/>
            </w:tcBorders>
          </w:tcPr>
          <w:p w14:paraId="09F8CAFA"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Bloc de travail délimité dans la structure de découpage, avec son effort et son responsable. Les lots du projet sont L1 à L9, définis à la section 8.</w:t>
            </w:r>
          </w:p>
        </w:tc>
      </w:tr>
      <w:tr w:rsidR="00F50D70" w:rsidRPr="00BE4F47" w14:paraId="4AE2BD95" w14:textId="77777777">
        <w:tc>
          <w:tcPr>
            <w:tcW w:w="2300" w:type="dxa"/>
            <w:tcBorders>
              <w:top w:val="single" w:sz="4" w:space="0" w:color="000000"/>
              <w:left w:val="single" w:sz="4" w:space="0" w:color="000000"/>
              <w:bottom w:val="single" w:sz="4" w:space="0" w:color="000000"/>
              <w:right w:val="single" w:sz="4" w:space="0" w:color="000000"/>
            </w:tcBorders>
          </w:tcPr>
          <w:p w14:paraId="280B7A01"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Classe d’estimation</w:t>
            </w:r>
          </w:p>
        </w:tc>
        <w:tc>
          <w:tcPr>
            <w:tcW w:w="6257" w:type="dxa"/>
            <w:tcBorders>
              <w:top w:val="single" w:sz="4" w:space="0" w:color="000000"/>
              <w:left w:val="single" w:sz="4" w:space="0" w:color="000000"/>
              <w:bottom w:val="single" w:sz="4" w:space="0" w:color="000000"/>
              <w:right w:val="single" w:sz="4" w:space="0" w:color="000000"/>
            </w:tcBorders>
          </w:tcPr>
          <w:p w14:paraId="5B5444DD"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Niveau de précision d’une estimation de coûts, selon la part du projet déjà définie au moment de l’estimer. La classe 5 est la moins précise.</w:t>
            </w:r>
          </w:p>
        </w:tc>
      </w:tr>
      <w:tr w:rsidR="00F50D70" w:rsidRPr="00BE4F47" w14:paraId="41E8979F" w14:textId="77777777">
        <w:tc>
          <w:tcPr>
            <w:tcW w:w="2300" w:type="dxa"/>
            <w:tcBorders>
              <w:top w:val="single" w:sz="4" w:space="0" w:color="000000"/>
              <w:left w:val="single" w:sz="4" w:space="0" w:color="000000"/>
              <w:bottom w:val="single" w:sz="4" w:space="0" w:color="000000"/>
              <w:right w:val="single" w:sz="4" w:space="0" w:color="000000"/>
            </w:tcBorders>
          </w:tcPr>
          <w:p w14:paraId="778FDB29"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Coût de revient</w:t>
            </w:r>
          </w:p>
        </w:tc>
        <w:tc>
          <w:tcPr>
            <w:tcW w:w="6257" w:type="dxa"/>
            <w:tcBorders>
              <w:top w:val="single" w:sz="4" w:space="0" w:color="000000"/>
              <w:left w:val="single" w:sz="4" w:space="0" w:color="000000"/>
              <w:bottom w:val="single" w:sz="4" w:space="0" w:color="000000"/>
              <w:right w:val="single" w:sz="4" w:space="0" w:color="000000"/>
            </w:tcBorders>
          </w:tcPr>
          <w:p w14:paraId="64D7B285"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Ce qu’une heure de travail coûte à l’équipe. À distinguer du prix facturé au client, qui comprend en plus la marge.</w:t>
            </w:r>
          </w:p>
        </w:tc>
      </w:tr>
      <w:tr w:rsidR="00F50D70" w:rsidRPr="00BE4F47" w14:paraId="20EB5BC4" w14:textId="77777777">
        <w:tc>
          <w:tcPr>
            <w:tcW w:w="2300" w:type="dxa"/>
            <w:tcBorders>
              <w:top w:val="single" w:sz="4" w:space="0" w:color="000000"/>
              <w:left w:val="single" w:sz="4" w:space="0" w:color="000000"/>
              <w:bottom w:val="single" w:sz="4" w:space="0" w:color="000000"/>
              <w:right w:val="single" w:sz="4" w:space="0" w:color="000000"/>
            </w:tcBorders>
          </w:tcPr>
          <w:p w14:paraId="130D798B"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Valeur acquise</w:t>
            </w:r>
          </w:p>
        </w:tc>
        <w:tc>
          <w:tcPr>
            <w:tcW w:w="6257" w:type="dxa"/>
            <w:tcBorders>
              <w:top w:val="single" w:sz="4" w:space="0" w:color="000000"/>
              <w:left w:val="single" w:sz="4" w:space="0" w:color="000000"/>
              <w:bottom w:val="single" w:sz="4" w:space="0" w:color="000000"/>
              <w:right w:val="single" w:sz="4" w:space="0" w:color="000000"/>
            </w:tcBorders>
          </w:tcPr>
          <w:p w14:paraId="06FC879E"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Valeur du travail réellement réalisé à une date donnée, exprimée en dollars, comparée à ce qui était prévu.</w:t>
            </w:r>
          </w:p>
        </w:tc>
      </w:tr>
      <w:tr w:rsidR="00F50D70" w:rsidRPr="00BE4F47" w14:paraId="0B95FB63" w14:textId="77777777">
        <w:tc>
          <w:tcPr>
            <w:tcW w:w="2300" w:type="dxa"/>
            <w:tcBorders>
              <w:top w:val="single" w:sz="4" w:space="0" w:color="000000"/>
              <w:left w:val="single" w:sz="4" w:space="0" w:color="000000"/>
              <w:bottom w:val="single" w:sz="4" w:space="0" w:color="000000"/>
              <w:right w:val="single" w:sz="4" w:space="0" w:color="000000"/>
            </w:tcBorders>
          </w:tcPr>
          <w:p w14:paraId="002C3DDB"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Exigence vérifiable</w:t>
            </w:r>
          </w:p>
        </w:tc>
        <w:tc>
          <w:tcPr>
            <w:tcW w:w="6257" w:type="dxa"/>
            <w:tcBorders>
              <w:top w:val="single" w:sz="4" w:space="0" w:color="000000"/>
              <w:left w:val="single" w:sz="4" w:space="0" w:color="000000"/>
              <w:bottom w:val="single" w:sz="4" w:space="0" w:color="000000"/>
              <w:right w:val="single" w:sz="4" w:space="0" w:color="000000"/>
            </w:tcBorders>
          </w:tcPr>
          <w:p w14:paraId="3C4DB142"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Exigence formulée de façon à ce qu’un essai ou une inspection puisse établir si elle est satisfaite ou non.</w:t>
            </w:r>
          </w:p>
        </w:tc>
      </w:tr>
    </w:tbl>
    <w:p w14:paraId="13D9AEA1" w14:textId="77777777" w:rsidR="00F50D70" w:rsidRPr="00BE4F47" w:rsidRDefault="00F50D70" w:rsidP="008E113B">
      <w:pPr>
        <w:keepLines/>
        <w:spacing w:before="240" w:line="360" w:lineRule="auto"/>
        <w:ind w:left="0"/>
        <w:jc w:val="left"/>
        <w:outlineLvl w:val="0"/>
        <w:rPr>
          <w:rFonts w:ascii="Aptos" w:eastAsia="DengXian Light" w:hAnsi="Aptos" w:cs="Times New Roman"/>
          <w:color w:val="2F5496"/>
          <w:sz w:val="32"/>
          <w:szCs w:val="32"/>
          <w:lang w:eastAsia="en-US"/>
        </w:rPr>
      </w:pPr>
    </w:p>
    <w:p w14:paraId="210D09AB" w14:textId="77777777" w:rsidR="00F50D70" w:rsidRPr="00BE4F47" w:rsidRDefault="00137D7F" w:rsidP="008E113B">
      <w:pPr>
        <w:spacing w:line="360" w:lineRule="auto"/>
        <w:ind w:left="0"/>
        <w:outlineLvl w:val="9"/>
        <w:rPr>
          <w:rFonts w:ascii="Aptos" w:eastAsia="DengXian Light" w:hAnsi="Aptos"/>
          <w:bCs/>
          <w:color w:val="2F5496"/>
          <w:sz w:val="32"/>
          <w:szCs w:val="32"/>
          <w:lang w:eastAsia="en-US"/>
        </w:rPr>
      </w:pPr>
      <w:bookmarkStart w:id="1" w:name="__RefHeading___Toc240715053"/>
      <w:bookmarkEnd w:id="1"/>
      <w:r w:rsidRPr="00BE4F47">
        <w:rPr>
          <w:rFonts w:ascii="Aptos" w:eastAsia="Calibri" w:hAnsi="Aptos" w:cs="Calibri"/>
          <w:bCs/>
          <w:color w:val="1A1A19"/>
          <w:sz w:val="20"/>
          <w:szCs w:val="20"/>
          <w:lang w:eastAsia="en-US"/>
        </w:rPr>
        <w:t>Abréviations/acronymes</w:t>
      </w:r>
    </w:p>
    <w:tbl>
      <w:tblPr>
        <w:tblW w:w="9054" w:type="dxa"/>
        <w:tblLayout w:type="fixed"/>
        <w:tblLook w:val="04A0" w:firstRow="1" w:lastRow="0" w:firstColumn="1" w:lastColumn="0" w:noHBand="0" w:noVBand="1"/>
      </w:tblPr>
      <w:tblGrid>
        <w:gridCol w:w="1812"/>
        <w:gridCol w:w="7242"/>
      </w:tblGrid>
      <w:tr w:rsidR="00F50D70" w:rsidRPr="00BE4F47" w14:paraId="689B249C" w14:textId="77777777">
        <w:tc>
          <w:tcPr>
            <w:tcW w:w="1713" w:type="dxa"/>
            <w:tcBorders>
              <w:top w:val="single" w:sz="4" w:space="0" w:color="000000"/>
              <w:left w:val="single" w:sz="4" w:space="0" w:color="000000"/>
              <w:bottom w:val="single" w:sz="4" w:space="0" w:color="000000"/>
              <w:right w:val="single" w:sz="4" w:space="0" w:color="000000"/>
            </w:tcBorders>
            <w:shd w:val="clear" w:color="auto" w:fill="C5E0B3"/>
          </w:tcPr>
          <w:p w14:paraId="0C389AEC" w14:textId="77777777" w:rsidR="00F50D70" w:rsidRPr="00BE4F47" w:rsidRDefault="00137D7F" w:rsidP="008E113B">
            <w:pPr>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Abré./Acro.</w:t>
            </w:r>
          </w:p>
        </w:tc>
        <w:tc>
          <w:tcPr>
            <w:tcW w:w="6844" w:type="dxa"/>
            <w:tcBorders>
              <w:top w:val="single" w:sz="4" w:space="0" w:color="000000"/>
              <w:left w:val="single" w:sz="4" w:space="0" w:color="000000"/>
              <w:bottom w:val="single" w:sz="4" w:space="0" w:color="000000"/>
              <w:right w:val="single" w:sz="4" w:space="0" w:color="000000"/>
            </w:tcBorders>
            <w:shd w:val="clear" w:color="auto" w:fill="C5E0B3"/>
          </w:tcPr>
          <w:p w14:paraId="729C133E" w14:textId="77777777" w:rsidR="00F50D70" w:rsidRPr="00BE4F47" w:rsidRDefault="00137D7F" w:rsidP="008E113B">
            <w:pPr>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Définition</w:t>
            </w:r>
          </w:p>
        </w:tc>
      </w:tr>
      <w:tr w:rsidR="00F50D70" w:rsidRPr="004631CD" w14:paraId="1331B0C0" w14:textId="77777777">
        <w:tc>
          <w:tcPr>
            <w:tcW w:w="1713" w:type="dxa"/>
            <w:tcBorders>
              <w:top w:val="single" w:sz="4" w:space="0" w:color="000000"/>
              <w:left w:val="single" w:sz="4" w:space="0" w:color="000000"/>
              <w:bottom w:val="single" w:sz="4" w:space="0" w:color="000000"/>
              <w:right w:val="single" w:sz="4" w:space="0" w:color="000000"/>
            </w:tcBorders>
          </w:tcPr>
          <w:p w14:paraId="22D874E0"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AACE</w:t>
            </w:r>
          </w:p>
        </w:tc>
        <w:tc>
          <w:tcPr>
            <w:tcW w:w="6844" w:type="dxa"/>
            <w:tcBorders>
              <w:top w:val="single" w:sz="4" w:space="0" w:color="000000"/>
              <w:left w:val="single" w:sz="4" w:space="0" w:color="000000"/>
              <w:bottom w:val="single" w:sz="4" w:space="0" w:color="000000"/>
              <w:right w:val="single" w:sz="4" w:space="0" w:color="000000"/>
            </w:tcBorders>
          </w:tcPr>
          <w:p w14:paraId="6508870B" w14:textId="77777777" w:rsidR="00F50D70" w:rsidRPr="00BE4F47" w:rsidRDefault="00137D7F" w:rsidP="008E113B">
            <w:pPr>
              <w:snapToGrid w:val="0"/>
              <w:spacing w:before="20" w:after="20"/>
              <w:ind w:left="0"/>
              <w:jc w:val="left"/>
              <w:outlineLvl w:val="9"/>
              <w:rPr>
                <w:rFonts w:ascii="Aptos" w:eastAsia="Calibri" w:hAnsi="Aptos" w:cs="Times New Roman"/>
                <w:lang w:val="en-CA" w:eastAsia="en-US"/>
              </w:rPr>
            </w:pPr>
            <w:r w:rsidRPr="00BE4F47">
              <w:rPr>
                <w:rFonts w:ascii="Aptos" w:eastAsia="Calibri" w:hAnsi="Aptos" w:cs="Times New Roman"/>
                <w:lang w:val="en-CA" w:eastAsia="en-US"/>
              </w:rPr>
              <w:t>Association for the Advancement of Cost Engineering</w:t>
            </w:r>
          </w:p>
        </w:tc>
      </w:tr>
      <w:tr w:rsidR="00F50D70" w:rsidRPr="00BE4F47" w14:paraId="3FF59581" w14:textId="77777777">
        <w:tc>
          <w:tcPr>
            <w:tcW w:w="1713" w:type="dxa"/>
            <w:tcBorders>
              <w:top w:val="single" w:sz="4" w:space="0" w:color="000000"/>
              <w:left w:val="single" w:sz="4" w:space="0" w:color="000000"/>
              <w:bottom w:val="single" w:sz="4" w:space="0" w:color="000000"/>
              <w:right w:val="single" w:sz="4" w:space="0" w:color="000000"/>
            </w:tcBorders>
          </w:tcPr>
          <w:p w14:paraId="2A4F51FE"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AIEA</w:t>
            </w:r>
          </w:p>
        </w:tc>
        <w:tc>
          <w:tcPr>
            <w:tcW w:w="6844" w:type="dxa"/>
            <w:tcBorders>
              <w:top w:val="single" w:sz="4" w:space="0" w:color="000000"/>
              <w:left w:val="single" w:sz="4" w:space="0" w:color="000000"/>
              <w:bottom w:val="single" w:sz="4" w:space="0" w:color="000000"/>
              <w:right w:val="single" w:sz="4" w:space="0" w:color="000000"/>
            </w:tcBorders>
          </w:tcPr>
          <w:p w14:paraId="40094DAC"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Agence internationale de l’énergie atomique</w:t>
            </w:r>
          </w:p>
        </w:tc>
      </w:tr>
      <w:tr w:rsidR="00F50D70" w:rsidRPr="004631CD" w14:paraId="10F717E2" w14:textId="77777777">
        <w:tc>
          <w:tcPr>
            <w:tcW w:w="1713" w:type="dxa"/>
            <w:tcBorders>
              <w:top w:val="single" w:sz="4" w:space="0" w:color="000000"/>
              <w:left w:val="single" w:sz="4" w:space="0" w:color="000000"/>
              <w:bottom w:val="single" w:sz="4" w:space="0" w:color="000000"/>
              <w:right w:val="single" w:sz="4" w:space="0" w:color="000000"/>
            </w:tcBorders>
          </w:tcPr>
          <w:p w14:paraId="4B753D6B"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ASME</w:t>
            </w:r>
          </w:p>
        </w:tc>
        <w:tc>
          <w:tcPr>
            <w:tcW w:w="6844" w:type="dxa"/>
            <w:tcBorders>
              <w:top w:val="single" w:sz="4" w:space="0" w:color="000000"/>
              <w:left w:val="single" w:sz="4" w:space="0" w:color="000000"/>
              <w:bottom w:val="single" w:sz="4" w:space="0" w:color="000000"/>
              <w:right w:val="single" w:sz="4" w:space="0" w:color="000000"/>
            </w:tcBorders>
          </w:tcPr>
          <w:p w14:paraId="6BC21D9E" w14:textId="77777777" w:rsidR="00F50D70" w:rsidRPr="00BE4F47" w:rsidRDefault="00137D7F" w:rsidP="008E113B">
            <w:pPr>
              <w:snapToGrid w:val="0"/>
              <w:spacing w:before="20" w:after="20"/>
              <w:ind w:left="0"/>
              <w:jc w:val="left"/>
              <w:outlineLvl w:val="9"/>
              <w:rPr>
                <w:rFonts w:ascii="Aptos" w:eastAsia="Calibri" w:hAnsi="Aptos" w:cs="Times New Roman"/>
                <w:lang w:val="en-CA" w:eastAsia="en-US"/>
              </w:rPr>
            </w:pPr>
            <w:r w:rsidRPr="00BE4F47">
              <w:rPr>
                <w:rFonts w:ascii="Aptos" w:eastAsia="Calibri" w:hAnsi="Aptos" w:cs="Times New Roman"/>
                <w:lang w:val="en-CA" w:eastAsia="en-US"/>
              </w:rPr>
              <w:t>American Society of Mechanical Engineers</w:t>
            </w:r>
          </w:p>
        </w:tc>
      </w:tr>
      <w:tr w:rsidR="00F50D70" w:rsidRPr="00BE4F47" w14:paraId="2CA5935E" w14:textId="77777777">
        <w:tc>
          <w:tcPr>
            <w:tcW w:w="1713" w:type="dxa"/>
            <w:tcBorders>
              <w:top w:val="single" w:sz="4" w:space="0" w:color="000000"/>
              <w:left w:val="single" w:sz="4" w:space="0" w:color="000000"/>
              <w:bottom w:val="single" w:sz="4" w:space="0" w:color="000000"/>
              <w:right w:val="single" w:sz="4" w:space="0" w:color="000000"/>
            </w:tcBorders>
          </w:tcPr>
          <w:p w14:paraId="725BF8B7"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CCSN</w:t>
            </w:r>
          </w:p>
        </w:tc>
        <w:tc>
          <w:tcPr>
            <w:tcW w:w="6844" w:type="dxa"/>
            <w:tcBorders>
              <w:top w:val="single" w:sz="4" w:space="0" w:color="000000"/>
              <w:left w:val="single" w:sz="4" w:space="0" w:color="000000"/>
              <w:bottom w:val="single" w:sz="4" w:space="0" w:color="000000"/>
              <w:right w:val="single" w:sz="4" w:space="0" w:color="000000"/>
            </w:tcBorders>
          </w:tcPr>
          <w:p w14:paraId="4D61667C"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Commission canadienne de sûreté nucléaire</w:t>
            </w:r>
          </w:p>
        </w:tc>
      </w:tr>
      <w:tr w:rsidR="00F50D70" w:rsidRPr="00BE4F47" w14:paraId="6F8100DC" w14:textId="77777777">
        <w:tc>
          <w:tcPr>
            <w:tcW w:w="1713" w:type="dxa"/>
            <w:tcBorders>
              <w:top w:val="single" w:sz="4" w:space="0" w:color="000000"/>
              <w:left w:val="single" w:sz="4" w:space="0" w:color="000000"/>
              <w:bottom w:val="single" w:sz="4" w:space="0" w:color="000000"/>
              <w:right w:val="single" w:sz="4" w:space="0" w:color="000000"/>
            </w:tcBorders>
          </w:tcPr>
          <w:p w14:paraId="67133B56"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CSA</w:t>
            </w:r>
          </w:p>
        </w:tc>
        <w:tc>
          <w:tcPr>
            <w:tcW w:w="6844" w:type="dxa"/>
            <w:tcBorders>
              <w:top w:val="single" w:sz="4" w:space="0" w:color="000000"/>
              <w:left w:val="single" w:sz="4" w:space="0" w:color="000000"/>
              <w:bottom w:val="single" w:sz="4" w:space="0" w:color="000000"/>
              <w:right w:val="single" w:sz="4" w:space="0" w:color="000000"/>
            </w:tcBorders>
          </w:tcPr>
          <w:p w14:paraId="67D8494D"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Groupe CSA, Association canadienne de normalisation</w:t>
            </w:r>
          </w:p>
        </w:tc>
      </w:tr>
      <w:tr w:rsidR="00F50D70" w:rsidRPr="00BE4F47" w14:paraId="7FB7B89E" w14:textId="77777777">
        <w:tc>
          <w:tcPr>
            <w:tcW w:w="1713" w:type="dxa"/>
            <w:tcBorders>
              <w:top w:val="single" w:sz="4" w:space="0" w:color="000000"/>
              <w:left w:val="single" w:sz="4" w:space="0" w:color="000000"/>
              <w:bottom w:val="single" w:sz="4" w:space="0" w:color="000000"/>
              <w:right w:val="single" w:sz="4" w:space="0" w:color="000000"/>
            </w:tcBorders>
          </w:tcPr>
          <w:p w14:paraId="430AFBB9"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EX-C</w:t>
            </w:r>
          </w:p>
        </w:tc>
        <w:tc>
          <w:tcPr>
            <w:tcW w:w="6844" w:type="dxa"/>
            <w:tcBorders>
              <w:top w:val="single" w:sz="4" w:space="0" w:color="000000"/>
              <w:left w:val="single" w:sz="4" w:space="0" w:color="000000"/>
              <w:bottom w:val="single" w:sz="4" w:space="0" w:color="000000"/>
              <w:right w:val="single" w:sz="4" w:space="0" w:color="000000"/>
            </w:tcBorders>
          </w:tcPr>
          <w:p w14:paraId="1767AF2B"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Exigence de périmètre ou de contrainte (registre de la section 1)</w:t>
            </w:r>
          </w:p>
        </w:tc>
      </w:tr>
      <w:tr w:rsidR="00F50D70" w:rsidRPr="00BE4F47" w14:paraId="5C4B6D61" w14:textId="77777777">
        <w:tc>
          <w:tcPr>
            <w:tcW w:w="1713" w:type="dxa"/>
            <w:tcBorders>
              <w:top w:val="single" w:sz="4" w:space="0" w:color="000000"/>
              <w:left w:val="single" w:sz="4" w:space="0" w:color="000000"/>
              <w:bottom w:val="single" w:sz="4" w:space="0" w:color="000000"/>
              <w:right w:val="single" w:sz="4" w:space="0" w:color="000000"/>
            </w:tcBorders>
          </w:tcPr>
          <w:p w14:paraId="463287D9"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EX-F</w:t>
            </w:r>
          </w:p>
        </w:tc>
        <w:tc>
          <w:tcPr>
            <w:tcW w:w="6844" w:type="dxa"/>
            <w:tcBorders>
              <w:top w:val="single" w:sz="4" w:space="0" w:color="000000"/>
              <w:left w:val="single" w:sz="4" w:space="0" w:color="000000"/>
              <w:bottom w:val="single" w:sz="4" w:space="0" w:color="000000"/>
              <w:right w:val="single" w:sz="4" w:space="0" w:color="000000"/>
            </w:tcBorders>
          </w:tcPr>
          <w:p w14:paraId="1B9272D1"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Exigence fonctionnelle (registre de la section 1)</w:t>
            </w:r>
          </w:p>
        </w:tc>
      </w:tr>
      <w:tr w:rsidR="00F50D70" w:rsidRPr="00BE4F47" w14:paraId="5F876B23" w14:textId="77777777">
        <w:tc>
          <w:tcPr>
            <w:tcW w:w="1713" w:type="dxa"/>
            <w:tcBorders>
              <w:top w:val="single" w:sz="4" w:space="0" w:color="000000"/>
              <w:left w:val="single" w:sz="4" w:space="0" w:color="000000"/>
              <w:bottom w:val="single" w:sz="4" w:space="0" w:color="000000"/>
              <w:right w:val="single" w:sz="4" w:space="0" w:color="000000"/>
            </w:tcBorders>
          </w:tcPr>
          <w:p w14:paraId="54AFF795"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EX-Q</w:t>
            </w:r>
          </w:p>
        </w:tc>
        <w:tc>
          <w:tcPr>
            <w:tcW w:w="6844" w:type="dxa"/>
            <w:tcBorders>
              <w:top w:val="single" w:sz="4" w:space="0" w:color="000000"/>
              <w:left w:val="single" w:sz="4" w:space="0" w:color="000000"/>
              <w:bottom w:val="single" w:sz="4" w:space="0" w:color="000000"/>
              <w:right w:val="single" w:sz="4" w:space="0" w:color="000000"/>
            </w:tcBorders>
          </w:tcPr>
          <w:p w14:paraId="7DB9E4B2"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Exigence de qualité (registre de la section 1)</w:t>
            </w:r>
          </w:p>
        </w:tc>
      </w:tr>
      <w:tr w:rsidR="00F50D70" w:rsidRPr="00BE4F47" w14:paraId="614DBF06" w14:textId="77777777">
        <w:tc>
          <w:tcPr>
            <w:tcW w:w="1713" w:type="dxa"/>
            <w:tcBorders>
              <w:top w:val="single" w:sz="4" w:space="0" w:color="000000"/>
              <w:left w:val="single" w:sz="4" w:space="0" w:color="000000"/>
              <w:bottom w:val="single" w:sz="4" w:space="0" w:color="000000"/>
              <w:right w:val="single" w:sz="4" w:space="0" w:color="000000"/>
            </w:tcBorders>
          </w:tcPr>
          <w:p w14:paraId="6925FBE6"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GEMMA</w:t>
            </w:r>
          </w:p>
        </w:tc>
        <w:tc>
          <w:tcPr>
            <w:tcW w:w="6844" w:type="dxa"/>
            <w:tcBorders>
              <w:top w:val="single" w:sz="4" w:space="0" w:color="000000"/>
              <w:left w:val="single" w:sz="4" w:space="0" w:color="000000"/>
              <w:bottom w:val="single" w:sz="4" w:space="0" w:color="000000"/>
              <w:right w:val="single" w:sz="4" w:space="0" w:color="000000"/>
            </w:tcBorders>
          </w:tcPr>
          <w:p w14:paraId="713D8CC1"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Guide d’étude des modes de marche et d’arrêt</w:t>
            </w:r>
          </w:p>
        </w:tc>
      </w:tr>
      <w:tr w:rsidR="00F50D70" w:rsidRPr="00BE4F47" w14:paraId="3D43FE15" w14:textId="77777777">
        <w:tc>
          <w:tcPr>
            <w:tcW w:w="1713" w:type="dxa"/>
            <w:tcBorders>
              <w:top w:val="single" w:sz="4" w:space="0" w:color="000000"/>
              <w:left w:val="single" w:sz="4" w:space="0" w:color="000000"/>
              <w:bottom w:val="single" w:sz="4" w:space="0" w:color="000000"/>
              <w:right w:val="single" w:sz="4" w:space="0" w:color="000000"/>
            </w:tcBorders>
          </w:tcPr>
          <w:p w14:paraId="7EA62D35"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IEC</w:t>
            </w:r>
          </w:p>
        </w:tc>
        <w:tc>
          <w:tcPr>
            <w:tcW w:w="6844" w:type="dxa"/>
            <w:tcBorders>
              <w:top w:val="single" w:sz="4" w:space="0" w:color="000000"/>
              <w:left w:val="single" w:sz="4" w:space="0" w:color="000000"/>
              <w:bottom w:val="single" w:sz="4" w:space="0" w:color="000000"/>
              <w:right w:val="single" w:sz="4" w:space="0" w:color="000000"/>
            </w:tcBorders>
          </w:tcPr>
          <w:p w14:paraId="482136E6"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International Electrotechnical Commission</w:t>
            </w:r>
          </w:p>
        </w:tc>
      </w:tr>
      <w:tr w:rsidR="00F50D70" w:rsidRPr="004631CD" w14:paraId="2E343864" w14:textId="77777777">
        <w:tc>
          <w:tcPr>
            <w:tcW w:w="1713" w:type="dxa"/>
            <w:tcBorders>
              <w:top w:val="single" w:sz="4" w:space="0" w:color="000000"/>
              <w:left w:val="single" w:sz="4" w:space="0" w:color="000000"/>
              <w:bottom w:val="single" w:sz="4" w:space="0" w:color="000000"/>
              <w:right w:val="single" w:sz="4" w:space="0" w:color="000000"/>
            </w:tcBorders>
          </w:tcPr>
          <w:p w14:paraId="74772E03"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IEEE</w:t>
            </w:r>
          </w:p>
        </w:tc>
        <w:tc>
          <w:tcPr>
            <w:tcW w:w="6844" w:type="dxa"/>
            <w:tcBorders>
              <w:top w:val="single" w:sz="4" w:space="0" w:color="000000"/>
              <w:left w:val="single" w:sz="4" w:space="0" w:color="000000"/>
              <w:bottom w:val="single" w:sz="4" w:space="0" w:color="000000"/>
              <w:right w:val="single" w:sz="4" w:space="0" w:color="000000"/>
            </w:tcBorders>
          </w:tcPr>
          <w:p w14:paraId="1B2D26BF" w14:textId="77777777" w:rsidR="00F50D70" w:rsidRPr="00BE4F47" w:rsidRDefault="00137D7F" w:rsidP="008E113B">
            <w:pPr>
              <w:snapToGrid w:val="0"/>
              <w:spacing w:before="20" w:after="20"/>
              <w:ind w:left="0"/>
              <w:jc w:val="left"/>
              <w:outlineLvl w:val="9"/>
              <w:rPr>
                <w:rFonts w:ascii="Aptos" w:eastAsia="Calibri" w:hAnsi="Aptos" w:cs="Times New Roman"/>
                <w:lang w:val="en-CA" w:eastAsia="en-US"/>
              </w:rPr>
            </w:pPr>
            <w:r w:rsidRPr="00BE4F47">
              <w:rPr>
                <w:rFonts w:ascii="Aptos" w:eastAsia="Calibri" w:hAnsi="Aptos" w:cs="Times New Roman"/>
                <w:lang w:val="en-CA" w:eastAsia="en-US"/>
              </w:rPr>
              <w:t>Institute of Electrical and Electronics Engineers</w:t>
            </w:r>
          </w:p>
        </w:tc>
      </w:tr>
      <w:tr w:rsidR="00F50D70" w:rsidRPr="00BE4F47" w14:paraId="749FE795" w14:textId="77777777">
        <w:tc>
          <w:tcPr>
            <w:tcW w:w="1713" w:type="dxa"/>
            <w:tcBorders>
              <w:top w:val="single" w:sz="4" w:space="0" w:color="000000"/>
              <w:left w:val="single" w:sz="4" w:space="0" w:color="000000"/>
              <w:bottom w:val="single" w:sz="4" w:space="0" w:color="000000"/>
              <w:right w:val="single" w:sz="4" w:space="0" w:color="000000"/>
            </w:tcBorders>
          </w:tcPr>
          <w:p w14:paraId="2464275A"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IHM</w:t>
            </w:r>
          </w:p>
        </w:tc>
        <w:tc>
          <w:tcPr>
            <w:tcW w:w="6844" w:type="dxa"/>
            <w:tcBorders>
              <w:top w:val="single" w:sz="4" w:space="0" w:color="000000"/>
              <w:left w:val="single" w:sz="4" w:space="0" w:color="000000"/>
              <w:bottom w:val="single" w:sz="4" w:space="0" w:color="000000"/>
              <w:right w:val="single" w:sz="4" w:space="0" w:color="000000"/>
            </w:tcBorders>
          </w:tcPr>
          <w:p w14:paraId="31466510"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Interface homme-machine</w:t>
            </w:r>
          </w:p>
        </w:tc>
      </w:tr>
      <w:tr w:rsidR="00F50D70" w:rsidRPr="00BE4F47" w14:paraId="2FE55E33" w14:textId="77777777">
        <w:tc>
          <w:tcPr>
            <w:tcW w:w="1713" w:type="dxa"/>
            <w:tcBorders>
              <w:top w:val="single" w:sz="4" w:space="0" w:color="000000"/>
              <w:left w:val="single" w:sz="4" w:space="0" w:color="000000"/>
              <w:bottom w:val="single" w:sz="4" w:space="0" w:color="000000"/>
              <w:right w:val="single" w:sz="4" w:space="0" w:color="000000"/>
            </w:tcBorders>
          </w:tcPr>
          <w:p w14:paraId="358437FD"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ISO</w:t>
            </w:r>
          </w:p>
        </w:tc>
        <w:tc>
          <w:tcPr>
            <w:tcW w:w="6844" w:type="dxa"/>
            <w:tcBorders>
              <w:top w:val="single" w:sz="4" w:space="0" w:color="000000"/>
              <w:left w:val="single" w:sz="4" w:space="0" w:color="000000"/>
              <w:bottom w:val="single" w:sz="4" w:space="0" w:color="000000"/>
              <w:right w:val="single" w:sz="4" w:space="0" w:color="000000"/>
            </w:tcBorders>
          </w:tcPr>
          <w:p w14:paraId="2C64BE4D"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Organisation internationale de normalisation</w:t>
            </w:r>
          </w:p>
        </w:tc>
      </w:tr>
      <w:tr w:rsidR="00F50D70" w:rsidRPr="00BE4F47" w14:paraId="778E3D3B" w14:textId="77777777">
        <w:tc>
          <w:tcPr>
            <w:tcW w:w="1713" w:type="dxa"/>
            <w:tcBorders>
              <w:top w:val="single" w:sz="4" w:space="0" w:color="000000"/>
              <w:left w:val="single" w:sz="4" w:space="0" w:color="000000"/>
              <w:bottom w:val="single" w:sz="4" w:space="0" w:color="000000"/>
              <w:right w:val="single" w:sz="4" w:space="0" w:color="000000"/>
            </w:tcBorders>
          </w:tcPr>
          <w:p w14:paraId="0D5B9649"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LFS</w:t>
            </w:r>
          </w:p>
        </w:tc>
        <w:tc>
          <w:tcPr>
            <w:tcW w:w="6844" w:type="dxa"/>
            <w:tcBorders>
              <w:top w:val="single" w:sz="4" w:space="0" w:color="000000"/>
              <w:left w:val="single" w:sz="4" w:space="0" w:color="000000"/>
              <w:bottom w:val="single" w:sz="4" w:space="0" w:color="000000"/>
              <w:right w:val="single" w:sz="4" w:space="0" w:color="000000"/>
            </w:tcBorders>
          </w:tcPr>
          <w:p w14:paraId="0DA11423"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Large File Storage, extension de Git pour les fichiers volumineux</w:t>
            </w:r>
          </w:p>
        </w:tc>
      </w:tr>
      <w:tr w:rsidR="00F50D70" w:rsidRPr="00BE4F47" w14:paraId="1D1AEAD7" w14:textId="77777777">
        <w:tc>
          <w:tcPr>
            <w:tcW w:w="1713" w:type="dxa"/>
            <w:tcBorders>
              <w:top w:val="single" w:sz="4" w:space="0" w:color="000000"/>
              <w:left w:val="single" w:sz="4" w:space="0" w:color="000000"/>
              <w:bottom w:val="single" w:sz="4" w:space="0" w:color="000000"/>
              <w:right w:val="single" w:sz="4" w:space="0" w:color="000000"/>
            </w:tcBorders>
          </w:tcPr>
          <w:p w14:paraId="1569B128"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NRC</w:t>
            </w:r>
          </w:p>
        </w:tc>
        <w:tc>
          <w:tcPr>
            <w:tcW w:w="6844" w:type="dxa"/>
            <w:tcBorders>
              <w:top w:val="single" w:sz="4" w:space="0" w:color="000000"/>
              <w:left w:val="single" w:sz="4" w:space="0" w:color="000000"/>
              <w:bottom w:val="single" w:sz="4" w:space="0" w:color="000000"/>
              <w:right w:val="single" w:sz="4" w:space="0" w:color="000000"/>
            </w:tcBorders>
          </w:tcPr>
          <w:p w14:paraId="12BDF98A"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Nuclear Regulatory Commission des États-Unis</w:t>
            </w:r>
          </w:p>
        </w:tc>
      </w:tr>
      <w:tr w:rsidR="00F50D70" w:rsidRPr="00BE4F47" w14:paraId="6CCEAC9F" w14:textId="77777777">
        <w:tc>
          <w:tcPr>
            <w:tcW w:w="1713" w:type="dxa"/>
            <w:tcBorders>
              <w:top w:val="single" w:sz="4" w:space="0" w:color="000000"/>
              <w:left w:val="single" w:sz="4" w:space="0" w:color="000000"/>
              <w:bottom w:val="single" w:sz="4" w:space="0" w:color="000000"/>
              <w:right w:val="single" w:sz="4" w:space="0" w:color="000000"/>
            </w:tcBorders>
          </w:tcPr>
          <w:p w14:paraId="58FDE660"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OPC UA</w:t>
            </w:r>
          </w:p>
        </w:tc>
        <w:tc>
          <w:tcPr>
            <w:tcW w:w="6844" w:type="dxa"/>
            <w:tcBorders>
              <w:top w:val="single" w:sz="4" w:space="0" w:color="000000"/>
              <w:left w:val="single" w:sz="4" w:space="0" w:color="000000"/>
              <w:bottom w:val="single" w:sz="4" w:space="0" w:color="000000"/>
              <w:right w:val="single" w:sz="4" w:space="0" w:color="000000"/>
            </w:tcBorders>
          </w:tcPr>
          <w:p w14:paraId="1F7BD608"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OPC Unified Architecture, norme d’interopérabilité industrielle</w:t>
            </w:r>
          </w:p>
        </w:tc>
      </w:tr>
      <w:tr w:rsidR="00F50D70" w:rsidRPr="00BE4F47" w14:paraId="49D4916C" w14:textId="77777777">
        <w:tc>
          <w:tcPr>
            <w:tcW w:w="1713" w:type="dxa"/>
            <w:tcBorders>
              <w:top w:val="single" w:sz="4" w:space="0" w:color="000000"/>
              <w:left w:val="single" w:sz="4" w:space="0" w:color="000000"/>
              <w:bottom w:val="single" w:sz="4" w:space="0" w:color="000000"/>
              <w:right w:val="single" w:sz="4" w:space="0" w:color="000000"/>
            </w:tcBorders>
          </w:tcPr>
          <w:p w14:paraId="58EB5863"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RACI</w:t>
            </w:r>
          </w:p>
        </w:tc>
        <w:tc>
          <w:tcPr>
            <w:tcW w:w="6844" w:type="dxa"/>
            <w:tcBorders>
              <w:top w:val="single" w:sz="4" w:space="0" w:color="000000"/>
              <w:left w:val="single" w:sz="4" w:space="0" w:color="000000"/>
              <w:bottom w:val="single" w:sz="4" w:space="0" w:color="000000"/>
              <w:right w:val="single" w:sz="4" w:space="0" w:color="000000"/>
            </w:tcBorders>
          </w:tcPr>
          <w:p w14:paraId="57AAADA6"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Responsable, Approbateur, Consulté, Informé</w:t>
            </w:r>
          </w:p>
        </w:tc>
      </w:tr>
      <w:tr w:rsidR="00F50D70" w:rsidRPr="00BE4F47" w14:paraId="11ECCED0" w14:textId="77777777">
        <w:tc>
          <w:tcPr>
            <w:tcW w:w="1713" w:type="dxa"/>
            <w:tcBorders>
              <w:top w:val="single" w:sz="4" w:space="0" w:color="000000"/>
              <w:left w:val="single" w:sz="4" w:space="0" w:color="000000"/>
              <w:bottom w:val="single" w:sz="4" w:space="0" w:color="000000"/>
              <w:right w:val="single" w:sz="4" w:space="0" w:color="000000"/>
            </w:tcBorders>
          </w:tcPr>
          <w:p w14:paraId="7ADBA716"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RBS</w:t>
            </w:r>
          </w:p>
        </w:tc>
        <w:tc>
          <w:tcPr>
            <w:tcW w:w="6844" w:type="dxa"/>
            <w:tcBorders>
              <w:top w:val="single" w:sz="4" w:space="0" w:color="000000"/>
              <w:left w:val="single" w:sz="4" w:space="0" w:color="000000"/>
              <w:bottom w:val="single" w:sz="4" w:space="0" w:color="000000"/>
              <w:right w:val="single" w:sz="4" w:space="0" w:color="000000"/>
            </w:tcBorders>
          </w:tcPr>
          <w:p w14:paraId="57A5E270"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Structure de découpage des risques</w:t>
            </w:r>
          </w:p>
        </w:tc>
      </w:tr>
      <w:tr w:rsidR="00F50D70" w:rsidRPr="00BE4F47" w14:paraId="7F17D3B5" w14:textId="77777777">
        <w:tc>
          <w:tcPr>
            <w:tcW w:w="1713" w:type="dxa"/>
            <w:tcBorders>
              <w:top w:val="single" w:sz="4" w:space="0" w:color="000000"/>
              <w:left w:val="single" w:sz="4" w:space="0" w:color="000000"/>
              <w:bottom w:val="single" w:sz="4" w:space="0" w:color="000000"/>
              <w:right w:val="single" w:sz="4" w:space="0" w:color="000000"/>
            </w:tcBorders>
          </w:tcPr>
          <w:p w14:paraId="44C6B929"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REGDOC</w:t>
            </w:r>
          </w:p>
        </w:tc>
        <w:tc>
          <w:tcPr>
            <w:tcW w:w="6844" w:type="dxa"/>
            <w:tcBorders>
              <w:top w:val="single" w:sz="4" w:space="0" w:color="000000"/>
              <w:left w:val="single" w:sz="4" w:space="0" w:color="000000"/>
              <w:bottom w:val="single" w:sz="4" w:space="0" w:color="000000"/>
              <w:right w:val="single" w:sz="4" w:space="0" w:color="000000"/>
            </w:tcBorders>
          </w:tcPr>
          <w:p w14:paraId="16BA2B32"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Document d’application de la réglementation de la CCSN</w:t>
            </w:r>
          </w:p>
        </w:tc>
      </w:tr>
      <w:tr w:rsidR="00F50D70" w:rsidRPr="00BE4F47" w14:paraId="663377D1" w14:textId="77777777">
        <w:tc>
          <w:tcPr>
            <w:tcW w:w="1713" w:type="dxa"/>
            <w:tcBorders>
              <w:top w:val="single" w:sz="4" w:space="0" w:color="000000"/>
              <w:left w:val="single" w:sz="4" w:space="0" w:color="000000"/>
              <w:bottom w:val="single" w:sz="4" w:space="0" w:color="000000"/>
              <w:right w:val="single" w:sz="4" w:space="0" w:color="000000"/>
            </w:tcBorders>
          </w:tcPr>
          <w:p w14:paraId="4FC1470C"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RLRQ</w:t>
            </w:r>
          </w:p>
        </w:tc>
        <w:tc>
          <w:tcPr>
            <w:tcW w:w="6844" w:type="dxa"/>
            <w:tcBorders>
              <w:top w:val="single" w:sz="4" w:space="0" w:color="000000"/>
              <w:left w:val="single" w:sz="4" w:space="0" w:color="000000"/>
              <w:bottom w:val="single" w:sz="4" w:space="0" w:color="000000"/>
              <w:right w:val="single" w:sz="4" w:space="0" w:color="000000"/>
            </w:tcBorders>
          </w:tcPr>
          <w:p w14:paraId="44CF77CB"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Recueil des lois et des règlements du Québec</w:t>
            </w:r>
          </w:p>
        </w:tc>
      </w:tr>
      <w:tr w:rsidR="00F50D70" w:rsidRPr="00BE4F47" w14:paraId="1B0C26FD" w14:textId="77777777">
        <w:tc>
          <w:tcPr>
            <w:tcW w:w="1713" w:type="dxa"/>
            <w:tcBorders>
              <w:top w:val="single" w:sz="4" w:space="0" w:color="000000"/>
              <w:left w:val="single" w:sz="4" w:space="0" w:color="000000"/>
              <w:bottom w:val="single" w:sz="4" w:space="0" w:color="000000"/>
              <w:right w:val="single" w:sz="4" w:space="0" w:color="000000"/>
            </w:tcBorders>
          </w:tcPr>
          <w:p w14:paraId="5021CFF2"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RP, RT</w:t>
            </w:r>
          </w:p>
        </w:tc>
        <w:tc>
          <w:tcPr>
            <w:tcW w:w="6844" w:type="dxa"/>
            <w:tcBorders>
              <w:top w:val="single" w:sz="4" w:space="0" w:color="000000"/>
              <w:left w:val="single" w:sz="4" w:space="0" w:color="000000"/>
              <w:bottom w:val="single" w:sz="4" w:space="0" w:color="000000"/>
              <w:right w:val="single" w:sz="4" w:space="0" w:color="000000"/>
            </w:tcBorders>
          </w:tcPr>
          <w:p w14:paraId="3C33673B"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Risque de projet, risque de produit (registres de la section 7)</w:t>
            </w:r>
          </w:p>
        </w:tc>
      </w:tr>
      <w:tr w:rsidR="00F50D70" w:rsidRPr="00BE4F47" w14:paraId="136546CF" w14:textId="77777777">
        <w:tc>
          <w:tcPr>
            <w:tcW w:w="1713" w:type="dxa"/>
            <w:tcBorders>
              <w:top w:val="single" w:sz="4" w:space="0" w:color="000000"/>
              <w:left w:val="single" w:sz="4" w:space="0" w:color="000000"/>
              <w:bottom w:val="single" w:sz="4" w:space="0" w:color="000000"/>
              <w:right w:val="single" w:sz="4" w:space="0" w:color="000000"/>
            </w:tcBorders>
          </w:tcPr>
          <w:p w14:paraId="5F887B4B"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SCADA</w:t>
            </w:r>
          </w:p>
        </w:tc>
        <w:tc>
          <w:tcPr>
            <w:tcW w:w="6844" w:type="dxa"/>
            <w:tcBorders>
              <w:top w:val="single" w:sz="4" w:space="0" w:color="000000"/>
              <w:left w:val="single" w:sz="4" w:space="0" w:color="000000"/>
              <w:bottom w:val="single" w:sz="4" w:space="0" w:color="000000"/>
              <w:right w:val="single" w:sz="4" w:space="0" w:color="000000"/>
            </w:tcBorders>
          </w:tcPr>
          <w:p w14:paraId="11EEDB71"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Système de télésurveillance et d’acquisition de données</w:t>
            </w:r>
          </w:p>
        </w:tc>
      </w:tr>
      <w:tr w:rsidR="00F50D70" w:rsidRPr="00BE4F47" w14:paraId="14C6A4D3" w14:textId="77777777">
        <w:tc>
          <w:tcPr>
            <w:tcW w:w="1713" w:type="dxa"/>
            <w:tcBorders>
              <w:top w:val="single" w:sz="4" w:space="0" w:color="000000"/>
              <w:left w:val="single" w:sz="4" w:space="0" w:color="000000"/>
              <w:bottom w:val="single" w:sz="4" w:space="0" w:color="000000"/>
              <w:right w:val="single" w:sz="4" w:space="0" w:color="000000"/>
            </w:tcBorders>
          </w:tcPr>
          <w:p w14:paraId="2F5A34FD"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lastRenderedPageBreak/>
              <w:t>UML</w:t>
            </w:r>
          </w:p>
        </w:tc>
        <w:tc>
          <w:tcPr>
            <w:tcW w:w="6844" w:type="dxa"/>
            <w:tcBorders>
              <w:top w:val="single" w:sz="4" w:space="0" w:color="000000"/>
              <w:left w:val="single" w:sz="4" w:space="0" w:color="000000"/>
              <w:bottom w:val="single" w:sz="4" w:space="0" w:color="000000"/>
              <w:right w:val="single" w:sz="4" w:space="0" w:color="000000"/>
            </w:tcBorders>
          </w:tcPr>
          <w:p w14:paraId="32AF93D2"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Unified Modeling Language, langage de modélisation</w:t>
            </w:r>
          </w:p>
        </w:tc>
      </w:tr>
      <w:tr w:rsidR="00F50D70" w:rsidRPr="00BE4F47" w14:paraId="5FF0012B" w14:textId="77777777">
        <w:tc>
          <w:tcPr>
            <w:tcW w:w="1713" w:type="dxa"/>
            <w:tcBorders>
              <w:top w:val="single" w:sz="4" w:space="0" w:color="000000"/>
              <w:left w:val="single" w:sz="4" w:space="0" w:color="000000"/>
              <w:bottom w:val="single" w:sz="4" w:space="0" w:color="000000"/>
              <w:right w:val="single" w:sz="4" w:space="0" w:color="000000"/>
            </w:tcBorders>
          </w:tcPr>
          <w:p w14:paraId="042FDB9E"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UQAC</w:t>
            </w:r>
          </w:p>
        </w:tc>
        <w:tc>
          <w:tcPr>
            <w:tcW w:w="6844" w:type="dxa"/>
            <w:tcBorders>
              <w:top w:val="single" w:sz="4" w:space="0" w:color="000000"/>
              <w:left w:val="single" w:sz="4" w:space="0" w:color="000000"/>
              <w:bottom w:val="single" w:sz="4" w:space="0" w:color="000000"/>
              <w:right w:val="single" w:sz="4" w:space="0" w:color="000000"/>
            </w:tcBorders>
          </w:tcPr>
          <w:p w14:paraId="3B08E96E"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Université du Québec à Chicoutimi</w:t>
            </w:r>
          </w:p>
        </w:tc>
      </w:tr>
      <w:tr w:rsidR="00F50D70" w:rsidRPr="00BE4F47" w14:paraId="231ABA4C" w14:textId="77777777">
        <w:tc>
          <w:tcPr>
            <w:tcW w:w="1713" w:type="dxa"/>
            <w:tcBorders>
              <w:top w:val="single" w:sz="4" w:space="0" w:color="000000"/>
              <w:left w:val="single" w:sz="4" w:space="0" w:color="000000"/>
              <w:bottom w:val="single" w:sz="4" w:space="0" w:color="000000"/>
              <w:right w:val="single" w:sz="4" w:space="0" w:color="000000"/>
            </w:tcBorders>
          </w:tcPr>
          <w:p w14:paraId="23ADFBB6"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V&amp;V</w:t>
            </w:r>
          </w:p>
        </w:tc>
        <w:tc>
          <w:tcPr>
            <w:tcW w:w="6844" w:type="dxa"/>
            <w:tcBorders>
              <w:top w:val="single" w:sz="4" w:space="0" w:color="000000"/>
              <w:left w:val="single" w:sz="4" w:space="0" w:color="000000"/>
              <w:bottom w:val="single" w:sz="4" w:space="0" w:color="000000"/>
              <w:right w:val="single" w:sz="4" w:space="0" w:color="000000"/>
            </w:tcBorders>
          </w:tcPr>
          <w:p w14:paraId="649E2C6A" w14:textId="77777777" w:rsidR="00F50D70" w:rsidRPr="00BE4F47" w:rsidRDefault="00137D7F" w:rsidP="008E113B">
            <w:pPr>
              <w:snapToGrid w:val="0"/>
              <w:spacing w:before="20" w:after="20"/>
              <w:ind w:left="0"/>
              <w:jc w:val="left"/>
              <w:outlineLvl w:val="9"/>
              <w:rPr>
                <w:rFonts w:ascii="Aptos" w:eastAsia="Calibri" w:hAnsi="Aptos" w:cs="Times New Roman"/>
                <w:lang w:eastAsia="en-US"/>
              </w:rPr>
            </w:pPr>
            <w:r w:rsidRPr="00BE4F47">
              <w:rPr>
                <w:rFonts w:ascii="Aptos" w:eastAsia="Calibri" w:hAnsi="Aptos" w:cs="Times New Roman"/>
                <w:lang w:eastAsia="en-US"/>
              </w:rPr>
              <w:t>Vérification et validation</w:t>
            </w:r>
          </w:p>
        </w:tc>
      </w:tr>
    </w:tbl>
    <w:p w14:paraId="2CB00D6D" w14:textId="77777777" w:rsidR="00F50D70" w:rsidRDefault="00137D7F" w:rsidP="008E113B">
      <w:pPr>
        <w:spacing w:line="360" w:lineRule="auto"/>
        <w:ind w:left="0"/>
        <w:outlineLvl w:val="9"/>
        <w:rPr>
          <w:rFonts w:ascii="Aptos" w:hAnsi="Aptos"/>
        </w:rPr>
      </w:pPr>
      <w:r w:rsidRPr="00BE4F47">
        <w:rPr>
          <w:rFonts w:ascii="Aptos" w:hAnsi="Aptos"/>
        </w:rPr>
        <w:br w:type="page"/>
      </w:r>
    </w:p>
    <w:sdt>
      <w:sdtPr>
        <w:rPr>
          <w:rFonts w:ascii="Times" w:eastAsia="MS Mincho" w:hAnsi="Times" w:cs="Times"/>
          <w:color w:val="auto"/>
          <w:sz w:val="22"/>
          <w:szCs w:val="22"/>
          <w:lang w:val="fr-CA"/>
        </w:rPr>
        <w:id w:val="-2112120358"/>
        <w:docPartObj>
          <w:docPartGallery w:val="Table of Contents"/>
          <w:docPartUnique/>
        </w:docPartObj>
      </w:sdtPr>
      <w:sdtEndPr>
        <w:rPr>
          <w:b/>
          <w:bCs/>
        </w:rPr>
      </w:sdtEndPr>
      <w:sdtContent>
        <w:p w14:paraId="78FFE7D6" w14:textId="77777777" w:rsidR="006D5CA3" w:rsidRDefault="006D5CA3">
          <w:pPr>
            <w:pStyle w:val="En-ttedetabledesmatires"/>
          </w:pPr>
          <w:r>
            <w:rPr>
              <w:lang w:val="fr-CA"/>
            </w:rPr>
            <w:t>Table des matières</w:t>
          </w:r>
        </w:p>
        <w:p w14:paraId="35C60464" w14:textId="0612E76D" w:rsidR="004631CD" w:rsidRDefault="006D5CA3">
          <w:pPr>
            <w:pStyle w:val="TM4"/>
            <w:tabs>
              <w:tab w:val="right" w:leader="dot" w:pos="8828"/>
            </w:tabs>
            <w:rPr>
              <w:rFonts w:asciiTheme="minorHAnsi" w:eastAsiaTheme="minorEastAsia" w:hAnsiTheme="minorHAnsi" w:cstheme="minorBidi"/>
              <w:noProof/>
              <w:kern w:val="2"/>
              <w:sz w:val="24"/>
              <w:szCs w:val="24"/>
              <w:lang w:val="fr-FR" w:eastAsia="fr-FR"/>
              <w14:ligatures w14:val="standardContextual"/>
            </w:rPr>
          </w:pPr>
          <w:r>
            <w:fldChar w:fldCharType="begin"/>
          </w:r>
          <w:r>
            <w:instrText xml:space="preserve"> TOC \o "1-4" \h \z \u </w:instrText>
          </w:r>
          <w:r>
            <w:fldChar w:fldCharType="separate"/>
          </w:r>
          <w:hyperlink w:anchor="_Toc241669971" w:history="1">
            <w:r w:rsidR="004631CD" w:rsidRPr="009145E9">
              <w:rPr>
                <w:rStyle w:val="Hyperlien"/>
                <w:noProof/>
                <w:lang w:eastAsia="en-US"/>
              </w:rPr>
              <w:t>Résumé exécutif</w:t>
            </w:r>
            <w:r w:rsidR="004631CD">
              <w:rPr>
                <w:noProof/>
                <w:webHidden/>
              </w:rPr>
              <w:tab/>
            </w:r>
            <w:r w:rsidR="004631CD">
              <w:rPr>
                <w:noProof/>
                <w:webHidden/>
              </w:rPr>
              <w:fldChar w:fldCharType="begin"/>
            </w:r>
            <w:r w:rsidR="004631CD">
              <w:rPr>
                <w:noProof/>
                <w:webHidden/>
              </w:rPr>
              <w:instrText xml:space="preserve"> PAGEREF _Toc241669971 \h </w:instrText>
            </w:r>
            <w:r w:rsidR="004631CD">
              <w:rPr>
                <w:noProof/>
                <w:webHidden/>
              </w:rPr>
            </w:r>
            <w:r w:rsidR="004631CD">
              <w:rPr>
                <w:noProof/>
                <w:webHidden/>
              </w:rPr>
              <w:fldChar w:fldCharType="separate"/>
            </w:r>
            <w:r w:rsidR="00F355AE">
              <w:rPr>
                <w:noProof/>
                <w:webHidden/>
              </w:rPr>
              <w:t>6</w:t>
            </w:r>
            <w:r w:rsidR="004631CD">
              <w:rPr>
                <w:noProof/>
                <w:webHidden/>
              </w:rPr>
              <w:fldChar w:fldCharType="end"/>
            </w:r>
          </w:hyperlink>
        </w:p>
        <w:p w14:paraId="3081CC1C" w14:textId="2116CB5C" w:rsidR="004631CD" w:rsidRDefault="004631CD">
          <w:pPr>
            <w:pStyle w:val="TM1"/>
            <w:rPr>
              <w:rFonts w:asciiTheme="minorHAnsi" w:eastAsiaTheme="minorEastAsia" w:hAnsiTheme="minorHAnsi" w:cstheme="minorBidi"/>
              <w:noProof/>
              <w:kern w:val="2"/>
              <w:sz w:val="24"/>
              <w:szCs w:val="24"/>
              <w:lang w:val="fr-FR" w:eastAsia="fr-FR"/>
              <w14:ligatures w14:val="standardContextual"/>
            </w:rPr>
          </w:pPr>
          <w:hyperlink w:anchor="_Toc241669979" w:history="1">
            <w:r w:rsidRPr="009145E9">
              <w:rPr>
                <w:rStyle w:val="Hyperlien"/>
                <w:noProof/>
              </w:rPr>
              <w:t>1.</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rFonts w:ascii="Aptos" w:hAnsi="Aptos"/>
                <w:noProof/>
              </w:rPr>
              <w:t>Analyse des besoins du client et des exigences des différents intervenants</w:t>
            </w:r>
            <w:r>
              <w:rPr>
                <w:noProof/>
                <w:webHidden/>
              </w:rPr>
              <w:tab/>
            </w:r>
            <w:r>
              <w:rPr>
                <w:noProof/>
                <w:webHidden/>
              </w:rPr>
              <w:fldChar w:fldCharType="begin"/>
            </w:r>
            <w:r>
              <w:rPr>
                <w:noProof/>
                <w:webHidden/>
              </w:rPr>
              <w:instrText xml:space="preserve"> PAGEREF _Toc241669979 \h </w:instrText>
            </w:r>
            <w:r>
              <w:rPr>
                <w:noProof/>
                <w:webHidden/>
              </w:rPr>
            </w:r>
            <w:r>
              <w:rPr>
                <w:noProof/>
                <w:webHidden/>
              </w:rPr>
              <w:fldChar w:fldCharType="separate"/>
            </w:r>
            <w:r w:rsidR="00F355AE">
              <w:rPr>
                <w:noProof/>
                <w:webHidden/>
              </w:rPr>
              <w:t>8</w:t>
            </w:r>
            <w:r>
              <w:rPr>
                <w:noProof/>
                <w:webHidden/>
              </w:rPr>
              <w:fldChar w:fldCharType="end"/>
            </w:r>
          </w:hyperlink>
        </w:p>
        <w:p w14:paraId="160A4713" w14:textId="291F9404"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69981" w:history="1">
            <w:r w:rsidRPr="009145E9">
              <w:rPr>
                <w:rStyle w:val="Hyperlien"/>
                <w:noProof/>
              </w:rPr>
              <w:t>1.1</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Contexte et mandat</w:t>
            </w:r>
            <w:r>
              <w:rPr>
                <w:noProof/>
                <w:webHidden/>
              </w:rPr>
              <w:tab/>
            </w:r>
            <w:r>
              <w:rPr>
                <w:noProof/>
                <w:webHidden/>
              </w:rPr>
              <w:fldChar w:fldCharType="begin"/>
            </w:r>
            <w:r>
              <w:rPr>
                <w:noProof/>
                <w:webHidden/>
              </w:rPr>
              <w:instrText xml:space="preserve"> PAGEREF _Toc241669981 \h </w:instrText>
            </w:r>
            <w:r>
              <w:rPr>
                <w:noProof/>
                <w:webHidden/>
              </w:rPr>
            </w:r>
            <w:r>
              <w:rPr>
                <w:noProof/>
                <w:webHidden/>
              </w:rPr>
              <w:fldChar w:fldCharType="separate"/>
            </w:r>
            <w:r w:rsidR="00F355AE">
              <w:rPr>
                <w:noProof/>
                <w:webHidden/>
              </w:rPr>
              <w:t>8</w:t>
            </w:r>
            <w:r>
              <w:rPr>
                <w:noProof/>
                <w:webHidden/>
              </w:rPr>
              <w:fldChar w:fldCharType="end"/>
            </w:r>
          </w:hyperlink>
        </w:p>
        <w:p w14:paraId="68747D74" w14:textId="7397E6DE" w:rsidR="004631CD" w:rsidRDefault="004631CD" w:rsidP="00F355AE">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69990" w:history="1">
            <w:r w:rsidRPr="009145E9">
              <w:rPr>
                <w:rStyle w:val="Hyperlien"/>
                <w:noProof/>
              </w:rPr>
              <w:t>1.2</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Parties prenantes</w:t>
            </w:r>
            <w:r>
              <w:rPr>
                <w:noProof/>
                <w:webHidden/>
              </w:rPr>
              <w:tab/>
            </w:r>
            <w:r>
              <w:rPr>
                <w:noProof/>
                <w:webHidden/>
              </w:rPr>
              <w:fldChar w:fldCharType="begin"/>
            </w:r>
            <w:r>
              <w:rPr>
                <w:noProof/>
                <w:webHidden/>
              </w:rPr>
              <w:instrText xml:space="preserve"> PAGEREF _Toc241669990 \h </w:instrText>
            </w:r>
            <w:r>
              <w:rPr>
                <w:noProof/>
                <w:webHidden/>
              </w:rPr>
            </w:r>
            <w:r>
              <w:rPr>
                <w:noProof/>
                <w:webHidden/>
              </w:rPr>
              <w:fldChar w:fldCharType="separate"/>
            </w:r>
            <w:r w:rsidR="00F355AE">
              <w:rPr>
                <w:noProof/>
                <w:webHidden/>
              </w:rPr>
              <w:t>8</w:t>
            </w:r>
            <w:r>
              <w:rPr>
                <w:noProof/>
                <w:webHidden/>
              </w:rPr>
              <w:fldChar w:fldCharType="end"/>
            </w:r>
          </w:hyperlink>
        </w:p>
        <w:p w14:paraId="57FDCA85" w14:textId="58627B52"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69993" w:history="1">
            <w:r w:rsidRPr="009145E9">
              <w:rPr>
                <w:rStyle w:val="Hyperlien"/>
                <w:noProof/>
              </w:rPr>
              <w:t>1.3</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Besoins et douleurs</w:t>
            </w:r>
            <w:r>
              <w:rPr>
                <w:noProof/>
                <w:webHidden/>
              </w:rPr>
              <w:tab/>
            </w:r>
            <w:r>
              <w:rPr>
                <w:noProof/>
                <w:webHidden/>
              </w:rPr>
              <w:fldChar w:fldCharType="begin"/>
            </w:r>
            <w:r>
              <w:rPr>
                <w:noProof/>
                <w:webHidden/>
              </w:rPr>
              <w:instrText xml:space="preserve"> PAGEREF _Toc241669993 \h </w:instrText>
            </w:r>
            <w:r>
              <w:rPr>
                <w:noProof/>
                <w:webHidden/>
              </w:rPr>
            </w:r>
            <w:r>
              <w:rPr>
                <w:noProof/>
                <w:webHidden/>
              </w:rPr>
              <w:fldChar w:fldCharType="separate"/>
            </w:r>
            <w:r w:rsidR="00F355AE">
              <w:rPr>
                <w:noProof/>
                <w:webHidden/>
              </w:rPr>
              <w:t>9</w:t>
            </w:r>
            <w:r>
              <w:rPr>
                <w:noProof/>
                <w:webHidden/>
              </w:rPr>
              <w:fldChar w:fldCharType="end"/>
            </w:r>
          </w:hyperlink>
        </w:p>
        <w:p w14:paraId="34C703EF" w14:textId="0ED94DCF"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006" w:history="1">
            <w:r w:rsidRPr="009145E9">
              <w:rPr>
                <w:rStyle w:val="Hyperlien"/>
                <w:noProof/>
              </w:rPr>
              <w:t>1.4</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Modes de fonctionnement et analyse fonctionnelle</w:t>
            </w:r>
            <w:r>
              <w:rPr>
                <w:noProof/>
                <w:webHidden/>
              </w:rPr>
              <w:tab/>
            </w:r>
            <w:r>
              <w:rPr>
                <w:noProof/>
                <w:webHidden/>
              </w:rPr>
              <w:fldChar w:fldCharType="begin"/>
            </w:r>
            <w:r>
              <w:rPr>
                <w:noProof/>
                <w:webHidden/>
              </w:rPr>
              <w:instrText xml:space="preserve"> PAGEREF _Toc241670006 \h </w:instrText>
            </w:r>
            <w:r>
              <w:rPr>
                <w:noProof/>
                <w:webHidden/>
              </w:rPr>
            </w:r>
            <w:r>
              <w:rPr>
                <w:noProof/>
                <w:webHidden/>
              </w:rPr>
              <w:fldChar w:fldCharType="separate"/>
            </w:r>
            <w:r w:rsidR="00F355AE">
              <w:rPr>
                <w:noProof/>
                <w:webHidden/>
              </w:rPr>
              <w:t>11</w:t>
            </w:r>
            <w:r>
              <w:rPr>
                <w:noProof/>
                <w:webHidden/>
              </w:rPr>
              <w:fldChar w:fldCharType="end"/>
            </w:r>
          </w:hyperlink>
        </w:p>
        <w:p w14:paraId="51AB595B" w14:textId="012DE742"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018" w:history="1">
            <w:r w:rsidRPr="009145E9">
              <w:rPr>
                <w:rStyle w:val="Hyperlien"/>
                <w:noProof/>
              </w:rPr>
              <w:t>1.5</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Périmètre inclus/exclus</w:t>
            </w:r>
            <w:r>
              <w:rPr>
                <w:noProof/>
                <w:webHidden/>
              </w:rPr>
              <w:tab/>
            </w:r>
            <w:r>
              <w:rPr>
                <w:noProof/>
                <w:webHidden/>
              </w:rPr>
              <w:fldChar w:fldCharType="begin"/>
            </w:r>
            <w:r>
              <w:rPr>
                <w:noProof/>
                <w:webHidden/>
              </w:rPr>
              <w:instrText xml:space="preserve"> PAGEREF _Toc241670018 \h </w:instrText>
            </w:r>
            <w:r>
              <w:rPr>
                <w:noProof/>
                <w:webHidden/>
              </w:rPr>
            </w:r>
            <w:r>
              <w:rPr>
                <w:noProof/>
                <w:webHidden/>
              </w:rPr>
              <w:fldChar w:fldCharType="separate"/>
            </w:r>
            <w:r w:rsidR="00F355AE">
              <w:rPr>
                <w:noProof/>
                <w:webHidden/>
              </w:rPr>
              <w:t>13</w:t>
            </w:r>
            <w:r>
              <w:rPr>
                <w:noProof/>
                <w:webHidden/>
              </w:rPr>
              <w:fldChar w:fldCharType="end"/>
            </w:r>
          </w:hyperlink>
        </w:p>
        <w:p w14:paraId="1C272044" w14:textId="731F32AB"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021" w:history="1">
            <w:r w:rsidRPr="009145E9">
              <w:rPr>
                <w:rStyle w:val="Hyperlien"/>
                <w:noProof/>
              </w:rPr>
              <w:t>1.6</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Hypothèses</w:t>
            </w:r>
            <w:r>
              <w:rPr>
                <w:noProof/>
                <w:webHidden/>
              </w:rPr>
              <w:tab/>
            </w:r>
            <w:r>
              <w:rPr>
                <w:noProof/>
                <w:webHidden/>
              </w:rPr>
              <w:fldChar w:fldCharType="begin"/>
            </w:r>
            <w:r>
              <w:rPr>
                <w:noProof/>
                <w:webHidden/>
              </w:rPr>
              <w:instrText xml:space="preserve"> PAGEREF _Toc241670021 \h </w:instrText>
            </w:r>
            <w:r>
              <w:rPr>
                <w:noProof/>
                <w:webHidden/>
              </w:rPr>
            </w:r>
            <w:r>
              <w:rPr>
                <w:noProof/>
                <w:webHidden/>
              </w:rPr>
              <w:fldChar w:fldCharType="separate"/>
            </w:r>
            <w:r w:rsidR="00F355AE">
              <w:rPr>
                <w:noProof/>
                <w:webHidden/>
              </w:rPr>
              <w:t>13</w:t>
            </w:r>
            <w:r>
              <w:rPr>
                <w:noProof/>
                <w:webHidden/>
              </w:rPr>
              <w:fldChar w:fldCharType="end"/>
            </w:r>
          </w:hyperlink>
        </w:p>
        <w:p w14:paraId="397CFD61" w14:textId="6CB9EA5D"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023" w:history="1">
            <w:r w:rsidRPr="009145E9">
              <w:rPr>
                <w:rStyle w:val="Hyperlien"/>
                <w:noProof/>
              </w:rPr>
              <w:t>1.7</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Registre des exigences</w:t>
            </w:r>
            <w:r>
              <w:rPr>
                <w:noProof/>
                <w:webHidden/>
              </w:rPr>
              <w:tab/>
            </w:r>
            <w:r>
              <w:rPr>
                <w:noProof/>
                <w:webHidden/>
              </w:rPr>
              <w:fldChar w:fldCharType="begin"/>
            </w:r>
            <w:r>
              <w:rPr>
                <w:noProof/>
                <w:webHidden/>
              </w:rPr>
              <w:instrText xml:space="preserve"> PAGEREF _Toc241670023 \h </w:instrText>
            </w:r>
            <w:r>
              <w:rPr>
                <w:noProof/>
                <w:webHidden/>
              </w:rPr>
            </w:r>
            <w:r>
              <w:rPr>
                <w:noProof/>
                <w:webHidden/>
              </w:rPr>
              <w:fldChar w:fldCharType="separate"/>
            </w:r>
            <w:r w:rsidR="00F355AE">
              <w:rPr>
                <w:noProof/>
                <w:webHidden/>
              </w:rPr>
              <w:t>14</w:t>
            </w:r>
            <w:r>
              <w:rPr>
                <w:noProof/>
                <w:webHidden/>
              </w:rPr>
              <w:fldChar w:fldCharType="end"/>
            </w:r>
          </w:hyperlink>
        </w:p>
        <w:p w14:paraId="0B113CF2" w14:textId="268CC6FA" w:rsidR="004631CD" w:rsidRDefault="004631CD">
          <w:pPr>
            <w:pStyle w:val="TM3"/>
            <w:tabs>
              <w:tab w:val="left" w:pos="1860"/>
            </w:tabs>
            <w:rPr>
              <w:rFonts w:asciiTheme="minorHAnsi" w:eastAsiaTheme="minorEastAsia" w:hAnsiTheme="minorHAnsi" w:cstheme="minorBidi"/>
              <w:noProof/>
              <w:kern w:val="2"/>
              <w:sz w:val="24"/>
              <w:szCs w:val="24"/>
              <w:lang w:val="fr-FR" w:eastAsia="fr-FR"/>
              <w14:ligatures w14:val="standardContextual"/>
            </w:rPr>
          </w:pPr>
          <w:hyperlink w:anchor="_Toc241670024" w:history="1">
            <w:r w:rsidRPr="009145E9">
              <w:rPr>
                <w:rStyle w:val="Hyperlien"/>
                <w:noProof/>
                <w:lang w:eastAsia="fr-FR"/>
              </w:rPr>
              <w:t>1.7.1</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lang w:eastAsia="fr-FR"/>
              </w:rPr>
              <w:t>Méthodes et convention de rédaction</w:t>
            </w:r>
            <w:r>
              <w:rPr>
                <w:noProof/>
                <w:webHidden/>
              </w:rPr>
              <w:tab/>
            </w:r>
            <w:r>
              <w:rPr>
                <w:noProof/>
                <w:webHidden/>
              </w:rPr>
              <w:fldChar w:fldCharType="begin"/>
            </w:r>
            <w:r>
              <w:rPr>
                <w:noProof/>
                <w:webHidden/>
              </w:rPr>
              <w:instrText xml:space="preserve"> PAGEREF _Toc241670024 \h </w:instrText>
            </w:r>
            <w:r>
              <w:rPr>
                <w:noProof/>
                <w:webHidden/>
              </w:rPr>
            </w:r>
            <w:r>
              <w:rPr>
                <w:noProof/>
                <w:webHidden/>
              </w:rPr>
              <w:fldChar w:fldCharType="separate"/>
            </w:r>
            <w:r w:rsidR="00F355AE">
              <w:rPr>
                <w:noProof/>
                <w:webHidden/>
              </w:rPr>
              <w:t>14</w:t>
            </w:r>
            <w:r>
              <w:rPr>
                <w:noProof/>
                <w:webHidden/>
              </w:rPr>
              <w:fldChar w:fldCharType="end"/>
            </w:r>
          </w:hyperlink>
        </w:p>
        <w:p w14:paraId="792B0828" w14:textId="5C98FDE4" w:rsidR="004631CD" w:rsidRDefault="004631CD">
          <w:pPr>
            <w:pStyle w:val="TM3"/>
            <w:tabs>
              <w:tab w:val="left" w:pos="1860"/>
            </w:tabs>
            <w:rPr>
              <w:rFonts w:asciiTheme="minorHAnsi" w:eastAsiaTheme="minorEastAsia" w:hAnsiTheme="minorHAnsi" w:cstheme="minorBidi"/>
              <w:noProof/>
              <w:kern w:val="2"/>
              <w:sz w:val="24"/>
              <w:szCs w:val="24"/>
              <w:lang w:val="fr-FR" w:eastAsia="fr-FR"/>
              <w14:ligatures w14:val="standardContextual"/>
            </w:rPr>
          </w:pPr>
          <w:hyperlink w:anchor="_Toc241670029" w:history="1">
            <w:r w:rsidRPr="009145E9">
              <w:rPr>
                <w:rStyle w:val="Hyperlien"/>
                <w:noProof/>
                <w:lang w:eastAsia="fr-FR"/>
              </w:rPr>
              <w:t>1.7.2</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Exigences fonctionnelles</w:t>
            </w:r>
            <w:r>
              <w:rPr>
                <w:noProof/>
                <w:webHidden/>
              </w:rPr>
              <w:tab/>
            </w:r>
            <w:r>
              <w:rPr>
                <w:noProof/>
                <w:webHidden/>
              </w:rPr>
              <w:fldChar w:fldCharType="begin"/>
            </w:r>
            <w:r>
              <w:rPr>
                <w:noProof/>
                <w:webHidden/>
              </w:rPr>
              <w:instrText xml:space="preserve"> PAGEREF _Toc241670029 \h </w:instrText>
            </w:r>
            <w:r>
              <w:rPr>
                <w:noProof/>
                <w:webHidden/>
              </w:rPr>
            </w:r>
            <w:r>
              <w:rPr>
                <w:noProof/>
                <w:webHidden/>
              </w:rPr>
              <w:fldChar w:fldCharType="separate"/>
            </w:r>
            <w:r w:rsidR="00F355AE">
              <w:rPr>
                <w:noProof/>
                <w:webHidden/>
              </w:rPr>
              <w:t>14</w:t>
            </w:r>
            <w:r>
              <w:rPr>
                <w:noProof/>
                <w:webHidden/>
              </w:rPr>
              <w:fldChar w:fldCharType="end"/>
            </w:r>
          </w:hyperlink>
        </w:p>
        <w:p w14:paraId="230FC510" w14:textId="60E87437" w:rsidR="004631CD" w:rsidRDefault="004631CD">
          <w:pPr>
            <w:pStyle w:val="TM3"/>
            <w:tabs>
              <w:tab w:val="left" w:pos="1860"/>
            </w:tabs>
            <w:rPr>
              <w:rFonts w:asciiTheme="minorHAnsi" w:eastAsiaTheme="minorEastAsia" w:hAnsiTheme="minorHAnsi" w:cstheme="minorBidi"/>
              <w:noProof/>
              <w:kern w:val="2"/>
              <w:sz w:val="24"/>
              <w:szCs w:val="24"/>
              <w:lang w:val="fr-FR" w:eastAsia="fr-FR"/>
              <w14:ligatures w14:val="standardContextual"/>
            </w:rPr>
          </w:pPr>
          <w:hyperlink w:anchor="_Toc241670031" w:history="1">
            <w:r w:rsidRPr="009145E9">
              <w:rPr>
                <w:rStyle w:val="Hyperlien"/>
                <w:noProof/>
                <w:lang w:eastAsia="fr-FR"/>
              </w:rPr>
              <w:t>1.7.3</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Exigences de qualité</w:t>
            </w:r>
            <w:r>
              <w:rPr>
                <w:noProof/>
                <w:webHidden/>
              </w:rPr>
              <w:tab/>
            </w:r>
            <w:r>
              <w:rPr>
                <w:noProof/>
                <w:webHidden/>
              </w:rPr>
              <w:fldChar w:fldCharType="begin"/>
            </w:r>
            <w:r>
              <w:rPr>
                <w:noProof/>
                <w:webHidden/>
              </w:rPr>
              <w:instrText xml:space="preserve"> PAGEREF _Toc241670031 \h </w:instrText>
            </w:r>
            <w:r>
              <w:rPr>
                <w:noProof/>
                <w:webHidden/>
              </w:rPr>
            </w:r>
            <w:r>
              <w:rPr>
                <w:noProof/>
                <w:webHidden/>
              </w:rPr>
              <w:fldChar w:fldCharType="separate"/>
            </w:r>
            <w:r w:rsidR="00F355AE">
              <w:rPr>
                <w:noProof/>
                <w:webHidden/>
              </w:rPr>
              <w:t>15</w:t>
            </w:r>
            <w:r>
              <w:rPr>
                <w:noProof/>
                <w:webHidden/>
              </w:rPr>
              <w:fldChar w:fldCharType="end"/>
            </w:r>
          </w:hyperlink>
        </w:p>
        <w:p w14:paraId="5836889B" w14:textId="56241968" w:rsidR="004631CD" w:rsidRDefault="004631CD">
          <w:pPr>
            <w:pStyle w:val="TM3"/>
            <w:tabs>
              <w:tab w:val="left" w:pos="1860"/>
            </w:tabs>
            <w:rPr>
              <w:rFonts w:asciiTheme="minorHAnsi" w:eastAsiaTheme="minorEastAsia" w:hAnsiTheme="minorHAnsi" w:cstheme="minorBidi"/>
              <w:noProof/>
              <w:kern w:val="2"/>
              <w:sz w:val="24"/>
              <w:szCs w:val="24"/>
              <w:lang w:val="fr-FR" w:eastAsia="fr-FR"/>
              <w14:ligatures w14:val="standardContextual"/>
            </w:rPr>
          </w:pPr>
          <w:hyperlink w:anchor="_Toc241670034" w:history="1">
            <w:r w:rsidRPr="009145E9">
              <w:rPr>
                <w:rStyle w:val="Hyperlien"/>
                <w:noProof/>
                <w:lang w:eastAsia="fr-FR"/>
              </w:rPr>
              <w:t>1.7.4</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Exigences de périmètre et de contrainte</w:t>
            </w:r>
            <w:r>
              <w:rPr>
                <w:noProof/>
                <w:webHidden/>
              </w:rPr>
              <w:tab/>
            </w:r>
            <w:r>
              <w:rPr>
                <w:noProof/>
                <w:webHidden/>
              </w:rPr>
              <w:fldChar w:fldCharType="begin"/>
            </w:r>
            <w:r>
              <w:rPr>
                <w:noProof/>
                <w:webHidden/>
              </w:rPr>
              <w:instrText xml:space="preserve"> PAGEREF _Toc241670034 \h </w:instrText>
            </w:r>
            <w:r>
              <w:rPr>
                <w:noProof/>
                <w:webHidden/>
              </w:rPr>
            </w:r>
            <w:r>
              <w:rPr>
                <w:noProof/>
                <w:webHidden/>
              </w:rPr>
              <w:fldChar w:fldCharType="separate"/>
            </w:r>
            <w:r w:rsidR="00F355AE">
              <w:rPr>
                <w:noProof/>
                <w:webHidden/>
              </w:rPr>
              <w:t>16</w:t>
            </w:r>
            <w:r>
              <w:rPr>
                <w:noProof/>
                <w:webHidden/>
              </w:rPr>
              <w:fldChar w:fldCharType="end"/>
            </w:r>
          </w:hyperlink>
        </w:p>
        <w:p w14:paraId="77309F1C" w14:textId="1B77E82E" w:rsidR="004631CD" w:rsidRDefault="004631CD">
          <w:pPr>
            <w:pStyle w:val="TM1"/>
            <w:rPr>
              <w:rFonts w:asciiTheme="minorHAnsi" w:eastAsiaTheme="minorEastAsia" w:hAnsiTheme="minorHAnsi" w:cstheme="minorBidi"/>
              <w:noProof/>
              <w:kern w:val="2"/>
              <w:sz w:val="24"/>
              <w:szCs w:val="24"/>
              <w:lang w:val="fr-FR" w:eastAsia="fr-FR"/>
              <w14:ligatures w14:val="standardContextual"/>
            </w:rPr>
          </w:pPr>
          <w:hyperlink w:anchor="_Toc241670037" w:history="1">
            <w:r w:rsidRPr="009145E9">
              <w:rPr>
                <w:rStyle w:val="Hyperlien"/>
                <w:noProof/>
              </w:rPr>
              <w:t>2.</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Description des livrables du projet</w:t>
            </w:r>
            <w:r>
              <w:rPr>
                <w:noProof/>
                <w:webHidden/>
              </w:rPr>
              <w:tab/>
            </w:r>
            <w:r>
              <w:rPr>
                <w:noProof/>
                <w:webHidden/>
              </w:rPr>
              <w:fldChar w:fldCharType="begin"/>
            </w:r>
            <w:r>
              <w:rPr>
                <w:noProof/>
                <w:webHidden/>
              </w:rPr>
              <w:instrText xml:space="preserve"> PAGEREF _Toc241670037 \h </w:instrText>
            </w:r>
            <w:r>
              <w:rPr>
                <w:noProof/>
                <w:webHidden/>
              </w:rPr>
            </w:r>
            <w:r>
              <w:rPr>
                <w:noProof/>
                <w:webHidden/>
              </w:rPr>
              <w:fldChar w:fldCharType="separate"/>
            </w:r>
            <w:r w:rsidR="00F355AE">
              <w:rPr>
                <w:noProof/>
                <w:webHidden/>
              </w:rPr>
              <w:t>16</w:t>
            </w:r>
            <w:r>
              <w:rPr>
                <w:noProof/>
                <w:webHidden/>
              </w:rPr>
              <w:fldChar w:fldCharType="end"/>
            </w:r>
          </w:hyperlink>
        </w:p>
        <w:p w14:paraId="16931570" w14:textId="0A885398"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039" w:history="1">
            <w:r w:rsidRPr="009145E9">
              <w:rPr>
                <w:rStyle w:val="Hyperlien"/>
                <w:noProof/>
              </w:rPr>
              <w:t>2.1</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Livrables techniques</w:t>
            </w:r>
            <w:r>
              <w:rPr>
                <w:noProof/>
                <w:webHidden/>
              </w:rPr>
              <w:tab/>
            </w:r>
            <w:r>
              <w:rPr>
                <w:noProof/>
                <w:webHidden/>
              </w:rPr>
              <w:fldChar w:fldCharType="begin"/>
            </w:r>
            <w:r>
              <w:rPr>
                <w:noProof/>
                <w:webHidden/>
              </w:rPr>
              <w:instrText xml:space="preserve"> PAGEREF _Toc241670039 \h </w:instrText>
            </w:r>
            <w:r>
              <w:rPr>
                <w:noProof/>
                <w:webHidden/>
              </w:rPr>
            </w:r>
            <w:r>
              <w:rPr>
                <w:noProof/>
                <w:webHidden/>
              </w:rPr>
              <w:fldChar w:fldCharType="separate"/>
            </w:r>
            <w:r w:rsidR="00F355AE">
              <w:rPr>
                <w:noProof/>
                <w:webHidden/>
              </w:rPr>
              <w:t>17</w:t>
            </w:r>
            <w:r>
              <w:rPr>
                <w:noProof/>
                <w:webHidden/>
              </w:rPr>
              <w:fldChar w:fldCharType="end"/>
            </w:r>
          </w:hyperlink>
        </w:p>
        <w:p w14:paraId="3FD29B88" w14:textId="1306B4DF"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044" w:history="1">
            <w:r w:rsidRPr="009145E9">
              <w:rPr>
                <w:rStyle w:val="Hyperlien"/>
                <w:noProof/>
              </w:rPr>
              <w:t>2.2</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Livrables de gestion</w:t>
            </w:r>
            <w:r>
              <w:rPr>
                <w:noProof/>
                <w:webHidden/>
              </w:rPr>
              <w:tab/>
            </w:r>
            <w:r>
              <w:rPr>
                <w:noProof/>
                <w:webHidden/>
              </w:rPr>
              <w:fldChar w:fldCharType="begin"/>
            </w:r>
            <w:r>
              <w:rPr>
                <w:noProof/>
                <w:webHidden/>
              </w:rPr>
              <w:instrText xml:space="preserve"> PAGEREF _Toc241670044 \h </w:instrText>
            </w:r>
            <w:r>
              <w:rPr>
                <w:noProof/>
                <w:webHidden/>
              </w:rPr>
            </w:r>
            <w:r>
              <w:rPr>
                <w:noProof/>
                <w:webHidden/>
              </w:rPr>
              <w:fldChar w:fldCharType="separate"/>
            </w:r>
            <w:r w:rsidR="00F355AE">
              <w:rPr>
                <w:noProof/>
                <w:webHidden/>
              </w:rPr>
              <w:t>17</w:t>
            </w:r>
            <w:r>
              <w:rPr>
                <w:noProof/>
                <w:webHidden/>
              </w:rPr>
              <w:fldChar w:fldCharType="end"/>
            </w:r>
          </w:hyperlink>
        </w:p>
        <w:p w14:paraId="02918D67" w14:textId="06081E38"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047" w:history="1">
            <w:r w:rsidRPr="009145E9">
              <w:rPr>
                <w:rStyle w:val="Hyperlien"/>
                <w:noProof/>
              </w:rPr>
              <w:t>2.3</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Tableau des livrables</w:t>
            </w:r>
            <w:r>
              <w:rPr>
                <w:noProof/>
                <w:webHidden/>
              </w:rPr>
              <w:tab/>
            </w:r>
            <w:r>
              <w:rPr>
                <w:noProof/>
                <w:webHidden/>
              </w:rPr>
              <w:fldChar w:fldCharType="begin"/>
            </w:r>
            <w:r>
              <w:rPr>
                <w:noProof/>
                <w:webHidden/>
              </w:rPr>
              <w:instrText xml:space="preserve"> PAGEREF _Toc241670047 \h </w:instrText>
            </w:r>
            <w:r>
              <w:rPr>
                <w:noProof/>
                <w:webHidden/>
              </w:rPr>
            </w:r>
            <w:r>
              <w:rPr>
                <w:noProof/>
                <w:webHidden/>
              </w:rPr>
              <w:fldChar w:fldCharType="separate"/>
            </w:r>
            <w:r w:rsidR="00F355AE">
              <w:rPr>
                <w:noProof/>
                <w:webHidden/>
              </w:rPr>
              <w:t>17</w:t>
            </w:r>
            <w:r>
              <w:rPr>
                <w:noProof/>
                <w:webHidden/>
              </w:rPr>
              <w:fldChar w:fldCharType="end"/>
            </w:r>
          </w:hyperlink>
        </w:p>
        <w:p w14:paraId="023540F2" w14:textId="3004701E"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050" w:history="1">
            <w:r w:rsidRPr="009145E9">
              <w:rPr>
                <w:rStyle w:val="Hyperlien"/>
                <w:noProof/>
              </w:rPr>
              <w:t>2.4</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Domaine de validité et exclusions</w:t>
            </w:r>
            <w:r>
              <w:rPr>
                <w:noProof/>
                <w:webHidden/>
              </w:rPr>
              <w:tab/>
            </w:r>
            <w:r>
              <w:rPr>
                <w:noProof/>
                <w:webHidden/>
              </w:rPr>
              <w:fldChar w:fldCharType="begin"/>
            </w:r>
            <w:r>
              <w:rPr>
                <w:noProof/>
                <w:webHidden/>
              </w:rPr>
              <w:instrText xml:space="preserve"> PAGEREF _Toc241670050 \h </w:instrText>
            </w:r>
            <w:r>
              <w:rPr>
                <w:noProof/>
                <w:webHidden/>
              </w:rPr>
            </w:r>
            <w:r>
              <w:rPr>
                <w:noProof/>
                <w:webHidden/>
              </w:rPr>
              <w:fldChar w:fldCharType="separate"/>
            </w:r>
            <w:r w:rsidR="00F355AE">
              <w:rPr>
                <w:noProof/>
                <w:webHidden/>
              </w:rPr>
              <w:t>18</w:t>
            </w:r>
            <w:r>
              <w:rPr>
                <w:noProof/>
                <w:webHidden/>
              </w:rPr>
              <w:fldChar w:fldCharType="end"/>
            </w:r>
          </w:hyperlink>
        </w:p>
        <w:p w14:paraId="30CA07D3" w14:textId="0B8A30AB" w:rsidR="004631CD" w:rsidRDefault="004631CD">
          <w:pPr>
            <w:pStyle w:val="TM1"/>
            <w:rPr>
              <w:rFonts w:asciiTheme="minorHAnsi" w:eastAsiaTheme="minorEastAsia" w:hAnsiTheme="minorHAnsi" w:cstheme="minorBidi"/>
              <w:noProof/>
              <w:kern w:val="2"/>
              <w:sz w:val="24"/>
              <w:szCs w:val="24"/>
              <w:lang w:val="fr-FR" w:eastAsia="fr-FR"/>
              <w14:ligatures w14:val="standardContextual"/>
            </w:rPr>
          </w:pPr>
          <w:hyperlink w:anchor="_Toc241670055" w:history="1">
            <w:r w:rsidRPr="009145E9">
              <w:rPr>
                <w:rStyle w:val="Hyperlien"/>
                <w:noProof/>
              </w:rPr>
              <w:t>3.</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Description de l’équipe</w:t>
            </w:r>
            <w:r>
              <w:rPr>
                <w:noProof/>
                <w:webHidden/>
              </w:rPr>
              <w:tab/>
            </w:r>
            <w:r>
              <w:rPr>
                <w:noProof/>
                <w:webHidden/>
              </w:rPr>
              <w:fldChar w:fldCharType="begin"/>
            </w:r>
            <w:r>
              <w:rPr>
                <w:noProof/>
                <w:webHidden/>
              </w:rPr>
              <w:instrText xml:space="preserve"> PAGEREF _Toc241670055 \h </w:instrText>
            </w:r>
            <w:r>
              <w:rPr>
                <w:noProof/>
                <w:webHidden/>
              </w:rPr>
            </w:r>
            <w:r>
              <w:rPr>
                <w:noProof/>
                <w:webHidden/>
              </w:rPr>
              <w:fldChar w:fldCharType="separate"/>
            </w:r>
            <w:r w:rsidR="00F355AE">
              <w:rPr>
                <w:noProof/>
                <w:webHidden/>
              </w:rPr>
              <w:t>18</w:t>
            </w:r>
            <w:r>
              <w:rPr>
                <w:noProof/>
                <w:webHidden/>
              </w:rPr>
              <w:fldChar w:fldCharType="end"/>
            </w:r>
          </w:hyperlink>
        </w:p>
        <w:p w14:paraId="3FF38C33" w14:textId="0D4A6695"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057" w:history="1">
            <w:r w:rsidRPr="009145E9">
              <w:rPr>
                <w:rStyle w:val="Hyperlien"/>
                <w:noProof/>
              </w:rPr>
              <w:t>3.1</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Composition de l’équipe et description des compétences de chaque membre</w:t>
            </w:r>
            <w:r>
              <w:rPr>
                <w:noProof/>
                <w:webHidden/>
              </w:rPr>
              <w:tab/>
            </w:r>
            <w:r>
              <w:rPr>
                <w:noProof/>
                <w:webHidden/>
              </w:rPr>
              <w:fldChar w:fldCharType="begin"/>
            </w:r>
            <w:r>
              <w:rPr>
                <w:noProof/>
                <w:webHidden/>
              </w:rPr>
              <w:instrText xml:space="preserve"> PAGEREF _Toc241670057 \h </w:instrText>
            </w:r>
            <w:r>
              <w:rPr>
                <w:noProof/>
                <w:webHidden/>
              </w:rPr>
            </w:r>
            <w:r>
              <w:rPr>
                <w:noProof/>
                <w:webHidden/>
              </w:rPr>
              <w:fldChar w:fldCharType="separate"/>
            </w:r>
            <w:r w:rsidR="00F355AE">
              <w:rPr>
                <w:noProof/>
                <w:webHidden/>
              </w:rPr>
              <w:t>19</w:t>
            </w:r>
            <w:r>
              <w:rPr>
                <w:noProof/>
                <w:webHidden/>
              </w:rPr>
              <w:fldChar w:fldCharType="end"/>
            </w:r>
          </w:hyperlink>
        </w:p>
        <w:p w14:paraId="5B0E4755" w14:textId="1F385D26"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060" w:history="1">
            <w:r w:rsidRPr="009145E9">
              <w:rPr>
                <w:rStyle w:val="Hyperlien"/>
                <w:noProof/>
              </w:rPr>
              <w:t>3.2</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Rôles et responsabilités</w:t>
            </w:r>
            <w:r>
              <w:rPr>
                <w:noProof/>
                <w:webHidden/>
              </w:rPr>
              <w:tab/>
            </w:r>
            <w:r>
              <w:rPr>
                <w:noProof/>
                <w:webHidden/>
              </w:rPr>
              <w:fldChar w:fldCharType="begin"/>
            </w:r>
            <w:r>
              <w:rPr>
                <w:noProof/>
                <w:webHidden/>
              </w:rPr>
              <w:instrText xml:space="preserve"> PAGEREF _Toc241670060 \h </w:instrText>
            </w:r>
            <w:r>
              <w:rPr>
                <w:noProof/>
                <w:webHidden/>
              </w:rPr>
            </w:r>
            <w:r>
              <w:rPr>
                <w:noProof/>
                <w:webHidden/>
              </w:rPr>
              <w:fldChar w:fldCharType="separate"/>
            </w:r>
            <w:r w:rsidR="00F355AE">
              <w:rPr>
                <w:noProof/>
                <w:webHidden/>
              </w:rPr>
              <w:t>19</w:t>
            </w:r>
            <w:r>
              <w:rPr>
                <w:noProof/>
                <w:webHidden/>
              </w:rPr>
              <w:fldChar w:fldCharType="end"/>
            </w:r>
          </w:hyperlink>
        </w:p>
        <w:p w14:paraId="377F2501" w14:textId="31157627" w:rsidR="004631CD" w:rsidRDefault="004631CD">
          <w:pPr>
            <w:pStyle w:val="TM1"/>
            <w:rPr>
              <w:rFonts w:asciiTheme="minorHAnsi" w:eastAsiaTheme="minorEastAsia" w:hAnsiTheme="minorHAnsi" w:cstheme="minorBidi"/>
              <w:noProof/>
              <w:kern w:val="2"/>
              <w:sz w:val="24"/>
              <w:szCs w:val="24"/>
              <w:lang w:val="fr-FR" w:eastAsia="fr-FR"/>
              <w14:ligatures w14:val="standardContextual"/>
            </w:rPr>
          </w:pPr>
          <w:hyperlink w:anchor="_Toc241670064" w:history="1">
            <w:r w:rsidRPr="009145E9">
              <w:rPr>
                <w:rStyle w:val="Hyperlien"/>
                <w:noProof/>
              </w:rPr>
              <w:t>4.</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Stratégie de contrôle des versions</w:t>
            </w:r>
            <w:r>
              <w:rPr>
                <w:noProof/>
                <w:webHidden/>
              </w:rPr>
              <w:tab/>
            </w:r>
            <w:r>
              <w:rPr>
                <w:noProof/>
                <w:webHidden/>
              </w:rPr>
              <w:fldChar w:fldCharType="begin"/>
            </w:r>
            <w:r>
              <w:rPr>
                <w:noProof/>
                <w:webHidden/>
              </w:rPr>
              <w:instrText xml:space="preserve"> PAGEREF _Toc241670064 \h </w:instrText>
            </w:r>
            <w:r>
              <w:rPr>
                <w:noProof/>
                <w:webHidden/>
              </w:rPr>
            </w:r>
            <w:r>
              <w:rPr>
                <w:noProof/>
                <w:webHidden/>
              </w:rPr>
              <w:fldChar w:fldCharType="separate"/>
            </w:r>
            <w:r w:rsidR="00F355AE">
              <w:rPr>
                <w:noProof/>
                <w:webHidden/>
              </w:rPr>
              <w:t>20</w:t>
            </w:r>
            <w:r>
              <w:rPr>
                <w:noProof/>
                <w:webHidden/>
              </w:rPr>
              <w:fldChar w:fldCharType="end"/>
            </w:r>
          </w:hyperlink>
        </w:p>
        <w:p w14:paraId="6A7997F9" w14:textId="233B6E67"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066" w:history="1">
            <w:r w:rsidRPr="009145E9">
              <w:rPr>
                <w:rStyle w:val="Hyperlien"/>
                <w:noProof/>
              </w:rPr>
              <w:t>4.1</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Objet et portée</w:t>
            </w:r>
            <w:r>
              <w:rPr>
                <w:noProof/>
                <w:webHidden/>
              </w:rPr>
              <w:tab/>
            </w:r>
            <w:r>
              <w:rPr>
                <w:noProof/>
                <w:webHidden/>
              </w:rPr>
              <w:fldChar w:fldCharType="begin"/>
            </w:r>
            <w:r>
              <w:rPr>
                <w:noProof/>
                <w:webHidden/>
              </w:rPr>
              <w:instrText xml:space="preserve"> PAGEREF _Toc241670066 \h </w:instrText>
            </w:r>
            <w:r>
              <w:rPr>
                <w:noProof/>
                <w:webHidden/>
              </w:rPr>
            </w:r>
            <w:r>
              <w:rPr>
                <w:noProof/>
                <w:webHidden/>
              </w:rPr>
              <w:fldChar w:fldCharType="separate"/>
            </w:r>
            <w:r w:rsidR="00F355AE">
              <w:rPr>
                <w:noProof/>
                <w:webHidden/>
              </w:rPr>
              <w:t>20</w:t>
            </w:r>
            <w:r>
              <w:rPr>
                <w:noProof/>
                <w:webHidden/>
              </w:rPr>
              <w:fldChar w:fldCharType="end"/>
            </w:r>
          </w:hyperlink>
        </w:p>
        <w:p w14:paraId="2A2B3AD6" w14:textId="3D419BA4"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073" w:history="1">
            <w:r w:rsidRPr="009145E9">
              <w:rPr>
                <w:rStyle w:val="Hyperlien"/>
                <w:noProof/>
              </w:rPr>
              <w:t>4.2</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Inventaire de l’information à gérer</w:t>
            </w:r>
            <w:r>
              <w:rPr>
                <w:noProof/>
                <w:webHidden/>
              </w:rPr>
              <w:tab/>
            </w:r>
            <w:r>
              <w:rPr>
                <w:noProof/>
                <w:webHidden/>
              </w:rPr>
              <w:fldChar w:fldCharType="begin"/>
            </w:r>
            <w:r>
              <w:rPr>
                <w:noProof/>
                <w:webHidden/>
              </w:rPr>
              <w:instrText xml:space="preserve"> PAGEREF _Toc241670073 \h </w:instrText>
            </w:r>
            <w:r>
              <w:rPr>
                <w:noProof/>
                <w:webHidden/>
              </w:rPr>
            </w:r>
            <w:r>
              <w:rPr>
                <w:noProof/>
                <w:webHidden/>
              </w:rPr>
              <w:fldChar w:fldCharType="separate"/>
            </w:r>
            <w:r w:rsidR="00F355AE">
              <w:rPr>
                <w:noProof/>
                <w:webHidden/>
              </w:rPr>
              <w:t>21</w:t>
            </w:r>
            <w:r>
              <w:rPr>
                <w:noProof/>
                <w:webHidden/>
              </w:rPr>
              <w:fldChar w:fldCharType="end"/>
            </w:r>
          </w:hyperlink>
        </w:p>
        <w:p w14:paraId="61CDBB32" w14:textId="30B8BEDC"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077" w:history="1">
            <w:r w:rsidRPr="009145E9">
              <w:rPr>
                <w:rStyle w:val="Hyperlien"/>
                <w:noProof/>
              </w:rPr>
              <w:t>4.3</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Outils retenus</w:t>
            </w:r>
            <w:r>
              <w:rPr>
                <w:noProof/>
                <w:webHidden/>
              </w:rPr>
              <w:tab/>
            </w:r>
            <w:r>
              <w:rPr>
                <w:noProof/>
                <w:webHidden/>
              </w:rPr>
              <w:fldChar w:fldCharType="begin"/>
            </w:r>
            <w:r>
              <w:rPr>
                <w:noProof/>
                <w:webHidden/>
              </w:rPr>
              <w:instrText xml:space="preserve"> PAGEREF _Toc241670077 \h </w:instrText>
            </w:r>
            <w:r>
              <w:rPr>
                <w:noProof/>
                <w:webHidden/>
              </w:rPr>
            </w:r>
            <w:r>
              <w:rPr>
                <w:noProof/>
                <w:webHidden/>
              </w:rPr>
              <w:fldChar w:fldCharType="separate"/>
            </w:r>
            <w:r w:rsidR="00F355AE">
              <w:rPr>
                <w:noProof/>
                <w:webHidden/>
              </w:rPr>
              <w:t>21</w:t>
            </w:r>
            <w:r>
              <w:rPr>
                <w:noProof/>
                <w:webHidden/>
              </w:rPr>
              <w:fldChar w:fldCharType="end"/>
            </w:r>
          </w:hyperlink>
        </w:p>
        <w:p w14:paraId="736D165F" w14:textId="2A769B92"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080" w:history="1">
            <w:r w:rsidRPr="009145E9">
              <w:rPr>
                <w:rStyle w:val="Hyperlien"/>
                <w:noProof/>
              </w:rPr>
              <w:t>4.4</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Flux de travail et revue par les pairs</w:t>
            </w:r>
            <w:r>
              <w:rPr>
                <w:noProof/>
                <w:webHidden/>
              </w:rPr>
              <w:tab/>
            </w:r>
            <w:r>
              <w:rPr>
                <w:noProof/>
                <w:webHidden/>
              </w:rPr>
              <w:fldChar w:fldCharType="begin"/>
            </w:r>
            <w:r>
              <w:rPr>
                <w:noProof/>
                <w:webHidden/>
              </w:rPr>
              <w:instrText xml:space="preserve"> PAGEREF _Toc241670080 \h </w:instrText>
            </w:r>
            <w:r>
              <w:rPr>
                <w:noProof/>
                <w:webHidden/>
              </w:rPr>
            </w:r>
            <w:r>
              <w:rPr>
                <w:noProof/>
                <w:webHidden/>
              </w:rPr>
              <w:fldChar w:fldCharType="separate"/>
            </w:r>
            <w:r w:rsidR="00F355AE">
              <w:rPr>
                <w:noProof/>
                <w:webHidden/>
              </w:rPr>
              <w:t>22</w:t>
            </w:r>
            <w:r>
              <w:rPr>
                <w:noProof/>
                <w:webHidden/>
              </w:rPr>
              <w:fldChar w:fldCharType="end"/>
            </w:r>
          </w:hyperlink>
        </w:p>
        <w:p w14:paraId="1D9BF679" w14:textId="2A55D5A7" w:rsidR="004631CD" w:rsidRDefault="004631CD">
          <w:pPr>
            <w:pStyle w:val="TM1"/>
            <w:rPr>
              <w:rFonts w:asciiTheme="minorHAnsi" w:eastAsiaTheme="minorEastAsia" w:hAnsiTheme="minorHAnsi" w:cstheme="minorBidi"/>
              <w:noProof/>
              <w:kern w:val="2"/>
              <w:sz w:val="24"/>
              <w:szCs w:val="24"/>
              <w:lang w:val="fr-FR" w:eastAsia="fr-FR"/>
              <w14:ligatures w14:val="standardContextual"/>
            </w:rPr>
          </w:pPr>
          <w:hyperlink w:anchor="_Toc241670085" w:history="1">
            <w:r w:rsidRPr="009145E9">
              <w:rPr>
                <w:rStyle w:val="Hyperlien"/>
                <w:noProof/>
              </w:rPr>
              <w:t>5.</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Revue de l’état de l’art</w:t>
            </w:r>
            <w:r>
              <w:rPr>
                <w:noProof/>
                <w:webHidden/>
              </w:rPr>
              <w:tab/>
            </w:r>
            <w:r>
              <w:rPr>
                <w:noProof/>
                <w:webHidden/>
              </w:rPr>
              <w:fldChar w:fldCharType="begin"/>
            </w:r>
            <w:r>
              <w:rPr>
                <w:noProof/>
                <w:webHidden/>
              </w:rPr>
              <w:instrText xml:space="preserve"> PAGEREF _Toc241670085 \h </w:instrText>
            </w:r>
            <w:r>
              <w:rPr>
                <w:noProof/>
                <w:webHidden/>
              </w:rPr>
            </w:r>
            <w:r>
              <w:rPr>
                <w:noProof/>
                <w:webHidden/>
              </w:rPr>
              <w:fldChar w:fldCharType="separate"/>
            </w:r>
            <w:r w:rsidR="00F355AE">
              <w:rPr>
                <w:noProof/>
                <w:webHidden/>
              </w:rPr>
              <w:t>22</w:t>
            </w:r>
            <w:r>
              <w:rPr>
                <w:noProof/>
                <w:webHidden/>
              </w:rPr>
              <w:fldChar w:fldCharType="end"/>
            </w:r>
          </w:hyperlink>
        </w:p>
        <w:p w14:paraId="7729392F" w14:textId="1DCDA9A4"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087" w:history="1">
            <w:r w:rsidRPr="009145E9">
              <w:rPr>
                <w:rStyle w:val="Hyperlien"/>
                <w:noProof/>
              </w:rPr>
              <w:t>5.1</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Méthode de recherche</w:t>
            </w:r>
            <w:r>
              <w:rPr>
                <w:noProof/>
                <w:webHidden/>
              </w:rPr>
              <w:tab/>
            </w:r>
            <w:r>
              <w:rPr>
                <w:noProof/>
                <w:webHidden/>
              </w:rPr>
              <w:fldChar w:fldCharType="begin"/>
            </w:r>
            <w:r>
              <w:rPr>
                <w:noProof/>
                <w:webHidden/>
              </w:rPr>
              <w:instrText xml:space="preserve"> PAGEREF _Toc241670087 \h </w:instrText>
            </w:r>
            <w:r>
              <w:rPr>
                <w:noProof/>
                <w:webHidden/>
              </w:rPr>
            </w:r>
            <w:r>
              <w:rPr>
                <w:noProof/>
                <w:webHidden/>
              </w:rPr>
              <w:fldChar w:fldCharType="separate"/>
            </w:r>
            <w:r w:rsidR="00F355AE">
              <w:rPr>
                <w:noProof/>
                <w:webHidden/>
              </w:rPr>
              <w:t>22</w:t>
            </w:r>
            <w:r>
              <w:rPr>
                <w:noProof/>
                <w:webHidden/>
              </w:rPr>
              <w:fldChar w:fldCharType="end"/>
            </w:r>
          </w:hyperlink>
        </w:p>
        <w:p w14:paraId="7C3ABBE3" w14:textId="57D4B38B"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091" w:history="1">
            <w:r w:rsidRPr="009145E9">
              <w:rPr>
                <w:rStyle w:val="Hyperlien"/>
                <w:noProof/>
              </w:rPr>
              <w:t>5.2</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Ce qui existe</w:t>
            </w:r>
            <w:r>
              <w:rPr>
                <w:noProof/>
                <w:webHidden/>
              </w:rPr>
              <w:tab/>
            </w:r>
            <w:r>
              <w:rPr>
                <w:noProof/>
                <w:webHidden/>
              </w:rPr>
              <w:fldChar w:fldCharType="begin"/>
            </w:r>
            <w:r>
              <w:rPr>
                <w:noProof/>
                <w:webHidden/>
              </w:rPr>
              <w:instrText xml:space="preserve"> PAGEREF _Toc241670091 \h </w:instrText>
            </w:r>
            <w:r>
              <w:rPr>
                <w:noProof/>
                <w:webHidden/>
              </w:rPr>
            </w:r>
            <w:r>
              <w:rPr>
                <w:noProof/>
                <w:webHidden/>
              </w:rPr>
              <w:fldChar w:fldCharType="separate"/>
            </w:r>
            <w:r w:rsidR="00F355AE">
              <w:rPr>
                <w:noProof/>
                <w:webHidden/>
              </w:rPr>
              <w:t>23</w:t>
            </w:r>
            <w:r>
              <w:rPr>
                <w:noProof/>
                <w:webHidden/>
              </w:rPr>
              <w:fldChar w:fldCharType="end"/>
            </w:r>
          </w:hyperlink>
        </w:p>
        <w:p w14:paraId="7A7AFEED" w14:textId="03EC57EA"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127" w:history="1">
            <w:r w:rsidRPr="009145E9">
              <w:rPr>
                <w:rStyle w:val="Hyperlien"/>
                <w:noProof/>
              </w:rPr>
              <w:t>5.3</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Brevets, droits et redevances</w:t>
            </w:r>
            <w:r>
              <w:rPr>
                <w:noProof/>
                <w:webHidden/>
              </w:rPr>
              <w:tab/>
            </w:r>
            <w:r>
              <w:rPr>
                <w:noProof/>
                <w:webHidden/>
              </w:rPr>
              <w:fldChar w:fldCharType="begin"/>
            </w:r>
            <w:r>
              <w:rPr>
                <w:noProof/>
                <w:webHidden/>
              </w:rPr>
              <w:instrText xml:space="preserve"> PAGEREF _Toc241670127 \h </w:instrText>
            </w:r>
            <w:r>
              <w:rPr>
                <w:noProof/>
                <w:webHidden/>
              </w:rPr>
            </w:r>
            <w:r>
              <w:rPr>
                <w:noProof/>
                <w:webHidden/>
              </w:rPr>
              <w:fldChar w:fldCharType="separate"/>
            </w:r>
            <w:r w:rsidR="00F355AE">
              <w:rPr>
                <w:noProof/>
                <w:webHidden/>
              </w:rPr>
              <w:t>26</w:t>
            </w:r>
            <w:r>
              <w:rPr>
                <w:noProof/>
                <w:webHidden/>
              </w:rPr>
              <w:fldChar w:fldCharType="end"/>
            </w:r>
          </w:hyperlink>
        </w:p>
        <w:p w14:paraId="2474EC32" w14:textId="0CBEA553"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138" w:history="1">
            <w:r w:rsidRPr="009145E9">
              <w:rPr>
                <w:rStyle w:val="Hyperlien"/>
                <w:noProof/>
              </w:rPr>
              <w:t>5.4</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Positionnement du projet</w:t>
            </w:r>
            <w:r>
              <w:rPr>
                <w:noProof/>
                <w:webHidden/>
              </w:rPr>
              <w:tab/>
            </w:r>
            <w:r>
              <w:rPr>
                <w:noProof/>
                <w:webHidden/>
              </w:rPr>
              <w:fldChar w:fldCharType="begin"/>
            </w:r>
            <w:r>
              <w:rPr>
                <w:noProof/>
                <w:webHidden/>
              </w:rPr>
              <w:instrText xml:space="preserve"> PAGEREF _Toc241670138 \h </w:instrText>
            </w:r>
            <w:r>
              <w:rPr>
                <w:noProof/>
                <w:webHidden/>
              </w:rPr>
            </w:r>
            <w:r>
              <w:rPr>
                <w:noProof/>
                <w:webHidden/>
              </w:rPr>
              <w:fldChar w:fldCharType="separate"/>
            </w:r>
            <w:r w:rsidR="00F355AE">
              <w:rPr>
                <w:noProof/>
                <w:webHidden/>
              </w:rPr>
              <w:t>27</w:t>
            </w:r>
            <w:r>
              <w:rPr>
                <w:noProof/>
                <w:webHidden/>
              </w:rPr>
              <w:fldChar w:fldCharType="end"/>
            </w:r>
          </w:hyperlink>
        </w:p>
        <w:p w14:paraId="70F06061" w14:textId="0CE79FEB"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145" w:history="1">
            <w:r w:rsidRPr="009145E9">
              <w:rPr>
                <w:rStyle w:val="Hyperlien"/>
                <w:noProof/>
              </w:rPr>
              <w:t>5.5</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Lacunes de notre revue</w:t>
            </w:r>
            <w:r>
              <w:rPr>
                <w:noProof/>
                <w:webHidden/>
              </w:rPr>
              <w:tab/>
            </w:r>
            <w:r>
              <w:rPr>
                <w:noProof/>
                <w:webHidden/>
              </w:rPr>
              <w:fldChar w:fldCharType="begin"/>
            </w:r>
            <w:r>
              <w:rPr>
                <w:noProof/>
                <w:webHidden/>
              </w:rPr>
              <w:instrText xml:space="preserve"> PAGEREF _Toc241670145 \h </w:instrText>
            </w:r>
            <w:r>
              <w:rPr>
                <w:noProof/>
                <w:webHidden/>
              </w:rPr>
            </w:r>
            <w:r>
              <w:rPr>
                <w:noProof/>
                <w:webHidden/>
              </w:rPr>
              <w:fldChar w:fldCharType="separate"/>
            </w:r>
            <w:r w:rsidR="00F355AE">
              <w:rPr>
                <w:noProof/>
                <w:webHidden/>
              </w:rPr>
              <w:t>28</w:t>
            </w:r>
            <w:r>
              <w:rPr>
                <w:noProof/>
                <w:webHidden/>
              </w:rPr>
              <w:fldChar w:fldCharType="end"/>
            </w:r>
          </w:hyperlink>
        </w:p>
        <w:p w14:paraId="7EE08BC4" w14:textId="5E814D9E" w:rsidR="004631CD" w:rsidRDefault="004631CD">
          <w:pPr>
            <w:pStyle w:val="TM1"/>
            <w:rPr>
              <w:rFonts w:asciiTheme="minorHAnsi" w:eastAsiaTheme="minorEastAsia" w:hAnsiTheme="minorHAnsi" w:cstheme="minorBidi"/>
              <w:noProof/>
              <w:kern w:val="2"/>
              <w:sz w:val="24"/>
              <w:szCs w:val="24"/>
              <w:lang w:val="fr-FR" w:eastAsia="fr-FR"/>
              <w14:ligatures w14:val="standardContextual"/>
            </w:rPr>
          </w:pPr>
          <w:hyperlink w:anchor="_Toc241670151" w:history="1">
            <w:r w:rsidRPr="009145E9">
              <w:rPr>
                <w:rStyle w:val="Hyperlien"/>
                <w:noProof/>
              </w:rPr>
              <w:t>6.</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Normes, codes et standards</w:t>
            </w:r>
            <w:r>
              <w:rPr>
                <w:noProof/>
                <w:webHidden/>
              </w:rPr>
              <w:tab/>
            </w:r>
            <w:r>
              <w:rPr>
                <w:noProof/>
                <w:webHidden/>
              </w:rPr>
              <w:fldChar w:fldCharType="begin"/>
            </w:r>
            <w:r>
              <w:rPr>
                <w:noProof/>
                <w:webHidden/>
              </w:rPr>
              <w:instrText xml:space="preserve"> PAGEREF _Toc241670151 \h </w:instrText>
            </w:r>
            <w:r>
              <w:rPr>
                <w:noProof/>
                <w:webHidden/>
              </w:rPr>
            </w:r>
            <w:r>
              <w:rPr>
                <w:noProof/>
                <w:webHidden/>
              </w:rPr>
              <w:fldChar w:fldCharType="separate"/>
            </w:r>
            <w:r w:rsidR="00F355AE">
              <w:rPr>
                <w:noProof/>
                <w:webHidden/>
              </w:rPr>
              <w:t>29</w:t>
            </w:r>
            <w:r>
              <w:rPr>
                <w:noProof/>
                <w:webHidden/>
              </w:rPr>
              <w:fldChar w:fldCharType="end"/>
            </w:r>
          </w:hyperlink>
        </w:p>
        <w:p w14:paraId="7BA886E1" w14:textId="049D3DF8"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154" w:history="1">
            <w:r w:rsidRPr="009145E9">
              <w:rPr>
                <w:rStyle w:val="Hyperlien"/>
                <w:noProof/>
              </w:rPr>
              <w:t>6.1</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Cadre législatif</w:t>
            </w:r>
            <w:r>
              <w:rPr>
                <w:noProof/>
                <w:webHidden/>
              </w:rPr>
              <w:tab/>
            </w:r>
            <w:r>
              <w:rPr>
                <w:noProof/>
                <w:webHidden/>
              </w:rPr>
              <w:fldChar w:fldCharType="begin"/>
            </w:r>
            <w:r>
              <w:rPr>
                <w:noProof/>
                <w:webHidden/>
              </w:rPr>
              <w:instrText xml:space="preserve"> PAGEREF _Toc241670154 \h </w:instrText>
            </w:r>
            <w:r>
              <w:rPr>
                <w:noProof/>
                <w:webHidden/>
              </w:rPr>
            </w:r>
            <w:r>
              <w:rPr>
                <w:noProof/>
                <w:webHidden/>
              </w:rPr>
              <w:fldChar w:fldCharType="separate"/>
            </w:r>
            <w:r w:rsidR="00F355AE">
              <w:rPr>
                <w:noProof/>
                <w:webHidden/>
              </w:rPr>
              <w:t>29</w:t>
            </w:r>
            <w:r>
              <w:rPr>
                <w:noProof/>
                <w:webHidden/>
              </w:rPr>
              <w:fldChar w:fldCharType="end"/>
            </w:r>
          </w:hyperlink>
        </w:p>
        <w:p w14:paraId="187DD561" w14:textId="1924BC64"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165" w:history="1">
            <w:r w:rsidRPr="009145E9">
              <w:rPr>
                <w:rStyle w:val="Hyperlien"/>
                <w:noProof/>
              </w:rPr>
              <w:t>6.2</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Cadre réglementaire</w:t>
            </w:r>
            <w:r>
              <w:rPr>
                <w:noProof/>
                <w:webHidden/>
              </w:rPr>
              <w:tab/>
            </w:r>
            <w:r>
              <w:rPr>
                <w:noProof/>
                <w:webHidden/>
              </w:rPr>
              <w:fldChar w:fldCharType="begin"/>
            </w:r>
            <w:r>
              <w:rPr>
                <w:noProof/>
                <w:webHidden/>
              </w:rPr>
              <w:instrText xml:space="preserve"> PAGEREF _Toc241670165 \h </w:instrText>
            </w:r>
            <w:r>
              <w:rPr>
                <w:noProof/>
                <w:webHidden/>
              </w:rPr>
            </w:r>
            <w:r>
              <w:rPr>
                <w:noProof/>
                <w:webHidden/>
              </w:rPr>
              <w:fldChar w:fldCharType="separate"/>
            </w:r>
            <w:r w:rsidR="00F355AE">
              <w:rPr>
                <w:noProof/>
                <w:webHidden/>
              </w:rPr>
              <w:t>30</w:t>
            </w:r>
            <w:r>
              <w:rPr>
                <w:noProof/>
                <w:webHidden/>
              </w:rPr>
              <w:fldChar w:fldCharType="end"/>
            </w:r>
          </w:hyperlink>
        </w:p>
        <w:p w14:paraId="7595CF74" w14:textId="30B56110"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169" w:history="1">
            <w:r w:rsidRPr="009145E9">
              <w:rPr>
                <w:rStyle w:val="Hyperlien"/>
                <w:noProof/>
              </w:rPr>
              <w:t>6.3</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Normes applicables</w:t>
            </w:r>
            <w:r>
              <w:rPr>
                <w:noProof/>
                <w:webHidden/>
              </w:rPr>
              <w:tab/>
            </w:r>
            <w:r>
              <w:rPr>
                <w:noProof/>
                <w:webHidden/>
              </w:rPr>
              <w:fldChar w:fldCharType="begin"/>
            </w:r>
            <w:r>
              <w:rPr>
                <w:noProof/>
                <w:webHidden/>
              </w:rPr>
              <w:instrText xml:space="preserve"> PAGEREF _Toc241670169 \h </w:instrText>
            </w:r>
            <w:r>
              <w:rPr>
                <w:noProof/>
                <w:webHidden/>
              </w:rPr>
            </w:r>
            <w:r>
              <w:rPr>
                <w:noProof/>
                <w:webHidden/>
              </w:rPr>
              <w:fldChar w:fldCharType="separate"/>
            </w:r>
            <w:r w:rsidR="00F355AE">
              <w:rPr>
                <w:noProof/>
                <w:webHidden/>
              </w:rPr>
              <w:t>31</w:t>
            </w:r>
            <w:r>
              <w:rPr>
                <w:noProof/>
                <w:webHidden/>
              </w:rPr>
              <w:fldChar w:fldCharType="end"/>
            </w:r>
          </w:hyperlink>
        </w:p>
        <w:p w14:paraId="387BC0DD" w14:textId="34E85431"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175" w:history="1">
            <w:r w:rsidRPr="009145E9">
              <w:rPr>
                <w:rStyle w:val="Hyperlien"/>
                <w:noProof/>
              </w:rPr>
              <w:t>6.4</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Esprit des normes et dépassement</w:t>
            </w:r>
            <w:r>
              <w:rPr>
                <w:noProof/>
                <w:webHidden/>
              </w:rPr>
              <w:tab/>
            </w:r>
            <w:r>
              <w:rPr>
                <w:noProof/>
                <w:webHidden/>
              </w:rPr>
              <w:fldChar w:fldCharType="begin"/>
            </w:r>
            <w:r>
              <w:rPr>
                <w:noProof/>
                <w:webHidden/>
              </w:rPr>
              <w:instrText xml:space="preserve"> PAGEREF _Toc241670175 \h </w:instrText>
            </w:r>
            <w:r>
              <w:rPr>
                <w:noProof/>
                <w:webHidden/>
              </w:rPr>
            </w:r>
            <w:r>
              <w:rPr>
                <w:noProof/>
                <w:webHidden/>
              </w:rPr>
              <w:fldChar w:fldCharType="separate"/>
            </w:r>
            <w:r w:rsidR="00F355AE">
              <w:rPr>
                <w:noProof/>
                <w:webHidden/>
              </w:rPr>
              <w:t>34</w:t>
            </w:r>
            <w:r>
              <w:rPr>
                <w:noProof/>
                <w:webHidden/>
              </w:rPr>
              <w:fldChar w:fldCharType="end"/>
            </w:r>
          </w:hyperlink>
        </w:p>
        <w:p w14:paraId="7DC48A35" w14:textId="2BA837D7"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182" w:history="1">
            <w:r w:rsidRPr="009145E9">
              <w:rPr>
                <w:rStyle w:val="Hyperlien"/>
                <w:noProof/>
              </w:rPr>
              <w:t>6.5</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Incidence sur la conception</w:t>
            </w:r>
            <w:r>
              <w:rPr>
                <w:noProof/>
                <w:webHidden/>
              </w:rPr>
              <w:tab/>
            </w:r>
            <w:r>
              <w:rPr>
                <w:noProof/>
                <w:webHidden/>
              </w:rPr>
              <w:fldChar w:fldCharType="begin"/>
            </w:r>
            <w:r>
              <w:rPr>
                <w:noProof/>
                <w:webHidden/>
              </w:rPr>
              <w:instrText xml:space="preserve"> PAGEREF _Toc241670182 \h </w:instrText>
            </w:r>
            <w:r>
              <w:rPr>
                <w:noProof/>
                <w:webHidden/>
              </w:rPr>
            </w:r>
            <w:r>
              <w:rPr>
                <w:noProof/>
                <w:webHidden/>
              </w:rPr>
              <w:fldChar w:fldCharType="separate"/>
            </w:r>
            <w:r w:rsidR="00F355AE">
              <w:rPr>
                <w:noProof/>
                <w:webHidden/>
              </w:rPr>
              <w:t>34</w:t>
            </w:r>
            <w:r>
              <w:rPr>
                <w:noProof/>
                <w:webHidden/>
              </w:rPr>
              <w:fldChar w:fldCharType="end"/>
            </w:r>
          </w:hyperlink>
        </w:p>
        <w:p w14:paraId="0EFBCBC2" w14:textId="29744C3B" w:rsidR="004631CD" w:rsidRDefault="004631CD">
          <w:pPr>
            <w:pStyle w:val="TM1"/>
            <w:rPr>
              <w:rFonts w:asciiTheme="minorHAnsi" w:eastAsiaTheme="minorEastAsia" w:hAnsiTheme="minorHAnsi" w:cstheme="minorBidi"/>
              <w:noProof/>
              <w:kern w:val="2"/>
              <w:sz w:val="24"/>
              <w:szCs w:val="24"/>
              <w:lang w:val="fr-FR" w:eastAsia="fr-FR"/>
              <w14:ligatures w14:val="standardContextual"/>
            </w:rPr>
          </w:pPr>
          <w:hyperlink w:anchor="_Toc241670208" w:history="1">
            <w:r w:rsidRPr="009145E9">
              <w:rPr>
                <w:rStyle w:val="Hyperlien"/>
                <w:noProof/>
              </w:rPr>
              <w:t>7.</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Impacts et gestion des risques</w:t>
            </w:r>
            <w:r>
              <w:rPr>
                <w:noProof/>
                <w:webHidden/>
              </w:rPr>
              <w:tab/>
            </w:r>
            <w:r>
              <w:rPr>
                <w:noProof/>
                <w:webHidden/>
              </w:rPr>
              <w:fldChar w:fldCharType="begin"/>
            </w:r>
            <w:r>
              <w:rPr>
                <w:noProof/>
                <w:webHidden/>
              </w:rPr>
              <w:instrText xml:space="preserve"> PAGEREF _Toc241670208 \h </w:instrText>
            </w:r>
            <w:r>
              <w:rPr>
                <w:noProof/>
                <w:webHidden/>
              </w:rPr>
            </w:r>
            <w:r>
              <w:rPr>
                <w:noProof/>
                <w:webHidden/>
              </w:rPr>
              <w:fldChar w:fldCharType="separate"/>
            </w:r>
            <w:r w:rsidR="00F355AE">
              <w:rPr>
                <w:noProof/>
                <w:webHidden/>
              </w:rPr>
              <w:t>36</w:t>
            </w:r>
            <w:r>
              <w:rPr>
                <w:noProof/>
                <w:webHidden/>
              </w:rPr>
              <w:fldChar w:fldCharType="end"/>
            </w:r>
          </w:hyperlink>
        </w:p>
        <w:p w14:paraId="3A6F8FE8" w14:textId="4197028F"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212" w:history="1">
            <w:r w:rsidRPr="009145E9">
              <w:rPr>
                <w:rStyle w:val="Hyperlien"/>
                <w:noProof/>
              </w:rPr>
              <w:t>7.1</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Impacts du projet</w:t>
            </w:r>
            <w:r>
              <w:rPr>
                <w:noProof/>
                <w:webHidden/>
              </w:rPr>
              <w:tab/>
            </w:r>
            <w:r>
              <w:rPr>
                <w:noProof/>
                <w:webHidden/>
              </w:rPr>
              <w:fldChar w:fldCharType="begin"/>
            </w:r>
            <w:r>
              <w:rPr>
                <w:noProof/>
                <w:webHidden/>
              </w:rPr>
              <w:instrText xml:space="preserve"> PAGEREF _Toc241670212 \h </w:instrText>
            </w:r>
            <w:r>
              <w:rPr>
                <w:noProof/>
                <w:webHidden/>
              </w:rPr>
            </w:r>
            <w:r>
              <w:rPr>
                <w:noProof/>
                <w:webHidden/>
              </w:rPr>
              <w:fldChar w:fldCharType="separate"/>
            </w:r>
            <w:r w:rsidR="00F355AE">
              <w:rPr>
                <w:noProof/>
                <w:webHidden/>
              </w:rPr>
              <w:t>37</w:t>
            </w:r>
            <w:r>
              <w:rPr>
                <w:noProof/>
                <w:webHidden/>
              </w:rPr>
              <w:fldChar w:fldCharType="end"/>
            </w:r>
          </w:hyperlink>
        </w:p>
        <w:p w14:paraId="1BAC0308" w14:textId="04989210"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238" w:history="1">
            <w:r w:rsidRPr="009145E9">
              <w:rPr>
                <w:rStyle w:val="Hyperlien"/>
                <w:noProof/>
              </w:rPr>
              <w:t>7.2</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Bénéfices, inconvénients et rôle de l’équipe</w:t>
            </w:r>
            <w:r>
              <w:rPr>
                <w:noProof/>
                <w:webHidden/>
              </w:rPr>
              <w:tab/>
            </w:r>
            <w:r>
              <w:rPr>
                <w:noProof/>
                <w:webHidden/>
              </w:rPr>
              <w:fldChar w:fldCharType="begin"/>
            </w:r>
            <w:r>
              <w:rPr>
                <w:noProof/>
                <w:webHidden/>
              </w:rPr>
              <w:instrText xml:space="preserve"> PAGEREF _Toc241670238 \h </w:instrText>
            </w:r>
            <w:r>
              <w:rPr>
                <w:noProof/>
                <w:webHidden/>
              </w:rPr>
            </w:r>
            <w:r>
              <w:rPr>
                <w:noProof/>
                <w:webHidden/>
              </w:rPr>
              <w:fldChar w:fldCharType="separate"/>
            </w:r>
            <w:r w:rsidR="00F355AE">
              <w:rPr>
                <w:noProof/>
                <w:webHidden/>
              </w:rPr>
              <w:t>39</w:t>
            </w:r>
            <w:r>
              <w:rPr>
                <w:noProof/>
                <w:webHidden/>
              </w:rPr>
              <w:fldChar w:fldCharType="end"/>
            </w:r>
          </w:hyperlink>
        </w:p>
        <w:p w14:paraId="5AB62F81" w14:textId="5A5A6581"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250" w:history="1">
            <w:r w:rsidRPr="009145E9">
              <w:rPr>
                <w:rStyle w:val="Hyperlien"/>
                <w:noProof/>
              </w:rPr>
              <w:t>7.3</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Méthode d’analyse des risques</w:t>
            </w:r>
            <w:r>
              <w:rPr>
                <w:noProof/>
                <w:webHidden/>
              </w:rPr>
              <w:tab/>
            </w:r>
            <w:r>
              <w:rPr>
                <w:noProof/>
                <w:webHidden/>
              </w:rPr>
              <w:fldChar w:fldCharType="begin"/>
            </w:r>
            <w:r>
              <w:rPr>
                <w:noProof/>
                <w:webHidden/>
              </w:rPr>
              <w:instrText xml:space="preserve"> PAGEREF _Toc241670250 \h </w:instrText>
            </w:r>
            <w:r>
              <w:rPr>
                <w:noProof/>
                <w:webHidden/>
              </w:rPr>
            </w:r>
            <w:r>
              <w:rPr>
                <w:noProof/>
                <w:webHidden/>
              </w:rPr>
              <w:fldChar w:fldCharType="separate"/>
            </w:r>
            <w:r w:rsidR="00F355AE">
              <w:rPr>
                <w:noProof/>
                <w:webHidden/>
              </w:rPr>
              <w:t>40</w:t>
            </w:r>
            <w:r>
              <w:rPr>
                <w:noProof/>
                <w:webHidden/>
              </w:rPr>
              <w:fldChar w:fldCharType="end"/>
            </w:r>
          </w:hyperlink>
        </w:p>
        <w:p w14:paraId="525E8443" w14:textId="44CF52B8"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265" w:history="1">
            <w:r w:rsidRPr="009145E9">
              <w:rPr>
                <w:rStyle w:val="Hyperlien"/>
                <w:noProof/>
              </w:rPr>
              <w:t>7.4</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Registres des risques et profil</w:t>
            </w:r>
            <w:r>
              <w:rPr>
                <w:noProof/>
                <w:webHidden/>
              </w:rPr>
              <w:tab/>
            </w:r>
            <w:r>
              <w:rPr>
                <w:noProof/>
                <w:webHidden/>
              </w:rPr>
              <w:fldChar w:fldCharType="begin"/>
            </w:r>
            <w:r>
              <w:rPr>
                <w:noProof/>
                <w:webHidden/>
              </w:rPr>
              <w:instrText xml:space="preserve"> PAGEREF _Toc241670265 \h </w:instrText>
            </w:r>
            <w:r>
              <w:rPr>
                <w:noProof/>
                <w:webHidden/>
              </w:rPr>
            </w:r>
            <w:r>
              <w:rPr>
                <w:noProof/>
                <w:webHidden/>
              </w:rPr>
              <w:fldChar w:fldCharType="separate"/>
            </w:r>
            <w:r w:rsidR="00F355AE">
              <w:rPr>
                <w:noProof/>
                <w:webHidden/>
              </w:rPr>
              <w:t>42</w:t>
            </w:r>
            <w:r>
              <w:rPr>
                <w:noProof/>
                <w:webHidden/>
              </w:rPr>
              <w:fldChar w:fldCharType="end"/>
            </w:r>
          </w:hyperlink>
        </w:p>
        <w:p w14:paraId="7606C1C6" w14:textId="3C5AF2D1"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280" w:history="1">
            <w:r w:rsidRPr="009145E9">
              <w:rPr>
                <w:rStyle w:val="Hyperlien"/>
                <w:noProof/>
              </w:rPr>
              <w:t>7.5</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Matrice de couverture des contraintes du mandat</w:t>
            </w:r>
            <w:r>
              <w:rPr>
                <w:noProof/>
                <w:webHidden/>
              </w:rPr>
              <w:tab/>
            </w:r>
            <w:r>
              <w:rPr>
                <w:noProof/>
                <w:webHidden/>
              </w:rPr>
              <w:fldChar w:fldCharType="begin"/>
            </w:r>
            <w:r>
              <w:rPr>
                <w:noProof/>
                <w:webHidden/>
              </w:rPr>
              <w:instrText xml:space="preserve"> PAGEREF _Toc241670280 \h </w:instrText>
            </w:r>
            <w:r>
              <w:rPr>
                <w:noProof/>
                <w:webHidden/>
              </w:rPr>
            </w:r>
            <w:r>
              <w:rPr>
                <w:noProof/>
                <w:webHidden/>
              </w:rPr>
              <w:fldChar w:fldCharType="separate"/>
            </w:r>
            <w:r w:rsidR="00F355AE">
              <w:rPr>
                <w:noProof/>
                <w:webHidden/>
              </w:rPr>
              <w:t>46</w:t>
            </w:r>
            <w:r>
              <w:rPr>
                <w:noProof/>
                <w:webHidden/>
              </w:rPr>
              <w:fldChar w:fldCharType="end"/>
            </w:r>
          </w:hyperlink>
        </w:p>
        <w:p w14:paraId="5B23DA8D" w14:textId="1E4DD604" w:rsidR="004631CD" w:rsidRDefault="004631CD">
          <w:pPr>
            <w:pStyle w:val="TM1"/>
            <w:rPr>
              <w:rFonts w:asciiTheme="minorHAnsi" w:eastAsiaTheme="minorEastAsia" w:hAnsiTheme="minorHAnsi" w:cstheme="minorBidi"/>
              <w:noProof/>
              <w:kern w:val="2"/>
              <w:sz w:val="24"/>
              <w:szCs w:val="24"/>
              <w:lang w:val="fr-FR" w:eastAsia="fr-FR"/>
              <w14:ligatures w14:val="standardContextual"/>
            </w:rPr>
          </w:pPr>
          <w:hyperlink w:anchor="_Toc241670283" w:history="1">
            <w:r w:rsidRPr="009145E9">
              <w:rPr>
                <w:rStyle w:val="Hyperlien"/>
                <w:noProof/>
              </w:rPr>
              <w:t>8.</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Estimation des ressources nécessaires au projet</w:t>
            </w:r>
            <w:r>
              <w:rPr>
                <w:noProof/>
                <w:webHidden/>
              </w:rPr>
              <w:tab/>
            </w:r>
            <w:r>
              <w:rPr>
                <w:noProof/>
                <w:webHidden/>
              </w:rPr>
              <w:fldChar w:fldCharType="begin"/>
            </w:r>
            <w:r>
              <w:rPr>
                <w:noProof/>
                <w:webHidden/>
              </w:rPr>
              <w:instrText xml:space="preserve"> PAGEREF _Toc241670283 \h </w:instrText>
            </w:r>
            <w:r>
              <w:rPr>
                <w:noProof/>
                <w:webHidden/>
              </w:rPr>
            </w:r>
            <w:r>
              <w:rPr>
                <w:noProof/>
                <w:webHidden/>
              </w:rPr>
              <w:fldChar w:fldCharType="separate"/>
            </w:r>
            <w:r w:rsidR="00F355AE">
              <w:rPr>
                <w:noProof/>
                <w:webHidden/>
              </w:rPr>
              <w:t>47</w:t>
            </w:r>
            <w:r>
              <w:rPr>
                <w:noProof/>
                <w:webHidden/>
              </w:rPr>
              <w:fldChar w:fldCharType="end"/>
            </w:r>
          </w:hyperlink>
        </w:p>
        <w:p w14:paraId="331CDE4F" w14:textId="56DAC1F0"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285" w:history="1">
            <w:r w:rsidRPr="009145E9">
              <w:rPr>
                <w:rStyle w:val="Hyperlien"/>
                <w:noProof/>
              </w:rPr>
              <w:t>8.1</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Méthode d’estimation et classe de l’estimation</w:t>
            </w:r>
            <w:r>
              <w:rPr>
                <w:noProof/>
                <w:webHidden/>
              </w:rPr>
              <w:tab/>
            </w:r>
            <w:r>
              <w:rPr>
                <w:noProof/>
                <w:webHidden/>
              </w:rPr>
              <w:fldChar w:fldCharType="begin"/>
            </w:r>
            <w:r>
              <w:rPr>
                <w:noProof/>
                <w:webHidden/>
              </w:rPr>
              <w:instrText xml:space="preserve"> PAGEREF _Toc241670285 \h </w:instrText>
            </w:r>
            <w:r>
              <w:rPr>
                <w:noProof/>
                <w:webHidden/>
              </w:rPr>
            </w:r>
            <w:r>
              <w:rPr>
                <w:noProof/>
                <w:webHidden/>
              </w:rPr>
              <w:fldChar w:fldCharType="separate"/>
            </w:r>
            <w:r w:rsidR="00F355AE">
              <w:rPr>
                <w:noProof/>
                <w:webHidden/>
              </w:rPr>
              <w:t>47</w:t>
            </w:r>
            <w:r>
              <w:rPr>
                <w:noProof/>
                <w:webHidden/>
              </w:rPr>
              <w:fldChar w:fldCharType="end"/>
            </w:r>
          </w:hyperlink>
        </w:p>
        <w:p w14:paraId="4771E5E2" w14:textId="6F55AE73"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291" w:history="1">
            <w:r w:rsidRPr="009145E9">
              <w:rPr>
                <w:rStyle w:val="Hyperlien"/>
                <w:noProof/>
              </w:rPr>
              <w:t>8.2</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Registre des hypothèses</w:t>
            </w:r>
            <w:r>
              <w:rPr>
                <w:noProof/>
                <w:webHidden/>
              </w:rPr>
              <w:tab/>
            </w:r>
            <w:r>
              <w:rPr>
                <w:noProof/>
                <w:webHidden/>
              </w:rPr>
              <w:fldChar w:fldCharType="begin"/>
            </w:r>
            <w:r>
              <w:rPr>
                <w:noProof/>
                <w:webHidden/>
              </w:rPr>
              <w:instrText xml:space="preserve"> PAGEREF _Toc241670291 \h </w:instrText>
            </w:r>
            <w:r>
              <w:rPr>
                <w:noProof/>
                <w:webHidden/>
              </w:rPr>
            </w:r>
            <w:r>
              <w:rPr>
                <w:noProof/>
                <w:webHidden/>
              </w:rPr>
              <w:fldChar w:fldCharType="separate"/>
            </w:r>
            <w:r w:rsidR="00F355AE">
              <w:rPr>
                <w:noProof/>
                <w:webHidden/>
              </w:rPr>
              <w:t>48</w:t>
            </w:r>
            <w:r>
              <w:rPr>
                <w:noProof/>
                <w:webHidden/>
              </w:rPr>
              <w:fldChar w:fldCharType="end"/>
            </w:r>
          </w:hyperlink>
        </w:p>
        <w:p w14:paraId="55F2DCEE" w14:textId="6D7DD504"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294" w:history="1">
            <w:r w:rsidRPr="009145E9">
              <w:rPr>
                <w:rStyle w:val="Hyperlien"/>
                <w:noProof/>
              </w:rPr>
              <w:t>8.3</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Ressources humaines</w:t>
            </w:r>
            <w:r>
              <w:rPr>
                <w:noProof/>
                <w:webHidden/>
              </w:rPr>
              <w:tab/>
            </w:r>
            <w:r>
              <w:rPr>
                <w:noProof/>
                <w:webHidden/>
              </w:rPr>
              <w:fldChar w:fldCharType="begin"/>
            </w:r>
            <w:r>
              <w:rPr>
                <w:noProof/>
                <w:webHidden/>
              </w:rPr>
              <w:instrText xml:space="preserve"> PAGEREF _Toc241670294 \h </w:instrText>
            </w:r>
            <w:r>
              <w:rPr>
                <w:noProof/>
                <w:webHidden/>
              </w:rPr>
            </w:r>
            <w:r>
              <w:rPr>
                <w:noProof/>
                <w:webHidden/>
              </w:rPr>
              <w:fldChar w:fldCharType="separate"/>
            </w:r>
            <w:r w:rsidR="00F355AE">
              <w:rPr>
                <w:noProof/>
                <w:webHidden/>
              </w:rPr>
              <w:t>49</w:t>
            </w:r>
            <w:r>
              <w:rPr>
                <w:noProof/>
                <w:webHidden/>
              </w:rPr>
              <w:fldChar w:fldCharType="end"/>
            </w:r>
          </w:hyperlink>
        </w:p>
        <w:p w14:paraId="77658EB0" w14:textId="3CE8300F"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298" w:history="1">
            <w:r w:rsidRPr="009145E9">
              <w:rPr>
                <w:rStyle w:val="Hyperlien"/>
                <w:noProof/>
              </w:rPr>
              <w:t>8.4</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Ressources matérielles et d’infrastructure</w:t>
            </w:r>
            <w:r>
              <w:rPr>
                <w:noProof/>
                <w:webHidden/>
              </w:rPr>
              <w:tab/>
            </w:r>
            <w:r>
              <w:rPr>
                <w:noProof/>
                <w:webHidden/>
              </w:rPr>
              <w:fldChar w:fldCharType="begin"/>
            </w:r>
            <w:r>
              <w:rPr>
                <w:noProof/>
                <w:webHidden/>
              </w:rPr>
              <w:instrText xml:space="preserve"> PAGEREF _Toc241670298 \h </w:instrText>
            </w:r>
            <w:r>
              <w:rPr>
                <w:noProof/>
                <w:webHidden/>
              </w:rPr>
            </w:r>
            <w:r>
              <w:rPr>
                <w:noProof/>
                <w:webHidden/>
              </w:rPr>
              <w:fldChar w:fldCharType="separate"/>
            </w:r>
            <w:r w:rsidR="00F355AE">
              <w:rPr>
                <w:noProof/>
                <w:webHidden/>
              </w:rPr>
              <w:t>49</w:t>
            </w:r>
            <w:r>
              <w:rPr>
                <w:noProof/>
                <w:webHidden/>
              </w:rPr>
              <w:fldChar w:fldCharType="end"/>
            </w:r>
          </w:hyperlink>
        </w:p>
        <w:p w14:paraId="60E79B80" w14:textId="37DFF1E5"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301" w:history="1">
            <w:r w:rsidRPr="009145E9">
              <w:rPr>
                <w:rStyle w:val="Hyperlien"/>
                <w:noProof/>
              </w:rPr>
              <w:t>8.5</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Ressources logicielles et décisions d’outillage</w:t>
            </w:r>
            <w:r>
              <w:rPr>
                <w:noProof/>
                <w:webHidden/>
              </w:rPr>
              <w:tab/>
            </w:r>
            <w:r>
              <w:rPr>
                <w:noProof/>
                <w:webHidden/>
              </w:rPr>
              <w:fldChar w:fldCharType="begin"/>
            </w:r>
            <w:r>
              <w:rPr>
                <w:noProof/>
                <w:webHidden/>
              </w:rPr>
              <w:instrText xml:space="preserve"> PAGEREF _Toc241670301 \h </w:instrText>
            </w:r>
            <w:r>
              <w:rPr>
                <w:noProof/>
                <w:webHidden/>
              </w:rPr>
            </w:r>
            <w:r>
              <w:rPr>
                <w:noProof/>
                <w:webHidden/>
              </w:rPr>
              <w:fldChar w:fldCharType="separate"/>
            </w:r>
            <w:r w:rsidR="00F355AE">
              <w:rPr>
                <w:noProof/>
                <w:webHidden/>
              </w:rPr>
              <w:t>50</w:t>
            </w:r>
            <w:r>
              <w:rPr>
                <w:noProof/>
                <w:webHidden/>
              </w:rPr>
              <w:fldChar w:fldCharType="end"/>
            </w:r>
          </w:hyperlink>
        </w:p>
        <w:p w14:paraId="63E06470" w14:textId="7F53B111"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304" w:history="1">
            <w:r w:rsidRPr="009145E9">
              <w:rPr>
                <w:rStyle w:val="Hyperlien"/>
                <w:noProof/>
              </w:rPr>
              <w:t>8.6</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Ressources informationnelles et normatives</w:t>
            </w:r>
            <w:r>
              <w:rPr>
                <w:noProof/>
                <w:webHidden/>
              </w:rPr>
              <w:tab/>
            </w:r>
            <w:r>
              <w:rPr>
                <w:noProof/>
                <w:webHidden/>
              </w:rPr>
              <w:fldChar w:fldCharType="begin"/>
            </w:r>
            <w:r>
              <w:rPr>
                <w:noProof/>
                <w:webHidden/>
              </w:rPr>
              <w:instrText xml:space="preserve"> PAGEREF _Toc241670304 \h </w:instrText>
            </w:r>
            <w:r>
              <w:rPr>
                <w:noProof/>
                <w:webHidden/>
              </w:rPr>
            </w:r>
            <w:r>
              <w:rPr>
                <w:noProof/>
                <w:webHidden/>
              </w:rPr>
              <w:fldChar w:fldCharType="separate"/>
            </w:r>
            <w:r w:rsidR="00F355AE">
              <w:rPr>
                <w:noProof/>
                <w:webHidden/>
              </w:rPr>
              <w:t>51</w:t>
            </w:r>
            <w:r>
              <w:rPr>
                <w:noProof/>
                <w:webHidden/>
              </w:rPr>
              <w:fldChar w:fldCharType="end"/>
            </w:r>
          </w:hyperlink>
        </w:p>
        <w:p w14:paraId="443DD869" w14:textId="0CA1F5F5" w:rsidR="004631CD" w:rsidRDefault="004631CD" w:rsidP="004631CD">
          <w:pPr>
            <w:pStyle w:val="TM1"/>
            <w:rPr>
              <w:rFonts w:asciiTheme="minorHAnsi" w:eastAsiaTheme="minorEastAsia" w:hAnsiTheme="minorHAnsi" w:cstheme="minorBidi"/>
              <w:noProof/>
              <w:kern w:val="2"/>
              <w:sz w:val="24"/>
              <w:szCs w:val="24"/>
              <w:lang w:val="fr-FR" w:eastAsia="fr-FR"/>
              <w14:ligatures w14:val="standardContextual"/>
            </w:rPr>
          </w:pPr>
          <w:hyperlink w:anchor="_Toc241670308" w:history="1">
            <w:r w:rsidRPr="009145E9">
              <w:rPr>
                <w:rStyle w:val="Hyperlien"/>
                <w:noProof/>
              </w:rPr>
              <w:t>9.</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Estimation préliminaire des coûts</w:t>
            </w:r>
            <w:r>
              <w:rPr>
                <w:noProof/>
                <w:webHidden/>
              </w:rPr>
              <w:tab/>
            </w:r>
            <w:r>
              <w:rPr>
                <w:noProof/>
                <w:webHidden/>
              </w:rPr>
              <w:fldChar w:fldCharType="begin"/>
            </w:r>
            <w:r>
              <w:rPr>
                <w:noProof/>
                <w:webHidden/>
              </w:rPr>
              <w:instrText xml:space="preserve"> PAGEREF _Toc241670308 \h </w:instrText>
            </w:r>
            <w:r>
              <w:rPr>
                <w:noProof/>
                <w:webHidden/>
              </w:rPr>
            </w:r>
            <w:r>
              <w:rPr>
                <w:noProof/>
                <w:webHidden/>
              </w:rPr>
              <w:fldChar w:fldCharType="separate"/>
            </w:r>
            <w:r w:rsidR="00F355AE">
              <w:rPr>
                <w:noProof/>
                <w:webHidden/>
              </w:rPr>
              <w:t>51</w:t>
            </w:r>
            <w:r>
              <w:rPr>
                <w:noProof/>
                <w:webHidden/>
              </w:rPr>
              <w:fldChar w:fldCharType="end"/>
            </w:r>
          </w:hyperlink>
        </w:p>
        <w:p w14:paraId="13A416AE" w14:textId="18D94ADE"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316" w:history="1">
            <w:r w:rsidRPr="009145E9">
              <w:rPr>
                <w:rStyle w:val="Hyperlien"/>
                <w:noProof/>
              </w:rPr>
              <w:t>9.1</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Grille budgétaire</w:t>
            </w:r>
            <w:r>
              <w:rPr>
                <w:noProof/>
                <w:webHidden/>
              </w:rPr>
              <w:tab/>
            </w:r>
            <w:r>
              <w:rPr>
                <w:noProof/>
                <w:webHidden/>
              </w:rPr>
              <w:fldChar w:fldCharType="begin"/>
            </w:r>
            <w:r>
              <w:rPr>
                <w:noProof/>
                <w:webHidden/>
              </w:rPr>
              <w:instrText xml:space="preserve"> PAGEREF _Toc241670316 \h </w:instrText>
            </w:r>
            <w:r>
              <w:rPr>
                <w:noProof/>
                <w:webHidden/>
              </w:rPr>
            </w:r>
            <w:r>
              <w:rPr>
                <w:noProof/>
                <w:webHidden/>
              </w:rPr>
              <w:fldChar w:fldCharType="separate"/>
            </w:r>
            <w:r w:rsidR="00F355AE">
              <w:rPr>
                <w:noProof/>
                <w:webHidden/>
              </w:rPr>
              <w:t>52</w:t>
            </w:r>
            <w:r>
              <w:rPr>
                <w:noProof/>
                <w:webHidden/>
              </w:rPr>
              <w:fldChar w:fldCharType="end"/>
            </w:r>
          </w:hyperlink>
        </w:p>
        <w:p w14:paraId="3B8837C6" w14:textId="74F98AF4" w:rsidR="004631CD" w:rsidRDefault="004631CD">
          <w:pPr>
            <w:pStyle w:val="TM2"/>
            <w:tabs>
              <w:tab w:val="left" w:pos="1100"/>
            </w:tabs>
            <w:rPr>
              <w:rFonts w:asciiTheme="minorHAnsi" w:eastAsiaTheme="minorEastAsia" w:hAnsiTheme="minorHAnsi" w:cstheme="minorBidi"/>
              <w:noProof/>
              <w:kern w:val="2"/>
              <w:sz w:val="24"/>
              <w:szCs w:val="24"/>
              <w:lang w:val="fr-FR" w:eastAsia="fr-FR"/>
              <w14:ligatures w14:val="standardContextual"/>
            </w:rPr>
          </w:pPr>
          <w:hyperlink w:anchor="_Toc241670322" w:history="1">
            <w:r w:rsidRPr="009145E9">
              <w:rPr>
                <w:rStyle w:val="Hyperlien"/>
                <w:noProof/>
              </w:rPr>
              <w:t>9.2</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Répartition dans le temps et bordereau des prix</w:t>
            </w:r>
            <w:r>
              <w:rPr>
                <w:noProof/>
                <w:webHidden/>
              </w:rPr>
              <w:tab/>
            </w:r>
            <w:r>
              <w:rPr>
                <w:noProof/>
                <w:webHidden/>
              </w:rPr>
              <w:fldChar w:fldCharType="begin"/>
            </w:r>
            <w:r>
              <w:rPr>
                <w:noProof/>
                <w:webHidden/>
              </w:rPr>
              <w:instrText xml:space="preserve"> PAGEREF _Toc241670322 \h </w:instrText>
            </w:r>
            <w:r>
              <w:rPr>
                <w:noProof/>
                <w:webHidden/>
              </w:rPr>
            </w:r>
            <w:r>
              <w:rPr>
                <w:noProof/>
                <w:webHidden/>
              </w:rPr>
              <w:fldChar w:fldCharType="separate"/>
            </w:r>
            <w:r w:rsidR="00F355AE">
              <w:rPr>
                <w:noProof/>
                <w:webHidden/>
              </w:rPr>
              <w:t>54</w:t>
            </w:r>
            <w:r>
              <w:rPr>
                <w:noProof/>
                <w:webHidden/>
              </w:rPr>
              <w:fldChar w:fldCharType="end"/>
            </w:r>
          </w:hyperlink>
        </w:p>
        <w:p w14:paraId="3CA0ADE6" w14:textId="5F3B875A" w:rsidR="004631CD" w:rsidRDefault="004631CD">
          <w:pPr>
            <w:pStyle w:val="TM1"/>
            <w:rPr>
              <w:rFonts w:asciiTheme="minorHAnsi" w:eastAsiaTheme="minorEastAsia" w:hAnsiTheme="minorHAnsi" w:cstheme="minorBidi"/>
              <w:noProof/>
              <w:kern w:val="2"/>
              <w:sz w:val="24"/>
              <w:szCs w:val="24"/>
              <w:lang w:val="fr-FR" w:eastAsia="fr-FR"/>
              <w14:ligatures w14:val="standardContextual"/>
            </w:rPr>
          </w:pPr>
          <w:hyperlink w:anchor="_Toc241670331" w:history="1">
            <w:r w:rsidRPr="009145E9">
              <w:rPr>
                <w:rStyle w:val="Hyperlien"/>
                <w:noProof/>
              </w:rPr>
              <w:t>10.</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Échéancier préliminaire</w:t>
            </w:r>
            <w:r>
              <w:rPr>
                <w:noProof/>
                <w:webHidden/>
              </w:rPr>
              <w:tab/>
            </w:r>
            <w:r>
              <w:rPr>
                <w:noProof/>
                <w:webHidden/>
              </w:rPr>
              <w:fldChar w:fldCharType="begin"/>
            </w:r>
            <w:r>
              <w:rPr>
                <w:noProof/>
                <w:webHidden/>
              </w:rPr>
              <w:instrText xml:space="preserve"> PAGEREF _Toc241670331 \h </w:instrText>
            </w:r>
            <w:r>
              <w:rPr>
                <w:noProof/>
                <w:webHidden/>
              </w:rPr>
            </w:r>
            <w:r>
              <w:rPr>
                <w:noProof/>
                <w:webHidden/>
              </w:rPr>
              <w:fldChar w:fldCharType="separate"/>
            </w:r>
            <w:r w:rsidR="00F355AE">
              <w:rPr>
                <w:noProof/>
                <w:webHidden/>
              </w:rPr>
              <w:t>55</w:t>
            </w:r>
            <w:r>
              <w:rPr>
                <w:noProof/>
                <w:webHidden/>
              </w:rPr>
              <w:fldChar w:fldCharType="end"/>
            </w:r>
          </w:hyperlink>
        </w:p>
        <w:p w14:paraId="4B9B343D" w14:textId="4F06A91F" w:rsidR="004631CD" w:rsidRDefault="004631CD">
          <w:pPr>
            <w:pStyle w:val="TM2"/>
            <w:tabs>
              <w:tab w:val="left" w:pos="1860"/>
            </w:tabs>
            <w:rPr>
              <w:rFonts w:asciiTheme="minorHAnsi" w:eastAsiaTheme="minorEastAsia" w:hAnsiTheme="minorHAnsi" w:cstheme="minorBidi"/>
              <w:noProof/>
              <w:kern w:val="2"/>
              <w:sz w:val="24"/>
              <w:szCs w:val="24"/>
              <w:lang w:val="fr-FR" w:eastAsia="fr-FR"/>
              <w14:ligatures w14:val="standardContextual"/>
            </w:rPr>
          </w:pPr>
          <w:hyperlink w:anchor="_Toc241670333" w:history="1">
            <w:r w:rsidRPr="009145E9">
              <w:rPr>
                <w:rStyle w:val="Hyperlien"/>
                <w:noProof/>
              </w:rPr>
              <w:t>10.1</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Structure de découpage du projet</w:t>
            </w:r>
            <w:r>
              <w:rPr>
                <w:noProof/>
                <w:webHidden/>
              </w:rPr>
              <w:tab/>
            </w:r>
            <w:r>
              <w:rPr>
                <w:noProof/>
                <w:webHidden/>
              </w:rPr>
              <w:fldChar w:fldCharType="begin"/>
            </w:r>
            <w:r>
              <w:rPr>
                <w:noProof/>
                <w:webHidden/>
              </w:rPr>
              <w:instrText xml:space="preserve"> PAGEREF _Toc241670333 \h </w:instrText>
            </w:r>
            <w:r>
              <w:rPr>
                <w:noProof/>
                <w:webHidden/>
              </w:rPr>
            </w:r>
            <w:r>
              <w:rPr>
                <w:noProof/>
                <w:webHidden/>
              </w:rPr>
              <w:fldChar w:fldCharType="separate"/>
            </w:r>
            <w:r w:rsidR="00F355AE">
              <w:rPr>
                <w:noProof/>
                <w:webHidden/>
              </w:rPr>
              <w:t>55</w:t>
            </w:r>
            <w:r>
              <w:rPr>
                <w:noProof/>
                <w:webHidden/>
              </w:rPr>
              <w:fldChar w:fldCharType="end"/>
            </w:r>
          </w:hyperlink>
        </w:p>
        <w:p w14:paraId="61FC7640" w14:textId="16D5702A" w:rsidR="004631CD" w:rsidRDefault="004631CD">
          <w:pPr>
            <w:pStyle w:val="TM2"/>
            <w:tabs>
              <w:tab w:val="left" w:pos="1860"/>
            </w:tabs>
            <w:rPr>
              <w:rFonts w:asciiTheme="minorHAnsi" w:eastAsiaTheme="minorEastAsia" w:hAnsiTheme="minorHAnsi" w:cstheme="minorBidi"/>
              <w:noProof/>
              <w:kern w:val="2"/>
              <w:sz w:val="24"/>
              <w:szCs w:val="24"/>
              <w:lang w:val="fr-FR" w:eastAsia="fr-FR"/>
              <w14:ligatures w14:val="standardContextual"/>
            </w:rPr>
          </w:pPr>
          <w:hyperlink w:anchor="_Toc241670339" w:history="1">
            <w:r w:rsidRPr="009145E9">
              <w:rPr>
                <w:rStyle w:val="Hyperlien"/>
                <w:noProof/>
              </w:rPr>
              <w:t>10.2</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Base de calendrier et capacité de l’équipe</w:t>
            </w:r>
            <w:r>
              <w:rPr>
                <w:noProof/>
                <w:webHidden/>
              </w:rPr>
              <w:tab/>
            </w:r>
            <w:r>
              <w:rPr>
                <w:noProof/>
                <w:webHidden/>
              </w:rPr>
              <w:fldChar w:fldCharType="begin"/>
            </w:r>
            <w:r>
              <w:rPr>
                <w:noProof/>
                <w:webHidden/>
              </w:rPr>
              <w:instrText xml:space="preserve"> PAGEREF _Toc241670339 \h </w:instrText>
            </w:r>
            <w:r>
              <w:rPr>
                <w:noProof/>
                <w:webHidden/>
              </w:rPr>
            </w:r>
            <w:r>
              <w:rPr>
                <w:noProof/>
                <w:webHidden/>
              </w:rPr>
              <w:fldChar w:fldCharType="separate"/>
            </w:r>
            <w:r w:rsidR="00F355AE">
              <w:rPr>
                <w:noProof/>
                <w:webHidden/>
              </w:rPr>
              <w:t>56</w:t>
            </w:r>
            <w:r>
              <w:rPr>
                <w:noProof/>
                <w:webHidden/>
              </w:rPr>
              <w:fldChar w:fldCharType="end"/>
            </w:r>
          </w:hyperlink>
        </w:p>
        <w:p w14:paraId="0EE88F4B" w14:textId="550DC833" w:rsidR="004631CD" w:rsidRDefault="004631CD">
          <w:pPr>
            <w:pStyle w:val="TM2"/>
            <w:tabs>
              <w:tab w:val="left" w:pos="1860"/>
            </w:tabs>
            <w:rPr>
              <w:rFonts w:asciiTheme="minorHAnsi" w:eastAsiaTheme="minorEastAsia" w:hAnsiTheme="minorHAnsi" w:cstheme="minorBidi"/>
              <w:noProof/>
              <w:kern w:val="2"/>
              <w:sz w:val="24"/>
              <w:szCs w:val="24"/>
              <w:lang w:val="fr-FR" w:eastAsia="fr-FR"/>
              <w14:ligatures w14:val="standardContextual"/>
            </w:rPr>
          </w:pPr>
          <w:hyperlink w:anchor="_Toc241670343" w:history="1">
            <w:r w:rsidRPr="009145E9">
              <w:rPr>
                <w:rStyle w:val="Hyperlien"/>
                <w:noProof/>
              </w:rPr>
              <w:t>10.3</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Découpage en phases, jalons et livrables</w:t>
            </w:r>
            <w:r>
              <w:rPr>
                <w:noProof/>
                <w:webHidden/>
              </w:rPr>
              <w:tab/>
            </w:r>
            <w:r>
              <w:rPr>
                <w:noProof/>
                <w:webHidden/>
              </w:rPr>
              <w:fldChar w:fldCharType="begin"/>
            </w:r>
            <w:r>
              <w:rPr>
                <w:noProof/>
                <w:webHidden/>
              </w:rPr>
              <w:instrText xml:space="preserve"> PAGEREF _Toc241670343 \h </w:instrText>
            </w:r>
            <w:r>
              <w:rPr>
                <w:noProof/>
                <w:webHidden/>
              </w:rPr>
            </w:r>
            <w:r>
              <w:rPr>
                <w:noProof/>
                <w:webHidden/>
              </w:rPr>
              <w:fldChar w:fldCharType="separate"/>
            </w:r>
            <w:r w:rsidR="00F355AE">
              <w:rPr>
                <w:noProof/>
                <w:webHidden/>
              </w:rPr>
              <w:t>56</w:t>
            </w:r>
            <w:r>
              <w:rPr>
                <w:noProof/>
                <w:webHidden/>
              </w:rPr>
              <w:fldChar w:fldCharType="end"/>
            </w:r>
          </w:hyperlink>
        </w:p>
        <w:p w14:paraId="31889A80" w14:textId="29F407BA" w:rsidR="004631CD" w:rsidRDefault="004631CD">
          <w:pPr>
            <w:pStyle w:val="TM2"/>
            <w:tabs>
              <w:tab w:val="left" w:pos="1860"/>
            </w:tabs>
            <w:rPr>
              <w:rFonts w:asciiTheme="minorHAnsi" w:eastAsiaTheme="minorEastAsia" w:hAnsiTheme="minorHAnsi" w:cstheme="minorBidi"/>
              <w:noProof/>
              <w:kern w:val="2"/>
              <w:sz w:val="24"/>
              <w:szCs w:val="24"/>
              <w:lang w:val="fr-FR" w:eastAsia="fr-FR"/>
              <w14:ligatures w14:val="standardContextual"/>
            </w:rPr>
          </w:pPr>
          <w:hyperlink w:anchor="_Toc241670349" w:history="1">
            <w:r w:rsidRPr="009145E9">
              <w:rPr>
                <w:rStyle w:val="Hyperlien"/>
                <w:noProof/>
              </w:rPr>
              <w:t>10.4</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Représentation graphique</w:t>
            </w:r>
            <w:r>
              <w:rPr>
                <w:noProof/>
                <w:webHidden/>
              </w:rPr>
              <w:tab/>
            </w:r>
            <w:r>
              <w:rPr>
                <w:noProof/>
                <w:webHidden/>
              </w:rPr>
              <w:fldChar w:fldCharType="begin"/>
            </w:r>
            <w:r>
              <w:rPr>
                <w:noProof/>
                <w:webHidden/>
              </w:rPr>
              <w:instrText xml:space="preserve"> PAGEREF _Toc241670349 \h </w:instrText>
            </w:r>
            <w:r>
              <w:rPr>
                <w:noProof/>
                <w:webHidden/>
              </w:rPr>
            </w:r>
            <w:r>
              <w:rPr>
                <w:noProof/>
                <w:webHidden/>
              </w:rPr>
              <w:fldChar w:fldCharType="separate"/>
            </w:r>
            <w:r w:rsidR="00F355AE">
              <w:rPr>
                <w:noProof/>
                <w:webHidden/>
              </w:rPr>
              <w:t>57</w:t>
            </w:r>
            <w:r>
              <w:rPr>
                <w:noProof/>
                <w:webHidden/>
              </w:rPr>
              <w:fldChar w:fldCharType="end"/>
            </w:r>
          </w:hyperlink>
        </w:p>
        <w:p w14:paraId="1E6C96ED" w14:textId="52FD9189" w:rsidR="004631CD" w:rsidRDefault="004631CD">
          <w:pPr>
            <w:pStyle w:val="TM4"/>
            <w:tabs>
              <w:tab w:val="right" w:leader="dot" w:pos="8828"/>
            </w:tabs>
            <w:rPr>
              <w:rFonts w:asciiTheme="minorHAnsi" w:eastAsiaTheme="minorEastAsia" w:hAnsiTheme="minorHAnsi" w:cstheme="minorBidi"/>
              <w:noProof/>
              <w:kern w:val="2"/>
              <w:sz w:val="24"/>
              <w:szCs w:val="24"/>
              <w:lang w:val="fr-FR" w:eastAsia="fr-FR"/>
              <w14:ligatures w14:val="standardContextual"/>
            </w:rPr>
          </w:pPr>
          <w:hyperlink w:anchor="_Toc241670357" w:history="1">
            <w:r w:rsidRPr="009145E9">
              <w:rPr>
                <w:rStyle w:val="Hyperlien"/>
                <w:noProof/>
                <w:lang w:eastAsia="en-US"/>
              </w:rPr>
              <w:t>Conclusion</w:t>
            </w:r>
            <w:r>
              <w:rPr>
                <w:noProof/>
                <w:webHidden/>
              </w:rPr>
              <w:tab/>
            </w:r>
            <w:r>
              <w:rPr>
                <w:noProof/>
                <w:webHidden/>
              </w:rPr>
              <w:fldChar w:fldCharType="begin"/>
            </w:r>
            <w:r>
              <w:rPr>
                <w:noProof/>
                <w:webHidden/>
              </w:rPr>
              <w:instrText xml:space="preserve"> PAGEREF _Toc241670357 \h </w:instrText>
            </w:r>
            <w:r>
              <w:rPr>
                <w:noProof/>
                <w:webHidden/>
              </w:rPr>
            </w:r>
            <w:r>
              <w:rPr>
                <w:noProof/>
                <w:webHidden/>
              </w:rPr>
              <w:fldChar w:fldCharType="separate"/>
            </w:r>
            <w:r w:rsidR="00F355AE">
              <w:rPr>
                <w:noProof/>
                <w:webHidden/>
              </w:rPr>
              <w:t>58</w:t>
            </w:r>
            <w:r>
              <w:rPr>
                <w:noProof/>
                <w:webHidden/>
              </w:rPr>
              <w:fldChar w:fldCharType="end"/>
            </w:r>
          </w:hyperlink>
        </w:p>
        <w:p w14:paraId="711C0A05" w14:textId="7A68FED4" w:rsidR="006D5CA3" w:rsidRPr="004631CD" w:rsidRDefault="004631CD" w:rsidP="004631CD">
          <w:pPr>
            <w:pStyle w:val="TM1"/>
            <w:rPr>
              <w:rFonts w:asciiTheme="minorHAnsi" w:eastAsiaTheme="minorEastAsia" w:hAnsiTheme="minorHAnsi" w:cstheme="minorBidi"/>
              <w:noProof/>
              <w:kern w:val="2"/>
              <w:sz w:val="24"/>
              <w:szCs w:val="24"/>
              <w:lang w:val="fr-FR" w:eastAsia="fr-FR"/>
              <w14:ligatures w14:val="standardContextual"/>
            </w:rPr>
          </w:pPr>
          <w:hyperlink w:anchor="_Toc241670361" w:history="1">
            <w:r w:rsidRPr="009145E9">
              <w:rPr>
                <w:rStyle w:val="Hyperlien"/>
                <w:noProof/>
              </w:rPr>
              <w:t>11.</w:t>
            </w:r>
            <w:r>
              <w:rPr>
                <w:rFonts w:asciiTheme="minorHAnsi" w:eastAsiaTheme="minorEastAsia" w:hAnsiTheme="minorHAnsi" w:cstheme="minorBidi"/>
                <w:noProof/>
                <w:kern w:val="2"/>
                <w:sz w:val="24"/>
                <w:szCs w:val="24"/>
                <w:lang w:val="fr-FR" w:eastAsia="fr-FR"/>
                <w14:ligatures w14:val="standardContextual"/>
              </w:rPr>
              <w:tab/>
            </w:r>
            <w:r w:rsidRPr="009145E9">
              <w:rPr>
                <w:rStyle w:val="Hyperlien"/>
                <w:noProof/>
              </w:rPr>
              <w:t>Références pertinentes a projet</w:t>
            </w:r>
            <w:r>
              <w:rPr>
                <w:noProof/>
                <w:webHidden/>
              </w:rPr>
              <w:tab/>
            </w:r>
            <w:r>
              <w:rPr>
                <w:noProof/>
                <w:webHidden/>
              </w:rPr>
              <w:fldChar w:fldCharType="begin"/>
            </w:r>
            <w:r>
              <w:rPr>
                <w:noProof/>
                <w:webHidden/>
              </w:rPr>
              <w:instrText xml:space="preserve"> PAGEREF _Toc241670361 \h </w:instrText>
            </w:r>
            <w:r>
              <w:rPr>
                <w:noProof/>
                <w:webHidden/>
              </w:rPr>
            </w:r>
            <w:r>
              <w:rPr>
                <w:noProof/>
                <w:webHidden/>
              </w:rPr>
              <w:fldChar w:fldCharType="separate"/>
            </w:r>
            <w:r w:rsidR="00F355AE">
              <w:rPr>
                <w:noProof/>
                <w:webHidden/>
              </w:rPr>
              <w:t>59</w:t>
            </w:r>
            <w:r>
              <w:rPr>
                <w:noProof/>
                <w:webHidden/>
              </w:rPr>
              <w:fldChar w:fldCharType="end"/>
            </w:r>
          </w:hyperlink>
          <w:r w:rsidR="006D5CA3">
            <w:rPr>
              <w:b/>
              <w:bCs/>
            </w:rPr>
            <w:fldChar w:fldCharType="end"/>
          </w:r>
        </w:p>
      </w:sdtContent>
    </w:sdt>
    <w:p w14:paraId="5BB9580D" w14:textId="77777777" w:rsidR="006D5CA3" w:rsidRPr="00BE4F47" w:rsidRDefault="006D5CA3" w:rsidP="008E113B">
      <w:pPr>
        <w:spacing w:line="360" w:lineRule="auto"/>
        <w:ind w:left="0"/>
        <w:outlineLvl w:val="9"/>
        <w:rPr>
          <w:rFonts w:ascii="Aptos" w:hAnsi="Aptos"/>
        </w:rPr>
      </w:pPr>
    </w:p>
    <w:p w14:paraId="7073DCD6" w14:textId="77777777" w:rsidR="00F50D70" w:rsidRPr="00BE4F47" w:rsidRDefault="00F50D70" w:rsidP="008E113B">
      <w:pPr>
        <w:pStyle w:val="Sous-titre"/>
        <w:pBdr>
          <w:bottom w:val="nil"/>
        </w:pBdr>
        <w:spacing w:line="360" w:lineRule="auto"/>
        <w:rPr>
          <w:rFonts w:ascii="Aptos" w:hAnsi="Aptos" w:cs="Times"/>
          <w:i w:val="0"/>
          <w:sz w:val="24"/>
          <w:szCs w:val="40"/>
        </w:rPr>
      </w:pPr>
    </w:p>
    <w:p w14:paraId="27EBF016" w14:textId="77777777" w:rsidR="00F50D70" w:rsidRPr="00BE4F47" w:rsidRDefault="00137D7F" w:rsidP="008E113B">
      <w:pPr>
        <w:pStyle w:val="Titre4"/>
        <w:spacing w:line="360" w:lineRule="auto"/>
        <w:rPr>
          <w:rFonts w:eastAsia="DengXian Light"/>
          <w:color w:val="2F5496"/>
          <w:sz w:val="32"/>
          <w:szCs w:val="32"/>
          <w:lang w:eastAsia="en-US"/>
        </w:rPr>
      </w:pPr>
      <w:bookmarkStart w:id="2" w:name="_Toc241669971"/>
      <w:r w:rsidRPr="00BE4F47">
        <w:rPr>
          <w:lang w:eastAsia="en-US"/>
        </w:rPr>
        <w:t>Résumé exécutif</w:t>
      </w:r>
      <w:bookmarkEnd w:id="2"/>
    </w:p>
    <w:p w14:paraId="216636AA" w14:textId="77777777" w:rsidR="00F50D70" w:rsidRPr="00BE4F47" w:rsidRDefault="00137D7F" w:rsidP="008E113B">
      <w:pPr>
        <w:spacing w:after="130" w:line="360" w:lineRule="auto"/>
        <w:ind w:left="360"/>
        <w:rPr>
          <w:rFonts w:ascii="Aptos" w:hAnsi="Aptos"/>
        </w:rPr>
      </w:pPr>
      <w:bookmarkStart w:id="3" w:name="_Toc241082759"/>
      <w:bookmarkStart w:id="4" w:name="_Toc241669972"/>
      <w:r w:rsidRPr="00BE4F47">
        <w:rPr>
          <w:rFonts w:ascii="Aptos" w:eastAsia="Calibri" w:hAnsi="Aptos" w:cs="Calibri"/>
          <w:color w:val="1A1A19"/>
          <w:sz w:val="20"/>
          <w:szCs w:val="20"/>
        </w:rPr>
        <w:t>Hydro-Québec, client fictif du scénario de cours, envisage la remise en service de la centrale Gentilly-2. Une telle décision suppose de comprendre le comportement des systèmes de la centrale dans des conditions que l’on ne peut pas provoquer sur une installation réelle sans risque. Le projet répond à ce besoin par un jumeau numérique de surveillance appliqué à une boucle thermohydraulique simplifiée, inspirée du système de refroidissement.</w:t>
      </w:r>
      <w:bookmarkEnd w:id="3"/>
      <w:bookmarkEnd w:id="4"/>
    </w:p>
    <w:p w14:paraId="694BD3D9" w14:textId="77777777" w:rsidR="00F50D70" w:rsidRPr="00BE4F47" w:rsidRDefault="00137D7F" w:rsidP="008E113B">
      <w:pPr>
        <w:spacing w:after="130" w:line="360" w:lineRule="auto"/>
        <w:ind w:left="360"/>
        <w:rPr>
          <w:rFonts w:ascii="Aptos" w:hAnsi="Aptos"/>
        </w:rPr>
      </w:pPr>
      <w:bookmarkStart w:id="5" w:name="_Toc241082760"/>
      <w:bookmarkStart w:id="6" w:name="_Toc241669973"/>
      <w:r w:rsidRPr="00BE4F47">
        <w:rPr>
          <w:rFonts w:ascii="Aptos" w:eastAsia="Calibri" w:hAnsi="Aptos" w:cs="Calibri"/>
          <w:color w:val="1A1A19"/>
          <w:sz w:val="20"/>
          <w:szCs w:val="20"/>
        </w:rPr>
        <w:t>Le problème à résoudre tient en deux points : étudier des scénarios de défaillance de façon reproductible, et savoir dans quelles conditions les informations produites par un modèle numérique sont assez fiables pour servir d’aide à la décision.</w:t>
      </w:r>
      <w:bookmarkEnd w:id="5"/>
      <w:bookmarkEnd w:id="6"/>
    </w:p>
    <w:p w14:paraId="1D0B1F99" w14:textId="6199C777" w:rsidR="00F50D70" w:rsidRPr="00BE4F47" w:rsidRDefault="00137D7F" w:rsidP="008E113B">
      <w:pPr>
        <w:spacing w:after="130" w:line="360" w:lineRule="auto"/>
        <w:ind w:left="360"/>
        <w:rPr>
          <w:rFonts w:ascii="Aptos" w:hAnsi="Aptos"/>
        </w:rPr>
      </w:pPr>
      <w:bookmarkStart w:id="7" w:name="_Toc241082761"/>
      <w:bookmarkStart w:id="8" w:name="_Toc241669974"/>
      <w:r w:rsidRPr="00BE4F47">
        <w:rPr>
          <w:rFonts w:ascii="Aptos" w:eastAsia="Calibri" w:hAnsi="Aptos" w:cs="Calibri"/>
          <w:color w:val="1A1A19"/>
          <w:sz w:val="20"/>
          <w:szCs w:val="20"/>
        </w:rPr>
        <w:lastRenderedPageBreak/>
        <w:t xml:space="preserve">L’objectif directeur est de démontrer, sur un prototype vérifié et validé, qu’un jumeau numérique peut détecter une dérive sur trois variables de procédé, exprimer son niveau de confiance, et déclarer explicitement son incertitude, </w:t>
      </w:r>
      <w:r w:rsidR="00F355AE" w:rsidRPr="00BE4F47">
        <w:rPr>
          <w:rFonts w:ascii="Aptos" w:eastAsia="Calibri" w:hAnsi="Aptos" w:cs="Calibri"/>
          <w:color w:val="1A1A19"/>
          <w:sz w:val="20"/>
          <w:szCs w:val="20"/>
        </w:rPr>
        <w:t>la décision demeurante</w:t>
      </w:r>
      <w:r w:rsidRPr="00BE4F47">
        <w:rPr>
          <w:rFonts w:ascii="Aptos" w:eastAsia="Calibri" w:hAnsi="Aptos" w:cs="Calibri"/>
          <w:color w:val="1A1A19"/>
          <w:sz w:val="20"/>
          <w:szCs w:val="20"/>
        </w:rPr>
        <w:t xml:space="preserve"> celle de l’opérateur.</w:t>
      </w:r>
      <w:bookmarkEnd w:id="7"/>
      <w:bookmarkEnd w:id="8"/>
    </w:p>
    <w:p w14:paraId="4EC7FC69" w14:textId="77777777" w:rsidR="00F50D70" w:rsidRPr="00BE4F47" w:rsidRDefault="00137D7F" w:rsidP="008E113B">
      <w:pPr>
        <w:spacing w:after="130" w:line="360" w:lineRule="auto"/>
        <w:ind w:left="360"/>
        <w:rPr>
          <w:rFonts w:ascii="Aptos" w:hAnsi="Aptos"/>
        </w:rPr>
      </w:pPr>
      <w:bookmarkStart w:id="9" w:name="_Toc241082762"/>
      <w:bookmarkStart w:id="10" w:name="_Toc241669975"/>
      <w:r w:rsidRPr="00BE4F47">
        <w:rPr>
          <w:rFonts w:ascii="Aptos" w:eastAsia="Calibri" w:hAnsi="Aptos" w:cs="Calibri"/>
          <w:color w:val="1A1A19"/>
          <w:sz w:val="20"/>
          <w:szCs w:val="20"/>
        </w:rPr>
        <w:t>L’impact principal du projet est la protection du public. Les scénarios dangereux sont étudiés sur un modèle plutôt que sur une installation, et le système annonce ses limites au lieu de présenter un état incertain comme normal. Cet impact est détaillé à la section 7.</w:t>
      </w:r>
      <w:bookmarkEnd w:id="9"/>
      <w:bookmarkEnd w:id="10"/>
    </w:p>
    <w:p w14:paraId="692B1B17" w14:textId="77777777" w:rsidR="00F50D70" w:rsidRPr="00BE4F47" w:rsidRDefault="00137D7F" w:rsidP="008E113B">
      <w:pPr>
        <w:spacing w:after="130" w:line="360" w:lineRule="auto"/>
        <w:ind w:left="360"/>
        <w:rPr>
          <w:rFonts w:ascii="Aptos" w:hAnsi="Aptos"/>
        </w:rPr>
      </w:pPr>
      <w:bookmarkStart w:id="11" w:name="_Toc241082763"/>
      <w:bookmarkStart w:id="12" w:name="_Toc241669976"/>
      <w:r w:rsidRPr="00BE4F47">
        <w:rPr>
          <w:rFonts w:ascii="Aptos" w:eastAsia="Calibri" w:hAnsi="Aptos" w:cs="Calibri"/>
          <w:color w:val="1A1A19"/>
          <w:sz w:val="20"/>
          <w:szCs w:val="20"/>
        </w:rPr>
        <w:t>Le mandat mobilise huit ingénieurs pour 1 080 heures. Le coût du mandat s’établit à 59 400 $, contingence de 10 % comprise. Avec la réserve du propriétaire, l’estimé initial total est de 62 370 $. L’estimation est de classe 5 au sens de l’AACE, avec la fourchette que cette classe implique.</w:t>
      </w:r>
      <w:bookmarkEnd w:id="11"/>
      <w:bookmarkEnd w:id="12"/>
    </w:p>
    <w:p w14:paraId="35BB1E1E" w14:textId="77777777" w:rsidR="00F50D70" w:rsidRPr="00BE4F47" w:rsidRDefault="00137D7F" w:rsidP="008E113B">
      <w:pPr>
        <w:spacing w:after="130" w:line="360" w:lineRule="auto"/>
        <w:ind w:left="360"/>
        <w:rPr>
          <w:rFonts w:ascii="Aptos" w:hAnsi="Aptos"/>
        </w:rPr>
      </w:pPr>
      <w:bookmarkStart w:id="13" w:name="_Toc241082764"/>
      <w:bookmarkStart w:id="14" w:name="_Toc241669977"/>
      <w:r w:rsidRPr="00BE4F47">
        <w:rPr>
          <w:rFonts w:ascii="Aptos" w:eastAsia="Calibri" w:hAnsi="Aptos" w:cs="Calibri"/>
          <w:color w:val="1A1A19"/>
          <w:sz w:val="20"/>
          <w:szCs w:val="20"/>
        </w:rPr>
        <w:t>L’équipe formule trois recommandations : accepter le mandat dans le périmètre défini à la section 1 ; conserver un banc d’essai numérique plutôt qu’une boucle physique, un banc physique faisant basculer le projet dans une autre classe de budget ; maintenir les activités de vérification et de validation avant toute réduction de contenu si les ressources deviennent insuffisantes.</w:t>
      </w:r>
      <w:bookmarkEnd w:id="13"/>
      <w:bookmarkEnd w:id="14"/>
    </w:p>
    <w:p w14:paraId="667F39CA" w14:textId="77777777" w:rsidR="00F50D70" w:rsidRPr="00136F18" w:rsidRDefault="00137D7F" w:rsidP="008E113B">
      <w:pPr>
        <w:spacing w:after="130" w:line="360" w:lineRule="auto"/>
        <w:ind w:left="360"/>
        <w:rPr>
          <w:rFonts w:ascii="Aptos" w:hAnsi="Aptos"/>
        </w:rPr>
      </w:pPr>
      <w:bookmarkStart w:id="15" w:name="_Toc241082765"/>
      <w:bookmarkStart w:id="16" w:name="_Toc241669978"/>
      <w:r w:rsidRPr="00BE4F47">
        <w:rPr>
          <w:rFonts w:ascii="Aptos" w:eastAsia="Calibri" w:hAnsi="Aptos" w:cs="Calibri"/>
          <w:color w:val="1A1A19"/>
          <w:sz w:val="20"/>
          <w:szCs w:val="20"/>
        </w:rPr>
        <w:t>Le projet est jugé faisable dans l’enveloppe de 1 080 heures, à trois conditions : le gel des exigences au jalon J1, le maintien de l’effectif de huit membres, et l’acceptation par le client du domaine de validité annoncé à la section 2.</w:t>
      </w:r>
      <w:bookmarkEnd w:id="15"/>
      <w:bookmarkEnd w:id="16"/>
    </w:p>
    <w:p w14:paraId="39D8F2DE" w14:textId="77777777" w:rsidR="00F50D70" w:rsidRPr="00BE4F47" w:rsidRDefault="00F50D70" w:rsidP="008E113B">
      <w:pPr>
        <w:spacing w:line="360" w:lineRule="auto"/>
        <w:rPr>
          <w:rFonts w:ascii="Aptos" w:eastAsia="Times New Roman" w:hAnsi="Aptos" w:cs="Times New Roman"/>
          <w:b/>
          <w:bCs/>
          <w:kern w:val="2"/>
          <w:sz w:val="24"/>
          <w:szCs w:val="24"/>
          <w:lang w:val="fr-FR" w:eastAsia="en-US"/>
        </w:rPr>
      </w:pPr>
    </w:p>
    <w:p w14:paraId="52EA0B7C" w14:textId="77777777" w:rsidR="00F50D70" w:rsidRPr="00BE4F47" w:rsidRDefault="00137D7F" w:rsidP="008E113B">
      <w:pPr>
        <w:pStyle w:val="Sous-titre"/>
        <w:pBdr>
          <w:bottom w:val="nil"/>
        </w:pBdr>
        <w:spacing w:line="360" w:lineRule="auto"/>
        <w:rPr>
          <w:rFonts w:ascii="Aptos" w:eastAsia="Arial" w:hAnsi="Aptos"/>
          <w:sz w:val="24"/>
        </w:rPr>
      </w:pPr>
      <w:r w:rsidRPr="00BE4F47">
        <w:rPr>
          <w:rFonts w:ascii="Aptos" w:eastAsia="Arial" w:hAnsi="Aptos"/>
          <w:sz w:val="24"/>
        </w:rPr>
        <w:t xml:space="preserve"> </w:t>
      </w:r>
      <w:r w:rsidRPr="00BE4F47">
        <w:rPr>
          <w:rFonts w:ascii="Aptos" w:hAnsi="Aptos"/>
        </w:rPr>
        <w:br w:type="page"/>
      </w:r>
    </w:p>
    <w:p w14:paraId="77C76FE8" w14:textId="77777777" w:rsidR="00F50D70" w:rsidRPr="00BE4F47" w:rsidRDefault="00F50D70" w:rsidP="008E113B">
      <w:pPr>
        <w:spacing w:line="360" w:lineRule="auto"/>
        <w:ind w:left="0"/>
        <w:outlineLvl w:val="9"/>
        <w:rPr>
          <w:rFonts w:ascii="Aptos" w:hAnsi="Aptos"/>
          <w:sz w:val="24"/>
        </w:rPr>
      </w:pPr>
    </w:p>
    <w:p w14:paraId="391D0BA5" w14:textId="77777777" w:rsidR="00F50D70" w:rsidRPr="00BE4F47" w:rsidRDefault="00137D7F" w:rsidP="008E113B">
      <w:pPr>
        <w:pStyle w:val="Titre1"/>
        <w:spacing w:line="360" w:lineRule="auto"/>
        <w:rPr>
          <w:rFonts w:ascii="Aptos" w:hAnsi="Aptos"/>
        </w:rPr>
      </w:pPr>
      <w:bookmarkStart w:id="17" w:name="__RefHeading___Toc240715054"/>
      <w:bookmarkStart w:id="18" w:name="_Toc241669979"/>
      <w:bookmarkEnd w:id="17"/>
      <w:r w:rsidRPr="00BE4F47">
        <w:rPr>
          <w:rFonts w:ascii="Aptos" w:hAnsi="Aptos"/>
        </w:rPr>
        <w:t>Analyse des besoins du client et des exigences des différents intervenants</w:t>
      </w:r>
      <w:bookmarkEnd w:id="18"/>
    </w:p>
    <w:p w14:paraId="2A54963B" w14:textId="77777777" w:rsidR="00F50D70" w:rsidRPr="00BE4F47" w:rsidRDefault="00137D7F" w:rsidP="008E113B">
      <w:pPr>
        <w:spacing w:before="200" w:after="130" w:line="360" w:lineRule="auto"/>
        <w:ind w:left="360"/>
        <w:rPr>
          <w:rFonts w:ascii="Aptos" w:hAnsi="Aptos"/>
        </w:rPr>
      </w:pPr>
      <w:bookmarkStart w:id="19" w:name="_Toc241082767"/>
      <w:bookmarkStart w:id="20" w:name="_Toc241669980"/>
      <w:r w:rsidRPr="00BE4F47">
        <w:rPr>
          <w:rFonts w:ascii="Aptos" w:hAnsi="Aptos"/>
          <w:color w:val="1A1A19"/>
          <w:sz w:val="20"/>
          <w:szCs w:val="20"/>
        </w:rPr>
        <w:t>Cette section établit ce à quoi le système doit répondre, du contexte du client jusqu’aux exigences vérifiables.</w:t>
      </w:r>
      <w:bookmarkEnd w:id="19"/>
      <w:bookmarkEnd w:id="20"/>
    </w:p>
    <w:p w14:paraId="0A140E62" w14:textId="77777777" w:rsidR="00F50D70" w:rsidRPr="00BE4F47" w:rsidRDefault="00137D7F" w:rsidP="008E113B">
      <w:pPr>
        <w:pStyle w:val="Titre2"/>
        <w:spacing w:line="360" w:lineRule="auto"/>
      </w:pPr>
      <w:bookmarkStart w:id="21" w:name="__RefHeading___Toc240715055"/>
      <w:bookmarkStart w:id="22" w:name="_Toc241669981"/>
      <w:bookmarkEnd w:id="21"/>
      <w:r w:rsidRPr="00BE4F47">
        <w:t>Contexte et mandat</w:t>
      </w:r>
      <w:bookmarkEnd w:id="22"/>
    </w:p>
    <w:p w14:paraId="3E787AE0" w14:textId="77777777" w:rsidR="00F50D70" w:rsidRPr="00BE4F47" w:rsidRDefault="00137D7F" w:rsidP="008E113B">
      <w:pPr>
        <w:spacing w:after="130" w:line="360" w:lineRule="auto"/>
        <w:ind w:left="360"/>
        <w:rPr>
          <w:rFonts w:ascii="Aptos" w:hAnsi="Aptos"/>
        </w:rPr>
      </w:pPr>
      <w:bookmarkStart w:id="23" w:name="_Toc241669982"/>
      <w:r w:rsidRPr="00BE4F47">
        <w:rPr>
          <w:rFonts w:ascii="Aptos" w:hAnsi="Aptos"/>
          <w:color w:val="1A1A19"/>
          <w:sz w:val="20"/>
          <w:szCs w:val="20"/>
        </w:rPr>
        <w:t>Le projet repose sur un scénario fictif construit pour le cours. Hydro-Québec y agit comme client fictif et envisage la remise en service de la centrale Gentilly-2. Ni le mandat ni les travaux décrits ici ne correspondent à un projet réel de l’entreprise.</w:t>
      </w:r>
      <w:bookmarkEnd w:id="23"/>
    </w:p>
    <w:p w14:paraId="2F0EC2D6" w14:textId="77777777" w:rsidR="00F50D70" w:rsidRPr="00BE4F47" w:rsidRDefault="00137D7F" w:rsidP="008E113B">
      <w:pPr>
        <w:spacing w:after="130" w:line="360" w:lineRule="auto"/>
        <w:ind w:left="360"/>
        <w:rPr>
          <w:rFonts w:ascii="Aptos" w:hAnsi="Aptos"/>
        </w:rPr>
      </w:pPr>
      <w:bookmarkStart w:id="24" w:name="_Toc241082770"/>
      <w:bookmarkStart w:id="25" w:name="_Toc241669983"/>
      <w:r w:rsidRPr="00BE4F47">
        <w:rPr>
          <w:rFonts w:ascii="Aptos" w:hAnsi="Aptos"/>
          <w:color w:val="1A1A19"/>
          <w:sz w:val="20"/>
          <w:szCs w:val="20"/>
        </w:rPr>
        <w:t>Après un long arrêt, une remise en service pose des questions sur le comportement des systèmes dans différentes conditions. Certains scénarios de défaillance sont risqués à reproduire sur une installation réelle. Le client a besoin d’un moyen de les étudier sans exposer les équipements, les travailleurs ou le public.</w:t>
      </w:r>
      <w:bookmarkEnd w:id="24"/>
      <w:bookmarkEnd w:id="25"/>
    </w:p>
    <w:p w14:paraId="64554EF3" w14:textId="77777777" w:rsidR="00F50D70" w:rsidRPr="00BE4F47" w:rsidRDefault="00137D7F" w:rsidP="008E113B">
      <w:pPr>
        <w:spacing w:after="130" w:line="360" w:lineRule="auto"/>
        <w:ind w:left="360"/>
        <w:rPr>
          <w:rFonts w:ascii="Aptos" w:hAnsi="Aptos"/>
        </w:rPr>
      </w:pPr>
      <w:bookmarkStart w:id="26" w:name="_Toc241082771"/>
      <w:bookmarkStart w:id="27" w:name="_Toc241669984"/>
      <w:r w:rsidRPr="00BE4F47">
        <w:rPr>
          <w:rFonts w:ascii="Aptos" w:hAnsi="Aptos"/>
          <w:color w:val="1A1A19"/>
          <w:sz w:val="20"/>
          <w:szCs w:val="20"/>
        </w:rPr>
        <w:t>Le mandat confié à l’équipe porte sur une boucle thermohydraulique simplifiée, inspirée du système de refroidissement. Nous ne reproduirons pas l’ensemble de Gentilly-2. Nous étudierons différents états de fonctionnement à partir de trois paramètres : la température, la pression et le débit.</w:t>
      </w:r>
      <w:bookmarkEnd w:id="26"/>
      <w:bookmarkEnd w:id="27"/>
    </w:p>
    <w:p w14:paraId="44FA64E2" w14:textId="27D13F74" w:rsidR="00F50D70" w:rsidRPr="00BE4F47" w:rsidRDefault="00137D7F" w:rsidP="008E113B">
      <w:pPr>
        <w:spacing w:after="130" w:line="360" w:lineRule="auto"/>
        <w:ind w:left="360"/>
        <w:rPr>
          <w:rFonts w:ascii="Aptos" w:hAnsi="Aptos"/>
        </w:rPr>
      </w:pPr>
      <w:bookmarkStart w:id="28" w:name="_Toc241082773"/>
      <w:bookmarkStart w:id="29" w:name="_Toc241669985"/>
      <w:r w:rsidRPr="00BE4F47">
        <w:rPr>
          <w:rFonts w:ascii="Aptos" w:hAnsi="Aptos"/>
          <w:color w:val="1A1A19"/>
          <w:sz w:val="20"/>
          <w:szCs w:val="20"/>
        </w:rPr>
        <w:t xml:space="preserve">Le projet est de complexité moyenne à </w:t>
      </w:r>
      <w:r w:rsidR="00F355AE" w:rsidRPr="00BE4F47">
        <w:rPr>
          <w:rFonts w:ascii="Aptos" w:hAnsi="Aptos"/>
          <w:color w:val="1A1A19"/>
          <w:sz w:val="20"/>
          <w:szCs w:val="20"/>
        </w:rPr>
        <w:t>élever</w:t>
      </w:r>
      <w:r w:rsidRPr="00BE4F47">
        <w:rPr>
          <w:rFonts w:ascii="Aptos" w:hAnsi="Aptos"/>
          <w:color w:val="1A1A19"/>
          <w:sz w:val="20"/>
          <w:szCs w:val="20"/>
        </w:rPr>
        <w:t xml:space="preserve"> pour une équipe de premier cycle. Trois facteurs l’expliquent :</w:t>
      </w:r>
      <w:bookmarkEnd w:id="28"/>
      <w:bookmarkEnd w:id="29"/>
    </w:p>
    <w:p w14:paraId="54FD0246" w14:textId="77777777" w:rsidR="00F50D70" w:rsidRPr="00BE4F47" w:rsidRDefault="00137D7F" w:rsidP="008E113B">
      <w:pPr>
        <w:numPr>
          <w:ilvl w:val="0"/>
          <w:numId w:val="20"/>
        </w:numPr>
        <w:spacing w:after="130" w:line="360" w:lineRule="auto"/>
        <w:ind w:left="720"/>
        <w:rPr>
          <w:rFonts w:ascii="Aptos" w:hAnsi="Aptos"/>
          <w:lang w:val="fr-FR"/>
        </w:rPr>
      </w:pPr>
      <w:bookmarkStart w:id="30" w:name="_Toc241669986"/>
      <w:r w:rsidRPr="00BE4F47">
        <w:rPr>
          <w:rFonts w:ascii="Aptos" w:hAnsi="Aptos"/>
          <w:color w:val="1A1A19"/>
          <w:sz w:val="20"/>
          <w:szCs w:val="20"/>
        </w:rPr>
        <w:t>Le contenu : le prototype demande cinq disciplines, soit la thermohydraulique, le génie logiciel, la statistique, les facteurs humains et la cybersécurité. Aucune n’est optionnelle, et un défaut dans l’une fausse le résultat des autres.</w:t>
      </w:r>
      <w:bookmarkEnd w:id="30"/>
    </w:p>
    <w:p w14:paraId="094D1EE9" w14:textId="77777777" w:rsidR="00F50D70" w:rsidRPr="00BE4F47" w:rsidRDefault="00137D7F" w:rsidP="008E113B">
      <w:pPr>
        <w:numPr>
          <w:ilvl w:val="0"/>
          <w:numId w:val="20"/>
        </w:numPr>
        <w:spacing w:after="130" w:line="360" w:lineRule="auto"/>
        <w:ind w:left="720"/>
        <w:rPr>
          <w:rFonts w:ascii="Aptos" w:hAnsi="Aptos"/>
          <w:lang w:val="fr-FR"/>
        </w:rPr>
      </w:pPr>
      <w:bookmarkStart w:id="31" w:name="_Toc241669987"/>
      <w:r w:rsidRPr="00BE4F47">
        <w:rPr>
          <w:rFonts w:ascii="Aptos" w:hAnsi="Aptos"/>
          <w:color w:val="1A1A19"/>
          <w:sz w:val="20"/>
          <w:szCs w:val="20"/>
        </w:rPr>
        <w:t>L’organisation : nous sommes huit à travailler sur ce projet, en parallèle de nos autres cours. La coordination demande un effort à part entière.</w:t>
      </w:r>
      <w:bookmarkEnd w:id="31"/>
    </w:p>
    <w:p w14:paraId="6EA77E33" w14:textId="77777777" w:rsidR="00F50D70" w:rsidRPr="00BE4F47" w:rsidRDefault="00137D7F" w:rsidP="008E113B">
      <w:pPr>
        <w:numPr>
          <w:ilvl w:val="0"/>
          <w:numId w:val="20"/>
        </w:numPr>
        <w:spacing w:after="130" w:line="360" w:lineRule="auto"/>
        <w:ind w:left="720"/>
        <w:rPr>
          <w:rFonts w:ascii="Aptos" w:hAnsi="Aptos"/>
          <w:lang w:val="fr-FR"/>
        </w:rPr>
      </w:pPr>
      <w:bookmarkStart w:id="32" w:name="_Toc241669988"/>
      <w:r w:rsidRPr="00BE4F47">
        <w:rPr>
          <w:rFonts w:ascii="Aptos" w:hAnsi="Aptos"/>
          <w:color w:val="1A1A19"/>
          <w:sz w:val="20"/>
          <w:szCs w:val="20"/>
        </w:rPr>
        <w:t>La validation : faute de banc physique, le jumeau sera comparé à un autre modèle numérique. La démonstration portera donc sur la cohérence entre deux modèles, pas sur une mesure réelle. Nous le signalerons dans nos conclusions.</w:t>
      </w:r>
      <w:bookmarkEnd w:id="32"/>
    </w:p>
    <w:p w14:paraId="2AA15527" w14:textId="77777777" w:rsidR="00F50D70" w:rsidRPr="00BE4F47" w:rsidRDefault="00137D7F" w:rsidP="008E113B">
      <w:pPr>
        <w:spacing w:after="130" w:line="360" w:lineRule="auto"/>
        <w:ind w:left="360"/>
        <w:rPr>
          <w:rFonts w:ascii="Aptos" w:hAnsi="Aptos"/>
        </w:rPr>
      </w:pPr>
      <w:bookmarkStart w:id="33" w:name="_Toc241082774"/>
      <w:bookmarkStart w:id="34" w:name="_Toc241669989"/>
      <w:r w:rsidRPr="00BE4F47">
        <w:rPr>
          <w:rFonts w:ascii="Aptos" w:hAnsi="Aptos"/>
          <w:color w:val="1A1A19"/>
          <w:sz w:val="20"/>
          <w:szCs w:val="20"/>
        </w:rPr>
        <w:t>Le projet avancera de façon incrémentale. Le découpage en lots de travail est présenté à la section 8, celui en phases et en jalons à la section 10.</w:t>
      </w:r>
      <w:bookmarkEnd w:id="33"/>
      <w:bookmarkEnd w:id="34"/>
    </w:p>
    <w:p w14:paraId="33AE280F" w14:textId="77777777" w:rsidR="00F50D70" w:rsidRPr="00BE4F47" w:rsidRDefault="00137D7F" w:rsidP="008E113B">
      <w:pPr>
        <w:pStyle w:val="Titre2"/>
        <w:spacing w:line="360" w:lineRule="auto"/>
      </w:pPr>
      <w:bookmarkStart w:id="35" w:name="__RefHeading___Toc240715059"/>
      <w:bookmarkStart w:id="36" w:name="_Toc241669990"/>
      <w:bookmarkEnd w:id="35"/>
      <w:r w:rsidRPr="00BE4F47">
        <w:t>Parties prenantes</w:t>
      </w:r>
      <w:bookmarkEnd w:id="36"/>
    </w:p>
    <w:p w14:paraId="3B4398BF" w14:textId="77777777" w:rsidR="00F50D70" w:rsidRPr="00BE4F47" w:rsidRDefault="00137D7F" w:rsidP="008E113B">
      <w:pPr>
        <w:spacing w:after="130" w:line="360" w:lineRule="auto"/>
        <w:ind w:left="360"/>
        <w:rPr>
          <w:rFonts w:ascii="Aptos" w:hAnsi="Aptos"/>
        </w:rPr>
      </w:pPr>
      <w:bookmarkStart w:id="37" w:name="_Toc241082777"/>
      <w:bookmarkStart w:id="38" w:name="_Toc241669991"/>
      <w:r w:rsidRPr="00BE4F47">
        <w:rPr>
          <w:rFonts w:ascii="Aptos" w:hAnsi="Aptos"/>
          <w:color w:val="1A1A19"/>
          <w:sz w:val="20"/>
          <w:szCs w:val="20"/>
        </w:rPr>
        <w:t>Cinq groupes de parties prenantes sont retenus. Chacun porte une attente qui se traduit par une contrainte sur le système. Le tableau 1-1 fait ce lien et renvoie aux exigences de la section 1.7.</w:t>
      </w:r>
      <w:bookmarkEnd w:id="37"/>
      <w:bookmarkEnd w:id="38"/>
    </w:p>
    <w:p w14:paraId="2B47B44D" w14:textId="77777777" w:rsidR="00F50D70" w:rsidRPr="00BE4F47" w:rsidRDefault="00137D7F" w:rsidP="008E113B">
      <w:pPr>
        <w:pStyle w:val="Lgende"/>
        <w:keepNext/>
        <w:spacing w:line="360" w:lineRule="auto"/>
        <w:rPr>
          <w:rFonts w:ascii="Aptos" w:hAnsi="Aptos"/>
        </w:rPr>
      </w:pPr>
      <w:bookmarkStart w:id="39" w:name="_Toc241082778"/>
      <w:bookmarkStart w:id="40" w:name="_Toc241669992"/>
      <w:r w:rsidRPr="00BE4F47">
        <w:rPr>
          <w:rFonts w:ascii="Aptos" w:hAnsi="Aptos"/>
        </w:rPr>
        <w:lastRenderedPageBreak/>
        <w:t>Tableau 1-1. Parties prenantes, attentes et conséquences pour le système</w:t>
      </w:r>
      <w:bookmarkEnd w:id="39"/>
      <w:bookmarkEnd w:id="40"/>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1737"/>
        <w:gridCol w:w="3017"/>
        <w:gridCol w:w="3803"/>
      </w:tblGrid>
      <w:tr w:rsidR="00F50D70" w:rsidRPr="00BE4F47" w14:paraId="123292EC" w14:textId="77777777" w:rsidTr="0036725C">
        <w:trPr>
          <w:trHeight w:val="227"/>
          <w:tblHeader/>
        </w:trPr>
        <w:tc>
          <w:tcPr>
            <w:tcW w:w="173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8DCAA7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Partie prenante</w:t>
            </w:r>
          </w:p>
        </w:tc>
        <w:tc>
          <w:tcPr>
            <w:tcW w:w="301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4837AE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Attente principale</w:t>
            </w:r>
          </w:p>
        </w:tc>
        <w:tc>
          <w:tcPr>
            <w:tcW w:w="3803"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30FDA3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Conséquence pour le système</w:t>
            </w:r>
          </w:p>
        </w:tc>
      </w:tr>
      <w:tr w:rsidR="00F50D70" w:rsidRPr="00BE4F47" w14:paraId="7CF279DB" w14:textId="77777777">
        <w:trPr>
          <w:cantSplit/>
          <w:trHeight w:val="415"/>
        </w:trPr>
        <w:tc>
          <w:tcPr>
            <w:tcW w:w="1737" w:type="dxa"/>
            <w:tcBorders>
              <w:top w:val="single" w:sz="4" w:space="0" w:color="000000"/>
              <w:left w:val="single" w:sz="4" w:space="0" w:color="000000"/>
              <w:bottom w:val="single" w:sz="4" w:space="0" w:color="000000"/>
              <w:right w:val="single" w:sz="4" w:space="0" w:color="000000"/>
            </w:tcBorders>
          </w:tcPr>
          <w:p w14:paraId="393B2AA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Hydro-Québec (client fictif)</w:t>
            </w:r>
          </w:p>
        </w:tc>
        <w:tc>
          <w:tcPr>
            <w:tcW w:w="3017" w:type="dxa"/>
            <w:tcBorders>
              <w:top w:val="single" w:sz="4" w:space="0" w:color="000000"/>
              <w:left w:val="single" w:sz="4" w:space="0" w:color="000000"/>
              <w:bottom w:val="single" w:sz="4" w:space="0" w:color="000000"/>
              <w:right w:val="single" w:sz="4" w:space="0" w:color="000000"/>
            </w:tcBorders>
          </w:tcPr>
          <w:p w14:paraId="2DDFF4A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Étudier des scénarios de fonctionnement et de défaillance sans les provoquer sur l’installation.</w:t>
            </w:r>
          </w:p>
        </w:tc>
        <w:tc>
          <w:tcPr>
            <w:tcW w:w="3803" w:type="dxa"/>
            <w:tcBorders>
              <w:top w:val="single" w:sz="4" w:space="0" w:color="000000"/>
              <w:left w:val="single" w:sz="4" w:space="0" w:color="000000"/>
              <w:bottom w:val="single" w:sz="4" w:space="0" w:color="000000"/>
              <w:right w:val="single" w:sz="4" w:space="0" w:color="000000"/>
            </w:tcBorders>
          </w:tcPr>
          <w:p w14:paraId="03B9760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prototype doit rejouer des scénarios de défaillance de façon reproductible (EX-F-02).</w:t>
            </w:r>
          </w:p>
        </w:tc>
      </w:tr>
      <w:tr w:rsidR="00F50D70" w:rsidRPr="00BE4F47" w14:paraId="0AB1884A" w14:textId="77777777">
        <w:trPr>
          <w:cantSplit/>
          <w:trHeight w:val="602"/>
        </w:trPr>
        <w:tc>
          <w:tcPr>
            <w:tcW w:w="1737" w:type="dxa"/>
            <w:tcBorders>
              <w:top w:val="single" w:sz="4" w:space="0" w:color="000000"/>
              <w:left w:val="single" w:sz="4" w:space="0" w:color="000000"/>
              <w:bottom w:val="single" w:sz="4" w:space="0" w:color="000000"/>
              <w:right w:val="single" w:sz="4" w:space="0" w:color="000000"/>
            </w:tcBorders>
          </w:tcPr>
          <w:p w14:paraId="7D39BC0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Ingénieurs et opérateurs</w:t>
            </w:r>
          </w:p>
        </w:tc>
        <w:tc>
          <w:tcPr>
            <w:tcW w:w="3017" w:type="dxa"/>
            <w:tcBorders>
              <w:top w:val="single" w:sz="4" w:space="0" w:color="000000"/>
              <w:left w:val="single" w:sz="4" w:space="0" w:color="000000"/>
              <w:bottom w:val="single" w:sz="4" w:space="0" w:color="000000"/>
              <w:right w:val="single" w:sz="4" w:space="0" w:color="000000"/>
            </w:tcBorders>
          </w:tcPr>
          <w:p w14:paraId="2AEFEB02" w14:textId="2C7651A4"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 xml:space="preserve">Comprendre pourquoi le système produit une recommandation, et </w:t>
            </w:r>
            <w:r w:rsidR="00F355AE" w:rsidRPr="00BE4F47">
              <w:rPr>
                <w:rFonts w:ascii="Aptos" w:eastAsia="Calibri" w:hAnsi="Aptos" w:cs="Calibri"/>
                <w:color w:val="1A1A19"/>
                <w:sz w:val="16"/>
                <w:szCs w:val="16"/>
              </w:rPr>
              <w:t>non-recevoir</w:t>
            </w:r>
            <w:r w:rsidRPr="00BE4F47">
              <w:rPr>
                <w:rFonts w:ascii="Aptos" w:eastAsia="Calibri" w:hAnsi="Aptos" w:cs="Calibri"/>
                <w:color w:val="1A1A19"/>
                <w:sz w:val="16"/>
                <w:szCs w:val="16"/>
              </w:rPr>
              <w:t xml:space="preserve"> seulement un verdict.</w:t>
            </w:r>
          </w:p>
        </w:tc>
        <w:tc>
          <w:tcPr>
            <w:tcW w:w="3803" w:type="dxa"/>
            <w:tcBorders>
              <w:top w:val="single" w:sz="4" w:space="0" w:color="000000"/>
              <w:left w:val="single" w:sz="4" w:space="0" w:color="000000"/>
              <w:bottom w:val="single" w:sz="4" w:space="0" w:color="000000"/>
              <w:right w:val="single" w:sz="4" w:space="0" w:color="000000"/>
            </w:tcBorders>
          </w:tcPr>
          <w:p w14:paraId="51176CB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Affichage des variables ayant contribué à la détection (EX-F-05) et du niveau de confiance (EX-F-07).</w:t>
            </w:r>
          </w:p>
        </w:tc>
      </w:tr>
      <w:tr w:rsidR="00F50D70" w:rsidRPr="00BE4F47" w14:paraId="6B28534D" w14:textId="77777777">
        <w:trPr>
          <w:cantSplit/>
          <w:trHeight w:val="425"/>
        </w:trPr>
        <w:tc>
          <w:tcPr>
            <w:tcW w:w="1737" w:type="dxa"/>
            <w:tcBorders>
              <w:top w:val="single" w:sz="4" w:space="0" w:color="000000"/>
              <w:left w:val="single" w:sz="4" w:space="0" w:color="000000"/>
              <w:bottom w:val="single" w:sz="4" w:space="0" w:color="000000"/>
              <w:right w:val="single" w:sz="4" w:space="0" w:color="000000"/>
            </w:tcBorders>
          </w:tcPr>
          <w:p w14:paraId="57C6250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Responsables de la sûreté</w:t>
            </w:r>
          </w:p>
        </w:tc>
        <w:tc>
          <w:tcPr>
            <w:tcW w:w="3017" w:type="dxa"/>
            <w:tcBorders>
              <w:top w:val="single" w:sz="4" w:space="0" w:color="000000"/>
              <w:left w:val="single" w:sz="4" w:space="0" w:color="000000"/>
              <w:bottom w:val="single" w:sz="4" w:space="0" w:color="000000"/>
              <w:right w:val="single" w:sz="4" w:space="0" w:color="000000"/>
            </w:tcBorders>
          </w:tcPr>
          <w:p w14:paraId="67871C1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Connaître les limites du système et les cas où il peut se tromper.</w:t>
            </w:r>
          </w:p>
        </w:tc>
        <w:tc>
          <w:tcPr>
            <w:tcW w:w="3803" w:type="dxa"/>
            <w:tcBorders>
              <w:top w:val="single" w:sz="4" w:space="0" w:color="000000"/>
              <w:left w:val="single" w:sz="4" w:space="0" w:color="000000"/>
              <w:bottom w:val="single" w:sz="4" w:space="0" w:color="000000"/>
              <w:right w:val="single" w:sz="4" w:space="0" w:color="000000"/>
            </w:tcBorders>
          </w:tcPr>
          <w:p w14:paraId="454E629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État « incertain » explicite en cas de données manquantes (EX-F-06) ; limites documentées (EX-C-01).</w:t>
            </w:r>
          </w:p>
        </w:tc>
      </w:tr>
      <w:tr w:rsidR="00F50D70" w:rsidRPr="00BE4F47" w14:paraId="5E1CE088" w14:textId="77777777">
        <w:trPr>
          <w:cantSplit/>
          <w:trHeight w:val="415"/>
        </w:trPr>
        <w:tc>
          <w:tcPr>
            <w:tcW w:w="1737" w:type="dxa"/>
            <w:tcBorders>
              <w:top w:val="single" w:sz="4" w:space="0" w:color="000000"/>
              <w:left w:val="single" w:sz="4" w:space="0" w:color="000000"/>
              <w:bottom w:val="single" w:sz="4" w:space="0" w:color="000000"/>
              <w:right w:val="single" w:sz="4" w:space="0" w:color="000000"/>
            </w:tcBorders>
          </w:tcPr>
          <w:p w14:paraId="0510B02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Autorités réglementaires (CCSN)</w:t>
            </w:r>
          </w:p>
        </w:tc>
        <w:tc>
          <w:tcPr>
            <w:tcW w:w="3017" w:type="dxa"/>
            <w:tcBorders>
              <w:top w:val="single" w:sz="4" w:space="0" w:color="000000"/>
              <w:left w:val="single" w:sz="4" w:space="0" w:color="000000"/>
              <w:bottom w:val="single" w:sz="4" w:space="0" w:color="000000"/>
              <w:right w:val="single" w:sz="4" w:space="0" w:color="000000"/>
            </w:tcBorders>
          </w:tcPr>
          <w:p w14:paraId="6C419EE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Traçabilité des données et gestion documentaire.</w:t>
            </w:r>
          </w:p>
        </w:tc>
        <w:tc>
          <w:tcPr>
            <w:tcW w:w="3803" w:type="dxa"/>
            <w:tcBorders>
              <w:top w:val="single" w:sz="4" w:space="0" w:color="000000"/>
              <w:left w:val="single" w:sz="4" w:space="0" w:color="000000"/>
              <w:bottom w:val="single" w:sz="4" w:space="0" w:color="000000"/>
              <w:right w:val="single" w:sz="4" w:space="0" w:color="000000"/>
            </w:tcBorders>
          </w:tcPr>
          <w:p w14:paraId="2C79F79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Journalisation horodatée de toute acquisition et de tout changement d’état (EX-F-10).</w:t>
            </w:r>
          </w:p>
        </w:tc>
      </w:tr>
      <w:tr w:rsidR="00F50D70" w:rsidRPr="00BE4F47" w14:paraId="16B4E455" w14:textId="77777777">
        <w:trPr>
          <w:cantSplit/>
          <w:trHeight w:val="602"/>
        </w:trPr>
        <w:tc>
          <w:tcPr>
            <w:tcW w:w="1737" w:type="dxa"/>
            <w:tcBorders>
              <w:top w:val="single" w:sz="4" w:space="0" w:color="000000"/>
              <w:left w:val="single" w:sz="4" w:space="0" w:color="000000"/>
              <w:bottom w:val="single" w:sz="4" w:space="0" w:color="000000"/>
              <w:right w:val="single" w:sz="4" w:space="0" w:color="000000"/>
            </w:tcBorders>
          </w:tcPr>
          <w:p w14:paraId="14DE987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Population et communautés</w:t>
            </w:r>
          </w:p>
        </w:tc>
        <w:tc>
          <w:tcPr>
            <w:tcW w:w="3017" w:type="dxa"/>
            <w:tcBorders>
              <w:top w:val="single" w:sz="4" w:space="0" w:color="000000"/>
              <w:left w:val="single" w:sz="4" w:space="0" w:color="000000"/>
              <w:bottom w:val="single" w:sz="4" w:space="0" w:color="000000"/>
              <w:right w:val="single" w:sz="4" w:space="0" w:color="000000"/>
            </w:tcBorders>
          </w:tcPr>
          <w:p w14:paraId="3A8C365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Confiance, transparence et responsabilité dans l’usage d’un outil numérique en contexte nucléaire.</w:t>
            </w:r>
          </w:p>
        </w:tc>
        <w:tc>
          <w:tcPr>
            <w:tcW w:w="3803" w:type="dxa"/>
            <w:tcBorders>
              <w:top w:val="single" w:sz="4" w:space="0" w:color="000000"/>
              <w:left w:val="single" w:sz="4" w:space="0" w:color="000000"/>
              <w:bottom w:val="single" w:sz="4" w:space="0" w:color="000000"/>
              <w:right w:val="single" w:sz="4" w:space="0" w:color="000000"/>
            </w:tcBorders>
          </w:tcPr>
          <w:p w14:paraId="300DA66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La décision finale demeure humaine (EX-F-08) ; les enjeux sont traités au rapport final (EX-C-03).</w:t>
            </w:r>
          </w:p>
        </w:tc>
      </w:tr>
    </w:tbl>
    <w:p w14:paraId="367E46CB" w14:textId="77777777" w:rsidR="00F50D70" w:rsidRPr="00BE4F47" w:rsidRDefault="00137D7F" w:rsidP="008E113B">
      <w:pPr>
        <w:pStyle w:val="Titre2"/>
        <w:spacing w:line="360" w:lineRule="auto"/>
      </w:pPr>
      <w:bookmarkStart w:id="41" w:name="__RefHeading___Toc240715061"/>
      <w:bookmarkStart w:id="42" w:name="_Toc241669993"/>
      <w:bookmarkEnd w:id="41"/>
      <w:r w:rsidRPr="00BE4F47">
        <w:t>Besoins et douleurs</w:t>
      </w:r>
      <w:bookmarkEnd w:id="42"/>
    </w:p>
    <w:p w14:paraId="256E9BAF" w14:textId="77777777" w:rsidR="00F50D70" w:rsidRPr="00BE4F47" w:rsidRDefault="00137D7F" w:rsidP="008E113B">
      <w:pPr>
        <w:spacing w:before="200" w:after="130" w:line="360" w:lineRule="auto"/>
        <w:ind w:left="360"/>
        <w:rPr>
          <w:rFonts w:ascii="Aptos" w:hAnsi="Aptos"/>
        </w:rPr>
      </w:pPr>
      <w:bookmarkStart w:id="43" w:name="_Toc241082780"/>
      <w:bookmarkStart w:id="44" w:name="_Toc241669994"/>
      <w:r w:rsidRPr="00BE4F47">
        <w:rPr>
          <w:rFonts w:ascii="Aptos" w:hAnsi="Aptos"/>
          <w:color w:val="1A1A19"/>
          <w:sz w:val="20"/>
          <w:szCs w:val="20"/>
        </w:rPr>
        <w:t>Le client a besoin de tester des scénarios de fonctionnement et de défaillance sans les provoquer sur l’installation. Il a aussi besoin de savoir dans quelles conditions les résultats du système sont assez fiables pour aider une décision.</w:t>
      </w:r>
      <w:bookmarkEnd w:id="43"/>
      <w:bookmarkEnd w:id="44"/>
    </w:p>
    <w:p w14:paraId="1F575C6C" w14:textId="77777777" w:rsidR="00F50D70" w:rsidRPr="00BE4F47" w:rsidRDefault="00137D7F" w:rsidP="008E113B">
      <w:pPr>
        <w:spacing w:after="130" w:line="360" w:lineRule="auto"/>
        <w:ind w:left="360"/>
        <w:rPr>
          <w:rFonts w:ascii="Aptos" w:hAnsi="Aptos"/>
        </w:rPr>
      </w:pPr>
      <w:bookmarkStart w:id="45" w:name="_Toc241082781"/>
      <w:bookmarkStart w:id="46" w:name="_Toc241669995"/>
      <w:r w:rsidRPr="00BE4F47">
        <w:rPr>
          <w:rFonts w:ascii="Aptos" w:hAnsi="Aptos"/>
          <w:color w:val="1A1A19"/>
          <w:sz w:val="20"/>
          <w:szCs w:val="20"/>
        </w:rPr>
        <w:t>Les ingénieurs et les opérateurs ne veulent pas seulement un verdict « normal » ou « anormal ». Ils veulent voir les variables qui ont mené à ce verdict, et être avertis quand les données ne permettent pas de conclure. La décision reste la leur, car le système ne commande pas l’installation.</w:t>
      </w:r>
      <w:bookmarkEnd w:id="45"/>
      <w:bookmarkEnd w:id="46"/>
    </w:p>
    <w:p w14:paraId="75815886" w14:textId="77777777" w:rsidR="00F50D70" w:rsidRPr="00BE4F47" w:rsidRDefault="00137D7F" w:rsidP="008E113B">
      <w:pPr>
        <w:spacing w:after="130" w:line="360" w:lineRule="auto"/>
        <w:ind w:left="360"/>
        <w:rPr>
          <w:rFonts w:ascii="Aptos" w:hAnsi="Aptos"/>
        </w:rPr>
      </w:pPr>
      <w:bookmarkStart w:id="47" w:name="_Toc241082782"/>
      <w:bookmarkStart w:id="48" w:name="_Toc241669996"/>
      <w:r w:rsidRPr="00BE4F47">
        <w:rPr>
          <w:rFonts w:ascii="Aptos" w:hAnsi="Aptos"/>
          <w:color w:val="1A1A19"/>
          <w:sz w:val="20"/>
          <w:szCs w:val="20"/>
        </w:rPr>
        <w:t>Du côté de la sûreté, trois situations posent problème : une anomalie réelle non détectée, un capteur qui donne une valeur fausse, et des données absentes au moment où l’opérateur en a besoin. Dans ces cas, le système doit signaler l’incertitude au lieu d’afficher un état normal.</w:t>
      </w:r>
      <w:bookmarkEnd w:id="47"/>
      <w:bookmarkEnd w:id="48"/>
    </w:p>
    <w:p w14:paraId="7E2DFCD8" w14:textId="77777777" w:rsidR="00006655" w:rsidRPr="00BE4F47" w:rsidRDefault="00137D7F" w:rsidP="008E113B">
      <w:pPr>
        <w:spacing w:after="130" w:line="360" w:lineRule="auto"/>
        <w:ind w:left="360"/>
        <w:rPr>
          <w:rFonts w:ascii="Aptos" w:hAnsi="Aptos"/>
        </w:rPr>
      </w:pPr>
      <w:bookmarkStart w:id="49" w:name="_Toc241082783"/>
      <w:bookmarkStart w:id="50" w:name="_Toc241669997"/>
      <w:r w:rsidRPr="00BE4F47">
        <w:rPr>
          <w:rFonts w:ascii="Aptos" w:hAnsi="Aptos"/>
          <w:color w:val="1A1A19"/>
          <w:sz w:val="20"/>
          <w:szCs w:val="20"/>
        </w:rPr>
        <w:t>La population est aussi concernée. Un outil d’aide à la décision en contexte nucléaire soulève des questions de confiance, de transparence et de responsabilité. Le projet doit donc traiter les limites d’emploi du système, pas seulement ses performances techniques.</w:t>
      </w:r>
      <w:bookmarkStart w:id="51" w:name="__RefHeading___Toc240715066"/>
      <w:bookmarkEnd w:id="49"/>
      <w:bookmarkEnd w:id="50"/>
      <w:bookmarkEnd w:id="51"/>
    </w:p>
    <w:p w14:paraId="7F3D647D" w14:textId="77777777" w:rsidR="00F50D70" w:rsidRPr="00BE4F47" w:rsidRDefault="00137D7F" w:rsidP="008E113B">
      <w:pPr>
        <w:spacing w:after="130" w:line="360" w:lineRule="auto"/>
        <w:ind w:left="360"/>
        <w:rPr>
          <w:rFonts w:ascii="Aptos" w:hAnsi="Aptos"/>
        </w:rPr>
      </w:pPr>
      <w:bookmarkStart w:id="52" w:name="_Toc241082785"/>
      <w:bookmarkStart w:id="53" w:name="_Toc241669998"/>
      <w:r w:rsidRPr="00BE4F47">
        <w:rPr>
          <w:rFonts w:ascii="Aptos" w:hAnsi="Aptos"/>
          <w:color w:val="1A1A19"/>
          <w:sz w:val="20"/>
          <w:szCs w:val="20"/>
        </w:rPr>
        <w:t>Ces besoins se ramènent à un objectif directeur et à cinq sous-objectifs.</w:t>
      </w:r>
      <w:bookmarkEnd w:id="52"/>
      <w:bookmarkEnd w:id="53"/>
    </w:p>
    <w:p w14:paraId="71450199" w14:textId="77777777" w:rsidR="00F50D70" w:rsidRPr="00BE4F47" w:rsidRDefault="00137D7F" w:rsidP="008E113B">
      <w:pPr>
        <w:spacing w:after="130" w:line="360" w:lineRule="auto"/>
        <w:ind w:left="360"/>
        <w:rPr>
          <w:rFonts w:ascii="Aptos" w:hAnsi="Aptos"/>
        </w:rPr>
      </w:pPr>
      <w:bookmarkStart w:id="54" w:name="_Toc241082786"/>
      <w:bookmarkStart w:id="55" w:name="_Toc241669999"/>
      <w:r w:rsidRPr="00BE4F47">
        <w:rPr>
          <w:rFonts w:ascii="Aptos" w:hAnsi="Aptos"/>
          <w:b/>
          <w:color w:val="1A1A19"/>
          <w:sz w:val="20"/>
          <w:szCs w:val="20"/>
        </w:rPr>
        <w:t>Objectif directeur : démontrer, sur un prototype vérifié et validé, qu’un jumeau numérique d’une boucle thermohydraulique simplifiée peut détecter une dérive sur la température, la pression et le débit. Le prototype doit aussi exprimer le niveau de confiance de son résultat, et déclarer son incertitude quand les données ne permettent pas de conclure. La décision demeure celle de l’opérateur.</w:t>
      </w:r>
      <w:bookmarkEnd w:id="54"/>
      <w:bookmarkEnd w:id="55"/>
    </w:p>
    <w:p w14:paraId="7F5B43E3" w14:textId="77777777" w:rsidR="00F50D70" w:rsidRPr="00BE4F47" w:rsidRDefault="00137D7F" w:rsidP="008E113B">
      <w:pPr>
        <w:pStyle w:val="Lgende"/>
        <w:keepNext/>
        <w:spacing w:line="360" w:lineRule="auto"/>
        <w:rPr>
          <w:rFonts w:ascii="Aptos" w:hAnsi="Aptos"/>
        </w:rPr>
      </w:pPr>
      <w:bookmarkStart w:id="56" w:name="_Toc241082787"/>
      <w:bookmarkStart w:id="57" w:name="_Toc241670000"/>
      <w:r w:rsidRPr="00BE4F47">
        <w:rPr>
          <w:rFonts w:ascii="Aptos" w:hAnsi="Aptos"/>
        </w:rPr>
        <w:lastRenderedPageBreak/>
        <w:t>Tableau 1-2. Sous-objectifs du projet et exigences correspondantes</w:t>
      </w:r>
      <w:bookmarkEnd w:id="56"/>
      <w:bookmarkEnd w:id="57"/>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700"/>
        <w:gridCol w:w="4000"/>
        <w:gridCol w:w="2300"/>
        <w:gridCol w:w="1557"/>
      </w:tblGrid>
      <w:tr w:rsidR="00F50D70" w:rsidRPr="00BE4F47" w14:paraId="20DD534F" w14:textId="77777777" w:rsidTr="0036725C">
        <w:trPr>
          <w:trHeight w:val="227"/>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6B485EA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Réf.</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2647BB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Sous-objectif</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3EA30B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Exigences couvertes</w:t>
            </w:r>
          </w:p>
        </w:tc>
        <w:tc>
          <w:tcPr>
            <w:tcW w:w="15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A5B6FC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Lot</w:t>
            </w:r>
          </w:p>
        </w:tc>
      </w:tr>
      <w:tr w:rsidR="00F50D70" w:rsidRPr="00BE4F47" w14:paraId="5FAB8217"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5D1C1F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SO-1</w:t>
            </w:r>
          </w:p>
        </w:tc>
        <w:tc>
          <w:tcPr>
            <w:tcW w:w="4000" w:type="dxa"/>
            <w:tcBorders>
              <w:top w:val="single" w:sz="4" w:space="0" w:color="000000"/>
              <w:left w:val="single" w:sz="4" w:space="0" w:color="000000"/>
              <w:bottom w:val="single" w:sz="4" w:space="0" w:color="000000"/>
              <w:right w:val="single" w:sz="4" w:space="0" w:color="000000"/>
            </w:tcBorders>
          </w:tcPr>
          <w:p w14:paraId="3B0AC00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Disposer d’un modèle de la boucle et d’un modèle de référence indépendant, dont l’écart est quantifié.</w:t>
            </w:r>
          </w:p>
        </w:tc>
        <w:tc>
          <w:tcPr>
            <w:tcW w:w="2300" w:type="dxa"/>
            <w:tcBorders>
              <w:top w:val="single" w:sz="4" w:space="0" w:color="000000"/>
              <w:left w:val="single" w:sz="4" w:space="0" w:color="000000"/>
              <w:bottom w:val="single" w:sz="4" w:space="0" w:color="000000"/>
              <w:right w:val="single" w:sz="4" w:space="0" w:color="000000"/>
            </w:tcBorders>
          </w:tcPr>
          <w:p w14:paraId="267689B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EX-F-01, EX-Q-01</w:t>
            </w:r>
          </w:p>
        </w:tc>
        <w:tc>
          <w:tcPr>
            <w:tcW w:w="1557" w:type="dxa"/>
            <w:tcBorders>
              <w:top w:val="single" w:sz="4" w:space="0" w:color="000000"/>
              <w:left w:val="single" w:sz="4" w:space="0" w:color="000000"/>
              <w:bottom w:val="single" w:sz="4" w:space="0" w:color="000000"/>
              <w:right w:val="single" w:sz="4" w:space="0" w:color="000000"/>
            </w:tcBorders>
          </w:tcPr>
          <w:p w14:paraId="2C8E06E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L4</w:t>
            </w:r>
          </w:p>
        </w:tc>
      </w:tr>
      <w:tr w:rsidR="00F50D70" w:rsidRPr="00BE4F47" w14:paraId="4AB67A24"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51AA92B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SO-2</w:t>
            </w:r>
          </w:p>
        </w:tc>
        <w:tc>
          <w:tcPr>
            <w:tcW w:w="4000" w:type="dxa"/>
            <w:tcBorders>
              <w:top w:val="single" w:sz="4" w:space="0" w:color="000000"/>
              <w:left w:val="single" w:sz="4" w:space="0" w:color="000000"/>
              <w:bottom w:val="single" w:sz="4" w:space="0" w:color="000000"/>
              <w:right w:val="single" w:sz="4" w:space="0" w:color="000000"/>
            </w:tcBorders>
          </w:tcPr>
          <w:p w14:paraId="17CB083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Rejouer des scénarios de fonctionnement et de défaillance de façon reproductible.</w:t>
            </w:r>
          </w:p>
        </w:tc>
        <w:tc>
          <w:tcPr>
            <w:tcW w:w="2300" w:type="dxa"/>
            <w:tcBorders>
              <w:top w:val="single" w:sz="4" w:space="0" w:color="000000"/>
              <w:left w:val="single" w:sz="4" w:space="0" w:color="000000"/>
              <w:bottom w:val="single" w:sz="4" w:space="0" w:color="000000"/>
              <w:right w:val="single" w:sz="4" w:space="0" w:color="000000"/>
            </w:tcBorders>
          </w:tcPr>
          <w:p w14:paraId="6307E7D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EX-F-02, EX-F-03</w:t>
            </w:r>
          </w:p>
        </w:tc>
        <w:tc>
          <w:tcPr>
            <w:tcW w:w="1557" w:type="dxa"/>
            <w:tcBorders>
              <w:top w:val="single" w:sz="4" w:space="0" w:color="000000"/>
              <w:left w:val="single" w:sz="4" w:space="0" w:color="000000"/>
              <w:bottom w:val="single" w:sz="4" w:space="0" w:color="000000"/>
              <w:right w:val="single" w:sz="4" w:space="0" w:color="000000"/>
            </w:tcBorders>
          </w:tcPr>
          <w:p w14:paraId="41573C7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L6</w:t>
            </w:r>
          </w:p>
        </w:tc>
      </w:tr>
      <w:tr w:rsidR="00F50D70" w:rsidRPr="00BE4F47" w14:paraId="3E17EE7C"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55788EA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SO-3</w:t>
            </w:r>
          </w:p>
        </w:tc>
        <w:tc>
          <w:tcPr>
            <w:tcW w:w="4000" w:type="dxa"/>
            <w:tcBorders>
              <w:top w:val="single" w:sz="4" w:space="0" w:color="000000"/>
              <w:left w:val="single" w:sz="4" w:space="0" w:color="000000"/>
              <w:bottom w:val="single" w:sz="4" w:space="0" w:color="000000"/>
              <w:right w:val="single" w:sz="4" w:space="0" w:color="000000"/>
            </w:tcBorders>
          </w:tcPr>
          <w:p w14:paraId="0D061CE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Détecter une dérive et quantifier l’incertitude associée au diagnostic.</w:t>
            </w:r>
          </w:p>
        </w:tc>
        <w:tc>
          <w:tcPr>
            <w:tcW w:w="2300" w:type="dxa"/>
            <w:tcBorders>
              <w:top w:val="single" w:sz="4" w:space="0" w:color="000000"/>
              <w:left w:val="single" w:sz="4" w:space="0" w:color="000000"/>
              <w:bottom w:val="single" w:sz="4" w:space="0" w:color="000000"/>
              <w:right w:val="single" w:sz="4" w:space="0" w:color="000000"/>
            </w:tcBorders>
          </w:tcPr>
          <w:p w14:paraId="3E906BA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EX-F-04 à EX-F-07</w:t>
            </w:r>
          </w:p>
        </w:tc>
        <w:tc>
          <w:tcPr>
            <w:tcW w:w="1557" w:type="dxa"/>
            <w:tcBorders>
              <w:top w:val="single" w:sz="4" w:space="0" w:color="000000"/>
              <w:left w:val="single" w:sz="4" w:space="0" w:color="000000"/>
              <w:bottom w:val="single" w:sz="4" w:space="0" w:color="000000"/>
              <w:right w:val="single" w:sz="4" w:space="0" w:color="000000"/>
            </w:tcBorders>
          </w:tcPr>
          <w:p w14:paraId="457F421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L7</w:t>
            </w:r>
          </w:p>
        </w:tc>
      </w:tr>
      <w:tr w:rsidR="00F50D70" w:rsidRPr="00BE4F47" w14:paraId="099FA92A"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3724DB5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SO-4</w:t>
            </w:r>
          </w:p>
        </w:tc>
        <w:tc>
          <w:tcPr>
            <w:tcW w:w="4000" w:type="dxa"/>
            <w:tcBorders>
              <w:top w:val="single" w:sz="4" w:space="0" w:color="000000"/>
              <w:left w:val="single" w:sz="4" w:space="0" w:color="000000"/>
              <w:bottom w:val="single" w:sz="4" w:space="0" w:color="000000"/>
              <w:right w:val="single" w:sz="4" w:space="0" w:color="000000"/>
            </w:tcBorders>
          </w:tcPr>
          <w:p w14:paraId="1C009A9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Rendre le résultat interprétable par un opérateur, sans jamais commander l’installation.</w:t>
            </w:r>
          </w:p>
        </w:tc>
        <w:tc>
          <w:tcPr>
            <w:tcW w:w="2300" w:type="dxa"/>
            <w:tcBorders>
              <w:top w:val="single" w:sz="4" w:space="0" w:color="000000"/>
              <w:left w:val="single" w:sz="4" w:space="0" w:color="000000"/>
              <w:bottom w:val="single" w:sz="4" w:space="0" w:color="000000"/>
              <w:right w:val="single" w:sz="4" w:space="0" w:color="000000"/>
            </w:tcBorders>
          </w:tcPr>
          <w:p w14:paraId="5E3651F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EX-F-05, EX-F-08, EX-F-09, EX-Q-03</w:t>
            </w:r>
          </w:p>
        </w:tc>
        <w:tc>
          <w:tcPr>
            <w:tcW w:w="1557" w:type="dxa"/>
            <w:tcBorders>
              <w:top w:val="single" w:sz="4" w:space="0" w:color="000000"/>
              <w:left w:val="single" w:sz="4" w:space="0" w:color="000000"/>
              <w:bottom w:val="single" w:sz="4" w:space="0" w:color="000000"/>
              <w:right w:val="single" w:sz="4" w:space="0" w:color="000000"/>
            </w:tcBorders>
          </w:tcPr>
          <w:p w14:paraId="64F4424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L8</w:t>
            </w:r>
          </w:p>
        </w:tc>
      </w:tr>
      <w:tr w:rsidR="00F50D70" w:rsidRPr="00BE4F47" w14:paraId="43FF6F23"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4D295E0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SO-5</w:t>
            </w:r>
          </w:p>
        </w:tc>
        <w:tc>
          <w:tcPr>
            <w:tcW w:w="4000" w:type="dxa"/>
            <w:tcBorders>
              <w:top w:val="single" w:sz="4" w:space="0" w:color="000000"/>
              <w:left w:val="single" w:sz="4" w:space="0" w:color="000000"/>
              <w:bottom w:val="single" w:sz="4" w:space="0" w:color="000000"/>
              <w:right w:val="single" w:sz="4" w:space="0" w:color="000000"/>
            </w:tcBorders>
          </w:tcPr>
          <w:p w14:paraId="47097EC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Assurer la traçabilité et l’intégrité des données et des essais.</w:t>
            </w:r>
          </w:p>
        </w:tc>
        <w:tc>
          <w:tcPr>
            <w:tcW w:w="2300" w:type="dxa"/>
            <w:tcBorders>
              <w:top w:val="single" w:sz="4" w:space="0" w:color="000000"/>
              <w:left w:val="single" w:sz="4" w:space="0" w:color="000000"/>
              <w:bottom w:val="single" w:sz="4" w:space="0" w:color="000000"/>
              <w:right w:val="single" w:sz="4" w:space="0" w:color="000000"/>
            </w:tcBorders>
          </w:tcPr>
          <w:p w14:paraId="525237C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EX-F-10, EX-Q-02, EX-Q-04, EX-Q-05</w:t>
            </w:r>
          </w:p>
        </w:tc>
        <w:tc>
          <w:tcPr>
            <w:tcW w:w="1557" w:type="dxa"/>
            <w:tcBorders>
              <w:top w:val="single" w:sz="4" w:space="0" w:color="000000"/>
              <w:left w:val="single" w:sz="4" w:space="0" w:color="000000"/>
              <w:bottom w:val="single" w:sz="4" w:space="0" w:color="000000"/>
              <w:right w:val="single" w:sz="4" w:space="0" w:color="000000"/>
            </w:tcBorders>
          </w:tcPr>
          <w:p w14:paraId="37333ED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L5, L9</w:t>
            </w:r>
          </w:p>
        </w:tc>
      </w:tr>
    </w:tbl>
    <w:p w14:paraId="39577D2A" w14:textId="77777777" w:rsidR="00F50D70" w:rsidRPr="00BE4F47" w:rsidRDefault="00137D7F" w:rsidP="008E113B">
      <w:pPr>
        <w:spacing w:before="200" w:after="130" w:line="360" w:lineRule="auto"/>
        <w:ind w:left="360"/>
        <w:rPr>
          <w:rFonts w:ascii="Aptos" w:hAnsi="Aptos"/>
        </w:rPr>
      </w:pPr>
      <w:bookmarkStart w:id="58" w:name="_Toc241082788"/>
      <w:bookmarkStart w:id="59" w:name="_Toc241670001"/>
      <w:r w:rsidRPr="00BE4F47">
        <w:rPr>
          <w:rFonts w:ascii="Aptos" w:hAnsi="Aptos"/>
          <w:color w:val="1A1A19"/>
          <w:sz w:val="20"/>
          <w:szCs w:val="20"/>
        </w:rPr>
        <w:t>Chaque sous-objectif est rattaché à au moins une exigence vérifiable et à au moins un lot de travail.</w:t>
      </w:r>
      <w:bookmarkEnd w:id="58"/>
      <w:bookmarkEnd w:id="59"/>
    </w:p>
    <w:p w14:paraId="25CF197C" w14:textId="77777777" w:rsidR="00F50D70" w:rsidRPr="00BE4F47" w:rsidRDefault="00137D7F" w:rsidP="008E113B">
      <w:pPr>
        <w:spacing w:after="130" w:line="360" w:lineRule="auto"/>
        <w:ind w:left="360"/>
        <w:rPr>
          <w:rFonts w:ascii="Aptos" w:hAnsi="Aptos"/>
        </w:rPr>
      </w:pPr>
      <w:bookmarkStart w:id="60" w:name="_Toc241082807"/>
      <w:bookmarkStart w:id="61" w:name="_Toc241670002"/>
      <w:r w:rsidRPr="00BE4F47">
        <w:rPr>
          <w:rFonts w:ascii="Aptos" w:hAnsi="Aptos"/>
          <w:color w:val="1A1A19"/>
          <w:sz w:val="20"/>
          <w:szCs w:val="20"/>
        </w:rPr>
        <w:t>Tous les besoins n’ont pas le même poids. Si l’enveloppe d’heures devient insuffisante, il faudra savoir quoi réduire en premier. C’est le risque RP2 de la section 7. Le tableau 1-3 classe les besoins pour cela : l’urgence dit à quel jalon le besoin doit être couvert, l’importance dit ce qui arrive s’il ne l’est pas.</w:t>
      </w:r>
      <w:bookmarkEnd w:id="60"/>
      <w:bookmarkEnd w:id="61"/>
    </w:p>
    <w:p w14:paraId="15116DDD" w14:textId="77777777" w:rsidR="00F50D70" w:rsidRPr="00BE4F47" w:rsidRDefault="00137D7F" w:rsidP="008E113B">
      <w:pPr>
        <w:pStyle w:val="Lgende"/>
        <w:keepNext/>
        <w:spacing w:line="360" w:lineRule="auto"/>
        <w:rPr>
          <w:rFonts w:ascii="Aptos" w:hAnsi="Aptos"/>
        </w:rPr>
      </w:pPr>
      <w:bookmarkStart w:id="62" w:name="_Toc241082808"/>
      <w:bookmarkStart w:id="63" w:name="_Toc241670003"/>
      <w:r w:rsidRPr="00BE4F47">
        <w:rPr>
          <w:rFonts w:ascii="Aptos" w:hAnsi="Aptos"/>
        </w:rPr>
        <w:t>Tableau 1-3. Priorisation des besoins par urgence et par importance</w:t>
      </w:r>
      <w:bookmarkEnd w:id="62"/>
      <w:bookmarkEnd w:id="63"/>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700"/>
        <w:gridCol w:w="2600"/>
        <w:gridCol w:w="1000"/>
        <w:gridCol w:w="1150"/>
        <w:gridCol w:w="3107"/>
      </w:tblGrid>
      <w:tr w:rsidR="00F50D70" w:rsidRPr="00BE4F47" w14:paraId="5AE060BA" w14:textId="77777777" w:rsidTr="0036725C">
        <w:trPr>
          <w:trHeight w:val="227"/>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8B06A2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Rang</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2E58D8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Besoin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B7407D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Urgence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6D5E27C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Importance</w:t>
            </w:r>
          </w:p>
        </w:tc>
        <w:tc>
          <w:tcPr>
            <w:tcW w:w="310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02948F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Conséquence si non couvert</w:t>
            </w:r>
          </w:p>
        </w:tc>
      </w:tr>
      <w:tr w:rsidR="00F50D70" w:rsidRPr="00BE4F47" w14:paraId="66263B66"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CEBA03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1</w:t>
            </w:r>
          </w:p>
        </w:tc>
        <w:tc>
          <w:tcPr>
            <w:tcW w:w="2600" w:type="dxa"/>
            <w:tcBorders>
              <w:top w:val="single" w:sz="4" w:space="0" w:color="000000"/>
              <w:left w:val="single" w:sz="4" w:space="0" w:color="000000"/>
              <w:bottom w:val="single" w:sz="4" w:space="0" w:color="000000"/>
              <w:right w:val="single" w:sz="4" w:space="0" w:color="000000"/>
            </w:tcBorders>
          </w:tcPr>
          <w:p w14:paraId="266EB70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Rejouer des scénarios de défaillance de façon reproductible.</w:t>
            </w:r>
          </w:p>
        </w:tc>
        <w:tc>
          <w:tcPr>
            <w:tcW w:w="1000" w:type="dxa"/>
            <w:tcBorders>
              <w:top w:val="single" w:sz="4" w:space="0" w:color="000000"/>
              <w:left w:val="single" w:sz="4" w:space="0" w:color="000000"/>
              <w:bottom w:val="single" w:sz="4" w:space="0" w:color="000000"/>
              <w:right w:val="single" w:sz="4" w:space="0" w:color="000000"/>
            </w:tcBorders>
          </w:tcPr>
          <w:p w14:paraId="0071297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J2</w:t>
            </w:r>
          </w:p>
        </w:tc>
        <w:tc>
          <w:tcPr>
            <w:tcW w:w="1150" w:type="dxa"/>
            <w:tcBorders>
              <w:top w:val="single" w:sz="4" w:space="0" w:color="000000"/>
              <w:left w:val="single" w:sz="4" w:space="0" w:color="000000"/>
              <w:bottom w:val="single" w:sz="4" w:space="0" w:color="000000"/>
              <w:right w:val="single" w:sz="4" w:space="0" w:color="000000"/>
            </w:tcBorders>
          </w:tcPr>
          <w:p w14:paraId="104FA4F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Critique</w:t>
            </w:r>
          </w:p>
        </w:tc>
        <w:tc>
          <w:tcPr>
            <w:tcW w:w="3107" w:type="dxa"/>
            <w:tcBorders>
              <w:top w:val="single" w:sz="4" w:space="0" w:color="000000"/>
              <w:left w:val="single" w:sz="4" w:space="0" w:color="000000"/>
              <w:bottom w:val="single" w:sz="4" w:space="0" w:color="000000"/>
              <w:right w:val="single" w:sz="4" w:space="0" w:color="000000"/>
            </w:tcBorders>
          </w:tcPr>
          <w:p w14:paraId="5A78C4E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projet perd son objet. Aucun autre besoin n’a de sens sans celui-là.</w:t>
            </w:r>
          </w:p>
        </w:tc>
      </w:tr>
      <w:tr w:rsidR="00F50D70" w:rsidRPr="00BE4F47" w14:paraId="50B5A500"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3C1B50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2</w:t>
            </w:r>
          </w:p>
        </w:tc>
        <w:tc>
          <w:tcPr>
            <w:tcW w:w="2600" w:type="dxa"/>
            <w:tcBorders>
              <w:top w:val="single" w:sz="4" w:space="0" w:color="000000"/>
              <w:left w:val="single" w:sz="4" w:space="0" w:color="000000"/>
              <w:bottom w:val="single" w:sz="4" w:space="0" w:color="000000"/>
              <w:right w:val="single" w:sz="4" w:space="0" w:color="000000"/>
            </w:tcBorders>
          </w:tcPr>
          <w:p w14:paraId="194AF33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Signaler l’incertitude plutôt que présenter un état douteux comme normal.</w:t>
            </w:r>
          </w:p>
        </w:tc>
        <w:tc>
          <w:tcPr>
            <w:tcW w:w="1000" w:type="dxa"/>
            <w:tcBorders>
              <w:top w:val="single" w:sz="4" w:space="0" w:color="000000"/>
              <w:left w:val="single" w:sz="4" w:space="0" w:color="000000"/>
              <w:bottom w:val="single" w:sz="4" w:space="0" w:color="000000"/>
              <w:right w:val="single" w:sz="4" w:space="0" w:color="000000"/>
            </w:tcBorders>
          </w:tcPr>
          <w:p w14:paraId="6B61296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J3</w:t>
            </w:r>
          </w:p>
        </w:tc>
        <w:tc>
          <w:tcPr>
            <w:tcW w:w="1150" w:type="dxa"/>
            <w:tcBorders>
              <w:top w:val="single" w:sz="4" w:space="0" w:color="000000"/>
              <w:left w:val="single" w:sz="4" w:space="0" w:color="000000"/>
              <w:bottom w:val="single" w:sz="4" w:space="0" w:color="000000"/>
              <w:right w:val="single" w:sz="4" w:space="0" w:color="000000"/>
            </w:tcBorders>
          </w:tcPr>
          <w:p w14:paraId="097DEC2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Critique</w:t>
            </w:r>
          </w:p>
        </w:tc>
        <w:tc>
          <w:tcPr>
            <w:tcW w:w="3107" w:type="dxa"/>
            <w:tcBorders>
              <w:top w:val="single" w:sz="4" w:space="0" w:color="000000"/>
              <w:left w:val="single" w:sz="4" w:space="0" w:color="000000"/>
              <w:bottom w:val="single" w:sz="4" w:space="0" w:color="000000"/>
              <w:right w:val="single" w:sz="4" w:space="0" w:color="000000"/>
            </w:tcBorders>
          </w:tcPr>
          <w:p w14:paraId="3EDA1DC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système devient dangereux à utiliser. C’est le cœur de la protection du public.</w:t>
            </w:r>
          </w:p>
        </w:tc>
      </w:tr>
      <w:tr w:rsidR="00F50D70" w:rsidRPr="00BE4F47" w14:paraId="39A5E910"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387C9F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3</w:t>
            </w:r>
          </w:p>
        </w:tc>
        <w:tc>
          <w:tcPr>
            <w:tcW w:w="2600" w:type="dxa"/>
            <w:tcBorders>
              <w:top w:val="single" w:sz="4" w:space="0" w:color="000000"/>
              <w:left w:val="single" w:sz="4" w:space="0" w:color="000000"/>
              <w:bottom w:val="single" w:sz="4" w:space="0" w:color="000000"/>
              <w:right w:val="single" w:sz="4" w:space="0" w:color="000000"/>
            </w:tcBorders>
          </w:tcPr>
          <w:p w14:paraId="6B5AED5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Comparer le comportement observé au comportement attendu.</w:t>
            </w:r>
          </w:p>
        </w:tc>
        <w:tc>
          <w:tcPr>
            <w:tcW w:w="1000" w:type="dxa"/>
            <w:tcBorders>
              <w:top w:val="single" w:sz="4" w:space="0" w:color="000000"/>
              <w:left w:val="single" w:sz="4" w:space="0" w:color="000000"/>
              <w:bottom w:val="single" w:sz="4" w:space="0" w:color="000000"/>
              <w:right w:val="single" w:sz="4" w:space="0" w:color="000000"/>
            </w:tcBorders>
          </w:tcPr>
          <w:p w14:paraId="1A4F93F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J2</w:t>
            </w:r>
          </w:p>
        </w:tc>
        <w:tc>
          <w:tcPr>
            <w:tcW w:w="1150" w:type="dxa"/>
            <w:tcBorders>
              <w:top w:val="single" w:sz="4" w:space="0" w:color="000000"/>
              <w:left w:val="single" w:sz="4" w:space="0" w:color="000000"/>
              <w:bottom w:val="single" w:sz="4" w:space="0" w:color="000000"/>
              <w:right w:val="single" w:sz="4" w:space="0" w:color="000000"/>
            </w:tcBorders>
          </w:tcPr>
          <w:p w14:paraId="79ED677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Critique</w:t>
            </w:r>
          </w:p>
        </w:tc>
        <w:tc>
          <w:tcPr>
            <w:tcW w:w="3107" w:type="dxa"/>
            <w:tcBorders>
              <w:top w:val="single" w:sz="4" w:space="0" w:color="000000"/>
              <w:left w:val="single" w:sz="4" w:space="0" w:color="000000"/>
              <w:bottom w:val="single" w:sz="4" w:space="0" w:color="000000"/>
              <w:right w:val="single" w:sz="4" w:space="0" w:color="000000"/>
            </w:tcBorders>
          </w:tcPr>
          <w:p w14:paraId="23A630A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Aucune détection n’est possible.</w:t>
            </w:r>
          </w:p>
        </w:tc>
      </w:tr>
      <w:tr w:rsidR="00F50D70" w:rsidRPr="00BE4F47" w14:paraId="6AF3BF90"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2CEAD59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4</w:t>
            </w:r>
          </w:p>
        </w:tc>
        <w:tc>
          <w:tcPr>
            <w:tcW w:w="2600" w:type="dxa"/>
            <w:tcBorders>
              <w:top w:val="single" w:sz="4" w:space="0" w:color="000000"/>
              <w:left w:val="single" w:sz="4" w:space="0" w:color="000000"/>
              <w:bottom w:val="single" w:sz="4" w:space="0" w:color="000000"/>
              <w:right w:val="single" w:sz="4" w:space="0" w:color="000000"/>
            </w:tcBorders>
          </w:tcPr>
          <w:p w14:paraId="4810E65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Expliquer pourquoi le système conclut, en montrant les variables contributrices.</w:t>
            </w:r>
          </w:p>
        </w:tc>
        <w:tc>
          <w:tcPr>
            <w:tcW w:w="1000" w:type="dxa"/>
            <w:tcBorders>
              <w:top w:val="single" w:sz="4" w:space="0" w:color="000000"/>
              <w:left w:val="single" w:sz="4" w:space="0" w:color="000000"/>
              <w:bottom w:val="single" w:sz="4" w:space="0" w:color="000000"/>
              <w:right w:val="single" w:sz="4" w:space="0" w:color="000000"/>
            </w:tcBorders>
          </w:tcPr>
          <w:p w14:paraId="4B613AF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J3</w:t>
            </w:r>
          </w:p>
        </w:tc>
        <w:tc>
          <w:tcPr>
            <w:tcW w:w="1150" w:type="dxa"/>
            <w:tcBorders>
              <w:top w:val="single" w:sz="4" w:space="0" w:color="000000"/>
              <w:left w:val="single" w:sz="4" w:space="0" w:color="000000"/>
              <w:bottom w:val="single" w:sz="4" w:space="0" w:color="000000"/>
              <w:right w:val="single" w:sz="4" w:space="0" w:color="000000"/>
            </w:tcBorders>
          </w:tcPr>
          <w:p w14:paraId="6C20321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Élevée</w:t>
            </w:r>
          </w:p>
        </w:tc>
        <w:tc>
          <w:tcPr>
            <w:tcW w:w="3107" w:type="dxa"/>
            <w:tcBorders>
              <w:top w:val="single" w:sz="4" w:space="0" w:color="000000"/>
              <w:left w:val="single" w:sz="4" w:space="0" w:color="000000"/>
              <w:bottom w:val="single" w:sz="4" w:space="0" w:color="000000"/>
              <w:right w:val="single" w:sz="4" w:space="0" w:color="000000"/>
            </w:tcBorders>
          </w:tcPr>
          <w:p w14:paraId="2A2F12D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L’outil devient une boîte noire. Les opérateurs ne peuvent plus en répondre.</w:t>
            </w:r>
          </w:p>
        </w:tc>
      </w:tr>
      <w:tr w:rsidR="00F50D70" w:rsidRPr="00BE4F47" w14:paraId="5DB0CAA2"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2408ED4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5</w:t>
            </w:r>
          </w:p>
        </w:tc>
        <w:tc>
          <w:tcPr>
            <w:tcW w:w="2600" w:type="dxa"/>
            <w:tcBorders>
              <w:top w:val="single" w:sz="4" w:space="0" w:color="000000"/>
              <w:left w:val="single" w:sz="4" w:space="0" w:color="000000"/>
              <w:bottom w:val="single" w:sz="4" w:space="0" w:color="000000"/>
              <w:right w:val="single" w:sz="4" w:space="0" w:color="000000"/>
            </w:tcBorders>
          </w:tcPr>
          <w:p w14:paraId="0582867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Journaliser toute acquisition et tout changement d’état.</w:t>
            </w:r>
          </w:p>
        </w:tc>
        <w:tc>
          <w:tcPr>
            <w:tcW w:w="1000" w:type="dxa"/>
            <w:tcBorders>
              <w:top w:val="single" w:sz="4" w:space="0" w:color="000000"/>
              <w:left w:val="single" w:sz="4" w:space="0" w:color="000000"/>
              <w:bottom w:val="single" w:sz="4" w:space="0" w:color="000000"/>
              <w:right w:val="single" w:sz="4" w:space="0" w:color="000000"/>
            </w:tcBorders>
          </w:tcPr>
          <w:p w14:paraId="7B6E6C3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J2</w:t>
            </w:r>
          </w:p>
        </w:tc>
        <w:tc>
          <w:tcPr>
            <w:tcW w:w="1150" w:type="dxa"/>
            <w:tcBorders>
              <w:top w:val="single" w:sz="4" w:space="0" w:color="000000"/>
              <w:left w:val="single" w:sz="4" w:space="0" w:color="000000"/>
              <w:bottom w:val="single" w:sz="4" w:space="0" w:color="000000"/>
              <w:right w:val="single" w:sz="4" w:space="0" w:color="000000"/>
            </w:tcBorders>
          </w:tcPr>
          <w:p w14:paraId="563B192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Élevée</w:t>
            </w:r>
          </w:p>
        </w:tc>
        <w:tc>
          <w:tcPr>
            <w:tcW w:w="3107" w:type="dxa"/>
            <w:tcBorders>
              <w:top w:val="single" w:sz="4" w:space="0" w:color="000000"/>
              <w:left w:val="single" w:sz="4" w:space="0" w:color="000000"/>
              <w:bottom w:val="single" w:sz="4" w:space="0" w:color="000000"/>
              <w:right w:val="single" w:sz="4" w:space="0" w:color="000000"/>
            </w:tcBorders>
          </w:tcPr>
          <w:p w14:paraId="3441DC6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La traçabilité attendue par le cadre réglementaire n’est plus démontrable.</w:t>
            </w:r>
          </w:p>
        </w:tc>
      </w:tr>
      <w:tr w:rsidR="00F50D70" w:rsidRPr="00BE4F47" w14:paraId="6858BFE5"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25A8EA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6</w:t>
            </w:r>
          </w:p>
        </w:tc>
        <w:tc>
          <w:tcPr>
            <w:tcW w:w="2600" w:type="dxa"/>
            <w:tcBorders>
              <w:top w:val="single" w:sz="4" w:space="0" w:color="000000"/>
              <w:left w:val="single" w:sz="4" w:space="0" w:color="000000"/>
              <w:bottom w:val="single" w:sz="4" w:space="0" w:color="000000"/>
              <w:right w:val="single" w:sz="4" w:space="0" w:color="000000"/>
            </w:tcBorders>
          </w:tcPr>
          <w:p w14:paraId="47207D4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Documenter le domaine de validité et les limites d’emploi.</w:t>
            </w:r>
          </w:p>
        </w:tc>
        <w:tc>
          <w:tcPr>
            <w:tcW w:w="1000" w:type="dxa"/>
            <w:tcBorders>
              <w:top w:val="single" w:sz="4" w:space="0" w:color="000000"/>
              <w:left w:val="single" w:sz="4" w:space="0" w:color="000000"/>
              <w:bottom w:val="single" w:sz="4" w:space="0" w:color="000000"/>
              <w:right w:val="single" w:sz="4" w:space="0" w:color="000000"/>
            </w:tcBorders>
          </w:tcPr>
          <w:p w14:paraId="4473055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J5</w:t>
            </w:r>
          </w:p>
        </w:tc>
        <w:tc>
          <w:tcPr>
            <w:tcW w:w="1150" w:type="dxa"/>
            <w:tcBorders>
              <w:top w:val="single" w:sz="4" w:space="0" w:color="000000"/>
              <w:left w:val="single" w:sz="4" w:space="0" w:color="000000"/>
              <w:bottom w:val="single" w:sz="4" w:space="0" w:color="000000"/>
              <w:right w:val="single" w:sz="4" w:space="0" w:color="000000"/>
            </w:tcBorders>
          </w:tcPr>
          <w:p w14:paraId="0BA1318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Élevée</w:t>
            </w:r>
          </w:p>
        </w:tc>
        <w:tc>
          <w:tcPr>
            <w:tcW w:w="3107" w:type="dxa"/>
            <w:tcBorders>
              <w:top w:val="single" w:sz="4" w:space="0" w:color="000000"/>
              <w:left w:val="single" w:sz="4" w:space="0" w:color="000000"/>
              <w:bottom w:val="single" w:sz="4" w:space="0" w:color="000000"/>
              <w:right w:val="single" w:sz="4" w:space="0" w:color="000000"/>
            </w:tcBorders>
          </w:tcPr>
          <w:p w14:paraId="41F4D33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livrable ne peut pas être remis. C’est une obligation professionnelle, pas une option.</w:t>
            </w:r>
          </w:p>
        </w:tc>
      </w:tr>
      <w:tr w:rsidR="00F50D70" w:rsidRPr="00BE4F47" w14:paraId="23EB0697"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2FC6B43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7</w:t>
            </w:r>
          </w:p>
        </w:tc>
        <w:tc>
          <w:tcPr>
            <w:tcW w:w="2600" w:type="dxa"/>
            <w:tcBorders>
              <w:top w:val="single" w:sz="4" w:space="0" w:color="000000"/>
              <w:left w:val="single" w:sz="4" w:space="0" w:color="000000"/>
              <w:bottom w:val="single" w:sz="4" w:space="0" w:color="000000"/>
              <w:right w:val="single" w:sz="4" w:space="0" w:color="000000"/>
            </w:tcBorders>
          </w:tcPr>
          <w:p w14:paraId="74FD989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Quantifier l’incertitude par une méthode statistique établie.</w:t>
            </w:r>
          </w:p>
        </w:tc>
        <w:tc>
          <w:tcPr>
            <w:tcW w:w="1000" w:type="dxa"/>
            <w:tcBorders>
              <w:top w:val="single" w:sz="4" w:space="0" w:color="000000"/>
              <w:left w:val="single" w:sz="4" w:space="0" w:color="000000"/>
              <w:bottom w:val="single" w:sz="4" w:space="0" w:color="000000"/>
              <w:right w:val="single" w:sz="4" w:space="0" w:color="000000"/>
            </w:tcBorders>
          </w:tcPr>
          <w:p w14:paraId="3FD4ED6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J4</w:t>
            </w:r>
          </w:p>
        </w:tc>
        <w:tc>
          <w:tcPr>
            <w:tcW w:w="1150" w:type="dxa"/>
            <w:tcBorders>
              <w:top w:val="single" w:sz="4" w:space="0" w:color="000000"/>
              <w:left w:val="single" w:sz="4" w:space="0" w:color="000000"/>
              <w:bottom w:val="single" w:sz="4" w:space="0" w:color="000000"/>
              <w:right w:val="single" w:sz="4" w:space="0" w:color="000000"/>
            </w:tcBorders>
          </w:tcPr>
          <w:p w14:paraId="66A4093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Moyenne</w:t>
            </w:r>
          </w:p>
        </w:tc>
        <w:tc>
          <w:tcPr>
            <w:tcW w:w="3107" w:type="dxa"/>
            <w:tcBorders>
              <w:top w:val="single" w:sz="4" w:space="0" w:color="000000"/>
              <w:left w:val="single" w:sz="4" w:space="0" w:color="000000"/>
              <w:bottom w:val="single" w:sz="4" w:space="0" w:color="000000"/>
              <w:right w:val="single" w:sz="4" w:space="0" w:color="000000"/>
            </w:tcBorders>
          </w:tcPr>
          <w:p w14:paraId="3E03694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niveau de confiance devient qualitatif. Le contenu est réductible si nécessaire.</w:t>
            </w:r>
          </w:p>
        </w:tc>
      </w:tr>
      <w:tr w:rsidR="00F50D70" w:rsidRPr="00BE4F47" w14:paraId="462BD81D"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0A68860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8</w:t>
            </w:r>
          </w:p>
        </w:tc>
        <w:tc>
          <w:tcPr>
            <w:tcW w:w="2600" w:type="dxa"/>
            <w:tcBorders>
              <w:top w:val="single" w:sz="4" w:space="0" w:color="000000"/>
              <w:left w:val="single" w:sz="4" w:space="0" w:color="000000"/>
              <w:bottom w:val="single" w:sz="4" w:space="0" w:color="000000"/>
              <w:right w:val="single" w:sz="4" w:space="0" w:color="000000"/>
            </w:tcBorders>
          </w:tcPr>
          <w:p w14:paraId="66E9A23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Offrir une interface graphique aboutie.</w:t>
            </w:r>
          </w:p>
        </w:tc>
        <w:tc>
          <w:tcPr>
            <w:tcW w:w="1000" w:type="dxa"/>
            <w:tcBorders>
              <w:top w:val="single" w:sz="4" w:space="0" w:color="000000"/>
              <w:left w:val="single" w:sz="4" w:space="0" w:color="000000"/>
              <w:bottom w:val="single" w:sz="4" w:space="0" w:color="000000"/>
              <w:right w:val="single" w:sz="4" w:space="0" w:color="000000"/>
            </w:tcBorders>
          </w:tcPr>
          <w:p w14:paraId="2C00E74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J4</w:t>
            </w:r>
          </w:p>
        </w:tc>
        <w:tc>
          <w:tcPr>
            <w:tcW w:w="1150" w:type="dxa"/>
            <w:tcBorders>
              <w:top w:val="single" w:sz="4" w:space="0" w:color="000000"/>
              <w:left w:val="single" w:sz="4" w:space="0" w:color="000000"/>
              <w:bottom w:val="single" w:sz="4" w:space="0" w:color="000000"/>
              <w:right w:val="single" w:sz="4" w:space="0" w:color="000000"/>
            </w:tcBorders>
          </w:tcPr>
          <w:p w14:paraId="39B4893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Moyenne</w:t>
            </w:r>
          </w:p>
        </w:tc>
        <w:tc>
          <w:tcPr>
            <w:tcW w:w="3107" w:type="dxa"/>
            <w:tcBorders>
              <w:top w:val="single" w:sz="4" w:space="0" w:color="000000"/>
              <w:left w:val="single" w:sz="4" w:space="0" w:color="000000"/>
              <w:bottom w:val="single" w:sz="4" w:space="0" w:color="000000"/>
              <w:right w:val="single" w:sz="4" w:space="0" w:color="000000"/>
            </w:tcBorders>
          </w:tcPr>
          <w:p w14:paraId="5E00222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contenu est réductible. Une présentation sobre suffit à démontrer la fonction.</w:t>
            </w:r>
          </w:p>
        </w:tc>
      </w:tr>
    </w:tbl>
    <w:p w14:paraId="1B0E9A1E" w14:textId="77777777" w:rsidR="00F50D70" w:rsidRPr="00BE4F47" w:rsidRDefault="00137D7F" w:rsidP="008E113B">
      <w:pPr>
        <w:spacing w:before="200" w:after="130" w:line="360" w:lineRule="auto"/>
        <w:ind w:left="360"/>
        <w:rPr>
          <w:rFonts w:ascii="Aptos" w:hAnsi="Aptos"/>
        </w:rPr>
      </w:pPr>
      <w:bookmarkStart w:id="64" w:name="_Toc241082809"/>
      <w:bookmarkStart w:id="65" w:name="_Toc241670004"/>
      <w:r w:rsidRPr="00BE4F47">
        <w:rPr>
          <w:rFonts w:ascii="Aptos" w:hAnsi="Aptos"/>
          <w:color w:val="1A1A19"/>
          <w:sz w:val="20"/>
          <w:szCs w:val="20"/>
        </w:rPr>
        <w:t>Les rangs 1 à 3 ne sont pas négociables, car ils portent l’objectif directeur. Les rangs 4 à 6 répondent à des obligations professionnelles et réglementaires : ils peuvent être réduits en ampleur, jamais supprimés. Les rangs 7 et 8 forment le contenu ajustable. Cette liste sera arrêtée avec le client au jalon J1.</w:t>
      </w:r>
      <w:bookmarkEnd w:id="64"/>
      <w:bookmarkEnd w:id="65"/>
    </w:p>
    <w:p w14:paraId="257509AC" w14:textId="77777777" w:rsidR="00F50D70" w:rsidRPr="00BE4F47" w:rsidRDefault="00137D7F" w:rsidP="008E113B">
      <w:pPr>
        <w:spacing w:after="130" w:line="360" w:lineRule="auto"/>
        <w:ind w:left="360"/>
        <w:rPr>
          <w:rFonts w:ascii="Aptos" w:hAnsi="Aptos"/>
        </w:rPr>
      </w:pPr>
      <w:bookmarkStart w:id="66" w:name="_Toc241082789"/>
      <w:bookmarkStart w:id="67" w:name="_Toc241670005"/>
      <w:r w:rsidRPr="00BE4F47">
        <w:rPr>
          <w:rFonts w:ascii="Aptos" w:hAnsi="Aptos"/>
          <w:color w:val="1A1A19"/>
          <w:sz w:val="20"/>
          <w:szCs w:val="20"/>
        </w:rPr>
        <w:lastRenderedPageBreak/>
        <w:t>Ces besoins supposent que le système sache distinguer plusieurs états de fonctionnement.</w:t>
      </w:r>
      <w:bookmarkEnd w:id="66"/>
      <w:bookmarkEnd w:id="67"/>
    </w:p>
    <w:p w14:paraId="62EAF104" w14:textId="77777777" w:rsidR="00927E59" w:rsidRPr="00BE4F47" w:rsidRDefault="00927E59" w:rsidP="008E113B">
      <w:pPr>
        <w:pStyle w:val="Titre2"/>
        <w:spacing w:line="360" w:lineRule="auto"/>
      </w:pPr>
      <w:bookmarkStart w:id="68" w:name="_Toc241670006"/>
      <w:r w:rsidRPr="00BE4F47">
        <w:t>Modes de fonctionnement et analyse fonctionnelle</w:t>
      </w:r>
      <w:bookmarkEnd w:id="68"/>
    </w:p>
    <w:p w14:paraId="620084EF"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69" w:name="_Toc241082793"/>
      <w:bookmarkStart w:id="70" w:name="_Toc241670007"/>
      <w:r w:rsidRPr="00BE4F47">
        <w:rPr>
          <w:rFonts w:ascii="Aptos" w:hAnsi="Aptos"/>
          <w:color w:val="1A1A19"/>
          <w:sz w:val="20"/>
          <w:szCs w:val="20"/>
        </w:rPr>
        <w:t>Nous décrivons les états du système au moyen d’un GEMMA, le guide d’étude des modes de marche et d’arrêt. La figure 1-1 en compte onze, répartis en trois familles : les procédures d’arrêt et de remise en route (A1, A2, A5, A6), les procédures de fonctionnement (F1, F2, F4, F6) et les procédures en défaillance (D1, D2, D3). Les cinq états du guide qui ne sont pas repris sont justifiés dans le document de référence du GEMMA. Cette répartition sera confirmée avec le client au jalon J1.</w:t>
      </w:r>
      <w:bookmarkEnd w:id="69"/>
      <w:bookmarkEnd w:id="70"/>
    </w:p>
    <w:p w14:paraId="5EFA862E" w14:textId="77777777" w:rsidR="00F50D70" w:rsidRPr="00BE4F47" w:rsidRDefault="002A1CE1" w:rsidP="008E113B">
      <w:pPr>
        <w:keepNext/>
        <w:spacing w:line="360" w:lineRule="auto"/>
        <w:ind w:left="360"/>
        <w:rPr>
          <w:rFonts w:ascii="Aptos" w:hAnsi="Aptos"/>
        </w:rPr>
      </w:pPr>
      <w:bookmarkStart w:id="71" w:name="_Toc241082791"/>
      <w:bookmarkStart w:id="72" w:name="_Toc241670008"/>
      <w:r>
        <w:rPr>
          <w:rFonts w:ascii="Aptos" w:hAnsi="Aptos"/>
          <w:noProof/>
        </w:rPr>
        <w:drawing>
          <wp:inline distT="0" distB="0" distL="0" distR="0" wp14:anchorId="5E574FA1" wp14:editId="521DCBCD">
            <wp:extent cx="5593080" cy="3497580"/>
            <wp:effectExtent l="0" t="0" r="0" b="0"/>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pic:cNvPicPr>
                      <a:picLocks noChangeAspect="1" noChangeArrowheads="1"/>
                    </pic:cNvPicPr>
                  </pic:nvPicPr>
                  <pic:blipFill>
                    <a:blip r:embed="rId12" cstate="print">
                      <a:extLst>
                        <a:ext uri="{28A0092B-C50C-407E-A947-70E740481C1C}">
                          <a14:useLocalDpi xmlns:a14="http://schemas.microsoft.com/office/drawing/2010/main" val="0"/>
                        </a:ext>
                      </a:extLst>
                    </a:blip>
                    <a:srcRect l="-2" t="-3" r="-2" b="-3"/>
                    <a:stretch>
                      <a:fillRect/>
                    </a:stretch>
                  </pic:blipFill>
                  <pic:spPr bwMode="auto">
                    <a:xfrm>
                      <a:off x="0" y="0"/>
                      <a:ext cx="5593080" cy="3497580"/>
                    </a:xfrm>
                    <a:prstGeom prst="rect">
                      <a:avLst/>
                    </a:prstGeom>
                    <a:noFill/>
                    <a:ln>
                      <a:noFill/>
                    </a:ln>
                  </pic:spPr>
                </pic:pic>
              </a:graphicData>
            </a:graphic>
          </wp:inline>
        </w:drawing>
      </w:r>
      <w:bookmarkEnd w:id="71"/>
      <w:bookmarkEnd w:id="72"/>
    </w:p>
    <w:p w14:paraId="4BFA7252" w14:textId="77777777" w:rsidR="00F50D70" w:rsidRPr="00BE4F47" w:rsidRDefault="00137D7F" w:rsidP="008E113B">
      <w:pPr>
        <w:pStyle w:val="Lgende"/>
        <w:spacing w:line="360" w:lineRule="auto"/>
        <w:rPr>
          <w:rFonts w:ascii="Aptos" w:hAnsi="Aptos"/>
        </w:rPr>
      </w:pPr>
      <w:bookmarkStart w:id="73" w:name="_Toc241082792"/>
      <w:bookmarkStart w:id="74" w:name="_Toc241670009"/>
      <w:r w:rsidRPr="00BE4F47">
        <w:rPr>
          <w:rFonts w:ascii="Aptos" w:hAnsi="Aptos"/>
        </w:rPr>
        <w:t>Figure 1-1. Modes de marche et d’arrêt du jumeau numérique de surveillance</w:t>
      </w:r>
      <w:bookmarkEnd w:id="73"/>
      <w:bookmarkEnd w:id="74"/>
    </w:p>
    <w:p w14:paraId="48F8BA29" w14:textId="77777777" w:rsidR="00F50D70" w:rsidRPr="00BE4F47" w:rsidRDefault="00137D7F" w:rsidP="008E113B">
      <w:pPr>
        <w:spacing w:after="130" w:line="360" w:lineRule="auto"/>
        <w:ind w:left="360"/>
        <w:rPr>
          <w:rFonts w:ascii="Aptos" w:hAnsi="Aptos"/>
        </w:rPr>
      </w:pPr>
      <w:bookmarkStart w:id="75" w:name="_Toc241082794"/>
      <w:bookmarkStart w:id="76" w:name="_Toc241670010"/>
      <w:r w:rsidRPr="00BE4F47">
        <w:rPr>
          <w:rFonts w:ascii="Aptos" w:hAnsi="Aptos"/>
          <w:color w:val="1A1A19"/>
          <w:sz w:val="20"/>
          <w:szCs w:val="20"/>
        </w:rPr>
        <w:t>Trois états demandent une attention particulière pour la suite. F1 est la surveillance normale, où le comportement observé est comparé au comportement attendu. D2 est le diagnostic, atteint dès qu’une dérive est confirmée. D3 est le fonctionnement dégradé, qui demandera une validation humaine. Les exigences EX-F-06 à EX-F-09 traduisent ces trois états en comportements vérifiables.</w:t>
      </w:r>
      <w:bookmarkEnd w:id="75"/>
      <w:bookmarkEnd w:id="76"/>
    </w:p>
    <w:p w14:paraId="77F47038" w14:textId="77777777" w:rsidR="00F50D70" w:rsidRPr="00BE4F47" w:rsidRDefault="00137D7F" w:rsidP="008E113B">
      <w:pPr>
        <w:spacing w:after="130" w:line="360" w:lineRule="auto"/>
        <w:ind w:left="360"/>
        <w:rPr>
          <w:rFonts w:ascii="Aptos" w:hAnsi="Aptos"/>
        </w:rPr>
      </w:pPr>
      <w:bookmarkStart w:id="77" w:name="_Toc241082796"/>
      <w:bookmarkStart w:id="78" w:name="_Toc241670011"/>
      <w:r w:rsidRPr="00BE4F47">
        <w:rPr>
          <w:rFonts w:ascii="Aptos" w:hAnsi="Aptos"/>
          <w:color w:val="1A1A19"/>
          <w:sz w:val="20"/>
          <w:szCs w:val="20"/>
        </w:rPr>
        <w:t>Le prototype se décompose par ailleurs en six sous-systèmes. Nous avons découpé selon la testabilité : un sous-système est une frontière où l’on peut mesurer quelque chose, et chaque flux est un point où un essai peut être posé.</w:t>
      </w:r>
      <w:bookmarkEnd w:id="77"/>
      <w:bookmarkEnd w:id="78"/>
    </w:p>
    <w:p w14:paraId="55F8FDFB" w14:textId="77777777" w:rsidR="00F50D70" w:rsidRPr="00BE4F47" w:rsidRDefault="002A1CE1" w:rsidP="008E113B">
      <w:pPr>
        <w:keepNext/>
        <w:spacing w:line="360" w:lineRule="auto"/>
        <w:rPr>
          <w:rFonts w:ascii="Aptos" w:hAnsi="Aptos"/>
        </w:rPr>
      </w:pPr>
      <w:bookmarkStart w:id="79" w:name="_Toc241082798"/>
      <w:bookmarkStart w:id="80" w:name="_Toc241670012"/>
      <w:r>
        <w:rPr>
          <w:noProof/>
        </w:rPr>
        <w:lastRenderedPageBreak/>
        <w:drawing>
          <wp:anchor distT="0" distB="0" distL="114300" distR="114300" simplePos="0" relativeHeight="251657216" behindDoc="1" locked="0" layoutInCell="1" allowOverlap="1" wp14:anchorId="22AAA29F" wp14:editId="3E8664E1">
            <wp:simplePos x="0" y="0"/>
            <wp:positionH relativeFrom="column">
              <wp:posOffset>184785</wp:posOffset>
            </wp:positionH>
            <wp:positionV relativeFrom="paragraph">
              <wp:posOffset>5080</wp:posOffset>
            </wp:positionV>
            <wp:extent cx="5577840" cy="4451047"/>
            <wp:effectExtent l="0" t="0" r="0" b="0"/>
            <wp:wrapTight wrapText="bothSides">
              <wp:wrapPolygon edited="0">
                <wp:start x="0" y="0"/>
                <wp:lineTo x="0" y="21519"/>
                <wp:lineTo x="21554" y="21519"/>
                <wp:lineTo x="21554" y="0"/>
                <wp:lineTo x="0" y="0"/>
              </wp:wrapPolygon>
            </wp:wrapTight>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7840" cy="4451047"/>
                    </a:xfrm>
                    <a:prstGeom prst="rect">
                      <a:avLst/>
                    </a:prstGeom>
                    <a:noFill/>
                  </pic:spPr>
                </pic:pic>
              </a:graphicData>
            </a:graphic>
            <wp14:sizeRelH relativeFrom="page">
              <wp14:pctWidth>0</wp14:pctWidth>
            </wp14:sizeRelH>
            <wp14:sizeRelV relativeFrom="page">
              <wp14:pctHeight>0</wp14:pctHeight>
            </wp14:sizeRelV>
          </wp:anchor>
        </w:drawing>
      </w:r>
      <w:bookmarkEnd w:id="79"/>
      <w:bookmarkEnd w:id="80"/>
    </w:p>
    <w:p w14:paraId="4C347AFF" w14:textId="77777777" w:rsidR="00F50D70" w:rsidRPr="00BE4F47" w:rsidRDefault="00137D7F" w:rsidP="008E113B">
      <w:pPr>
        <w:pStyle w:val="Lgende"/>
        <w:spacing w:line="360" w:lineRule="auto"/>
        <w:rPr>
          <w:rFonts w:ascii="Aptos" w:hAnsi="Aptos"/>
        </w:rPr>
      </w:pPr>
      <w:bookmarkStart w:id="81" w:name="_Toc241082799"/>
      <w:bookmarkStart w:id="82" w:name="_Toc241670013"/>
      <w:r w:rsidRPr="00BE4F47">
        <w:rPr>
          <w:rFonts w:ascii="Aptos" w:hAnsi="Aptos"/>
        </w:rPr>
        <w:t>Figure 1-2. Décomposition fonctionnelle et flux d’information du prototype</w:t>
      </w:r>
      <w:bookmarkEnd w:id="81"/>
      <w:bookmarkEnd w:id="82"/>
    </w:p>
    <w:p w14:paraId="145F694C" w14:textId="77777777" w:rsidR="00F50D70" w:rsidRPr="00BE4F47" w:rsidRDefault="00137D7F" w:rsidP="008E113B">
      <w:pPr>
        <w:pStyle w:val="Lgende"/>
        <w:keepNext/>
        <w:spacing w:line="360" w:lineRule="auto"/>
        <w:rPr>
          <w:rFonts w:ascii="Aptos" w:hAnsi="Aptos"/>
        </w:rPr>
      </w:pPr>
      <w:bookmarkStart w:id="83" w:name="_Toc241082800"/>
      <w:bookmarkStart w:id="84" w:name="_Toc241670014"/>
      <w:r w:rsidRPr="00BE4F47">
        <w:rPr>
          <w:rFonts w:ascii="Aptos" w:hAnsi="Aptos"/>
        </w:rPr>
        <w:t>Tableau 1-4. Sous-systèmes, intrants et extrants</w:t>
      </w:r>
      <w:bookmarkEnd w:id="83"/>
      <w:bookmarkEnd w:id="84"/>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650"/>
        <w:gridCol w:w="2300"/>
        <w:gridCol w:w="2300"/>
        <w:gridCol w:w="2400"/>
        <w:gridCol w:w="907"/>
      </w:tblGrid>
      <w:tr w:rsidR="00F50D70" w:rsidRPr="00BE4F47" w14:paraId="4AE9144A" w14:textId="77777777" w:rsidTr="0036725C">
        <w:trPr>
          <w:trHeight w:val="227"/>
          <w:tblHeader/>
        </w:trPr>
        <w:tc>
          <w:tcPr>
            <w:tcW w:w="65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2B57483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Réf.</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E7A94B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Fonction principale</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FA7FA6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Intrants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A3F58E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Extrants</w:t>
            </w:r>
          </w:p>
        </w:tc>
        <w:tc>
          <w:tcPr>
            <w:tcW w:w="90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6B41806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Lot</w:t>
            </w:r>
          </w:p>
        </w:tc>
      </w:tr>
      <w:tr w:rsidR="00F50D70" w:rsidRPr="00BE4F47" w14:paraId="5BC7BCFD" w14:textId="77777777">
        <w:trPr>
          <w:cantSplit/>
          <w:trHeight w:val="415"/>
        </w:trPr>
        <w:tc>
          <w:tcPr>
            <w:tcW w:w="650" w:type="dxa"/>
            <w:tcBorders>
              <w:top w:val="single" w:sz="4" w:space="0" w:color="000000"/>
              <w:left w:val="single" w:sz="4" w:space="0" w:color="000000"/>
              <w:bottom w:val="single" w:sz="4" w:space="0" w:color="000000"/>
              <w:right w:val="single" w:sz="4" w:space="0" w:color="000000"/>
            </w:tcBorders>
          </w:tcPr>
          <w:p w14:paraId="6ABC3F5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SS-1</w:t>
            </w:r>
          </w:p>
        </w:tc>
        <w:tc>
          <w:tcPr>
            <w:tcW w:w="2300" w:type="dxa"/>
            <w:tcBorders>
              <w:top w:val="single" w:sz="4" w:space="0" w:color="000000"/>
              <w:left w:val="single" w:sz="4" w:space="0" w:color="000000"/>
              <w:bottom w:val="single" w:sz="4" w:space="0" w:color="000000"/>
              <w:right w:val="single" w:sz="4" w:space="0" w:color="000000"/>
            </w:tcBorders>
          </w:tcPr>
          <w:p w14:paraId="52D79C8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Simuler le comportement physique de la boucle thermohydraulique, en fonctionnement normal comme en défaillance.</w:t>
            </w:r>
          </w:p>
        </w:tc>
        <w:tc>
          <w:tcPr>
            <w:tcW w:w="2300" w:type="dxa"/>
            <w:tcBorders>
              <w:top w:val="single" w:sz="4" w:space="0" w:color="000000"/>
              <w:left w:val="single" w:sz="4" w:space="0" w:color="000000"/>
              <w:bottom w:val="single" w:sz="4" w:space="0" w:color="000000"/>
              <w:right w:val="single" w:sz="4" w:space="0" w:color="000000"/>
            </w:tcBorders>
          </w:tcPr>
          <w:p w14:paraId="349C439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Consignes du scénario, paramètres physiques, ordre d’injection d’une défaillance.</w:t>
            </w:r>
          </w:p>
        </w:tc>
        <w:tc>
          <w:tcPr>
            <w:tcW w:w="2400" w:type="dxa"/>
            <w:tcBorders>
              <w:top w:val="single" w:sz="4" w:space="0" w:color="000000"/>
              <w:left w:val="single" w:sz="4" w:space="0" w:color="000000"/>
              <w:bottom w:val="single" w:sz="4" w:space="0" w:color="000000"/>
              <w:right w:val="single" w:sz="4" w:space="0" w:color="000000"/>
            </w:tcBorders>
          </w:tcPr>
          <w:p w14:paraId="69DA480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Grandeurs vraies de température, de pression et de débit, échantillonnées dans le temps.</w:t>
            </w:r>
          </w:p>
        </w:tc>
        <w:tc>
          <w:tcPr>
            <w:tcW w:w="907" w:type="dxa"/>
            <w:tcBorders>
              <w:top w:val="single" w:sz="4" w:space="0" w:color="000000"/>
              <w:left w:val="single" w:sz="4" w:space="0" w:color="000000"/>
              <w:bottom w:val="single" w:sz="4" w:space="0" w:color="000000"/>
              <w:right w:val="single" w:sz="4" w:space="0" w:color="000000"/>
            </w:tcBorders>
          </w:tcPr>
          <w:p w14:paraId="76093F2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L4</w:t>
            </w:r>
          </w:p>
        </w:tc>
      </w:tr>
      <w:tr w:rsidR="00F50D70" w:rsidRPr="00BE4F47" w14:paraId="02D53838" w14:textId="77777777">
        <w:trPr>
          <w:cantSplit/>
          <w:trHeight w:val="415"/>
        </w:trPr>
        <w:tc>
          <w:tcPr>
            <w:tcW w:w="650" w:type="dxa"/>
            <w:tcBorders>
              <w:top w:val="single" w:sz="4" w:space="0" w:color="000000"/>
              <w:left w:val="single" w:sz="4" w:space="0" w:color="000000"/>
              <w:bottom w:val="single" w:sz="4" w:space="0" w:color="000000"/>
              <w:right w:val="single" w:sz="4" w:space="0" w:color="000000"/>
            </w:tcBorders>
          </w:tcPr>
          <w:p w14:paraId="18AA143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SS-2</w:t>
            </w:r>
          </w:p>
        </w:tc>
        <w:tc>
          <w:tcPr>
            <w:tcW w:w="2300" w:type="dxa"/>
            <w:tcBorders>
              <w:top w:val="single" w:sz="4" w:space="0" w:color="000000"/>
              <w:left w:val="single" w:sz="4" w:space="0" w:color="000000"/>
              <w:bottom w:val="single" w:sz="4" w:space="0" w:color="000000"/>
              <w:right w:val="single" w:sz="4" w:space="0" w:color="000000"/>
            </w:tcBorders>
          </w:tcPr>
          <w:p w14:paraId="4FD782A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Acquérir les grandeurs, les dégrader de façon réaliste, et qualifier ce qui est acquis.</w:t>
            </w:r>
          </w:p>
        </w:tc>
        <w:tc>
          <w:tcPr>
            <w:tcW w:w="2300" w:type="dxa"/>
            <w:tcBorders>
              <w:top w:val="single" w:sz="4" w:space="0" w:color="000000"/>
              <w:left w:val="single" w:sz="4" w:space="0" w:color="000000"/>
              <w:bottom w:val="single" w:sz="4" w:space="0" w:color="000000"/>
              <w:right w:val="single" w:sz="4" w:space="0" w:color="000000"/>
            </w:tcBorders>
          </w:tcPr>
          <w:p w14:paraId="19BC7C1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Grandeurs vraies de SS-1, modèles de bruit, de dérive de capteur et de perte de données.</w:t>
            </w:r>
          </w:p>
        </w:tc>
        <w:tc>
          <w:tcPr>
            <w:tcW w:w="2400" w:type="dxa"/>
            <w:tcBorders>
              <w:top w:val="single" w:sz="4" w:space="0" w:color="000000"/>
              <w:left w:val="single" w:sz="4" w:space="0" w:color="000000"/>
              <w:bottom w:val="single" w:sz="4" w:space="0" w:color="000000"/>
              <w:right w:val="single" w:sz="4" w:space="0" w:color="000000"/>
            </w:tcBorders>
          </w:tcPr>
          <w:p w14:paraId="6EF0568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Mesures horodatées, indice de qualité par mesure, signalement des données manquantes.</w:t>
            </w:r>
          </w:p>
        </w:tc>
        <w:tc>
          <w:tcPr>
            <w:tcW w:w="907" w:type="dxa"/>
            <w:tcBorders>
              <w:top w:val="single" w:sz="4" w:space="0" w:color="000000"/>
              <w:left w:val="single" w:sz="4" w:space="0" w:color="000000"/>
              <w:bottom w:val="single" w:sz="4" w:space="0" w:color="000000"/>
              <w:right w:val="single" w:sz="4" w:space="0" w:color="000000"/>
            </w:tcBorders>
          </w:tcPr>
          <w:p w14:paraId="1533E49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L6</w:t>
            </w:r>
          </w:p>
        </w:tc>
      </w:tr>
      <w:tr w:rsidR="00F50D70" w:rsidRPr="00BE4F47" w14:paraId="36FD23C1" w14:textId="77777777">
        <w:trPr>
          <w:cantSplit/>
          <w:trHeight w:val="415"/>
        </w:trPr>
        <w:tc>
          <w:tcPr>
            <w:tcW w:w="650" w:type="dxa"/>
            <w:tcBorders>
              <w:top w:val="single" w:sz="4" w:space="0" w:color="000000"/>
              <w:left w:val="single" w:sz="4" w:space="0" w:color="000000"/>
              <w:bottom w:val="single" w:sz="4" w:space="0" w:color="000000"/>
              <w:right w:val="single" w:sz="4" w:space="0" w:color="000000"/>
            </w:tcBorders>
          </w:tcPr>
          <w:p w14:paraId="48DA7B2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SS-3</w:t>
            </w:r>
          </w:p>
        </w:tc>
        <w:tc>
          <w:tcPr>
            <w:tcW w:w="2300" w:type="dxa"/>
            <w:tcBorders>
              <w:top w:val="single" w:sz="4" w:space="0" w:color="000000"/>
              <w:left w:val="single" w:sz="4" w:space="0" w:color="000000"/>
              <w:bottom w:val="single" w:sz="4" w:space="0" w:color="000000"/>
              <w:right w:val="single" w:sz="4" w:space="0" w:color="000000"/>
            </w:tcBorders>
          </w:tcPr>
          <w:p w14:paraId="00B2A97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Calculer le comportement attendu et le comparer au comportement observé.</w:t>
            </w:r>
          </w:p>
        </w:tc>
        <w:tc>
          <w:tcPr>
            <w:tcW w:w="2300" w:type="dxa"/>
            <w:tcBorders>
              <w:top w:val="single" w:sz="4" w:space="0" w:color="000000"/>
              <w:left w:val="single" w:sz="4" w:space="0" w:color="000000"/>
              <w:bottom w:val="single" w:sz="4" w:space="0" w:color="000000"/>
              <w:right w:val="single" w:sz="4" w:space="0" w:color="000000"/>
            </w:tcBorders>
          </w:tcPr>
          <w:p w14:paraId="611AEF4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Mesures horodatées de SS-2, paramètres du modèle de référence.</w:t>
            </w:r>
          </w:p>
        </w:tc>
        <w:tc>
          <w:tcPr>
            <w:tcW w:w="2400" w:type="dxa"/>
            <w:tcBorders>
              <w:top w:val="single" w:sz="4" w:space="0" w:color="000000"/>
              <w:left w:val="single" w:sz="4" w:space="0" w:color="000000"/>
              <w:bottom w:val="single" w:sz="4" w:space="0" w:color="000000"/>
              <w:right w:val="single" w:sz="4" w:space="0" w:color="000000"/>
            </w:tcBorders>
          </w:tcPr>
          <w:p w14:paraId="6159419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Comportement attendu, résidus définis comme l’écart entre observé et attendu.</w:t>
            </w:r>
          </w:p>
        </w:tc>
        <w:tc>
          <w:tcPr>
            <w:tcW w:w="907" w:type="dxa"/>
            <w:tcBorders>
              <w:top w:val="single" w:sz="4" w:space="0" w:color="000000"/>
              <w:left w:val="single" w:sz="4" w:space="0" w:color="000000"/>
              <w:bottom w:val="single" w:sz="4" w:space="0" w:color="000000"/>
              <w:right w:val="single" w:sz="4" w:space="0" w:color="000000"/>
            </w:tcBorders>
          </w:tcPr>
          <w:p w14:paraId="383727C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L4, L6</w:t>
            </w:r>
          </w:p>
        </w:tc>
      </w:tr>
      <w:tr w:rsidR="00F50D70" w:rsidRPr="00BE4F47" w14:paraId="2605B8CC" w14:textId="77777777">
        <w:trPr>
          <w:cantSplit/>
          <w:trHeight w:val="415"/>
        </w:trPr>
        <w:tc>
          <w:tcPr>
            <w:tcW w:w="650" w:type="dxa"/>
            <w:tcBorders>
              <w:top w:val="single" w:sz="4" w:space="0" w:color="000000"/>
              <w:left w:val="single" w:sz="4" w:space="0" w:color="000000"/>
              <w:bottom w:val="single" w:sz="4" w:space="0" w:color="000000"/>
              <w:right w:val="single" w:sz="4" w:space="0" w:color="000000"/>
            </w:tcBorders>
          </w:tcPr>
          <w:p w14:paraId="28517AA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SS-4</w:t>
            </w:r>
          </w:p>
        </w:tc>
        <w:tc>
          <w:tcPr>
            <w:tcW w:w="2300" w:type="dxa"/>
            <w:tcBorders>
              <w:top w:val="single" w:sz="4" w:space="0" w:color="000000"/>
              <w:left w:val="single" w:sz="4" w:space="0" w:color="000000"/>
              <w:bottom w:val="single" w:sz="4" w:space="0" w:color="000000"/>
              <w:right w:val="single" w:sz="4" w:space="0" w:color="000000"/>
            </w:tcBorders>
          </w:tcPr>
          <w:p w14:paraId="58DA525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Décider si un résidu traduit une anomalie, et dire avec quelle confiance.</w:t>
            </w:r>
          </w:p>
        </w:tc>
        <w:tc>
          <w:tcPr>
            <w:tcW w:w="2300" w:type="dxa"/>
            <w:tcBorders>
              <w:top w:val="single" w:sz="4" w:space="0" w:color="000000"/>
              <w:left w:val="single" w:sz="4" w:space="0" w:color="000000"/>
              <w:bottom w:val="single" w:sz="4" w:space="0" w:color="000000"/>
              <w:right w:val="single" w:sz="4" w:space="0" w:color="000000"/>
            </w:tcBorders>
          </w:tcPr>
          <w:p w14:paraId="4A94F9D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Résidus de SS-3, indice de qualité de SS-2.</w:t>
            </w:r>
          </w:p>
        </w:tc>
        <w:tc>
          <w:tcPr>
            <w:tcW w:w="2400" w:type="dxa"/>
            <w:tcBorders>
              <w:top w:val="single" w:sz="4" w:space="0" w:color="000000"/>
              <w:left w:val="single" w:sz="4" w:space="0" w:color="000000"/>
              <w:bottom w:val="single" w:sz="4" w:space="0" w:color="000000"/>
              <w:right w:val="single" w:sz="4" w:space="0" w:color="000000"/>
            </w:tcBorders>
          </w:tcPr>
          <w:p w14:paraId="5041961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État estimé parmi normal, dérive, anomalie et incertain ; niveau de confiance ; variables contributrices.</w:t>
            </w:r>
          </w:p>
        </w:tc>
        <w:tc>
          <w:tcPr>
            <w:tcW w:w="907" w:type="dxa"/>
            <w:tcBorders>
              <w:top w:val="single" w:sz="4" w:space="0" w:color="000000"/>
              <w:left w:val="single" w:sz="4" w:space="0" w:color="000000"/>
              <w:bottom w:val="single" w:sz="4" w:space="0" w:color="000000"/>
              <w:right w:val="single" w:sz="4" w:space="0" w:color="000000"/>
            </w:tcBorders>
          </w:tcPr>
          <w:p w14:paraId="7F27697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L7</w:t>
            </w:r>
          </w:p>
        </w:tc>
      </w:tr>
      <w:tr w:rsidR="00F50D70" w:rsidRPr="00BE4F47" w14:paraId="6AF27FB0" w14:textId="77777777">
        <w:trPr>
          <w:cantSplit/>
          <w:trHeight w:val="415"/>
        </w:trPr>
        <w:tc>
          <w:tcPr>
            <w:tcW w:w="650" w:type="dxa"/>
            <w:tcBorders>
              <w:top w:val="single" w:sz="4" w:space="0" w:color="000000"/>
              <w:left w:val="single" w:sz="4" w:space="0" w:color="000000"/>
              <w:bottom w:val="single" w:sz="4" w:space="0" w:color="000000"/>
              <w:right w:val="single" w:sz="4" w:space="0" w:color="000000"/>
            </w:tcBorders>
          </w:tcPr>
          <w:p w14:paraId="448F375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lastRenderedPageBreak/>
              <w:t>SS-5</w:t>
            </w:r>
          </w:p>
        </w:tc>
        <w:tc>
          <w:tcPr>
            <w:tcW w:w="2300" w:type="dxa"/>
            <w:tcBorders>
              <w:top w:val="single" w:sz="4" w:space="0" w:color="000000"/>
              <w:left w:val="single" w:sz="4" w:space="0" w:color="000000"/>
              <w:bottom w:val="single" w:sz="4" w:space="0" w:color="000000"/>
              <w:right w:val="single" w:sz="4" w:space="0" w:color="000000"/>
            </w:tcBorders>
          </w:tcPr>
          <w:p w14:paraId="454BA8A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Présenter l’état, la confiance et les contributions à l’opérateur, sans commander l’installation.</w:t>
            </w:r>
          </w:p>
        </w:tc>
        <w:tc>
          <w:tcPr>
            <w:tcW w:w="2300" w:type="dxa"/>
            <w:tcBorders>
              <w:top w:val="single" w:sz="4" w:space="0" w:color="000000"/>
              <w:left w:val="single" w:sz="4" w:space="0" w:color="000000"/>
              <w:bottom w:val="single" w:sz="4" w:space="0" w:color="000000"/>
              <w:right w:val="single" w:sz="4" w:space="0" w:color="000000"/>
            </w:tcBorders>
          </w:tcPr>
          <w:p w14:paraId="0292D00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Sortie de SS-4, journal de SS-2.</w:t>
            </w:r>
          </w:p>
        </w:tc>
        <w:tc>
          <w:tcPr>
            <w:tcW w:w="2400" w:type="dxa"/>
            <w:tcBorders>
              <w:top w:val="single" w:sz="4" w:space="0" w:color="000000"/>
              <w:left w:val="single" w:sz="4" w:space="0" w:color="000000"/>
              <w:bottom w:val="single" w:sz="4" w:space="0" w:color="000000"/>
              <w:right w:val="single" w:sz="4" w:space="0" w:color="000000"/>
            </w:tcBorders>
          </w:tcPr>
          <w:p w14:paraId="5543C54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Affichage, recommandation, mention explicite de l’incertitude, demande de validation humaine.</w:t>
            </w:r>
          </w:p>
        </w:tc>
        <w:tc>
          <w:tcPr>
            <w:tcW w:w="907" w:type="dxa"/>
            <w:tcBorders>
              <w:top w:val="single" w:sz="4" w:space="0" w:color="000000"/>
              <w:left w:val="single" w:sz="4" w:space="0" w:color="000000"/>
              <w:bottom w:val="single" w:sz="4" w:space="0" w:color="000000"/>
              <w:right w:val="single" w:sz="4" w:space="0" w:color="000000"/>
            </w:tcBorders>
          </w:tcPr>
          <w:p w14:paraId="23F4371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L8</w:t>
            </w:r>
          </w:p>
        </w:tc>
      </w:tr>
      <w:tr w:rsidR="00F50D70" w:rsidRPr="00BE4F47" w14:paraId="52BEA088" w14:textId="77777777">
        <w:trPr>
          <w:cantSplit/>
          <w:trHeight w:val="415"/>
        </w:trPr>
        <w:tc>
          <w:tcPr>
            <w:tcW w:w="650" w:type="dxa"/>
            <w:tcBorders>
              <w:top w:val="single" w:sz="4" w:space="0" w:color="000000"/>
              <w:left w:val="single" w:sz="4" w:space="0" w:color="000000"/>
              <w:bottom w:val="single" w:sz="4" w:space="0" w:color="000000"/>
              <w:right w:val="single" w:sz="4" w:space="0" w:color="000000"/>
            </w:tcBorders>
          </w:tcPr>
          <w:p w14:paraId="7419795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SS-6</w:t>
            </w:r>
          </w:p>
        </w:tc>
        <w:tc>
          <w:tcPr>
            <w:tcW w:w="2300" w:type="dxa"/>
            <w:tcBorders>
              <w:top w:val="single" w:sz="4" w:space="0" w:color="000000"/>
              <w:left w:val="single" w:sz="4" w:space="0" w:color="000000"/>
              <w:bottom w:val="single" w:sz="4" w:space="0" w:color="000000"/>
              <w:right w:val="single" w:sz="4" w:space="0" w:color="000000"/>
            </w:tcBorders>
          </w:tcPr>
          <w:p w14:paraId="10503EB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Journaliser, horodater et protéger l’intégrité de la chaîne, de l’acquisition à l’affichage.</w:t>
            </w:r>
          </w:p>
        </w:tc>
        <w:tc>
          <w:tcPr>
            <w:tcW w:w="2300" w:type="dxa"/>
            <w:tcBorders>
              <w:top w:val="single" w:sz="4" w:space="0" w:color="000000"/>
              <w:left w:val="single" w:sz="4" w:space="0" w:color="000000"/>
              <w:bottom w:val="single" w:sz="4" w:space="0" w:color="000000"/>
              <w:right w:val="single" w:sz="4" w:space="0" w:color="000000"/>
            </w:tcBorders>
          </w:tcPr>
          <w:p w14:paraId="7181E88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Événements émis par SS-2, SS-3, SS-4 et SS-5.</w:t>
            </w:r>
          </w:p>
        </w:tc>
        <w:tc>
          <w:tcPr>
            <w:tcW w:w="2400" w:type="dxa"/>
            <w:tcBorders>
              <w:top w:val="single" w:sz="4" w:space="0" w:color="000000"/>
              <w:left w:val="single" w:sz="4" w:space="0" w:color="000000"/>
              <w:bottom w:val="single" w:sz="4" w:space="0" w:color="000000"/>
              <w:right w:val="single" w:sz="4" w:space="0" w:color="000000"/>
            </w:tcBorders>
          </w:tcPr>
          <w:p w14:paraId="1FC2C09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Journal horodaté et vérifiable, contrôles d’intégrité, cloisonnement des interfaces.</w:t>
            </w:r>
          </w:p>
        </w:tc>
        <w:tc>
          <w:tcPr>
            <w:tcW w:w="907" w:type="dxa"/>
            <w:tcBorders>
              <w:top w:val="single" w:sz="4" w:space="0" w:color="000000"/>
              <w:left w:val="single" w:sz="4" w:space="0" w:color="000000"/>
              <w:bottom w:val="single" w:sz="4" w:space="0" w:color="000000"/>
              <w:right w:val="single" w:sz="4" w:space="0" w:color="000000"/>
            </w:tcBorders>
          </w:tcPr>
          <w:p w14:paraId="0D640FC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L5</w:t>
            </w:r>
          </w:p>
        </w:tc>
      </w:tr>
    </w:tbl>
    <w:p w14:paraId="76216DAD" w14:textId="77777777" w:rsidR="00F50D70" w:rsidRPr="00BE4F47" w:rsidRDefault="00137D7F" w:rsidP="008E113B">
      <w:pPr>
        <w:spacing w:before="200" w:after="130" w:line="360" w:lineRule="auto"/>
        <w:ind w:left="360"/>
        <w:rPr>
          <w:rFonts w:ascii="Aptos" w:hAnsi="Aptos"/>
        </w:rPr>
      </w:pPr>
      <w:bookmarkStart w:id="85" w:name="_Toc241082801"/>
      <w:bookmarkStart w:id="86" w:name="_Toc241670015"/>
      <w:r w:rsidRPr="00BE4F47">
        <w:rPr>
          <w:rFonts w:ascii="Aptos" w:hAnsi="Aptos"/>
          <w:color w:val="1A1A19"/>
          <w:sz w:val="20"/>
          <w:szCs w:val="20"/>
        </w:rPr>
        <w:t>Les six sous-systèmes échangent six flux d’information, notés FL-1 à FL-6 pour les distinguer des états du GEMMA. Chaque flux porte un contenu identifié et un moyen de vérification.</w:t>
      </w:r>
      <w:bookmarkEnd w:id="85"/>
      <w:bookmarkEnd w:id="86"/>
    </w:p>
    <w:p w14:paraId="7B7971BE" w14:textId="77777777" w:rsidR="00F50D70" w:rsidRPr="00BE4F47" w:rsidRDefault="00137D7F" w:rsidP="008E113B">
      <w:pPr>
        <w:pStyle w:val="Lgende"/>
        <w:keepNext/>
        <w:spacing w:line="360" w:lineRule="auto"/>
        <w:rPr>
          <w:rFonts w:ascii="Aptos" w:hAnsi="Aptos"/>
        </w:rPr>
      </w:pPr>
      <w:bookmarkStart w:id="87" w:name="_Toc241082802"/>
      <w:bookmarkStart w:id="88" w:name="_Toc241670016"/>
      <w:r w:rsidRPr="00BE4F47">
        <w:rPr>
          <w:rFonts w:ascii="Aptos" w:hAnsi="Aptos"/>
        </w:rPr>
        <w:t>Tableau 1-5. Flux d’information entre les sous-systèmes</w:t>
      </w:r>
      <w:bookmarkEnd w:id="87"/>
      <w:bookmarkEnd w:id="88"/>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700"/>
        <w:gridCol w:w="1100"/>
        <w:gridCol w:w="1100"/>
        <w:gridCol w:w="2800"/>
        <w:gridCol w:w="2857"/>
      </w:tblGrid>
      <w:tr w:rsidR="00F50D70" w:rsidRPr="00BE4F47" w14:paraId="37526D3B" w14:textId="77777777" w:rsidTr="0036725C">
        <w:trPr>
          <w:trHeight w:val="227"/>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D0D757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Flux</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85F4DC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De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B37FAD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Vers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D9F471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Contenu</w:t>
            </w:r>
          </w:p>
        </w:tc>
        <w:tc>
          <w:tcPr>
            <w:tcW w:w="28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2276817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Ce qu’il permet de vérifier</w:t>
            </w:r>
          </w:p>
        </w:tc>
      </w:tr>
      <w:tr w:rsidR="00F50D70" w:rsidRPr="00BE4F47" w14:paraId="3B1E868E"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70353B9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FL-1</w:t>
            </w:r>
          </w:p>
        </w:tc>
        <w:tc>
          <w:tcPr>
            <w:tcW w:w="1100" w:type="dxa"/>
            <w:tcBorders>
              <w:top w:val="single" w:sz="4" w:space="0" w:color="000000"/>
              <w:left w:val="single" w:sz="4" w:space="0" w:color="000000"/>
              <w:bottom w:val="single" w:sz="4" w:space="0" w:color="000000"/>
              <w:right w:val="single" w:sz="4" w:space="0" w:color="000000"/>
            </w:tcBorders>
          </w:tcPr>
          <w:p w14:paraId="453BCA7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Scénario d’essai</w:t>
            </w:r>
          </w:p>
        </w:tc>
        <w:tc>
          <w:tcPr>
            <w:tcW w:w="1100" w:type="dxa"/>
            <w:tcBorders>
              <w:top w:val="single" w:sz="4" w:space="0" w:color="000000"/>
              <w:left w:val="single" w:sz="4" w:space="0" w:color="000000"/>
              <w:bottom w:val="single" w:sz="4" w:space="0" w:color="000000"/>
              <w:right w:val="single" w:sz="4" w:space="0" w:color="000000"/>
            </w:tcBorders>
          </w:tcPr>
          <w:p w14:paraId="21D2796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SS-1</w:t>
            </w:r>
          </w:p>
        </w:tc>
        <w:tc>
          <w:tcPr>
            <w:tcW w:w="2800" w:type="dxa"/>
            <w:tcBorders>
              <w:top w:val="single" w:sz="4" w:space="0" w:color="000000"/>
              <w:left w:val="single" w:sz="4" w:space="0" w:color="000000"/>
              <w:bottom w:val="single" w:sz="4" w:space="0" w:color="000000"/>
              <w:right w:val="single" w:sz="4" w:space="0" w:color="000000"/>
            </w:tcBorders>
          </w:tcPr>
          <w:p w14:paraId="2288B6F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Consigne de fonctionnement et ordre d’injection de défaillance.</w:t>
            </w:r>
          </w:p>
        </w:tc>
        <w:tc>
          <w:tcPr>
            <w:tcW w:w="2857" w:type="dxa"/>
            <w:tcBorders>
              <w:top w:val="single" w:sz="4" w:space="0" w:color="000000"/>
              <w:left w:val="single" w:sz="4" w:space="0" w:color="000000"/>
              <w:bottom w:val="single" w:sz="4" w:space="0" w:color="000000"/>
              <w:right w:val="single" w:sz="4" w:space="0" w:color="000000"/>
            </w:tcBorders>
          </w:tcPr>
          <w:p w14:paraId="71E00B4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Qu’un même scénario produit deux fois la même trajectoire (EX-F-02).</w:t>
            </w:r>
          </w:p>
        </w:tc>
      </w:tr>
      <w:tr w:rsidR="00F50D70" w:rsidRPr="00BE4F47" w14:paraId="7C14221F"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1D1CB98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FL-2</w:t>
            </w:r>
          </w:p>
        </w:tc>
        <w:tc>
          <w:tcPr>
            <w:tcW w:w="1100" w:type="dxa"/>
            <w:tcBorders>
              <w:top w:val="single" w:sz="4" w:space="0" w:color="000000"/>
              <w:left w:val="single" w:sz="4" w:space="0" w:color="000000"/>
              <w:bottom w:val="single" w:sz="4" w:space="0" w:color="000000"/>
              <w:right w:val="single" w:sz="4" w:space="0" w:color="000000"/>
            </w:tcBorders>
          </w:tcPr>
          <w:p w14:paraId="7207000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SS-1</w:t>
            </w:r>
          </w:p>
        </w:tc>
        <w:tc>
          <w:tcPr>
            <w:tcW w:w="1100" w:type="dxa"/>
            <w:tcBorders>
              <w:top w:val="single" w:sz="4" w:space="0" w:color="000000"/>
              <w:left w:val="single" w:sz="4" w:space="0" w:color="000000"/>
              <w:bottom w:val="single" w:sz="4" w:space="0" w:color="000000"/>
              <w:right w:val="single" w:sz="4" w:space="0" w:color="000000"/>
            </w:tcBorders>
          </w:tcPr>
          <w:p w14:paraId="11991A6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SS-2</w:t>
            </w:r>
          </w:p>
        </w:tc>
        <w:tc>
          <w:tcPr>
            <w:tcW w:w="2800" w:type="dxa"/>
            <w:tcBorders>
              <w:top w:val="single" w:sz="4" w:space="0" w:color="000000"/>
              <w:left w:val="single" w:sz="4" w:space="0" w:color="000000"/>
              <w:bottom w:val="single" w:sz="4" w:space="0" w:color="000000"/>
              <w:right w:val="single" w:sz="4" w:space="0" w:color="000000"/>
            </w:tcBorders>
          </w:tcPr>
          <w:p w14:paraId="3995F59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Grandeurs vraies de température, de pression et de débit.</w:t>
            </w:r>
          </w:p>
        </w:tc>
        <w:tc>
          <w:tcPr>
            <w:tcW w:w="2857" w:type="dxa"/>
            <w:tcBorders>
              <w:top w:val="single" w:sz="4" w:space="0" w:color="000000"/>
              <w:left w:val="single" w:sz="4" w:space="0" w:color="000000"/>
              <w:bottom w:val="single" w:sz="4" w:space="0" w:color="000000"/>
              <w:right w:val="single" w:sz="4" w:space="0" w:color="000000"/>
            </w:tcBorders>
          </w:tcPr>
          <w:p w14:paraId="48FBB9C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Que la boucle simulée reste dans son domaine de validité (EX-C-01).</w:t>
            </w:r>
          </w:p>
        </w:tc>
      </w:tr>
      <w:tr w:rsidR="00F50D70" w:rsidRPr="00BE4F47" w14:paraId="6BC1E8FF"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2B6DFCF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FL-3</w:t>
            </w:r>
          </w:p>
        </w:tc>
        <w:tc>
          <w:tcPr>
            <w:tcW w:w="1100" w:type="dxa"/>
            <w:tcBorders>
              <w:top w:val="single" w:sz="4" w:space="0" w:color="000000"/>
              <w:left w:val="single" w:sz="4" w:space="0" w:color="000000"/>
              <w:bottom w:val="single" w:sz="4" w:space="0" w:color="000000"/>
              <w:right w:val="single" w:sz="4" w:space="0" w:color="000000"/>
            </w:tcBorders>
          </w:tcPr>
          <w:p w14:paraId="358F6E5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SS-2</w:t>
            </w:r>
          </w:p>
        </w:tc>
        <w:tc>
          <w:tcPr>
            <w:tcW w:w="1100" w:type="dxa"/>
            <w:tcBorders>
              <w:top w:val="single" w:sz="4" w:space="0" w:color="000000"/>
              <w:left w:val="single" w:sz="4" w:space="0" w:color="000000"/>
              <w:bottom w:val="single" w:sz="4" w:space="0" w:color="000000"/>
              <w:right w:val="single" w:sz="4" w:space="0" w:color="000000"/>
            </w:tcBorders>
          </w:tcPr>
          <w:p w14:paraId="5A8815A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SS-3</w:t>
            </w:r>
          </w:p>
        </w:tc>
        <w:tc>
          <w:tcPr>
            <w:tcW w:w="2800" w:type="dxa"/>
            <w:tcBorders>
              <w:top w:val="single" w:sz="4" w:space="0" w:color="000000"/>
              <w:left w:val="single" w:sz="4" w:space="0" w:color="000000"/>
              <w:bottom w:val="single" w:sz="4" w:space="0" w:color="000000"/>
              <w:right w:val="single" w:sz="4" w:space="0" w:color="000000"/>
            </w:tcBorders>
          </w:tcPr>
          <w:p w14:paraId="31B3AE0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Mesures horodatées assorties d’un indice de qualité.</w:t>
            </w:r>
          </w:p>
        </w:tc>
        <w:tc>
          <w:tcPr>
            <w:tcW w:w="2857" w:type="dxa"/>
            <w:tcBorders>
              <w:top w:val="single" w:sz="4" w:space="0" w:color="000000"/>
              <w:left w:val="single" w:sz="4" w:space="0" w:color="000000"/>
              <w:bottom w:val="single" w:sz="4" w:space="0" w:color="000000"/>
              <w:right w:val="single" w:sz="4" w:space="0" w:color="000000"/>
            </w:tcBorders>
          </w:tcPr>
          <w:p w14:paraId="55279D14" w14:textId="20B52F31"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 xml:space="preserve">Que la dégradation appliquée </w:t>
            </w:r>
            <w:r w:rsidR="00F355AE" w:rsidRPr="00BE4F47">
              <w:rPr>
                <w:rFonts w:ascii="Aptos" w:eastAsia="Calibri" w:hAnsi="Aptos" w:cs="Calibri"/>
                <w:color w:val="1A1A19"/>
                <w:sz w:val="16"/>
                <w:szCs w:val="16"/>
              </w:rPr>
              <w:t>soit</w:t>
            </w:r>
            <w:r w:rsidRPr="00BE4F47">
              <w:rPr>
                <w:rFonts w:ascii="Aptos" w:eastAsia="Calibri" w:hAnsi="Aptos" w:cs="Calibri"/>
                <w:color w:val="1A1A19"/>
                <w:sz w:val="16"/>
                <w:szCs w:val="16"/>
              </w:rPr>
              <w:t xml:space="preserve"> celle qui était demandée (EX-F-03).</w:t>
            </w:r>
          </w:p>
        </w:tc>
      </w:tr>
      <w:tr w:rsidR="00F50D70" w:rsidRPr="00BE4F47" w14:paraId="5AC29D9C"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09146B9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FL-4</w:t>
            </w:r>
          </w:p>
        </w:tc>
        <w:tc>
          <w:tcPr>
            <w:tcW w:w="1100" w:type="dxa"/>
            <w:tcBorders>
              <w:top w:val="single" w:sz="4" w:space="0" w:color="000000"/>
              <w:left w:val="single" w:sz="4" w:space="0" w:color="000000"/>
              <w:bottom w:val="single" w:sz="4" w:space="0" w:color="000000"/>
              <w:right w:val="single" w:sz="4" w:space="0" w:color="000000"/>
            </w:tcBorders>
          </w:tcPr>
          <w:p w14:paraId="6F70112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SS-3</w:t>
            </w:r>
          </w:p>
        </w:tc>
        <w:tc>
          <w:tcPr>
            <w:tcW w:w="1100" w:type="dxa"/>
            <w:tcBorders>
              <w:top w:val="single" w:sz="4" w:space="0" w:color="000000"/>
              <w:left w:val="single" w:sz="4" w:space="0" w:color="000000"/>
              <w:bottom w:val="single" w:sz="4" w:space="0" w:color="000000"/>
              <w:right w:val="single" w:sz="4" w:space="0" w:color="000000"/>
            </w:tcBorders>
          </w:tcPr>
          <w:p w14:paraId="394F508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SS-4</w:t>
            </w:r>
          </w:p>
        </w:tc>
        <w:tc>
          <w:tcPr>
            <w:tcW w:w="2800" w:type="dxa"/>
            <w:tcBorders>
              <w:top w:val="single" w:sz="4" w:space="0" w:color="000000"/>
              <w:left w:val="single" w:sz="4" w:space="0" w:color="000000"/>
              <w:bottom w:val="single" w:sz="4" w:space="0" w:color="000000"/>
              <w:right w:val="single" w:sz="4" w:space="0" w:color="000000"/>
            </w:tcBorders>
          </w:tcPr>
          <w:p w14:paraId="32D0FD9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Résidus entre comportement observé et comportement attendu.</w:t>
            </w:r>
          </w:p>
        </w:tc>
        <w:tc>
          <w:tcPr>
            <w:tcW w:w="2857" w:type="dxa"/>
            <w:tcBorders>
              <w:top w:val="single" w:sz="4" w:space="0" w:color="000000"/>
              <w:left w:val="single" w:sz="4" w:space="0" w:color="000000"/>
              <w:bottom w:val="single" w:sz="4" w:space="0" w:color="000000"/>
              <w:right w:val="single" w:sz="4" w:space="0" w:color="000000"/>
            </w:tcBorders>
          </w:tcPr>
          <w:p w14:paraId="169E878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Que l’écart entre les deux modèles reste sous le seuil retenu (EX-Q-01).</w:t>
            </w:r>
          </w:p>
        </w:tc>
      </w:tr>
      <w:tr w:rsidR="00F50D70" w:rsidRPr="00BE4F47" w14:paraId="1EB00297"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772559C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FL-5</w:t>
            </w:r>
          </w:p>
        </w:tc>
        <w:tc>
          <w:tcPr>
            <w:tcW w:w="1100" w:type="dxa"/>
            <w:tcBorders>
              <w:top w:val="single" w:sz="4" w:space="0" w:color="000000"/>
              <w:left w:val="single" w:sz="4" w:space="0" w:color="000000"/>
              <w:bottom w:val="single" w:sz="4" w:space="0" w:color="000000"/>
              <w:right w:val="single" w:sz="4" w:space="0" w:color="000000"/>
            </w:tcBorders>
          </w:tcPr>
          <w:p w14:paraId="6EF183D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SS-4</w:t>
            </w:r>
          </w:p>
        </w:tc>
        <w:tc>
          <w:tcPr>
            <w:tcW w:w="1100" w:type="dxa"/>
            <w:tcBorders>
              <w:top w:val="single" w:sz="4" w:space="0" w:color="000000"/>
              <w:left w:val="single" w:sz="4" w:space="0" w:color="000000"/>
              <w:bottom w:val="single" w:sz="4" w:space="0" w:color="000000"/>
              <w:right w:val="single" w:sz="4" w:space="0" w:color="000000"/>
            </w:tcBorders>
          </w:tcPr>
          <w:p w14:paraId="425C1F5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SS-5</w:t>
            </w:r>
          </w:p>
        </w:tc>
        <w:tc>
          <w:tcPr>
            <w:tcW w:w="2800" w:type="dxa"/>
            <w:tcBorders>
              <w:top w:val="single" w:sz="4" w:space="0" w:color="000000"/>
              <w:left w:val="single" w:sz="4" w:space="0" w:color="000000"/>
              <w:bottom w:val="single" w:sz="4" w:space="0" w:color="000000"/>
              <w:right w:val="single" w:sz="4" w:space="0" w:color="000000"/>
            </w:tcBorders>
          </w:tcPr>
          <w:p w14:paraId="632AD15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État estimé, niveau de confiance, variables contributrices.</w:t>
            </w:r>
          </w:p>
        </w:tc>
        <w:tc>
          <w:tcPr>
            <w:tcW w:w="2857" w:type="dxa"/>
            <w:tcBorders>
              <w:top w:val="single" w:sz="4" w:space="0" w:color="000000"/>
              <w:left w:val="single" w:sz="4" w:space="0" w:color="000000"/>
              <w:bottom w:val="single" w:sz="4" w:space="0" w:color="000000"/>
              <w:right w:val="single" w:sz="4" w:space="0" w:color="000000"/>
            </w:tcBorders>
          </w:tcPr>
          <w:p w14:paraId="7CAD47F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Que l’état « incertain » apparaît bien quand les données manquent (EX-F-06).</w:t>
            </w:r>
          </w:p>
        </w:tc>
      </w:tr>
      <w:tr w:rsidR="00F50D70" w:rsidRPr="00BE4F47" w14:paraId="0C6AAAB2"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160258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FL-6</w:t>
            </w:r>
          </w:p>
        </w:tc>
        <w:tc>
          <w:tcPr>
            <w:tcW w:w="1100" w:type="dxa"/>
            <w:tcBorders>
              <w:top w:val="single" w:sz="4" w:space="0" w:color="000000"/>
              <w:left w:val="single" w:sz="4" w:space="0" w:color="000000"/>
              <w:bottom w:val="single" w:sz="4" w:space="0" w:color="000000"/>
              <w:right w:val="single" w:sz="4" w:space="0" w:color="000000"/>
            </w:tcBorders>
          </w:tcPr>
          <w:p w14:paraId="408DBC7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SS-5</w:t>
            </w:r>
          </w:p>
        </w:tc>
        <w:tc>
          <w:tcPr>
            <w:tcW w:w="1100" w:type="dxa"/>
            <w:tcBorders>
              <w:top w:val="single" w:sz="4" w:space="0" w:color="000000"/>
              <w:left w:val="single" w:sz="4" w:space="0" w:color="000000"/>
              <w:bottom w:val="single" w:sz="4" w:space="0" w:color="000000"/>
              <w:right w:val="single" w:sz="4" w:space="0" w:color="000000"/>
            </w:tcBorders>
          </w:tcPr>
          <w:p w14:paraId="1883C8B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Opérateur</w:t>
            </w:r>
          </w:p>
        </w:tc>
        <w:tc>
          <w:tcPr>
            <w:tcW w:w="2800" w:type="dxa"/>
            <w:tcBorders>
              <w:top w:val="single" w:sz="4" w:space="0" w:color="000000"/>
              <w:left w:val="single" w:sz="4" w:space="0" w:color="000000"/>
              <w:bottom w:val="single" w:sz="4" w:space="0" w:color="000000"/>
              <w:right w:val="single" w:sz="4" w:space="0" w:color="000000"/>
            </w:tcBorders>
          </w:tcPr>
          <w:p w14:paraId="12B80A1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Affichage, recommandation, demande de validation.</w:t>
            </w:r>
          </w:p>
        </w:tc>
        <w:tc>
          <w:tcPr>
            <w:tcW w:w="2857" w:type="dxa"/>
            <w:tcBorders>
              <w:top w:val="single" w:sz="4" w:space="0" w:color="000000"/>
              <w:left w:val="single" w:sz="4" w:space="0" w:color="000000"/>
              <w:bottom w:val="single" w:sz="4" w:space="0" w:color="000000"/>
              <w:right w:val="single" w:sz="4" w:space="0" w:color="000000"/>
            </w:tcBorders>
          </w:tcPr>
          <w:p w14:paraId="3969017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Qu’aucune commande n’est émise vers l’installation (EX-F-08).</w:t>
            </w:r>
          </w:p>
        </w:tc>
      </w:tr>
    </w:tbl>
    <w:p w14:paraId="73232E6D" w14:textId="77777777" w:rsidR="00F50D70" w:rsidRPr="00BE4F47" w:rsidRDefault="00137D7F" w:rsidP="008E113B">
      <w:pPr>
        <w:spacing w:before="200" w:after="130" w:line="360" w:lineRule="auto"/>
        <w:ind w:left="360"/>
        <w:rPr>
          <w:rFonts w:ascii="Aptos" w:hAnsi="Aptos"/>
        </w:rPr>
      </w:pPr>
      <w:bookmarkStart w:id="89" w:name="_Toc241082803"/>
      <w:bookmarkStart w:id="90" w:name="_Toc241670017"/>
      <w:r w:rsidRPr="00BE4F47">
        <w:rPr>
          <w:rFonts w:ascii="Aptos" w:hAnsi="Aptos"/>
          <w:color w:val="1A1A19"/>
          <w:sz w:val="20"/>
          <w:szCs w:val="20"/>
        </w:rPr>
        <w:t>SS-6 n’est pas un maillon de la chaîne, il l’accompagne de bout en bout. Il répond à l’exigence de journalisation EX-F-10 et au corpus de cybersécurité de la section 6. La chaîne s’arrête à SS-5 et aucun flux ne repart vers la boucle, ce qui traduit l’exclusion de toute commande automatique.</w:t>
      </w:r>
      <w:bookmarkEnd w:id="89"/>
      <w:bookmarkEnd w:id="90"/>
    </w:p>
    <w:p w14:paraId="7E96C55B" w14:textId="77777777" w:rsidR="00F50D70" w:rsidRDefault="00137D7F" w:rsidP="008E113B">
      <w:pPr>
        <w:pStyle w:val="Titre2"/>
        <w:spacing w:line="360" w:lineRule="auto"/>
      </w:pPr>
      <w:bookmarkStart w:id="91" w:name="__RefHeading___Toc240715072"/>
      <w:bookmarkStart w:id="92" w:name="_Toc241670018"/>
      <w:bookmarkEnd w:id="91"/>
      <w:r w:rsidRPr="00BE4F47">
        <w:t>Périmètre inclus/exclus</w:t>
      </w:r>
      <w:bookmarkEnd w:id="92"/>
    </w:p>
    <w:p w14:paraId="6C116FF9" w14:textId="77777777" w:rsidR="00F50D70" w:rsidRPr="00BE4F47" w:rsidRDefault="00137D7F" w:rsidP="008E113B">
      <w:pPr>
        <w:spacing w:after="130" w:line="360" w:lineRule="auto"/>
        <w:ind w:left="360"/>
        <w:rPr>
          <w:rFonts w:ascii="Aptos" w:hAnsi="Aptos"/>
        </w:rPr>
      </w:pPr>
      <w:bookmarkStart w:id="93" w:name="_Toc241082810"/>
      <w:bookmarkStart w:id="94" w:name="_Toc241670019"/>
      <w:r w:rsidRPr="00BE4F47">
        <w:rPr>
          <w:rFonts w:ascii="Aptos" w:hAnsi="Aptos"/>
          <w:color w:val="1A1A19"/>
          <w:sz w:val="20"/>
          <w:szCs w:val="20"/>
        </w:rPr>
        <w:t>Le projet porte sur un prototype de jumeau numérique appliqué à une boucle thermohydraulique simplifiée, dans le contexte fictif décrit en 1.1. Le prototype est entièrement simulé.</w:t>
      </w:r>
      <w:bookmarkEnd w:id="93"/>
      <w:bookmarkEnd w:id="94"/>
    </w:p>
    <w:p w14:paraId="791E274C" w14:textId="77777777" w:rsidR="00136F18" w:rsidRPr="00BE4F47" w:rsidRDefault="00136F18" w:rsidP="008E113B">
      <w:pPr>
        <w:spacing w:after="130" w:line="360" w:lineRule="auto"/>
        <w:ind w:left="360"/>
        <w:rPr>
          <w:rFonts w:ascii="Aptos" w:eastAsia="Calibri" w:hAnsi="Aptos" w:cs="Calibri"/>
          <w:color w:val="1A1A19"/>
          <w:sz w:val="20"/>
          <w:szCs w:val="20"/>
        </w:rPr>
      </w:pPr>
      <w:bookmarkStart w:id="95" w:name="_Toc241082805"/>
      <w:bookmarkStart w:id="96" w:name="_Toc241670020"/>
      <w:r w:rsidRPr="00BE4F47">
        <w:rPr>
          <w:rFonts w:ascii="Aptos" w:hAnsi="Aptos"/>
          <w:color w:val="1A1A19"/>
          <w:sz w:val="20"/>
          <w:szCs w:val="20"/>
        </w:rPr>
        <w:t>Sont exclus : la modélisation complète de la centrale, le raccordement à une installation nucléaire réelle, la connexion à des équipements réels, et toute forme de commande automatique. Ces exclusions sont reprises par l’exigence de périmètre EX-C-02 et par les exclusions de livrables en 2.4.</w:t>
      </w:r>
      <w:bookmarkEnd w:id="95"/>
      <w:bookmarkEnd w:id="96"/>
    </w:p>
    <w:p w14:paraId="7B837813" w14:textId="77777777" w:rsidR="00F50D70" w:rsidRPr="005E5B35" w:rsidRDefault="00137D7F" w:rsidP="008E113B">
      <w:pPr>
        <w:pStyle w:val="Titre2"/>
        <w:spacing w:line="360" w:lineRule="auto"/>
      </w:pPr>
      <w:bookmarkStart w:id="97" w:name="__RefHeading___Toc240715075"/>
      <w:bookmarkStart w:id="98" w:name="_Toc241670021"/>
      <w:r w:rsidRPr="00136F18">
        <w:t>Hypothèses</w:t>
      </w:r>
      <w:bookmarkEnd w:id="97"/>
      <w:bookmarkEnd w:id="98"/>
    </w:p>
    <w:p w14:paraId="7DA25920" w14:textId="77777777" w:rsidR="00F50D70" w:rsidRPr="00BE4F47" w:rsidRDefault="00137D7F" w:rsidP="008E113B">
      <w:pPr>
        <w:spacing w:after="130" w:line="360" w:lineRule="auto"/>
        <w:ind w:left="360"/>
        <w:rPr>
          <w:rFonts w:ascii="Aptos" w:hAnsi="Aptos"/>
        </w:rPr>
      </w:pPr>
      <w:bookmarkStart w:id="99" w:name="_Toc241082812"/>
      <w:bookmarkStart w:id="100" w:name="_Toc241670022"/>
      <w:r w:rsidRPr="00BE4F47">
        <w:rPr>
          <w:rFonts w:ascii="Aptos" w:hAnsi="Aptos"/>
          <w:color w:val="1A1A19"/>
          <w:sz w:val="20"/>
          <w:szCs w:val="20"/>
        </w:rPr>
        <w:t xml:space="preserve">L’analyse des besoins repose sur quatre hypothèses, inscrites au registre de la section 8.2 avec leur effet si elles sont infirmées : l’absence de données d’exploitation réelles de Gentilly-2 (H-03), l’accès aux normes par abonnement institutionnel (H-07), le fait que la température, la pression et </w:t>
      </w:r>
      <w:r w:rsidRPr="00BE4F47">
        <w:rPr>
          <w:rFonts w:ascii="Aptos" w:hAnsi="Aptos"/>
          <w:color w:val="1A1A19"/>
          <w:sz w:val="20"/>
          <w:szCs w:val="20"/>
        </w:rPr>
        <w:lastRenderedPageBreak/>
        <w:t>le débit suffisent à caractériser les défaillances visées (H-09), et le fait que les seuils de dérive peuvent être fixés à partir du modèle de référence (H-10).</w:t>
      </w:r>
      <w:bookmarkEnd w:id="99"/>
      <w:bookmarkEnd w:id="100"/>
    </w:p>
    <w:p w14:paraId="22DB103F" w14:textId="77777777" w:rsidR="00F50D70" w:rsidRPr="00136F18" w:rsidRDefault="00137D7F" w:rsidP="008E113B">
      <w:pPr>
        <w:pStyle w:val="Titre2"/>
        <w:spacing w:line="360" w:lineRule="auto"/>
      </w:pPr>
      <w:bookmarkStart w:id="101" w:name="__RefHeading___Toc240715077"/>
      <w:bookmarkStart w:id="102" w:name="_Toc241670023"/>
      <w:bookmarkEnd w:id="101"/>
      <w:r w:rsidRPr="00136F18">
        <w:t>Registre des exigences</w:t>
      </w:r>
      <w:bookmarkEnd w:id="102"/>
    </w:p>
    <w:p w14:paraId="4527A91A" w14:textId="77777777" w:rsidR="00F50D70" w:rsidRPr="005E5B35" w:rsidRDefault="00137D7F" w:rsidP="008E113B">
      <w:pPr>
        <w:pStyle w:val="Titre3"/>
        <w:numPr>
          <w:ilvl w:val="2"/>
          <w:numId w:val="1"/>
        </w:numPr>
        <w:suppressAutoHyphens w:val="0"/>
        <w:spacing w:line="360" w:lineRule="auto"/>
        <w:rPr>
          <w:lang w:eastAsia="fr-FR"/>
        </w:rPr>
      </w:pPr>
      <w:bookmarkStart w:id="103" w:name="__RefHeading___Toc240715094"/>
      <w:bookmarkStart w:id="104" w:name="_Toc241670024"/>
      <w:r w:rsidRPr="00B36301">
        <w:rPr>
          <w:lang w:eastAsia="fr-FR"/>
        </w:rPr>
        <w:t>Méthodes et convention de rédaction</w:t>
      </w:r>
      <w:bookmarkEnd w:id="103"/>
      <w:bookmarkEnd w:id="104"/>
    </w:p>
    <w:p w14:paraId="1D8F2171" w14:textId="77777777" w:rsidR="00F50D70" w:rsidRPr="00BE4F47" w:rsidRDefault="00137D7F" w:rsidP="008E113B">
      <w:pPr>
        <w:spacing w:after="130" w:line="360" w:lineRule="auto"/>
        <w:ind w:left="992"/>
        <w:rPr>
          <w:rFonts w:ascii="Aptos" w:hAnsi="Aptos"/>
        </w:rPr>
      </w:pPr>
      <w:bookmarkStart w:id="105" w:name="_Toc241082832"/>
      <w:bookmarkStart w:id="106" w:name="_Toc241670025"/>
      <w:r w:rsidRPr="00BE4F47">
        <w:rPr>
          <w:rFonts w:ascii="Aptos" w:hAnsi="Aptos"/>
          <w:color w:val="1A1A19"/>
          <w:sz w:val="20"/>
          <w:szCs w:val="20"/>
        </w:rPr>
        <w:t>Une exigence n’est exploitable que si l’on peut écrire un essai qui réussit ou qui échoue. Toutes les exigences ci-dessous suivent trois règles : un verbe d’action observable, une condition de déclenchement quand elle s’applique, et un moyen de vérification nommé. Les formulations d’intention comme « prendre en compte » ou « considérer » ont été écartées, car aucun essai ne peut les contredire.</w:t>
      </w:r>
      <w:bookmarkEnd w:id="105"/>
      <w:bookmarkEnd w:id="106"/>
    </w:p>
    <w:p w14:paraId="17029B1C" w14:textId="77777777" w:rsidR="00F50D70" w:rsidRPr="00BE4F47" w:rsidRDefault="00137D7F" w:rsidP="008E113B">
      <w:pPr>
        <w:spacing w:after="130" w:line="360" w:lineRule="auto"/>
        <w:ind w:left="992"/>
        <w:rPr>
          <w:rFonts w:ascii="Aptos" w:hAnsi="Aptos"/>
        </w:rPr>
      </w:pPr>
      <w:bookmarkStart w:id="107" w:name="_Toc241082833"/>
      <w:bookmarkStart w:id="108" w:name="_Toc241670026"/>
      <w:r w:rsidRPr="00BE4F47">
        <w:rPr>
          <w:rFonts w:ascii="Aptos" w:hAnsi="Aptos"/>
          <w:color w:val="1A1A19"/>
          <w:sz w:val="20"/>
          <w:szCs w:val="20"/>
        </w:rPr>
        <w:t>Les caractéristiques de qualité employées en 1.7.3 viennent d’ISO/IEC 25010, que la section 6 retient comme source des critères d’acceptation du prototype. La rédaction suit ISO/IEC/IEEE 29148:2018 [1], norme d’ingénierie des exigences.</w:t>
      </w:r>
      <w:bookmarkEnd w:id="107"/>
      <w:bookmarkEnd w:id="108"/>
    </w:p>
    <w:p w14:paraId="5A053758" w14:textId="77777777" w:rsidR="00F50D70" w:rsidRPr="00BE4F47" w:rsidRDefault="00137D7F" w:rsidP="008E113B">
      <w:pPr>
        <w:spacing w:after="130" w:line="360" w:lineRule="auto"/>
        <w:ind w:left="992"/>
        <w:rPr>
          <w:rFonts w:ascii="Aptos" w:eastAsia="Calibri" w:hAnsi="Aptos" w:cs="Calibri"/>
          <w:color w:val="1A1A19"/>
          <w:sz w:val="20"/>
          <w:szCs w:val="20"/>
        </w:rPr>
      </w:pPr>
      <w:bookmarkStart w:id="109" w:name="_Toc241082834"/>
      <w:bookmarkStart w:id="110" w:name="_Toc241670027"/>
      <w:r w:rsidRPr="00BE4F47">
        <w:rPr>
          <w:rFonts w:ascii="Aptos" w:hAnsi="Aptos"/>
          <w:color w:val="1A1A19"/>
          <w:sz w:val="20"/>
          <w:szCs w:val="20"/>
        </w:rPr>
        <w:t>Les valeurs notées N, T, D, S, X et Y sont des paramètres laissés ouverts à ce stade. Elles seront fixées par l’analyse de risques et les premiers essais, puis consignées au jalon J2. Aucun seuil numérique n’est posé arbitrairement.</w:t>
      </w:r>
      <w:bookmarkEnd w:id="109"/>
      <w:bookmarkEnd w:id="110"/>
    </w:p>
    <w:p w14:paraId="15291153" w14:textId="77777777" w:rsidR="00F50D70" w:rsidRDefault="00137D7F" w:rsidP="008E113B">
      <w:pPr>
        <w:spacing w:after="130" w:line="360" w:lineRule="auto"/>
        <w:ind w:left="992"/>
        <w:rPr>
          <w:rFonts w:ascii="Aptos" w:eastAsia="Calibri" w:hAnsi="Aptos" w:cs="Calibri"/>
          <w:color w:val="1A1A19"/>
          <w:sz w:val="20"/>
          <w:szCs w:val="20"/>
        </w:rPr>
      </w:pPr>
      <w:bookmarkStart w:id="111" w:name="_Toc241082835"/>
      <w:bookmarkStart w:id="112" w:name="_Toc241670028"/>
      <w:r w:rsidRPr="00BE4F47">
        <w:rPr>
          <w:rFonts w:ascii="Aptos" w:hAnsi="Aptos"/>
          <w:color w:val="1A1A19"/>
          <w:sz w:val="20"/>
          <w:szCs w:val="20"/>
        </w:rPr>
        <w:t>Conventions de numérotation : EX-F pour les exigences fonctionnelles, EX-Q pour les exigences de qualité, EX-C pour les exigences de périmètre et de contrainte. La colonne « GEMMA » renvoie aux états de la figure 1-1. La colonne « Lot » renvoie aux neuf lots de travail définis à la section 8.</w:t>
      </w:r>
      <w:bookmarkEnd w:id="111"/>
      <w:bookmarkEnd w:id="112"/>
    </w:p>
    <w:p w14:paraId="6FF19E1F" w14:textId="77777777" w:rsidR="00F50D70" w:rsidRPr="00BE4F47" w:rsidRDefault="00137D7F" w:rsidP="008E113B">
      <w:pPr>
        <w:pStyle w:val="Titre3"/>
        <w:numPr>
          <w:ilvl w:val="2"/>
          <w:numId w:val="1"/>
        </w:numPr>
        <w:suppressAutoHyphens w:val="0"/>
        <w:spacing w:line="360" w:lineRule="auto"/>
        <w:rPr>
          <w:lang w:eastAsia="fr-FR"/>
        </w:rPr>
      </w:pPr>
      <w:bookmarkStart w:id="113" w:name="__RefHeading___Toc240715099"/>
      <w:bookmarkStart w:id="114" w:name="_Toc241670029"/>
      <w:bookmarkEnd w:id="113"/>
      <w:r w:rsidRPr="00BE4F47">
        <w:t>Exigences fonctionnelles</w:t>
      </w:r>
      <w:bookmarkEnd w:id="114"/>
    </w:p>
    <w:p w14:paraId="234BF92F" w14:textId="77777777" w:rsidR="00F50D70" w:rsidRPr="00BE4F47" w:rsidRDefault="00137D7F" w:rsidP="008E113B">
      <w:pPr>
        <w:pStyle w:val="Lgende"/>
        <w:keepNext/>
        <w:spacing w:line="360" w:lineRule="auto"/>
        <w:rPr>
          <w:rFonts w:ascii="Aptos" w:hAnsi="Aptos"/>
        </w:rPr>
      </w:pPr>
      <w:bookmarkStart w:id="115" w:name="_Toc241082836"/>
      <w:bookmarkStart w:id="116" w:name="_Toc241670030"/>
      <w:r w:rsidRPr="00BE4F47">
        <w:rPr>
          <w:rFonts w:ascii="Aptos" w:hAnsi="Aptos"/>
        </w:rPr>
        <w:t>Tableau 1-6. Registre des exigences fonctionnelles</w:t>
      </w:r>
      <w:bookmarkEnd w:id="115"/>
      <w:bookmarkEnd w:id="116"/>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1000"/>
        <w:gridCol w:w="2240"/>
        <w:gridCol w:w="1000"/>
        <w:gridCol w:w="940"/>
        <w:gridCol w:w="620"/>
        <w:gridCol w:w="2757"/>
      </w:tblGrid>
      <w:tr w:rsidR="00F50D70" w:rsidRPr="00BE4F47" w14:paraId="74A71649" w14:textId="77777777" w:rsidTr="0036725C">
        <w:trPr>
          <w:trHeight w:val="218"/>
          <w:tblHeader/>
        </w:trPr>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4A3458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ID</w:t>
            </w:r>
          </w:p>
        </w:tc>
        <w:tc>
          <w:tcPr>
            <w:tcW w:w="224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6AF5AD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Exigence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03D655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Source</w:t>
            </w:r>
          </w:p>
        </w:tc>
        <w:tc>
          <w:tcPr>
            <w:tcW w:w="94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E65961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GEMMA</w:t>
            </w:r>
          </w:p>
        </w:tc>
        <w:tc>
          <w:tcPr>
            <w:tcW w:w="62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6A3BE83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Lot</w:t>
            </w:r>
          </w:p>
        </w:tc>
        <w:tc>
          <w:tcPr>
            <w:tcW w:w="27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17495DF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Moyen de vérification</w:t>
            </w:r>
          </w:p>
        </w:tc>
      </w:tr>
      <w:tr w:rsidR="00F50D70" w:rsidRPr="00BE4F47" w14:paraId="78B54CA2" w14:textId="77777777">
        <w:trPr>
          <w:trHeight w:val="713"/>
        </w:trPr>
        <w:tc>
          <w:tcPr>
            <w:tcW w:w="1000" w:type="dxa"/>
            <w:tcBorders>
              <w:top w:val="single" w:sz="4" w:space="0" w:color="000000"/>
              <w:left w:val="single" w:sz="4" w:space="0" w:color="000000"/>
              <w:bottom w:val="single" w:sz="4" w:space="0" w:color="000000"/>
              <w:right w:val="single" w:sz="4" w:space="0" w:color="000000"/>
            </w:tcBorders>
          </w:tcPr>
          <w:p w14:paraId="490EDFE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EX-F-01</w:t>
            </w:r>
          </w:p>
        </w:tc>
        <w:tc>
          <w:tcPr>
            <w:tcW w:w="2240" w:type="dxa"/>
            <w:tcBorders>
              <w:top w:val="single" w:sz="4" w:space="0" w:color="000000"/>
              <w:left w:val="single" w:sz="4" w:space="0" w:color="000000"/>
              <w:bottom w:val="single" w:sz="4" w:space="0" w:color="000000"/>
              <w:right w:val="single" w:sz="4" w:space="0" w:color="000000"/>
            </w:tcBorders>
          </w:tcPr>
          <w:p w14:paraId="5AAFDA8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prototype simule une boucle thermohydraulique simplifiée et produit, à chaque cycle d’acquisition, une valeur de température, de pression et de débit.</w:t>
            </w:r>
          </w:p>
        </w:tc>
        <w:tc>
          <w:tcPr>
            <w:tcW w:w="1000" w:type="dxa"/>
            <w:tcBorders>
              <w:top w:val="single" w:sz="4" w:space="0" w:color="000000"/>
              <w:left w:val="single" w:sz="4" w:space="0" w:color="000000"/>
              <w:bottom w:val="single" w:sz="4" w:space="0" w:color="000000"/>
              <w:right w:val="single" w:sz="4" w:space="0" w:color="000000"/>
            </w:tcBorders>
          </w:tcPr>
          <w:p w14:paraId="27608AA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Hydro-Québec</w:t>
            </w:r>
          </w:p>
        </w:tc>
        <w:tc>
          <w:tcPr>
            <w:tcW w:w="940" w:type="dxa"/>
            <w:tcBorders>
              <w:top w:val="single" w:sz="4" w:space="0" w:color="000000"/>
              <w:left w:val="single" w:sz="4" w:space="0" w:color="000000"/>
              <w:bottom w:val="single" w:sz="4" w:space="0" w:color="000000"/>
              <w:right w:val="single" w:sz="4" w:space="0" w:color="000000"/>
            </w:tcBorders>
          </w:tcPr>
          <w:p w14:paraId="3DB3CEF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F1</w:t>
            </w:r>
          </w:p>
        </w:tc>
        <w:tc>
          <w:tcPr>
            <w:tcW w:w="620" w:type="dxa"/>
            <w:tcBorders>
              <w:top w:val="single" w:sz="4" w:space="0" w:color="000000"/>
              <w:left w:val="single" w:sz="4" w:space="0" w:color="000000"/>
              <w:bottom w:val="single" w:sz="4" w:space="0" w:color="000000"/>
              <w:right w:val="single" w:sz="4" w:space="0" w:color="000000"/>
            </w:tcBorders>
          </w:tcPr>
          <w:p w14:paraId="36175FE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L6</w:t>
            </w:r>
          </w:p>
        </w:tc>
        <w:tc>
          <w:tcPr>
            <w:tcW w:w="2757" w:type="dxa"/>
            <w:tcBorders>
              <w:top w:val="single" w:sz="4" w:space="0" w:color="000000"/>
              <w:left w:val="single" w:sz="4" w:space="0" w:color="000000"/>
              <w:bottom w:val="single" w:sz="4" w:space="0" w:color="000000"/>
              <w:right w:val="single" w:sz="4" w:space="0" w:color="000000"/>
            </w:tcBorders>
          </w:tcPr>
          <w:p w14:paraId="39C5EA2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Essai de fonctionnement normal : 100 cycles consécutifs sans valeur manquante.</w:t>
            </w:r>
          </w:p>
        </w:tc>
      </w:tr>
      <w:tr w:rsidR="00F50D70" w:rsidRPr="00BE4F47" w14:paraId="6370C6D6" w14:textId="77777777">
        <w:trPr>
          <w:trHeight w:val="875"/>
        </w:trPr>
        <w:tc>
          <w:tcPr>
            <w:tcW w:w="1000" w:type="dxa"/>
            <w:tcBorders>
              <w:top w:val="single" w:sz="4" w:space="0" w:color="000000"/>
              <w:left w:val="single" w:sz="4" w:space="0" w:color="000000"/>
              <w:bottom w:val="single" w:sz="4" w:space="0" w:color="000000"/>
              <w:right w:val="single" w:sz="4" w:space="0" w:color="000000"/>
            </w:tcBorders>
          </w:tcPr>
          <w:p w14:paraId="5E49DAF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EX-F-02</w:t>
            </w:r>
          </w:p>
        </w:tc>
        <w:tc>
          <w:tcPr>
            <w:tcW w:w="2240" w:type="dxa"/>
            <w:tcBorders>
              <w:top w:val="single" w:sz="4" w:space="0" w:color="000000"/>
              <w:left w:val="single" w:sz="4" w:space="0" w:color="000000"/>
              <w:bottom w:val="single" w:sz="4" w:space="0" w:color="000000"/>
              <w:right w:val="single" w:sz="4" w:space="0" w:color="000000"/>
            </w:tcBorders>
          </w:tcPr>
          <w:p w14:paraId="5261EFC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prototype permet d’exécuter des scénarios prédéfinis et reproductibles couvrant au minimum le fonctionnement normal, la dérive lente d’un capteur, la perte de communication et la valeur hors plage.</w:t>
            </w:r>
          </w:p>
        </w:tc>
        <w:tc>
          <w:tcPr>
            <w:tcW w:w="1000" w:type="dxa"/>
            <w:tcBorders>
              <w:top w:val="single" w:sz="4" w:space="0" w:color="000000"/>
              <w:left w:val="single" w:sz="4" w:space="0" w:color="000000"/>
              <w:bottom w:val="single" w:sz="4" w:space="0" w:color="000000"/>
              <w:right w:val="single" w:sz="4" w:space="0" w:color="000000"/>
            </w:tcBorders>
          </w:tcPr>
          <w:p w14:paraId="12395C8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Hydro-Québec</w:t>
            </w:r>
          </w:p>
        </w:tc>
        <w:tc>
          <w:tcPr>
            <w:tcW w:w="940" w:type="dxa"/>
            <w:tcBorders>
              <w:top w:val="single" w:sz="4" w:space="0" w:color="000000"/>
              <w:left w:val="single" w:sz="4" w:space="0" w:color="000000"/>
              <w:bottom w:val="single" w:sz="4" w:space="0" w:color="000000"/>
              <w:right w:val="single" w:sz="4" w:space="0" w:color="000000"/>
            </w:tcBorders>
          </w:tcPr>
          <w:p w14:paraId="3DA02ED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F1, F6, D2</w:t>
            </w:r>
          </w:p>
        </w:tc>
        <w:tc>
          <w:tcPr>
            <w:tcW w:w="620" w:type="dxa"/>
            <w:tcBorders>
              <w:top w:val="single" w:sz="4" w:space="0" w:color="000000"/>
              <w:left w:val="single" w:sz="4" w:space="0" w:color="000000"/>
              <w:bottom w:val="single" w:sz="4" w:space="0" w:color="000000"/>
              <w:right w:val="single" w:sz="4" w:space="0" w:color="000000"/>
            </w:tcBorders>
          </w:tcPr>
          <w:p w14:paraId="4532C37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L9</w:t>
            </w:r>
          </w:p>
        </w:tc>
        <w:tc>
          <w:tcPr>
            <w:tcW w:w="2757" w:type="dxa"/>
            <w:tcBorders>
              <w:top w:val="single" w:sz="4" w:space="0" w:color="000000"/>
              <w:left w:val="single" w:sz="4" w:space="0" w:color="000000"/>
              <w:bottom w:val="single" w:sz="4" w:space="0" w:color="000000"/>
              <w:right w:val="single" w:sz="4" w:space="0" w:color="000000"/>
            </w:tcBorders>
          </w:tcPr>
          <w:p w14:paraId="47820E7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Campagne d’essais : un essai documenté par scénario, rejouable à l’identique.</w:t>
            </w:r>
          </w:p>
        </w:tc>
      </w:tr>
      <w:tr w:rsidR="00F50D70" w:rsidRPr="00BE4F47" w14:paraId="2E52FDCB" w14:textId="77777777">
        <w:trPr>
          <w:trHeight w:val="543"/>
        </w:trPr>
        <w:tc>
          <w:tcPr>
            <w:tcW w:w="1000" w:type="dxa"/>
            <w:tcBorders>
              <w:top w:val="single" w:sz="4" w:space="0" w:color="000000"/>
              <w:left w:val="single" w:sz="4" w:space="0" w:color="000000"/>
              <w:bottom w:val="single" w:sz="4" w:space="0" w:color="000000"/>
              <w:right w:val="single" w:sz="4" w:space="0" w:color="000000"/>
            </w:tcBorders>
          </w:tcPr>
          <w:p w14:paraId="7888EC0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EX-F-03</w:t>
            </w:r>
          </w:p>
        </w:tc>
        <w:tc>
          <w:tcPr>
            <w:tcW w:w="2240" w:type="dxa"/>
            <w:tcBorders>
              <w:top w:val="single" w:sz="4" w:space="0" w:color="000000"/>
              <w:left w:val="single" w:sz="4" w:space="0" w:color="000000"/>
              <w:bottom w:val="single" w:sz="4" w:space="0" w:color="000000"/>
              <w:right w:val="single" w:sz="4" w:space="0" w:color="000000"/>
            </w:tcBorders>
          </w:tcPr>
          <w:p w14:paraId="37D31AF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À chaque cycle, le prototype compare la valeur observée à la valeur attendue par le modèle et calcule l’écart correspondant.</w:t>
            </w:r>
          </w:p>
        </w:tc>
        <w:tc>
          <w:tcPr>
            <w:tcW w:w="1000" w:type="dxa"/>
            <w:tcBorders>
              <w:top w:val="single" w:sz="4" w:space="0" w:color="000000"/>
              <w:left w:val="single" w:sz="4" w:space="0" w:color="000000"/>
              <w:bottom w:val="single" w:sz="4" w:space="0" w:color="000000"/>
              <w:right w:val="single" w:sz="4" w:space="0" w:color="000000"/>
            </w:tcBorders>
          </w:tcPr>
          <w:p w14:paraId="38BF24F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Hydro-Québec</w:t>
            </w:r>
          </w:p>
        </w:tc>
        <w:tc>
          <w:tcPr>
            <w:tcW w:w="940" w:type="dxa"/>
            <w:tcBorders>
              <w:top w:val="single" w:sz="4" w:space="0" w:color="000000"/>
              <w:left w:val="single" w:sz="4" w:space="0" w:color="000000"/>
              <w:bottom w:val="single" w:sz="4" w:space="0" w:color="000000"/>
              <w:right w:val="single" w:sz="4" w:space="0" w:color="000000"/>
            </w:tcBorders>
          </w:tcPr>
          <w:p w14:paraId="17F9F56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F1</w:t>
            </w:r>
          </w:p>
        </w:tc>
        <w:tc>
          <w:tcPr>
            <w:tcW w:w="620" w:type="dxa"/>
            <w:tcBorders>
              <w:top w:val="single" w:sz="4" w:space="0" w:color="000000"/>
              <w:left w:val="single" w:sz="4" w:space="0" w:color="000000"/>
              <w:bottom w:val="single" w:sz="4" w:space="0" w:color="000000"/>
              <w:right w:val="single" w:sz="4" w:space="0" w:color="000000"/>
            </w:tcBorders>
          </w:tcPr>
          <w:p w14:paraId="6B47D91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L6, L7</w:t>
            </w:r>
          </w:p>
        </w:tc>
        <w:tc>
          <w:tcPr>
            <w:tcW w:w="2757" w:type="dxa"/>
            <w:tcBorders>
              <w:top w:val="single" w:sz="4" w:space="0" w:color="000000"/>
              <w:left w:val="single" w:sz="4" w:space="0" w:color="000000"/>
              <w:bottom w:val="single" w:sz="4" w:space="0" w:color="000000"/>
              <w:right w:val="single" w:sz="4" w:space="0" w:color="000000"/>
            </w:tcBorders>
          </w:tcPr>
          <w:p w14:paraId="3E611AE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Essai unitaire sur jeu de données connu, écart attendu calculé à la main.</w:t>
            </w:r>
          </w:p>
        </w:tc>
      </w:tr>
      <w:tr w:rsidR="00F50D70" w:rsidRPr="00BE4F47" w14:paraId="7CA61AEB" w14:textId="77777777">
        <w:trPr>
          <w:trHeight w:val="543"/>
        </w:trPr>
        <w:tc>
          <w:tcPr>
            <w:tcW w:w="1000" w:type="dxa"/>
            <w:tcBorders>
              <w:top w:val="single" w:sz="4" w:space="0" w:color="000000"/>
              <w:left w:val="single" w:sz="4" w:space="0" w:color="000000"/>
              <w:bottom w:val="single" w:sz="4" w:space="0" w:color="000000"/>
              <w:right w:val="single" w:sz="4" w:space="0" w:color="000000"/>
            </w:tcBorders>
          </w:tcPr>
          <w:p w14:paraId="40DF2CB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lastRenderedPageBreak/>
              <w:t>EX-F-04</w:t>
            </w:r>
          </w:p>
        </w:tc>
        <w:tc>
          <w:tcPr>
            <w:tcW w:w="2240" w:type="dxa"/>
            <w:tcBorders>
              <w:top w:val="single" w:sz="4" w:space="0" w:color="000000"/>
              <w:left w:val="single" w:sz="4" w:space="0" w:color="000000"/>
              <w:bottom w:val="single" w:sz="4" w:space="0" w:color="000000"/>
              <w:right w:val="single" w:sz="4" w:space="0" w:color="000000"/>
            </w:tcBorders>
          </w:tcPr>
          <w:p w14:paraId="4CC3256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L’interface affiche en permanence les trois variables surveillées, leur écart au modèle et l’horodatage de la dernière acquisition valide.</w:t>
            </w:r>
          </w:p>
        </w:tc>
        <w:tc>
          <w:tcPr>
            <w:tcW w:w="1000" w:type="dxa"/>
            <w:tcBorders>
              <w:top w:val="single" w:sz="4" w:space="0" w:color="000000"/>
              <w:left w:val="single" w:sz="4" w:space="0" w:color="000000"/>
              <w:bottom w:val="single" w:sz="4" w:space="0" w:color="000000"/>
              <w:right w:val="single" w:sz="4" w:space="0" w:color="000000"/>
            </w:tcBorders>
          </w:tcPr>
          <w:p w14:paraId="757E876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Ingénieurs et opérateurs</w:t>
            </w:r>
          </w:p>
        </w:tc>
        <w:tc>
          <w:tcPr>
            <w:tcW w:w="940" w:type="dxa"/>
            <w:tcBorders>
              <w:top w:val="single" w:sz="4" w:space="0" w:color="000000"/>
              <w:left w:val="single" w:sz="4" w:space="0" w:color="000000"/>
              <w:bottom w:val="single" w:sz="4" w:space="0" w:color="000000"/>
              <w:right w:val="single" w:sz="4" w:space="0" w:color="000000"/>
            </w:tcBorders>
          </w:tcPr>
          <w:p w14:paraId="121C7F7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F1</w:t>
            </w:r>
          </w:p>
        </w:tc>
        <w:tc>
          <w:tcPr>
            <w:tcW w:w="620" w:type="dxa"/>
            <w:tcBorders>
              <w:top w:val="single" w:sz="4" w:space="0" w:color="000000"/>
              <w:left w:val="single" w:sz="4" w:space="0" w:color="000000"/>
              <w:bottom w:val="single" w:sz="4" w:space="0" w:color="000000"/>
              <w:right w:val="single" w:sz="4" w:space="0" w:color="000000"/>
            </w:tcBorders>
          </w:tcPr>
          <w:p w14:paraId="6A52A90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L8</w:t>
            </w:r>
          </w:p>
        </w:tc>
        <w:tc>
          <w:tcPr>
            <w:tcW w:w="2757" w:type="dxa"/>
            <w:tcBorders>
              <w:top w:val="single" w:sz="4" w:space="0" w:color="000000"/>
              <w:left w:val="single" w:sz="4" w:space="0" w:color="000000"/>
              <w:bottom w:val="single" w:sz="4" w:space="0" w:color="000000"/>
              <w:right w:val="single" w:sz="4" w:space="0" w:color="000000"/>
            </w:tcBorders>
          </w:tcPr>
          <w:p w14:paraId="002A951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Inspection de l’interface en fonctionnement, liste de contrôle des éléments affichés.</w:t>
            </w:r>
          </w:p>
        </w:tc>
      </w:tr>
      <w:tr w:rsidR="00F50D70" w:rsidRPr="00BE4F47" w14:paraId="54067ADE" w14:textId="77777777">
        <w:trPr>
          <w:trHeight w:val="549"/>
        </w:trPr>
        <w:tc>
          <w:tcPr>
            <w:tcW w:w="1000" w:type="dxa"/>
            <w:tcBorders>
              <w:top w:val="single" w:sz="4" w:space="0" w:color="000000"/>
              <w:left w:val="single" w:sz="4" w:space="0" w:color="000000"/>
              <w:bottom w:val="single" w:sz="4" w:space="0" w:color="000000"/>
              <w:right w:val="single" w:sz="4" w:space="0" w:color="000000"/>
            </w:tcBorders>
          </w:tcPr>
          <w:p w14:paraId="0B63B6D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EX-F-05</w:t>
            </w:r>
          </w:p>
        </w:tc>
        <w:tc>
          <w:tcPr>
            <w:tcW w:w="2240" w:type="dxa"/>
            <w:tcBorders>
              <w:top w:val="single" w:sz="4" w:space="0" w:color="000000"/>
              <w:left w:val="single" w:sz="4" w:space="0" w:color="000000"/>
              <w:bottom w:val="single" w:sz="4" w:space="0" w:color="000000"/>
              <w:right w:val="single" w:sz="4" w:space="0" w:color="000000"/>
            </w:tcBorders>
          </w:tcPr>
          <w:p w14:paraId="0B6A159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Lorsqu’une anomalie est signalée, l’interface affiche les variables ayant contribué à la détection.</w:t>
            </w:r>
          </w:p>
        </w:tc>
        <w:tc>
          <w:tcPr>
            <w:tcW w:w="1000" w:type="dxa"/>
            <w:tcBorders>
              <w:top w:val="single" w:sz="4" w:space="0" w:color="000000"/>
              <w:left w:val="single" w:sz="4" w:space="0" w:color="000000"/>
              <w:bottom w:val="single" w:sz="4" w:space="0" w:color="000000"/>
              <w:right w:val="single" w:sz="4" w:space="0" w:color="000000"/>
            </w:tcBorders>
          </w:tcPr>
          <w:p w14:paraId="7FCA561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Ingénieurs et opérateurs</w:t>
            </w:r>
          </w:p>
        </w:tc>
        <w:tc>
          <w:tcPr>
            <w:tcW w:w="940" w:type="dxa"/>
            <w:tcBorders>
              <w:top w:val="single" w:sz="4" w:space="0" w:color="000000"/>
              <w:left w:val="single" w:sz="4" w:space="0" w:color="000000"/>
              <w:bottom w:val="single" w:sz="4" w:space="0" w:color="000000"/>
              <w:right w:val="single" w:sz="4" w:space="0" w:color="000000"/>
            </w:tcBorders>
          </w:tcPr>
          <w:p w14:paraId="1056425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D2</w:t>
            </w:r>
          </w:p>
        </w:tc>
        <w:tc>
          <w:tcPr>
            <w:tcW w:w="620" w:type="dxa"/>
            <w:tcBorders>
              <w:top w:val="single" w:sz="4" w:space="0" w:color="000000"/>
              <w:left w:val="single" w:sz="4" w:space="0" w:color="000000"/>
              <w:bottom w:val="single" w:sz="4" w:space="0" w:color="000000"/>
              <w:right w:val="single" w:sz="4" w:space="0" w:color="000000"/>
            </w:tcBorders>
          </w:tcPr>
          <w:p w14:paraId="583CF40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L8</w:t>
            </w:r>
          </w:p>
        </w:tc>
        <w:tc>
          <w:tcPr>
            <w:tcW w:w="2757" w:type="dxa"/>
            <w:tcBorders>
              <w:top w:val="single" w:sz="4" w:space="0" w:color="000000"/>
              <w:left w:val="single" w:sz="4" w:space="0" w:color="000000"/>
              <w:bottom w:val="single" w:sz="4" w:space="0" w:color="000000"/>
              <w:right w:val="single" w:sz="4" w:space="0" w:color="000000"/>
            </w:tcBorders>
          </w:tcPr>
          <w:p w14:paraId="356A8F4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Essai d’injection d’anomalie : les variables affichées correspondent à celles injectées.</w:t>
            </w:r>
          </w:p>
        </w:tc>
      </w:tr>
      <w:tr w:rsidR="00F50D70" w:rsidRPr="00BE4F47" w14:paraId="02BD3ED0" w14:textId="77777777">
        <w:trPr>
          <w:trHeight w:val="875"/>
        </w:trPr>
        <w:tc>
          <w:tcPr>
            <w:tcW w:w="1000" w:type="dxa"/>
            <w:tcBorders>
              <w:top w:val="single" w:sz="4" w:space="0" w:color="000000"/>
              <w:left w:val="single" w:sz="4" w:space="0" w:color="000000"/>
              <w:bottom w:val="single" w:sz="4" w:space="0" w:color="000000"/>
              <w:right w:val="single" w:sz="4" w:space="0" w:color="000000"/>
            </w:tcBorders>
          </w:tcPr>
          <w:p w14:paraId="17A470B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EX-F-06</w:t>
            </w:r>
          </w:p>
        </w:tc>
        <w:tc>
          <w:tcPr>
            <w:tcW w:w="2240" w:type="dxa"/>
            <w:tcBorders>
              <w:top w:val="single" w:sz="4" w:space="0" w:color="000000"/>
              <w:left w:val="single" w:sz="4" w:space="0" w:color="000000"/>
              <w:bottom w:val="single" w:sz="4" w:space="0" w:color="000000"/>
              <w:right w:val="single" w:sz="4" w:space="0" w:color="000000"/>
            </w:tcBorders>
          </w:tcPr>
          <w:p w14:paraId="1A84DCB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Lorsqu’au moins une des trois variables est indisponible ou hors de sa plage de validité pendant plus de N cycles, l’interface affiche l’état « incertain » et n’affiche aucune estimation d’état normal.</w:t>
            </w:r>
          </w:p>
        </w:tc>
        <w:tc>
          <w:tcPr>
            <w:tcW w:w="1000" w:type="dxa"/>
            <w:tcBorders>
              <w:top w:val="single" w:sz="4" w:space="0" w:color="000000"/>
              <w:left w:val="single" w:sz="4" w:space="0" w:color="000000"/>
              <w:bottom w:val="single" w:sz="4" w:space="0" w:color="000000"/>
              <w:right w:val="single" w:sz="4" w:space="0" w:color="000000"/>
            </w:tcBorders>
          </w:tcPr>
          <w:p w14:paraId="761365B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Sûreté</w:t>
            </w:r>
          </w:p>
        </w:tc>
        <w:tc>
          <w:tcPr>
            <w:tcW w:w="940" w:type="dxa"/>
            <w:tcBorders>
              <w:top w:val="single" w:sz="4" w:space="0" w:color="000000"/>
              <w:left w:val="single" w:sz="4" w:space="0" w:color="000000"/>
              <w:bottom w:val="single" w:sz="4" w:space="0" w:color="000000"/>
              <w:right w:val="single" w:sz="4" w:space="0" w:color="000000"/>
            </w:tcBorders>
          </w:tcPr>
          <w:p w14:paraId="613106A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D2</w:t>
            </w:r>
          </w:p>
        </w:tc>
        <w:tc>
          <w:tcPr>
            <w:tcW w:w="620" w:type="dxa"/>
            <w:tcBorders>
              <w:top w:val="single" w:sz="4" w:space="0" w:color="000000"/>
              <w:left w:val="single" w:sz="4" w:space="0" w:color="000000"/>
              <w:bottom w:val="single" w:sz="4" w:space="0" w:color="000000"/>
              <w:right w:val="single" w:sz="4" w:space="0" w:color="000000"/>
            </w:tcBorders>
          </w:tcPr>
          <w:p w14:paraId="30D8F5E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L7, L8</w:t>
            </w:r>
          </w:p>
        </w:tc>
        <w:tc>
          <w:tcPr>
            <w:tcW w:w="2757" w:type="dxa"/>
            <w:tcBorders>
              <w:top w:val="single" w:sz="4" w:space="0" w:color="000000"/>
              <w:left w:val="single" w:sz="4" w:space="0" w:color="000000"/>
              <w:bottom w:val="single" w:sz="4" w:space="0" w:color="000000"/>
              <w:right w:val="single" w:sz="4" w:space="0" w:color="000000"/>
            </w:tcBorders>
          </w:tcPr>
          <w:p w14:paraId="0E5F8D5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Essai de perte de capteur et essai de valeur hors plage.</w:t>
            </w:r>
          </w:p>
        </w:tc>
      </w:tr>
      <w:tr w:rsidR="00F50D70" w:rsidRPr="00BE4F47" w14:paraId="5D11E4A6" w14:textId="77777777">
        <w:trPr>
          <w:trHeight w:val="543"/>
        </w:trPr>
        <w:tc>
          <w:tcPr>
            <w:tcW w:w="1000" w:type="dxa"/>
            <w:tcBorders>
              <w:top w:val="single" w:sz="4" w:space="0" w:color="000000"/>
              <w:left w:val="single" w:sz="4" w:space="0" w:color="000000"/>
              <w:bottom w:val="single" w:sz="4" w:space="0" w:color="000000"/>
              <w:right w:val="single" w:sz="4" w:space="0" w:color="000000"/>
            </w:tcBorders>
          </w:tcPr>
          <w:p w14:paraId="311F51A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EX-F-07</w:t>
            </w:r>
          </w:p>
        </w:tc>
        <w:tc>
          <w:tcPr>
            <w:tcW w:w="2240" w:type="dxa"/>
            <w:tcBorders>
              <w:top w:val="single" w:sz="4" w:space="0" w:color="000000"/>
              <w:left w:val="single" w:sz="4" w:space="0" w:color="000000"/>
              <w:bottom w:val="single" w:sz="4" w:space="0" w:color="000000"/>
              <w:right w:val="single" w:sz="4" w:space="0" w:color="000000"/>
            </w:tcBorders>
          </w:tcPr>
          <w:p w14:paraId="198B83C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Toute estimation d’état produite par le prototype est accompagnée d’un niveau de confiance ou d’un intervalle d’incertitude.</w:t>
            </w:r>
          </w:p>
        </w:tc>
        <w:tc>
          <w:tcPr>
            <w:tcW w:w="1000" w:type="dxa"/>
            <w:tcBorders>
              <w:top w:val="single" w:sz="4" w:space="0" w:color="000000"/>
              <w:left w:val="single" w:sz="4" w:space="0" w:color="000000"/>
              <w:bottom w:val="single" w:sz="4" w:space="0" w:color="000000"/>
              <w:right w:val="single" w:sz="4" w:space="0" w:color="000000"/>
            </w:tcBorders>
          </w:tcPr>
          <w:p w14:paraId="184C390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Sûreté</w:t>
            </w:r>
          </w:p>
        </w:tc>
        <w:tc>
          <w:tcPr>
            <w:tcW w:w="940" w:type="dxa"/>
            <w:tcBorders>
              <w:top w:val="single" w:sz="4" w:space="0" w:color="000000"/>
              <w:left w:val="single" w:sz="4" w:space="0" w:color="000000"/>
              <w:bottom w:val="single" w:sz="4" w:space="0" w:color="000000"/>
              <w:right w:val="single" w:sz="4" w:space="0" w:color="000000"/>
            </w:tcBorders>
          </w:tcPr>
          <w:p w14:paraId="3F35589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F1, D3</w:t>
            </w:r>
          </w:p>
        </w:tc>
        <w:tc>
          <w:tcPr>
            <w:tcW w:w="620" w:type="dxa"/>
            <w:tcBorders>
              <w:top w:val="single" w:sz="4" w:space="0" w:color="000000"/>
              <w:left w:val="single" w:sz="4" w:space="0" w:color="000000"/>
              <w:bottom w:val="single" w:sz="4" w:space="0" w:color="000000"/>
              <w:right w:val="single" w:sz="4" w:space="0" w:color="000000"/>
            </w:tcBorders>
          </w:tcPr>
          <w:p w14:paraId="7C93E9B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L7</w:t>
            </w:r>
          </w:p>
        </w:tc>
        <w:tc>
          <w:tcPr>
            <w:tcW w:w="2757" w:type="dxa"/>
            <w:tcBorders>
              <w:top w:val="single" w:sz="4" w:space="0" w:color="000000"/>
              <w:left w:val="single" w:sz="4" w:space="0" w:color="000000"/>
              <w:bottom w:val="single" w:sz="4" w:space="0" w:color="000000"/>
              <w:right w:val="single" w:sz="4" w:space="0" w:color="000000"/>
            </w:tcBorders>
          </w:tcPr>
          <w:p w14:paraId="517A54B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Essai de comparaison : l’écart affiché est rapporté à l’incertitude de validation (ASME V&amp;V 20).</w:t>
            </w:r>
          </w:p>
        </w:tc>
      </w:tr>
      <w:tr w:rsidR="00F50D70" w:rsidRPr="00BE4F47" w14:paraId="44794A63" w14:textId="77777777">
        <w:trPr>
          <w:trHeight w:val="713"/>
        </w:trPr>
        <w:tc>
          <w:tcPr>
            <w:tcW w:w="1000" w:type="dxa"/>
            <w:tcBorders>
              <w:top w:val="single" w:sz="4" w:space="0" w:color="000000"/>
              <w:left w:val="single" w:sz="4" w:space="0" w:color="000000"/>
              <w:bottom w:val="single" w:sz="4" w:space="0" w:color="000000"/>
              <w:right w:val="single" w:sz="4" w:space="0" w:color="000000"/>
            </w:tcBorders>
          </w:tcPr>
          <w:p w14:paraId="127D962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EX-F-08</w:t>
            </w:r>
          </w:p>
        </w:tc>
        <w:tc>
          <w:tcPr>
            <w:tcW w:w="2240" w:type="dxa"/>
            <w:tcBorders>
              <w:top w:val="single" w:sz="4" w:space="0" w:color="000000"/>
              <w:left w:val="single" w:sz="4" w:space="0" w:color="000000"/>
              <w:bottom w:val="single" w:sz="4" w:space="0" w:color="000000"/>
              <w:right w:val="single" w:sz="4" w:space="0" w:color="000000"/>
            </w:tcBorders>
          </w:tcPr>
          <w:p w14:paraId="76F6854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prototype n’émet aucune commande vers un équipement. Toute action proposée est une recommandation nécessitant une validation de l’opérateur.</w:t>
            </w:r>
          </w:p>
        </w:tc>
        <w:tc>
          <w:tcPr>
            <w:tcW w:w="1000" w:type="dxa"/>
            <w:tcBorders>
              <w:top w:val="single" w:sz="4" w:space="0" w:color="000000"/>
              <w:left w:val="single" w:sz="4" w:space="0" w:color="000000"/>
              <w:bottom w:val="single" w:sz="4" w:space="0" w:color="000000"/>
              <w:right w:val="single" w:sz="4" w:space="0" w:color="000000"/>
            </w:tcBorders>
          </w:tcPr>
          <w:p w14:paraId="6A63BB3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Opérateurs et sûreté</w:t>
            </w:r>
          </w:p>
        </w:tc>
        <w:tc>
          <w:tcPr>
            <w:tcW w:w="940" w:type="dxa"/>
            <w:tcBorders>
              <w:top w:val="single" w:sz="4" w:space="0" w:color="000000"/>
              <w:left w:val="single" w:sz="4" w:space="0" w:color="000000"/>
              <w:bottom w:val="single" w:sz="4" w:space="0" w:color="000000"/>
              <w:right w:val="single" w:sz="4" w:space="0" w:color="000000"/>
            </w:tcBorders>
          </w:tcPr>
          <w:p w14:paraId="0F12700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D3</w:t>
            </w:r>
          </w:p>
        </w:tc>
        <w:tc>
          <w:tcPr>
            <w:tcW w:w="620" w:type="dxa"/>
            <w:tcBorders>
              <w:top w:val="single" w:sz="4" w:space="0" w:color="000000"/>
              <w:left w:val="single" w:sz="4" w:space="0" w:color="000000"/>
              <w:bottom w:val="single" w:sz="4" w:space="0" w:color="000000"/>
              <w:right w:val="single" w:sz="4" w:space="0" w:color="000000"/>
            </w:tcBorders>
          </w:tcPr>
          <w:p w14:paraId="5160426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L6, L8</w:t>
            </w:r>
          </w:p>
        </w:tc>
        <w:tc>
          <w:tcPr>
            <w:tcW w:w="2757" w:type="dxa"/>
            <w:tcBorders>
              <w:top w:val="single" w:sz="4" w:space="0" w:color="000000"/>
              <w:left w:val="single" w:sz="4" w:space="0" w:color="000000"/>
              <w:bottom w:val="single" w:sz="4" w:space="0" w:color="000000"/>
              <w:right w:val="single" w:sz="4" w:space="0" w:color="000000"/>
            </w:tcBorders>
          </w:tcPr>
          <w:p w14:paraId="74DFB03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Revue de code et inspection des interfaces de sortie : aucune écriture vers un actionneur.</w:t>
            </w:r>
          </w:p>
        </w:tc>
      </w:tr>
      <w:tr w:rsidR="00F50D70" w:rsidRPr="00BE4F47" w14:paraId="5D0F4054" w14:textId="77777777">
        <w:trPr>
          <w:trHeight w:val="543"/>
        </w:trPr>
        <w:tc>
          <w:tcPr>
            <w:tcW w:w="1000" w:type="dxa"/>
            <w:tcBorders>
              <w:top w:val="single" w:sz="4" w:space="0" w:color="000000"/>
              <w:left w:val="single" w:sz="4" w:space="0" w:color="000000"/>
              <w:bottom w:val="single" w:sz="4" w:space="0" w:color="000000"/>
              <w:right w:val="single" w:sz="4" w:space="0" w:color="000000"/>
            </w:tcBorders>
          </w:tcPr>
          <w:p w14:paraId="7C27883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EX-F-09</w:t>
            </w:r>
          </w:p>
        </w:tc>
        <w:tc>
          <w:tcPr>
            <w:tcW w:w="2240" w:type="dxa"/>
            <w:tcBorders>
              <w:top w:val="single" w:sz="4" w:space="0" w:color="000000"/>
              <w:left w:val="single" w:sz="4" w:space="0" w:color="000000"/>
              <w:bottom w:val="single" w:sz="4" w:space="0" w:color="000000"/>
              <w:right w:val="single" w:sz="4" w:space="0" w:color="000000"/>
            </w:tcBorders>
          </w:tcPr>
          <w:p w14:paraId="13A16E1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passage en fonctionnement dégradé exige une confirmation explicite de l’opérateur et est journalisé avec son horodatage.</w:t>
            </w:r>
          </w:p>
        </w:tc>
        <w:tc>
          <w:tcPr>
            <w:tcW w:w="1000" w:type="dxa"/>
            <w:tcBorders>
              <w:top w:val="single" w:sz="4" w:space="0" w:color="000000"/>
              <w:left w:val="single" w:sz="4" w:space="0" w:color="000000"/>
              <w:bottom w:val="single" w:sz="4" w:space="0" w:color="000000"/>
              <w:right w:val="single" w:sz="4" w:space="0" w:color="000000"/>
            </w:tcBorders>
          </w:tcPr>
          <w:p w14:paraId="33082BC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Sûreté</w:t>
            </w:r>
          </w:p>
        </w:tc>
        <w:tc>
          <w:tcPr>
            <w:tcW w:w="940" w:type="dxa"/>
            <w:tcBorders>
              <w:top w:val="single" w:sz="4" w:space="0" w:color="000000"/>
              <w:left w:val="single" w:sz="4" w:space="0" w:color="000000"/>
              <w:bottom w:val="single" w:sz="4" w:space="0" w:color="000000"/>
              <w:right w:val="single" w:sz="4" w:space="0" w:color="000000"/>
            </w:tcBorders>
          </w:tcPr>
          <w:p w14:paraId="5B83AA6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D3</w:t>
            </w:r>
          </w:p>
        </w:tc>
        <w:tc>
          <w:tcPr>
            <w:tcW w:w="620" w:type="dxa"/>
            <w:tcBorders>
              <w:top w:val="single" w:sz="4" w:space="0" w:color="000000"/>
              <w:left w:val="single" w:sz="4" w:space="0" w:color="000000"/>
              <w:bottom w:val="single" w:sz="4" w:space="0" w:color="000000"/>
              <w:right w:val="single" w:sz="4" w:space="0" w:color="000000"/>
            </w:tcBorders>
          </w:tcPr>
          <w:p w14:paraId="652D5E6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L6</w:t>
            </w:r>
          </w:p>
        </w:tc>
        <w:tc>
          <w:tcPr>
            <w:tcW w:w="2757" w:type="dxa"/>
            <w:tcBorders>
              <w:top w:val="single" w:sz="4" w:space="0" w:color="000000"/>
              <w:left w:val="single" w:sz="4" w:space="0" w:color="000000"/>
              <w:bottom w:val="single" w:sz="4" w:space="0" w:color="000000"/>
              <w:right w:val="single" w:sz="4" w:space="0" w:color="000000"/>
            </w:tcBorders>
          </w:tcPr>
          <w:p w14:paraId="188C651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Essai de bascule : vérification de la présence de l’entrée au journal.</w:t>
            </w:r>
          </w:p>
        </w:tc>
      </w:tr>
      <w:tr w:rsidR="00F50D70" w:rsidRPr="00BE4F47" w14:paraId="5C71057F" w14:textId="77777777">
        <w:trPr>
          <w:trHeight w:val="549"/>
        </w:trPr>
        <w:tc>
          <w:tcPr>
            <w:tcW w:w="1000" w:type="dxa"/>
            <w:tcBorders>
              <w:top w:val="single" w:sz="4" w:space="0" w:color="000000"/>
              <w:left w:val="single" w:sz="4" w:space="0" w:color="000000"/>
              <w:bottom w:val="single" w:sz="4" w:space="0" w:color="000000"/>
              <w:right w:val="single" w:sz="4" w:space="0" w:color="000000"/>
            </w:tcBorders>
          </w:tcPr>
          <w:p w14:paraId="2D23C4F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EX-F-10</w:t>
            </w:r>
          </w:p>
        </w:tc>
        <w:tc>
          <w:tcPr>
            <w:tcW w:w="2240" w:type="dxa"/>
            <w:tcBorders>
              <w:top w:val="single" w:sz="4" w:space="0" w:color="000000"/>
              <w:left w:val="single" w:sz="4" w:space="0" w:color="000000"/>
              <w:bottom w:val="single" w:sz="4" w:space="0" w:color="000000"/>
              <w:right w:val="single" w:sz="4" w:space="0" w:color="000000"/>
            </w:tcBorders>
          </w:tcPr>
          <w:p w14:paraId="5047E12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prototype journalise chaque acquisition, chaque détection d’anomalie et chaque changement d’état, avec horodatage.</w:t>
            </w:r>
          </w:p>
        </w:tc>
        <w:tc>
          <w:tcPr>
            <w:tcW w:w="1000" w:type="dxa"/>
            <w:tcBorders>
              <w:top w:val="single" w:sz="4" w:space="0" w:color="000000"/>
              <w:left w:val="single" w:sz="4" w:space="0" w:color="000000"/>
              <w:bottom w:val="single" w:sz="4" w:space="0" w:color="000000"/>
              <w:right w:val="single" w:sz="4" w:space="0" w:color="000000"/>
            </w:tcBorders>
          </w:tcPr>
          <w:p w14:paraId="7095F34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CCSN, REGDOC-2.1.1</w:t>
            </w:r>
          </w:p>
        </w:tc>
        <w:tc>
          <w:tcPr>
            <w:tcW w:w="940" w:type="dxa"/>
            <w:tcBorders>
              <w:top w:val="single" w:sz="4" w:space="0" w:color="000000"/>
              <w:left w:val="single" w:sz="4" w:space="0" w:color="000000"/>
              <w:bottom w:val="single" w:sz="4" w:space="0" w:color="000000"/>
              <w:right w:val="single" w:sz="4" w:space="0" w:color="000000"/>
            </w:tcBorders>
          </w:tcPr>
          <w:p w14:paraId="43A1ED2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A1, F1, D1, D2, D3</w:t>
            </w:r>
          </w:p>
        </w:tc>
        <w:tc>
          <w:tcPr>
            <w:tcW w:w="620" w:type="dxa"/>
            <w:tcBorders>
              <w:top w:val="single" w:sz="4" w:space="0" w:color="000000"/>
              <w:left w:val="single" w:sz="4" w:space="0" w:color="000000"/>
              <w:bottom w:val="single" w:sz="4" w:space="0" w:color="000000"/>
              <w:right w:val="single" w:sz="4" w:space="0" w:color="000000"/>
            </w:tcBorders>
          </w:tcPr>
          <w:p w14:paraId="3613408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L6</w:t>
            </w:r>
          </w:p>
        </w:tc>
        <w:tc>
          <w:tcPr>
            <w:tcW w:w="2757" w:type="dxa"/>
            <w:tcBorders>
              <w:top w:val="single" w:sz="4" w:space="0" w:color="000000"/>
              <w:left w:val="single" w:sz="4" w:space="0" w:color="000000"/>
              <w:bottom w:val="single" w:sz="4" w:space="0" w:color="000000"/>
              <w:right w:val="single" w:sz="4" w:space="0" w:color="000000"/>
            </w:tcBorders>
          </w:tcPr>
          <w:p w14:paraId="1B9FCC6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Inspection du journal après une campagne complète : aucun changement d’état absent.</w:t>
            </w:r>
          </w:p>
        </w:tc>
      </w:tr>
    </w:tbl>
    <w:p w14:paraId="52349E0D" w14:textId="77777777" w:rsidR="00F50D70" w:rsidRPr="00BE4F47" w:rsidRDefault="00137D7F" w:rsidP="008E113B">
      <w:pPr>
        <w:pStyle w:val="Titre3"/>
        <w:numPr>
          <w:ilvl w:val="2"/>
          <w:numId w:val="1"/>
        </w:numPr>
        <w:suppressAutoHyphens w:val="0"/>
        <w:spacing w:line="360" w:lineRule="auto"/>
        <w:rPr>
          <w:lang w:eastAsia="fr-FR"/>
        </w:rPr>
      </w:pPr>
      <w:bookmarkStart w:id="117" w:name="__RefHeading___Toc240715100"/>
      <w:bookmarkStart w:id="118" w:name="_Toc241670031"/>
      <w:bookmarkEnd w:id="117"/>
      <w:r w:rsidRPr="00BE4F47">
        <w:t>Exigences de qualité</w:t>
      </w:r>
      <w:bookmarkEnd w:id="118"/>
    </w:p>
    <w:p w14:paraId="6A6CB134" w14:textId="77777777" w:rsidR="00F50D70" w:rsidRPr="00BE4F47" w:rsidRDefault="00137D7F" w:rsidP="008E113B">
      <w:pPr>
        <w:spacing w:before="200" w:after="130" w:line="360" w:lineRule="auto"/>
        <w:ind w:left="992"/>
        <w:rPr>
          <w:rFonts w:ascii="Aptos" w:hAnsi="Aptos"/>
        </w:rPr>
      </w:pPr>
      <w:bookmarkStart w:id="119" w:name="_Toc241082837"/>
      <w:bookmarkStart w:id="120" w:name="_Toc241670032"/>
      <w:r w:rsidRPr="00BE4F47">
        <w:rPr>
          <w:rFonts w:ascii="Aptos" w:hAnsi="Aptos"/>
          <w:color w:val="1A1A19"/>
          <w:sz w:val="20"/>
          <w:szCs w:val="20"/>
        </w:rPr>
        <w:t>Les cinq exigences ci-dessous sont celles que le prototype peut réellement démontrer dans les limites du mandat. Trois viennent d’ISO/IEC 25010, une d’ISO 9241-210 pour l’utilisabilité et une d’IEC 62645 pour l’intégrité des données. Les caractéristiques non retenues, comme la portabilité, le sont parce qu’aucun essai du projet ne les mettrait à l’épreuve.</w:t>
      </w:r>
      <w:bookmarkEnd w:id="119"/>
      <w:bookmarkEnd w:id="120"/>
    </w:p>
    <w:p w14:paraId="617148AB" w14:textId="77777777" w:rsidR="00F50D70" w:rsidRPr="00BE4F47" w:rsidRDefault="00137D7F" w:rsidP="008E113B">
      <w:pPr>
        <w:pStyle w:val="Lgende"/>
        <w:keepNext/>
        <w:spacing w:line="360" w:lineRule="auto"/>
        <w:rPr>
          <w:rFonts w:ascii="Aptos" w:hAnsi="Aptos"/>
        </w:rPr>
      </w:pPr>
      <w:bookmarkStart w:id="121" w:name="_Toc241082838"/>
      <w:bookmarkStart w:id="122" w:name="_Toc241670033"/>
      <w:r w:rsidRPr="00BE4F47">
        <w:rPr>
          <w:rFonts w:ascii="Aptos" w:hAnsi="Aptos"/>
        </w:rPr>
        <w:t>Tableau 1-7. Registre des exigences de qualité</w:t>
      </w:r>
      <w:bookmarkEnd w:id="121"/>
      <w:bookmarkEnd w:id="122"/>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1000"/>
        <w:gridCol w:w="2240"/>
        <w:gridCol w:w="1000"/>
        <w:gridCol w:w="940"/>
        <w:gridCol w:w="620"/>
        <w:gridCol w:w="2757"/>
      </w:tblGrid>
      <w:tr w:rsidR="00F50D70" w:rsidRPr="00BE4F47" w14:paraId="3493775D" w14:textId="77777777" w:rsidTr="0036725C">
        <w:trPr>
          <w:trHeight w:val="221"/>
          <w:tblHeader/>
        </w:trPr>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1FDC01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ID</w:t>
            </w:r>
          </w:p>
        </w:tc>
        <w:tc>
          <w:tcPr>
            <w:tcW w:w="224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EBEB80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Exigence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5A79D1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Source</w:t>
            </w:r>
          </w:p>
        </w:tc>
        <w:tc>
          <w:tcPr>
            <w:tcW w:w="94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A4186E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GEMMA</w:t>
            </w:r>
          </w:p>
        </w:tc>
        <w:tc>
          <w:tcPr>
            <w:tcW w:w="62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EE1B4D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Lot</w:t>
            </w:r>
          </w:p>
        </w:tc>
        <w:tc>
          <w:tcPr>
            <w:tcW w:w="27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3E49E2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Moyen de vérification</w:t>
            </w:r>
          </w:p>
        </w:tc>
      </w:tr>
      <w:tr w:rsidR="00F50D70" w:rsidRPr="00BE4F47" w14:paraId="0D368871" w14:textId="77777777">
        <w:trPr>
          <w:trHeight w:val="394"/>
        </w:trPr>
        <w:tc>
          <w:tcPr>
            <w:tcW w:w="1000" w:type="dxa"/>
            <w:tcBorders>
              <w:top w:val="single" w:sz="4" w:space="0" w:color="000000"/>
              <w:left w:val="single" w:sz="4" w:space="0" w:color="000000"/>
              <w:bottom w:val="single" w:sz="4" w:space="0" w:color="000000"/>
              <w:right w:val="single" w:sz="4" w:space="0" w:color="000000"/>
            </w:tcBorders>
          </w:tcPr>
          <w:p w14:paraId="1856EBA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EX-Q-01</w:t>
            </w:r>
          </w:p>
        </w:tc>
        <w:tc>
          <w:tcPr>
            <w:tcW w:w="2240" w:type="dxa"/>
            <w:tcBorders>
              <w:top w:val="single" w:sz="4" w:space="0" w:color="000000"/>
              <w:left w:val="single" w:sz="4" w:space="0" w:color="000000"/>
              <w:bottom w:val="single" w:sz="4" w:space="0" w:color="000000"/>
              <w:right w:val="single" w:sz="4" w:space="0" w:color="000000"/>
            </w:tcBorders>
          </w:tcPr>
          <w:p w14:paraId="599C0AD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cycle complet d’acquisition, de comparaison et d’affichage s’exécute en moins de T secondes.</w:t>
            </w:r>
          </w:p>
        </w:tc>
        <w:tc>
          <w:tcPr>
            <w:tcW w:w="1000" w:type="dxa"/>
            <w:tcBorders>
              <w:top w:val="single" w:sz="4" w:space="0" w:color="000000"/>
              <w:left w:val="single" w:sz="4" w:space="0" w:color="000000"/>
              <w:bottom w:val="single" w:sz="4" w:space="0" w:color="000000"/>
              <w:right w:val="single" w:sz="4" w:space="0" w:color="000000"/>
            </w:tcBorders>
          </w:tcPr>
          <w:p w14:paraId="525990E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ISO/IEC 25010, performance</w:t>
            </w:r>
          </w:p>
        </w:tc>
        <w:tc>
          <w:tcPr>
            <w:tcW w:w="940" w:type="dxa"/>
            <w:tcBorders>
              <w:top w:val="single" w:sz="4" w:space="0" w:color="000000"/>
              <w:left w:val="single" w:sz="4" w:space="0" w:color="000000"/>
              <w:bottom w:val="single" w:sz="4" w:space="0" w:color="000000"/>
              <w:right w:val="single" w:sz="4" w:space="0" w:color="000000"/>
            </w:tcBorders>
          </w:tcPr>
          <w:p w14:paraId="5118FF3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F1</w:t>
            </w:r>
          </w:p>
        </w:tc>
        <w:tc>
          <w:tcPr>
            <w:tcW w:w="620" w:type="dxa"/>
            <w:tcBorders>
              <w:top w:val="single" w:sz="4" w:space="0" w:color="000000"/>
              <w:left w:val="single" w:sz="4" w:space="0" w:color="000000"/>
              <w:bottom w:val="single" w:sz="4" w:space="0" w:color="000000"/>
              <w:right w:val="single" w:sz="4" w:space="0" w:color="000000"/>
            </w:tcBorders>
          </w:tcPr>
          <w:p w14:paraId="47034F7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L9</w:t>
            </w:r>
          </w:p>
        </w:tc>
        <w:tc>
          <w:tcPr>
            <w:tcW w:w="2757" w:type="dxa"/>
            <w:tcBorders>
              <w:top w:val="single" w:sz="4" w:space="0" w:color="000000"/>
              <w:left w:val="single" w:sz="4" w:space="0" w:color="000000"/>
              <w:bottom w:val="single" w:sz="4" w:space="0" w:color="000000"/>
              <w:right w:val="single" w:sz="4" w:space="0" w:color="000000"/>
            </w:tcBorders>
          </w:tcPr>
          <w:p w14:paraId="650BB54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Mesure du temps de cycle sur 100 cycles consécutifs ; valeur maximale relevée.</w:t>
            </w:r>
          </w:p>
        </w:tc>
      </w:tr>
      <w:tr w:rsidR="00F50D70" w:rsidRPr="00BE4F47" w14:paraId="3B901F16" w14:textId="77777777">
        <w:trPr>
          <w:trHeight w:val="551"/>
        </w:trPr>
        <w:tc>
          <w:tcPr>
            <w:tcW w:w="1000" w:type="dxa"/>
            <w:tcBorders>
              <w:top w:val="single" w:sz="4" w:space="0" w:color="000000"/>
              <w:left w:val="single" w:sz="4" w:space="0" w:color="000000"/>
              <w:bottom w:val="single" w:sz="4" w:space="0" w:color="000000"/>
              <w:right w:val="single" w:sz="4" w:space="0" w:color="000000"/>
            </w:tcBorders>
          </w:tcPr>
          <w:p w14:paraId="001CFF2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lastRenderedPageBreak/>
              <w:t>EX-Q-02</w:t>
            </w:r>
          </w:p>
        </w:tc>
        <w:tc>
          <w:tcPr>
            <w:tcW w:w="2240" w:type="dxa"/>
            <w:tcBorders>
              <w:top w:val="single" w:sz="4" w:space="0" w:color="000000"/>
              <w:left w:val="single" w:sz="4" w:space="0" w:color="000000"/>
              <w:bottom w:val="single" w:sz="4" w:space="0" w:color="000000"/>
              <w:right w:val="single" w:sz="4" w:space="0" w:color="000000"/>
            </w:tcBorders>
          </w:tcPr>
          <w:p w14:paraId="7374C25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prototype fonctionne sans interruption pendant une campagne d’essais de D minutes, sans perte d’entrée au journal.</w:t>
            </w:r>
          </w:p>
        </w:tc>
        <w:tc>
          <w:tcPr>
            <w:tcW w:w="1000" w:type="dxa"/>
            <w:tcBorders>
              <w:top w:val="single" w:sz="4" w:space="0" w:color="000000"/>
              <w:left w:val="single" w:sz="4" w:space="0" w:color="000000"/>
              <w:bottom w:val="single" w:sz="4" w:space="0" w:color="000000"/>
              <w:right w:val="single" w:sz="4" w:space="0" w:color="000000"/>
            </w:tcBorders>
          </w:tcPr>
          <w:p w14:paraId="61519C7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ISO/IEC 25010, fiabilité</w:t>
            </w:r>
          </w:p>
        </w:tc>
        <w:tc>
          <w:tcPr>
            <w:tcW w:w="940" w:type="dxa"/>
            <w:tcBorders>
              <w:top w:val="single" w:sz="4" w:space="0" w:color="000000"/>
              <w:left w:val="single" w:sz="4" w:space="0" w:color="000000"/>
              <w:bottom w:val="single" w:sz="4" w:space="0" w:color="000000"/>
              <w:right w:val="single" w:sz="4" w:space="0" w:color="000000"/>
            </w:tcBorders>
          </w:tcPr>
          <w:p w14:paraId="12ED57E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F1</w:t>
            </w:r>
          </w:p>
        </w:tc>
        <w:tc>
          <w:tcPr>
            <w:tcW w:w="620" w:type="dxa"/>
            <w:tcBorders>
              <w:top w:val="single" w:sz="4" w:space="0" w:color="000000"/>
              <w:left w:val="single" w:sz="4" w:space="0" w:color="000000"/>
              <w:bottom w:val="single" w:sz="4" w:space="0" w:color="000000"/>
              <w:right w:val="single" w:sz="4" w:space="0" w:color="000000"/>
            </w:tcBorders>
          </w:tcPr>
          <w:p w14:paraId="36511ED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L9</w:t>
            </w:r>
          </w:p>
        </w:tc>
        <w:tc>
          <w:tcPr>
            <w:tcW w:w="2757" w:type="dxa"/>
            <w:tcBorders>
              <w:top w:val="single" w:sz="4" w:space="0" w:color="000000"/>
              <w:left w:val="single" w:sz="4" w:space="0" w:color="000000"/>
              <w:bottom w:val="single" w:sz="4" w:space="0" w:color="000000"/>
              <w:right w:val="single" w:sz="4" w:space="0" w:color="000000"/>
            </w:tcBorders>
          </w:tcPr>
          <w:p w14:paraId="6119F31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Essai d’endurance ; comparaison du nombre de cycles au nombre d’entrées journalisées.</w:t>
            </w:r>
          </w:p>
        </w:tc>
      </w:tr>
      <w:tr w:rsidR="00F50D70" w:rsidRPr="00BE4F47" w14:paraId="1175CDF2" w14:textId="77777777">
        <w:trPr>
          <w:trHeight w:val="724"/>
        </w:trPr>
        <w:tc>
          <w:tcPr>
            <w:tcW w:w="1000" w:type="dxa"/>
            <w:tcBorders>
              <w:top w:val="single" w:sz="4" w:space="0" w:color="000000"/>
              <w:left w:val="single" w:sz="4" w:space="0" w:color="000000"/>
              <w:bottom w:val="single" w:sz="4" w:space="0" w:color="000000"/>
              <w:right w:val="single" w:sz="4" w:space="0" w:color="000000"/>
            </w:tcBorders>
          </w:tcPr>
          <w:p w14:paraId="2305656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EX-Q-03</w:t>
            </w:r>
          </w:p>
        </w:tc>
        <w:tc>
          <w:tcPr>
            <w:tcW w:w="2240" w:type="dxa"/>
            <w:tcBorders>
              <w:top w:val="single" w:sz="4" w:space="0" w:color="000000"/>
              <w:left w:val="single" w:sz="4" w:space="0" w:color="000000"/>
              <w:bottom w:val="single" w:sz="4" w:space="0" w:color="000000"/>
              <w:right w:val="single" w:sz="4" w:space="0" w:color="000000"/>
            </w:tcBorders>
          </w:tcPr>
          <w:p w14:paraId="210F4B0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Un opérateur n’ayant pas participé au développement identifie correctement l’état affiché (normal, anomalie, incertain) en moins de S secondes, dans au moins X essais sur Y.</w:t>
            </w:r>
          </w:p>
        </w:tc>
        <w:tc>
          <w:tcPr>
            <w:tcW w:w="1000" w:type="dxa"/>
            <w:tcBorders>
              <w:top w:val="single" w:sz="4" w:space="0" w:color="000000"/>
              <w:left w:val="single" w:sz="4" w:space="0" w:color="000000"/>
              <w:bottom w:val="single" w:sz="4" w:space="0" w:color="000000"/>
              <w:right w:val="single" w:sz="4" w:space="0" w:color="000000"/>
            </w:tcBorders>
          </w:tcPr>
          <w:p w14:paraId="62BD162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ISO 9241-210, utilisabilité</w:t>
            </w:r>
          </w:p>
        </w:tc>
        <w:tc>
          <w:tcPr>
            <w:tcW w:w="940" w:type="dxa"/>
            <w:tcBorders>
              <w:top w:val="single" w:sz="4" w:space="0" w:color="000000"/>
              <w:left w:val="single" w:sz="4" w:space="0" w:color="000000"/>
              <w:bottom w:val="single" w:sz="4" w:space="0" w:color="000000"/>
              <w:right w:val="single" w:sz="4" w:space="0" w:color="000000"/>
            </w:tcBorders>
          </w:tcPr>
          <w:p w14:paraId="0B07467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F1, D2, D3</w:t>
            </w:r>
          </w:p>
        </w:tc>
        <w:tc>
          <w:tcPr>
            <w:tcW w:w="620" w:type="dxa"/>
            <w:tcBorders>
              <w:top w:val="single" w:sz="4" w:space="0" w:color="000000"/>
              <w:left w:val="single" w:sz="4" w:space="0" w:color="000000"/>
              <w:bottom w:val="single" w:sz="4" w:space="0" w:color="000000"/>
              <w:right w:val="single" w:sz="4" w:space="0" w:color="000000"/>
            </w:tcBorders>
          </w:tcPr>
          <w:p w14:paraId="3125E49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L8, L9</w:t>
            </w:r>
          </w:p>
        </w:tc>
        <w:tc>
          <w:tcPr>
            <w:tcW w:w="2757" w:type="dxa"/>
            <w:tcBorders>
              <w:top w:val="single" w:sz="4" w:space="0" w:color="000000"/>
              <w:left w:val="single" w:sz="4" w:space="0" w:color="000000"/>
              <w:bottom w:val="single" w:sz="4" w:space="0" w:color="000000"/>
              <w:right w:val="single" w:sz="4" w:space="0" w:color="000000"/>
            </w:tcBorders>
          </w:tcPr>
          <w:p w14:paraId="15C0688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Essai d’utilisabilité avec un membre de l’équipe n’ayant pas développé l’interface.</w:t>
            </w:r>
          </w:p>
        </w:tc>
      </w:tr>
      <w:tr w:rsidR="00F50D70" w:rsidRPr="00BE4F47" w14:paraId="6310575F" w14:textId="77777777">
        <w:trPr>
          <w:trHeight w:val="715"/>
        </w:trPr>
        <w:tc>
          <w:tcPr>
            <w:tcW w:w="1000" w:type="dxa"/>
            <w:tcBorders>
              <w:top w:val="single" w:sz="4" w:space="0" w:color="000000"/>
              <w:left w:val="single" w:sz="4" w:space="0" w:color="000000"/>
              <w:bottom w:val="single" w:sz="4" w:space="0" w:color="000000"/>
              <w:right w:val="single" w:sz="4" w:space="0" w:color="000000"/>
            </w:tcBorders>
          </w:tcPr>
          <w:p w14:paraId="6F6A6F6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EX-Q-04</w:t>
            </w:r>
          </w:p>
        </w:tc>
        <w:tc>
          <w:tcPr>
            <w:tcW w:w="2240" w:type="dxa"/>
            <w:tcBorders>
              <w:top w:val="single" w:sz="4" w:space="0" w:color="000000"/>
              <w:left w:val="single" w:sz="4" w:space="0" w:color="000000"/>
              <w:bottom w:val="single" w:sz="4" w:space="0" w:color="000000"/>
              <w:right w:val="single" w:sz="4" w:space="0" w:color="000000"/>
            </w:tcBorders>
          </w:tcPr>
          <w:p w14:paraId="61411FA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Toute donnée d’acquisition altérée ou non conforme au format attendu est rejetée, journalisée comme telle, et n’est pas propagée au modèle.</w:t>
            </w:r>
          </w:p>
        </w:tc>
        <w:tc>
          <w:tcPr>
            <w:tcW w:w="1000" w:type="dxa"/>
            <w:tcBorders>
              <w:top w:val="single" w:sz="4" w:space="0" w:color="000000"/>
              <w:left w:val="single" w:sz="4" w:space="0" w:color="000000"/>
              <w:bottom w:val="single" w:sz="4" w:space="0" w:color="000000"/>
              <w:right w:val="single" w:sz="4" w:space="0" w:color="000000"/>
            </w:tcBorders>
          </w:tcPr>
          <w:p w14:paraId="1A693EE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IEC 62645, intégrité</w:t>
            </w:r>
          </w:p>
        </w:tc>
        <w:tc>
          <w:tcPr>
            <w:tcW w:w="940" w:type="dxa"/>
            <w:tcBorders>
              <w:top w:val="single" w:sz="4" w:space="0" w:color="000000"/>
              <w:left w:val="single" w:sz="4" w:space="0" w:color="000000"/>
              <w:bottom w:val="single" w:sz="4" w:space="0" w:color="000000"/>
              <w:right w:val="single" w:sz="4" w:space="0" w:color="000000"/>
            </w:tcBorders>
          </w:tcPr>
          <w:p w14:paraId="529E5AC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F2, D2</w:t>
            </w:r>
          </w:p>
        </w:tc>
        <w:tc>
          <w:tcPr>
            <w:tcW w:w="620" w:type="dxa"/>
            <w:tcBorders>
              <w:top w:val="single" w:sz="4" w:space="0" w:color="000000"/>
              <w:left w:val="single" w:sz="4" w:space="0" w:color="000000"/>
              <w:bottom w:val="single" w:sz="4" w:space="0" w:color="000000"/>
              <w:right w:val="single" w:sz="4" w:space="0" w:color="000000"/>
            </w:tcBorders>
          </w:tcPr>
          <w:p w14:paraId="200DC66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L5, L9</w:t>
            </w:r>
          </w:p>
        </w:tc>
        <w:tc>
          <w:tcPr>
            <w:tcW w:w="2757" w:type="dxa"/>
            <w:tcBorders>
              <w:top w:val="single" w:sz="4" w:space="0" w:color="000000"/>
              <w:left w:val="single" w:sz="4" w:space="0" w:color="000000"/>
              <w:bottom w:val="single" w:sz="4" w:space="0" w:color="000000"/>
              <w:right w:val="single" w:sz="4" w:space="0" w:color="000000"/>
            </w:tcBorders>
          </w:tcPr>
          <w:p w14:paraId="4B825C0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Essai d’injection de donnée malformée : vérification de l’absence de propagation.</w:t>
            </w:r>
          </w:p>
        </w:tc>
      </w:tr>
      <w:tr w:rsidR="00F50D70" w:rsidRPr="00BE4F47" w14:paraId="76A7510C" w14:textId="77777777">
        <w:trPr>
          <w:trHeight w:val="559"/>
        </w:trPr>
        <w:tc>
          <w:tcPr>
            <w:tcW w:w="1000" w:type="dxa"/>
            <w:tcBorders>
              <w:top w:val="single" w:sz="4" w:space="0" w:color="000000"/>
              <w:left w:val="single" w:sz="4" w:space="0" w:color="000000"/>
              <w:bottom w:val="single" w:sz="4" w:space="0" w:color="000000"/>
              <w:right w:val="single" w:sz="4" w:space="0" w:color="000000"/>
            </w:tcBorders>
          </w:tcPr>
          <w:p w14:paraId="04F4BC8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EX-Q-05</w:t>
            </w:r>
          </w:p>
        </w:tc>
        <w:tc>
          <w:tcPr>
            <w:tcW w:w="2240" w:type="dxa"/>
            <w:tcBorders>
              <w:top w:val="single" w:sz="4" w:space="0" w:color="000000"/>
              <w:left w:val="single" w:sz="4" w:space="0" w:color="000000"/>
              <w:bottom w:val="single" w:sz="4" w:space="0" w:color="000000"/>
              <w:right w:val="single" w:sz="4" w:space="0" w:color="000000"/>
            </w:tcBorders>
          </w:tcPr>
          <w:p w14:paraId="3BF0E81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Chaque module dispose d’essais unitaires, et le taux de couverture des fonctions de détection est mesuré et consigné.</w:t>
            </w:r>
          </w:p>
        </w:tc>
        <w:tc>
          <w:tcPr>
            <w:tcW w:w="1000" w:type="dxa"/>
            <w:tcBorders>
              <w:top w:val="single" w:sz="4" w:space="0" w:color="000000"/>
              <w:left w:val="single" w:sz="4" w:space="0" w:color="000000"/>
              <w:bottom w:val="single" w:sz="4" w:space="0" w:color="000000"/>
              <w:right w:val="single" w:sz="4" w:space="0" w:color="000000"/>
            </w:tcBorders>
          </w:tcPr>
          <w:p w14:paraId="2404E04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ISO/IEC 25010, maintenabilité</w:t>
            </w:r>
          </w:p>
        </w:tc>
        <w:tc>
          <w:tcPr>
            <w:tcW w:w="940" w:type="dxa"/>
            <w:tcBorders>
              <w:top w:val="single" w:sz="4" w:space="0" w:color="000000"/>
              <w:left w:val="single" w:sz="4" w:space="0" w:color="000000"/>
              <w:bottom w:val="single" w:sz="4" w:space="0" w:color="000000"/>
              <w:right w:val="single" w:sz="4" w:space="0" w:color="000000"/>
            </w:tcBorders>
          </w:tcPr>
          <w:p w14:paraId="6A1BB09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s.o.</w:t>
            </w:r>
          </w:p>
        </w:tc>
        <w:tc>
          <w:tcPr>
            <w:tcW w:w="620" w:type="dxa"/>
            <w:tcBorders>
              <w:top w:val="single" w:sz="4" w:space="0" w:color="000000"/>
              <w:left w:val="single" w:sz="4" w:space="0" w:color="000000"/>
              <w:bottom w:val="single" w:sz="4" w:space="0" w:color="000000"/>
              <w:right w:val="single" w:sz="4" w:space="0" w:color="000000"/>
            </w:tcBorders>
          </w:tcPr>
          <w:p w14:paraId="4351A92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L9</w:t>
            </w:r>
          </w:p>
        </w:tc>
        <w:tc>
          <w:tcPr>
            <w:tcW w:w="2757" w:type="dxa"/>
            <w:tcBorders>
              <w:top w:val="single" w:sz="4" w:space="0" w:color="000000"/>
              <w:left w:val="single" w:sz="4" w:space="0" w:color="000000"/>
              <w:bottom w:val="single" w:sz="4" w:space="0" w:color="000000"/>
              <w:right w:val="single" w:sz="4" w:space="0" w:color="000000"/>
            </w:tcBorders>
          </w:tcPr>
          <w:p w14:paraId="2ED32E6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Rapport de couverture joint aux résultats d’essais.</w:t>
            </w:r>
          </w:p>
        </w:tc>
      </w:tr>
    </w:tbl>
    <w:p w14:paraId="3DEDFDFA" w14:textId="77777777" w:rsidR="00F50D70" w:rsidRPr="00BE4F47" w:rsidRDefault="00137D7F" w:rsidP="008E113B">
      <w:pPr>
        <w:pStyle w:val="Titre3"/>
        <w:numPr>
          <w:ilvl w:val="2"/>
          <w:numId w:val="1"/>
        </w:numPr>
        <w:suppressAutoHyphens w:val="0"/>
        <w:spacing w:line="360" w:lineRule="auto"/>
        <w:rPr>
          <w:lang w:eastAsia="fr-FR"/>
        </w:rPr>
      </w:pPr>
      <w:bookmarkStart w:id="123" w:name="__RefHeading___Toc240715102"/>
      <w:bookmarkStart w:id="124" w:name="_Toc241670034"/>
      <w:bookmarkEnd w:id="123"/>
      <w:r w:rsidRPr="00BE4F47">
        <w:t>Exigences de périmètre et de contrainte</w:t>
      </w:r>
      <w:bookmarkEnd w:id="124"/>
    </w:p>
    <w:p w14:paraId="6E354053" w14:textId="77777777" w:rsidR="00F50D70" w:rsidRPr="00BE4F47" w:rsidRDefault="00137D7F" w:rsidP="008E113B">
      <w:pPr>
        <w:spacing w:before="200" w:after="130" w:line="360" w:lineRule="auto"/>
        <w:ind w:left="992"/>
        <w:rPr>
          <w:rFonts w:ascii="Aptos" w:hAnsi="Aptos"/>
        </w:rPr>
      </w:pPr>
      <w:bookmarkStart w:id="125" w:name="_Toc241082839"/>
      <w:bookmarkStart w:id="126" w:name="_Toc241670035"/>
      <w:r w:rsidRPr="00BE4F47">
        <w:rPr>
          <w:rFonts w:ascii="Aptos" w:hAnsi="Aptos"/>
          <w:color w:val="1A1A19"/>
          <w:sz w:val="20"/>
          <w:szCs w:val="20"/>
        </w:rPr>
        <w:t>Les trois exigences ci-dessous portent sur des engagements documentaires plutôt que sur des comportements du système. Elles se vérifient par la présence et le contenu d’une section du rapport final.</w:t>
      </w:r>
      <w:bookmarkEnd w:id="125"/>
      <w:bookmarkEnd w:id="126"/>
    </w:p>
    <w:p w14:paraId="0BF1AE8F" w14:textId="77777777" w:rsidR="00F50D70" w:rsidRPr="00BE4F47" w:rsidRDefault="00137D7F" w:rsidP="008E113B">
      <w:pPr>
        <w:pStyle w:val="Lgende"/>
        <w:keepNext/>
        <w:spacing w:line="360" w:lineRule="auto"/>
        <w:rPr>
          <w:rFonts w:ascii="Aptos" w:hAnsi="Aptos"/>
        </w:rPr>
      </w:pPr>
      <w:bookmarkStart w:id="127" w:name="_Toc241082840"/>
      <w:bookmarkStart w:id="128" w:name="_Toc241670036"/>
      <w:r w:rsidRPr="00BE4F47">
        <w:rPr>
          <w:rFonts w:ascii="Aptos" w:hAnsi="Aptos"/>
        </w:rPr>
        <w:t>Tableau 1-8. Exigences de périmètre et de contrainte</w:t>
      </w:r>
      <w:bookmarkEnd w:id="127"/>
      <w:bookmarkEnd w:id="128"/>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1000"/>
        <w:gridCol w:w="2240"/>
        <w:gridCol w:w="1000"/>
        <w:gridCol w:w="940"/>
        <w:gridCol w:w="620"/>
        <w:gridCol w:w="2757"/>
      </w:tblGrid>
      <w:tr w:rsidR="00F50D70" w:rsidRPr="00BE4F47" w14:paraId="1C4C43E0" w14:textId="77777777" w:rsidTr="0036725C">
        <w:trPr>
          <w:trHeight w:val="246"/>
          <w:tblHeader/>
        </w:trPr>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1C267E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ID</w:t>
            </w:r>
          </w:p>
        </w:tc>
        <w:tc>
          <w:tcPr>
            <w:tcW w:w="224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2A1925D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Exigence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21CCAA6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Source</w:t>
            </w:r>
          </w:p>
        </w:tc>
        <w:tc>
          <w:tcPr>
            <w:tcW w:w="94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3B2055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GEMMA</w:t>
            </w:r>
          </w:p>
        </w:tc>
        <w:tc>
          <w:tcPr>
            <w:tcW w:w="62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1F839ED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Lot</w:t>
            </w:r>
          </w:p>
        </w:tc>
        <w:tc>
          <w:tcPr>
            <w:tcW w:w="27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1772705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Moyen de vérification</w:t>
            </w:r>
          </w:p>
        </w:tc>
      </w:tr>
      <w:tr w:rsidR="00F50D70" w:rsidRPr="00BE4F47" w14:paraId="65B1176B" w14:textId="77777777">
        <w:trPr>
          <w:trHeight w:val="621"/>
        </w:trPr>
        <w:tc>
          <w:tcPr>
            <w:tcW w:w="1000" w:type="dxa"/>
            <w:tcBorders>
              <w:top w:val="single" w:sz="4" w:space="0" w:color="000000"/>
              <w:left w:val="single" w:sz="4" w:space="0" w:color="000000"/>
              <w:bottom w:val="single" w:sz="4" w:space="0" w:color="000000"/>
              <w:right w:val="single" w:sz="4" w:space="0" w:color="000000"/>
            </w:tcBorders>
          </w:tcPr>
          <w:p w14:paraId="34D4976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EX-C-01</w:t>
            </w:r>
          </w:p>
        </w:tc>
        <w:tc>
          <w:tcPr>
            <w:tcW w:w="2240" w:type="dxa"/>
            <w:tcBorders>
              <w:top w:val="single" w:sz="4" w:space="0" w:color="000000"/>
              <w:left w:val="single" w:sz="4" w:space="0" w:color="000000"/>
              <w:bottom w:val="single" w:sz="4" w:space="0" w:color="000000"/>
              <w:right w:val="single" w:sz="4" w:space="0" w:color="000000"/>
            </w:tcBorders>
          </w:tcPr>
          <w:p w14:paraId="5AC2337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rapport final documente le domaine d’application du prototype et les limites au-delà desquelles ses résultats ne sont pas valides.</w:t>
            </w:r>
          </w:p>
        </w:tc>
        <w:tc>
          <w:tcPr>
            <w:tcW w:w="1000" w:type="dxa"/>
            <w:tcBorders>
              <w:top w:val="single" w:sz="4" w:space="0" w:color="000000"/>
              <w:left w:val="single" w:sz="4" w:space="0" w:color="000000"/>
              <w:bottom w:val="single" w:sz="4" w:space="0" w:color="000000"/>
              <w:right w:val="single" w:sz="4" w:space="0" w:color="000000"/>
            </w:tcBorders>
          </w:tcPr>
          <w:p w14:paraId="673E757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Hydro-Québec, sûreté</w:t>
            </w:r>
          </w:p>
        </w:tc>
        <w:tc>
          <w:tcPr>
            <w:tcW w:w="940" w:type="dxa"/>
            <w:tcBorders>
              <w:top w:val="single" w:sz="4" w:space="0" w:color="000000"/>
              <w:left w:val="single" w:sz="4" w:space="0" w:color="000000"/>
              <w:bottom w:val="single" w:sz="4" w:space="0" w:color="000000"/>
              <w:right w:val="single" w:sz="4" w:space="0" w:color="000000"/>
            </w:tcBorders>
          </w:tcPr>
          <w:p w14:paraId="622E1AE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s.o.</w:t>
            </w:r>
          </w:p>
        </w:tc>
        <w:tc>
          <w:tcPr>
            <w:tcW w:w="620" w:type="dxa"/>
            <w:tcBorders>
              <w:top w:val="single" w:sz="4" w:space="0" w:color="000000"/>
              <w:left w:val="single" w:sz="4" w:space="0" w:color="000000"/>
              <w:bottom w:val="single" w:sz="4" w:space="0" w:color="000000"/>
              <w:right w:val="single" w:sz="4" w:space="0" w:color="000000"/>
            </w:tcBorders>
          </w:tcPr>
          <w:p w14:paraId="1DCA9EE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L1, L9</w:t>
            </w:r>
          </w:p>
        </w:tc>
        <w:tc>
          <w:tcPr>
            <w:tcW w:w="2757" w:type="dxa"/>
            <w:tcBorders>
              <w:top w:val="single" w:sz="4" w:space="0" w:color="000000"/>
              <w:left w:val="single" w:sz="4" w:space="0" w:color="000000"/>
              <w:bottom w:val="single" w:sz="4" w:space="0" w:color="000000"/>
              <w:right w:val="single" w:sz="4" w:space="0" w:color="000000"/>
            </w:tcBorders>
          </w:tcPr>
          <w:p w14:paraId="013EEA5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Revue du rapport final au jalon J5 : présence de la section et cohérence avec les résultats d’essais.</w:t>
            </w:r>
          </w:p>
        </w:tc>
      </w:tr>
      <w:tr w:rsidR="00F50D70" w:rsidRPr="00BE4F47" w14:paraId="58A7B296" w14:textId="77777777">
        <w:trPr>
          <w:trHeight w:val="612"/>
        </w:trPr>
        <w:tc>
          <w:tcPr>
            <w:tcW w:w="1000" w:type="dxa"/>
            <w:tcBorders>
              <w:top w:val="single" w:sz="4" w:space="0" w:color="000000"/>
              <w:left w:val="single" w:sz="4" w:space="0" w:color="000000"/>
              <w:bottom w:val="single" w:sz="4" w:space="0" w:color="000000"/>
              <w:right w:val="single" w:sz="4" w:space="0" w:color="000000"/>
            </w:tcBorders>
          </w:tcPr>
          <w:p w14:paraId="55DC61D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EX-C-02</w:t>
            </w:r>
          </w:p>
        </w:tc>
        <w:tc>
          <w:tcPr>
            <w:tcW w:w="2240" w:type="dxa"/>
            <w:tcBorders>
              <w:top w:val="single" w:sz="4" w:space="0" w:color="000000"/>
              <w:left w:val="single" w:sz="4" w:space="0" w:color="000000"/>
              <w:bottom w:val="single" w:sz="4" w:space="0" w:color="000000"/>
              <w:right w:val="single" w:sz="4" w:space="0" w:color="000000"/>
            </w:tcBorders>
          </w:tcPr>
          <w:p w14:paraId="02A1CDE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prototype demeure un livrable académique entièrement simulé, non destiné au raccordement à une installation nucléaire réelle.</w:t>
            </w:r>
          </w:p>
        </w:tc>
        <w:tc>
          <w:tcPr>
            <w:tcW w:w="1000" w:type="dxa"/>
            <w:tcBorders>
              <w:top w:val="single" w:sz="4" w:space="0" w:color="000000"/>
              <w:left w:val="single" w:sz="4" w:space="0" w:color="000000"/>
              <w:bottom w:val="single" w:sz="4" w:space="0" w:color="000000"/>
              <w:right w:val="single" w:sz="4" w:space="0" w:color="000000"/>
            </w:tcBorders>
          </w:tcPr>
          <w:p w14:paraId="14658A4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Périmètre du projet</w:t>
            </w:r>
          </w:p>
        </w:tc>
        <w:tc>
          <w:tcPr>
            <w:tcW w:w="940" w:type="dxa"/>
            <w:tcBorders>
              <w:top w:val="single" w:sz="4" w:space="0" w:color="000000"/>
              <w:left w:val="single" w:sz="4" w:space="0" w:color="000000"/>
              <w:bottom w:val="single" w:sz="4" w:space="0" w:color="000000"/>
              <w:right w:val="single" w:sz="4" w:space="0" w:color="000000"/>
            </w:tcBorders>
          </w:tcPr>
          <w:p w14:paraId="1676EB2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s.o.</w:t>
            </w:r>
          </w:p>
        </w:tc>
        <w:tc>
          <w:tcPr>
            <w:tcW w:w="620" w:type="dxa"/>
            <w:tcBorders>
              <w:top w:val="single" w:sz="4" w:space="0" w:color="000000"/>
              <w:left w:val="single" w:sz="4" w:space="0" w:color="000000"/>
              <w:bottom w:val="single" w:sz="4" w:space="0" w:color="000000"/>
              <w:right w:val="single" w:sz="4" w:space="0" w:color="000000"/>
            </w:tcBorders>
          </w:tcPr>
          <w:p w14:paraId="6B28702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L1</w:t>
            </w:r>
          </w:p>
        </w:tc>
        <w:tc>
          <w:tcPr>
            <w:tcW w:w="2757" w:type="dxa"/>
            <w:tcBorders>
              <w:top w:val="single" w:sz="4" w:space="0" w:color="000000"/>
              <w:left w:val="single" w:sz="4" w:space="0" w:color="000000"/>
              <w:bottom w:val="single" w:sz="4" w:space="0" w:color="000000"/>
              <w:right w:val="single" w:sz="4" w:space="0" w:color="000000"/>
            </w:tcBorders>
          </w:tcPr>
          <w:p w14:paraId="0963E72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Revue de conformité au périmètre à chaque jalon.</w:t>
            </w:r>
          </w:p>
        </w:tc>
      </w:tr>
      <w:tr w:rsidR="00F50D70" w:rsidRPr="00BE4F47" w14:paraId="1DC6366D" w14:textId="77777777">
        <w:trPr>
          <w:trHeight w:val="804"/>
        </w:trPr>
        <w:tc>
          <w:tcPr>
            <w:tcW w:w="1000" w:type="dxa"/>
            <w:tcBorders>
              <w:top w:val="single" w:sz="4" w:space="0" w:color="000000"/>
              <w:left w:val="single" w:sz="4" w:space="0" w:color="000000"/>
              <w:bottom w:val="single" w:sz="4" w:space="0" w:color="000000"/>
              <w:right w:val="single" w:sz="4" w:space="0" w:color="000000"/>
            </w:tcBorders>
          </w:tcPr>
          <w:p w14:paraId="347B022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EX-C-03</w:t>
            </w:r>
          </w:p>
        </w:tc>
        <w:tc>
          <w:tcPr>
            <w:tcW w:w="2240" w:type="dxa"/>
            <w:tcBorders>
              <w:top w:val="single" w:sz="4" w:space="0" w:color="000000"/>
              <w:left w:val="single" w:sz="4" w:space="0" w:color="000000"/>
              <w:bottom w:val="single" w:sz="4" w:space="0" w:color="000000"/>
              <w:right w:val="single" w:sz="4" w:space="0" w:color="000000"/>
            </w:tcBorders>
          </w:tcPr>
          <w:p w14:paraId="6E0E6DF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rapport final traite explicitement les enjeux de confiance, de transparence et de responsabilité soulevés par l’usage d’un outil d’aide à la décision en contexte nucléaire.</w:t>
            </w:r>
          </w:p>
        </w:tc>
        <w:tc>
          <w:tcPr>
            <w:tcW w:w="1000" w:type="dxa"/>
            <w:tcBorders>
              <w:top w:val="single" w:sz="4" w:space="0" w:color="000000"/>
              <w:left w:val="single" w:sz="4" w:space="0" w:color="000000"/>
              <w:bottom w:val="single" w:sz="4" w:space="0" w:color="000000"/>
              <w:right w:val="single" w:sz="4" w:space="0" w:color="000000"/>
            </w:tcBorders>
          </w:tcPr>
          <w:p w14:paraId="3A9D170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Parties prenantes</w:t>
            </w:r>
          </w:p>
        </w:tc>
        <w:tc>
          <w:tcPr>
            <w:tcW w:w="940" w:type="dxa"/>
            <w:tcBorders>
              <w:top w:val="single" w:sz="4" w:space="0" w:color="000000"/>
              <w:left w:val="single" w:sz="4" w:space="0" w:color="000000"/>
              <w:bottom w:val="single" w:sz="4" w:space="0" w:color="000000"/>
              <w:right w:val="single" w:sz="4" w:space="0" w:color="000000"/>
            </w:tcBorders>
          </w:tcPr>
          <w:p w14:paraId="3789959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s.o.</w:t>
            </w:r>
          </w:p>
        </w:tc>
        <w:tc>
          <w:tcPr>
            <w:tcW w:w="620" w:type="dxa"/>
            <w:tcBorders>
              <w:top w:val="single" w:sz="4" w:space="0" w:color="000000"/>
              <w:left w:val="single" w:sz="4" w:space="0" w:color="000000"/>
              <w:bottom w:val="single" w:sz="4" w:space="0" w:color="000000"/>
              <w:right w:val="single" w:sz="4" w:space="0" w:color="000000"/>
            </w:tcBorders>
          </w:tcPr>
          <w:p w14:paraId="343D0CE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L1</w:t>
            </w:r>
          </w:p>
        </w:tc>
        <w:tc>
          <w:tcPr>
            <w:tcW w:w="2757" w:type="dxa"/>
            <w:tcBorders>
              <w:top w:val="single" w:sz="4" w:space="0" w:color="000000"/>
              <w:left w:val="single" w:sz="4" w:space="0" w:color="000000"/>
              <w:bottom w:val="single" w:sz="4" w:space="0" w:color="000000"/>
              <w:right w:val="single" w:sz="4" w:space="0" w:color="000000"/>
            </w:tcBorders>
          </w:tcPr>
          <w:p w14:paraId="252529E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Présence et contenu de la section « Impacts du projet et gestion des risques ».</w:t>
            </w:r>
          </w:p>
        </w:tc>
      </w:tr>
    </w:tbl>
    <w:p w14:paraId="145FB86E" w14:textId="77777777" w:rsidR="00F50D70" w:rsidRPr="00136F18" w:rsidRDefault="00137D7F" w:rsidP="008E113B">
      <w:pPr>
        <w:pStyle w:val="Titre1"/>
        <w:spacing w:line="360" w:lineRule="auto"/>
      </w:pPr>
      <w:bookmarkStart w:id="129" w:name="__RefHeading___Toc240715104"/>
      <w:bookmarkStart w:id="130" w:name="_Toc241670037"/>
      <w:r w:rsidRPr="00136F18">
        <w:t>Description des livrables du projet</w:t>
      </w:r>
      <w:bookmarkEnd w:id="129"/>
      <w:bookmarkEnd w:id="130"/>
    </w:p>
    <w:p w14:paraId="37330604" w14:textId="77777777" w:rsidR="00F50D70" w:rsidRPr="00BE4F47" w:rsidRDefault="00137D7F" w:rsidP="008E113B">
      <w:pPr>
        <w:spacing w:before="200" w:after="130" w:line="360" w:lineRule="auto"/>
        <w:ind w:left="360"/>
        <w:rPr>
          <w:rFonts w:ascii="Aptos" w:hAnsi="Aptos"/>
        </w:rPr>
      </w:pPr>
      <w:bookmarkStart w:id="131" w:name="_Toc241082842"/>
      <w:bookmarkStart w:id="132" w:name="_Toc241670038"/>
      <w:r w:rsidRPr="00BE4F47">
        <w:rPr>
          <w:rFonts w:ascii="Aptos" w:hAnsi="Aptos"/>
          <w:color w:val="1A1A19"/>
          <w:sz w:val="20"/>
          <w:szCs w:val="20"/>
        </w:rPr>
        <w:t>La section 1 a établi ce que le système doit faire. Celle-ci dit ce que nous remettons au client.</w:t>
      </w:r>
      <w:bookmarkEnd w:id="131"/>
      <w:bookmarkEnd w:id="132"/>
    </w:p>
    <w:p w14:paraId="3B7A87D1" w14:textId="77777777" w:rsidR="00F50D70" w:rsidRPr="00136F18" w:rsidRDefault="00137D7F" w:rsidP="008E113B">
      <w:pPr>
        <w:pStyle w:val="Titre2"/>
        <w:spacing w:line="360" w:lineRule="auto"/>
      </w:pPr>
      <w:bookmarkStart w:id="133" w:name="__RefHeading___Toc240715105"/>
      <w:bookmarkStart w:id="134" w:name="_Toc241670039"/>
      <w:bookmarkEnd w:id="133"/>
      <w:r w:rsidRPr="00136F18">
        <w:lastRenderedPageBreak/>
        <w:t>Livrables techniques</w:t>
      </w:r>
      <w:bookmarkEnd w:id="134"/>
    </w:p>
    <w:p w14:paraId="66B937E3" w14:textId="77777777" w:rsidR="00F50D70" w:rsidRPr="00BE4F47" w:rsidRDefault="00137D7F" w:rsidP="008E113B">
      <w:pPr>
        <w:spacing w:after="130" w:line="360" w:lineRule="auto"/>
        <w:ind w:left="360"/>
        <w:rPr>
          <w:rFonts w:ascii="Aptos" w:hAnsi="Aptos"/>
        </w:rPr>
      </w:pPr>
      <w:bookmarkStart w:id="135" w:name="_Toc241082844"/>
      <w:bookmarkStart w:id="136" w:name="_Toc241670040"/>
      <w:r w:rsidRPr="00BE4F47">
        <w:rPr>
          <w:rFonts w:ascii="Aptos" w:hAnsi="Aptos"/>
          <w:color w:val="1A1A19"/>
          <w:sz w:val="20"/>
          <w:szCs w:val="20"/>
        </w:rPr>
        <w:t>Les livrables techniques sont au nombre de six :</w:t>
      </w:r>
      <w:bookmarkEnd w:id="135"/>
      <w:bookmarkEnd w:id="136"/>
    </w:p>
    <w:p w14:paraId="6AA1ECEF" w14:textId="77777777" w:rsidR="00F50D70" w:rsidRPr="00BE4F47" w:rsidRDefault="00137D7F" w:rsidP="008E113B">
      <w:pPr>
        <w:numPr>
          <w:ilvl w:val="0"/>
          <w:numId w:val="20"/>
        </w:numPr>
        <w:spacing w:after="130" w:line="360" w:lineRule="auto"/>
        <w:ind w:left="720"/>
        <w:rPr>
          <w:rFonts w:ascii="Aptos" w:hAnsi="Aptos"/>
        </w:rPr>
      </w:pPr>
      <w:bookmarkStart w:id="137" w:name="_Toc241082845"/>
      <w:bookmarkStart w:id="138" w:name="_Toc241670041"/>
      <w:r w:rsidRPr="00BE4F47">
        <w:rPr>
          <w:rFonts w:ascii="Aptos" w:hAnsi="Aptos"/>
          <w:color w:val="1A1A19"/>
          <w:sz w:val="20"/>
          <w:szCs w:val="20"/>
        </w:rPr>
        <w:t>le prototype du jumeau numérique (L01) et l’interface d’aide à la décision (L02) forment le produit remis.</w:t>
      </w:r>
      <w:bookmarkEnd w:id="137"/>
      <w:bookmarkEnd w:id="138"/>
    </w:p>
    <w:p w14:paraId="610B751F" w14:textId="77777777" w:rsidR="00F50D70" w:rsidRPr="00BE4F47" w:rsidRDefault="00137D7F" w:rsidP="008E113B">
      <w:pPr>
        <w:numPr>
          <w:ilvl w:val="0"/>
          <w:numId w:val="20"/>
        </w:numPr>
        <w:spacing w:after="130" w:line="360" w:lineRule="auto"/>
        <w:ind w:left="720"/>
        <w:rPr>
          <w:rFonts w:ascii="Aptos" w:hAnsi="Aptos"/>
        </w:rPr>
      </w:pPr>
      <w:bookmarkStart w:id="139" w:name="_Toc241082846"/>
      <w:bookmarkStart w:id="140" w:name="_Toc241670042"/>
      <w:r w:rsidRPr="00BE4F47">
        <w:rPr>
          <w:rFonts w:ascii="Aptos" w:hAnsi="Aptos"/>
          <w:color w:val="1A1A19"/>
          <w:sz w:val="20"/>
          <w:szCs w:val="20"/>
        </w:rPr>
        <w:t>le registre des exigences (L03), le GEMMA (L04) et le plan de vérification et de validation (L05) énoncent ce que le prototype doit faire et comment on le vérifie.</w:t>
      </w:r>
      <w:bookmarkEnd w:id="139"/>
      <w:bookmarkEnd w:id="140"/>
    </w:p>
    <w:p w14:paraId="0F992079" w14:textId="77777777" w:rsidR="00F50D70" w:rsidRPr="00BE4F47" w:rsidRDefault="00137D7F" w:rsidP="008E113B">
      <w:pPr>
        <w:numPr>
          <w:ilvl w:val="0"/>
          <w:numId w:val="20"/>
        </w:numPr>
        <w:spacing w:after="130" w:line="360" w:lineRule="auto"/>
        <w:ind w:left="720"/>
        <w:rPr>
          <w:rFonts w:ascii="Aptos" w:eastAsia="Calibri" w:hAnsi="Aptos" w:cs="Calibri"/>
          <w:color w:val="1A1A19"/>
          <w:sz w:val="20"/>
          <w:szCs w:val="20"/>
        </w:rPr>
      </w:pPr>
      <w:bookmarkStart w:id="141" w:name="_Toc241082847"/>
      <w:bookmarkStart w:id="142" w:name="_Toc241670043"/>
      <w:r w:rsidRPr="00BE4F47">
        <w:rPr>
          <w:rFonts w:ascii="Aptos" w:hAnsi="Aptos"/>
          <w:color w:val="1A1A19"/>
          <w:sz w:val="20"/>
          <w:szCs w:val="20"/>
        </w:rPr>
        <w:t>les résultats de la campagne d’essais (L06) établissent ce qu’il fait réellement.</w:t>
      </w:r>
      <w:bookmarkEnd w:id="141"/>
      <w:bookmarkEnd w:id="142"/>
    </w:p>
    <w:p w14:paraId="3641840E" w14:textId="77777777" w:rsidR="00F50D70" w:rsidRPr="00136F18" w:rsidRDefault="00137D7F" w:rsidP="008E113B">
      <w:pPr>
        <w:pStyle w:val="Titre2"/>
        <w:spacing w:line="360" w:lineRule="auto"/>
      </w:pPr>
      <w:bookmarkStart w:id="143" w:name="__RefHeading___Toc240715110"/>
      <w:bookmarkStart w:id="144" w:name="_Toc241670044"/>
      <w:bookmarkEnd w:id="143"/>
      <w:r w:rsidRPr="00136F18">
        <w:t>Livrables de gestion</w:t>
      </w:r>
      <w:bookmarkEnd w:id="144"/>
    </w:p>
    <w:p w14:paraId="0A73E3B5" w14:textId="77777777" w:rsidR="00F50D70" w:rsidRPr="00BE4F47" w:rsidRDefault="00137D7F" w:rsidP="008E113B">
      <w:pPr>
        <w:spacing w:after="130" w:line="360" w:lineRule="auto"/>
        <w:ind w:left="360"/>
        <w:rPr>
          <w:rFonts w:ascii="Aptos" w:hAnsi="Aptos"/>
        </w:rPr>
      </w:pPr>
      <w:bookmarkStart w:id="145" w:name="_Toc241082849"/>
      <w:bookmarkStart w:id="146" w:name="_Toc241670045"/>
      <w:r w:rsidRPr="00BE4F47">
        <w:rPr>
          <w:rFonts w:ascii="Aptos" w:hAnsi="Aptos"/>
          <w:color w:val="1A1A19"/>
          <w:sz w:val="20"/>
          <w:szCs w:val="20"/>
        </w:rPr>
        <w:t>Les livrables de gestion sont le plan de projet et ses mises à jour, le rapport final et la présentation orale.</w:t>
      </w:r>
      <w:bookmarkEnd w:id="145"/>
      <w:bookmarkEnd w:id="146"/>
    </w:p>
    <w:p w14:paraId="1AF354CC"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147" w:name="_Toc241082850"/>
      <w:bookmarkStart w:id="148" w:name="_Toc241670046"/>
      <w:r w:rsidRPr="00BE4F47">
        <w:rPr>
          <w:rFonts w:ascii="Aptos" w:hAnsi="Aptos"/>
          <w:color w:val="1A1A19"/>
          <w:sz w:val="20"/>
          <w:szCs w:val="20"/>
        </w:rPr>
        <w:t>Le rapport final portera la recommandation d’ingénierie, avec nos conclusions et les limites du mandat, comme l’exige EX-C-01.</w:t>
      </w:r>
      <w:bookmarkEnd w:id="147"/>
      <w:bookmarkEnd w:id="148"/>
    </w:p>
    <w:p w14:paraId="0408D8E0" w14:textId="77777777" w:rsidR="00F50D70" w:rsidRPr="00136F18" w:rsidRDefault="00137D7F" w:rsidP="008E113B">
      <w:pPr>
        <w:pStyle w:val="Titre2"/>
        <w:spacing w:line="360" w:lineRule="auto"/>
      </w:pPr>
      <w:bookmarkStart w:id="149" w:name="__RefHeading___Toc240715113"/>
      <w:bookmarkStart w:id="150" w:name="_Toc241670047"/>
      <w:bookmarkEnd w:id="149"/>
      <w:r w:rsidRPr="00136F18">
        <w:t>Tableau des livrables</w:t>
      </w:r>
      <w:bookmarkEnd w:id="150"/>
    </w:p>
    <w:p w14:paraId="6274B6C8" w14:textId="77777777" w:rsidR="00F50D70" w:rsidRDefault="00137D7F" w:rsidP="008E113B">
      <w:pPr>
        <w:spacing w:after="130" w:line="360" w:lineRule="auto"/>
        <w:ind w:left="360"/>
        <w:rPr>
          <w:rFonts w:ascii="Aptos" w:eastAsia="Calibri" w:hAnsi="Aptos" w:cs="Calibri"/>
          <w:color w:val="1A1A19"/>
          <w:sz w:val="20"/>
          <w:szCs w:val="20"/>
        </w:rPr>
      </w:pPr>
      <w:bookmarkStart w:id="151" w:name="_Toc241082852"/>
      <w:bookmarkStart w:id="152" w:name="_Toc241670048"/>
      <w:r w:rsidRPr="00BE4F47">
        <w:rPr>
          <w:rFonts w:ascii="Aptos" w:hAnsi="Aptos"/>
          <w:color w:val="1A1A19"/>
          <w:sz w:val="20"/>
          <w:szCs w:val="20"/>
        </w:rPr>
        <w:t>Le tableau 2-1 donne, pour chaque livrable, son critère d’acceptation et le jalon auquel il est attendu.</w:t>
      </w:r>
      <w:bookmarkEnd w:id="151"/>
      <w:bookmarkEnd w:id="152"/>
    </w:p>
    <w:p w14:paraId="2904A4C4" w14:textId="77777777" w:rsidR="00F50D70" w:rsidRPr="00BE4F47" w:rsidRDefault="00137D7F" w:rsidP="008E113B">
      <w:pPr>
        <w:pStyle w:val="Lgende"/>
        <w:keepNext/>
        <w:spacing w:line="360" w:lineRule="auto"/>
        <w:rPr>
          <w:rFonts w:ascii="Aptos" w:hAnsi="Aptos"/>
        </w:rPr>
      </w:pPr>
      <w:bookmarkStart w:id="153" w:name="_Toc241082853"/>
      <w:bookmarkStart w:id="154" w:name="_Toc241670049"/>
      <w:r w:rsidRPr="00BE4F47">
        <w:rPr>
          <w:rFonts w:ascii="Aptos" w:hAnsi="Aptos"/>
        </w:rPr>
        <w:t>Tableau 2-1. Livrables, critères d’acceptation et jalons de remise</w:t>
      </w:r>
      <w:bookmarkEnd w:id="153"/>
      <w:bookmarkEnd w:id="154"/>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580"/>
        <w:gridCol w:w="1830"/>
        <w:gridCol w:w="1150"/>
        <w:gridCol w:w="2200"/>
        <w:gridCol w:w="950"/>
        <w:gridCol w:w="1847"/>
      </w:tblGrid>
      <w:tr w:rsidR="00F50D70" w:rsidRPr="00BE4F47" w14:paraId="73B20FAF" w14:textId="77777777" w:rsidTr="0036725C">
        <w:trPr>
          <w:trHeight w:val="248"/>
          <w:tblHeader/>
        </w:trPr>
        <w:tc>
          <w:tcPr>
            <w:tcW w:w="58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231ACD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ID</w:t>
            </w:r>
          </w:p>
        </w:tc>
        <w:tc>
          <w:tcPr>
            <w:tcW w:w="183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6BFE84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Livrable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B3ECC8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Type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3391DA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Critère d’acceptation</w:t>
            </w:r>
          </w:p>
        </w:tc>
        <w:tc>
          <w:tcPr>
            <w:tcW w:w="95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132612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Jalon</w:t>
            </w:r>
          </w:p>
        </w:tc>
        <w:tc>
          <w:tcPr>
            <w:tcW w:w="184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4C63A2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Responsable</w:t>
            </w:r>
          </w:p>
        </w:tc>
      </w:tr>
      <w:tr w:rsidR="00F50D70" w:rsidRPr="00BE4F47" w14:paraId="6D551F0A" w14:textId="77777777">
        <w:trPr>
          <w:trHeight w:val="440"/>
        </w:trPr>
        <w:tc>
          <w:tcPr>
            <w:tcW w:w="580" w:type="dxa"/>
            <w:tcBorders>
              <w:top w:val="single" w:sz="4" w:space="0" w:color="000000"/>
              <w:left w:val="single" w:sz="4" w:space="0" w:color="000000"/>
              <w:bottom w:val="single" w:sz="4" w:space="0" w:color="000000"/>
              <w:right w:val="single" w:sz="4" w:space="0" w:color="000000"/>
            </w:tcBorders>
          </w:tcPr>
          <w:p w14:paraId="11108FD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L01</w:t>
            </w:r>
          </w:p>
        </w:tc>
        <w:tc>
          <w:tcPr>
            <w:tcW w:w="1830" w:type="dxa"/>
            <w:tcBorders>
              <w:top w:val="single" w:sz="4" w:space="0" w:color="000000"/>
              <w:left w:val="single" w:sz="4" w:space="0" w:color="000000"/>
              <w:bottom w:val="single" w:sz="4" w:space="0" w:color="000000"/>
              <w:right w:val="single" w:sz="4" w:space="0" w:color="000000"/>
            </w:tcBorders>
          </w:tcPr>
          <w:p w14:paraId="436B91F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Prototype du jumeau numérique</w:t>
            </w:r>
          </w:p>
        </w:tc>
        <w:tc>
          <w:tcPr>
            <w:tcW w:w="1150" w:type="dxa"/>
            <w:tcBorders>
              <w:top w:val="single" w:sz="4" w:space="0" w:color="000000"/>
              <w:left w:val="single" w:sz="4" w:space="0" w:color="000000"/>
              <w:bottom w:val="single" w:sz="4" w:space="0" w:color="000000"/>
              <w:right w:val="single" w:sz="4" w:space="0" w:color="000000"/>
            </w:tcBorders>
          </w:tcPr>
          <w:p w14:paraId="10CB563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Technique</w:t>
            </w:r>
          </w:p>
        </w:tc>
        <w:tc>
          <w:tcPr>
            <w:tcW w:w="2200" w:type="dxa"/>
            <w:tcBorders>
              <w:top w:val="single" w:sz="4" w:space="0" w:color="000000"/>
              <w:left w:val="single" w:sz="4" w:space="0" w:color="000000"/>
              <w:bottom w:val="single" w:sz="4" w:space="0" w:color="000000"/>
              <w:right w:val="single" w:sz="4" w:space="0" w:color="000000"/>
            </w:tcBorders>
          </w:tcPr>
          <w:p w14:paraId="63B68F1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EX-F-01 à EX-F-03 et EX-F-10 démontrées par essai, résultats consignés.</w:t>
            </w:r>
          </w:p>
        </w:tc>
        <w:tc>
          <w:tcPr>
            <w:tcW w:w="950" w:type="dxa"/>
            <w:tcBorders>
              <w:top w:val="single" w:sz="4" w:space="0" w:color="000000"/>
              <w:left w:val="single" w:sz="4" w:space="0" w:color="000000"/>
              <w:bottom w:val="single" w:sz="4" w:space="0" w:color="000000"/>
              <w:right w:val="single" w:sz="4" w:space="0" w:color="000000"/>
            </w:tcBorders>
          </w:tcPr>
          <w:p w14:paraId="6D9D01E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J3</w:t>
            </w:r>
          </w:p>
        </w:tc>
        <w:tc>
          <w:tcPr>
            <w:tcW w:w="1847" w:type="dxa"/>
            <w:tcBorders>
              <w:top w:val="single" w:sz="4" w:space="0" w:color="000000"/>
              <w:left w:val="single" w:sz="4" w:space="0" w:color="000000"/>
              <w:bottom w:val="single" w:sz="4" w:space="0" w:color="000000"/>
              <w:right w:val="single" w:sz="4" w:space="0" w:color="000000"/>
            </w:tcBorders>
          </w:tcPr>
          <w:p w14:paraId="3B6002B8" w14:textId="77777777" w:rsidR="00F50D70" w:rsidRPr="00BE4F47" w:rsidRDefault="005E5B35" w:rsidP="008E113B">
            <w:pPr>
              <w:spacing w:before="20" w:after="20"/>
              <w:ind w:left="0"/>
              <w:jc w:val="left"/>
              <w:outlineLvl w:val="9"/>
              <w:rPr>
                <w:rFonts w:ascii="Aptos" w:eastAsia="Calibri" w:hAnsi="Aptos" w:cs="Calibri"/>
                <w:color w:val="1A1A19"/>
                <w:sz w:val="20"/>
                <w:szCs w:val="20"/>
              </w:rPr>
            </w:pPr>
            <w:r>
              <w:rPr>
                <w:rFonts w:ascii="Aptos" w:eastAsia="Calibri" w:hAnsi="Aptos" w:cs="Calibri"/>
                <w:color w:val="1A1A19"/>
                <w:sz w:val="16"/>
                <w:szCs w:val="16"/>
              </w:rPr>
              <w:t xml:space="preserve"> </w:t>
            </w:r>
          </w:p>
        </w:tc>
      </w:tr>
      <w:tr w:rsidR="00F50D70" w:rsidRPr="00BE4F47" w14:paraId="15BE4BFA" w14:textId="77777777">
        <w:trPr>
          <w:trHeight w:val="431"/>
        </w:trPr>
        <w:tc>
          <w:tcPr>
            <w:tcW w:w="580" w:type="dxa"/>
            <w:tcBorders>
              <w:top w:val="single" w:sz="4" w:space="0" w:color="000000"/>
              <w:left w:val="single" w:sz="4" w:space="0" w:color="000000"/>
              <w:bottom w:val="single" w:sz="4" w:space="0" w:color="000000"/>
              <w:right w:val="single" w:sz="4" w:space="0" w:color="000000"/>
            </w:tcBorders>
          </w:tcPr>
          <w:p w14:paraId="7594A66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L02</w:t>
            </w:r>
          </w:p>
        </w:tc>
        <w:tc>
          <w:tcPr>
            <w:tcW w:w="1830" w:type="dxa"/>
            <w:tcBorders>
              <w:top w:val="single" w:sz="4" w:space="0" w:color="000000"/>
              <w:left w:val="single" w:sz="4" w:space="0" w:color="000000"/>
              <w:bottom w:val="single" w:sz="4" w:space="0" w:color="000000"/>
              <w:right w:val="single" w:sz="4" w:space="0" w:color="000000"/>
            </w:tcBorders>
          </w:tcPr>
          <w:p w14:paraId="62C1EE6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Interface d’aide à la décision</w:t>
            </w:r>
          </w:p>
        </w:tc>
        <w:tc>
          <w:tcPr>
            <w:tcW w:w="1150" w:type="dxa"/>
            <w:tcBorders>
              <w:top w:val="single" w:sz="4" w:space="0" w:color="000000"/>
              <w:left w:val="single" w:sz="4" w:space="0" w:color="000000"/>
              <w:bottom w:val="single" w:sz="4" w:space="0" w:color="000000"/>
              <w:right w:val="single" w:sz="4" w:space="0" w:color="000000"/>
            </w:tcBorders>
          </w:tcPr>
          <w:p w14:paraId="44E4C06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Technique</w:t>
            </w:r>
          </w:p>
        </w:tc>
        <w:tc>
          <w:tcPr>
            <w:tcW w:w="2200" w:type="dxa"/>
            <w:tcBorders>
              <w:top w:val="single" w:sz="4" w:space="0" w:color="000000"/>
              <w:left w:val="single" w:sz="4" w:space="0" w:color="000000"/>
              <w:bottom w:val="single" w:sz="4" w:space="0" w:color="000000"/>
              <w:right w:val="single" w:sz="4" w:space="0" w:color="000000"/>
            </w:tcBorders>
          </w:tcPr>
          <w:p w14:paraId="16B65CC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EX-F-04 à EX-F-09 et EX-Q-03 démontrées ; liste de contrôle d’affichage remplie.</w:t>
            </w:r>
          </w:p>
        </w:tc>
        <w:tc>
          <w:tcPr>
            <w:tcW w:w="950" w:type="dxa"/>
            <w:tcBorders>
              <w:top w:val="single" w:sz="4" w:space="0" w:color="000000"/>
              <w:left w:val="single" w:sz="4" w:space="0" w:color="000000"/>
              <w:bottom w:val="single" w:sz="4" w:space="0" w:color="000000"/>
              <w:right w:val="single" w:sz="4" w:space="0" w:color="000000"/>
            </w:tcBorders>
          </w:tcPr>
          <w:p w14:paraId="6D130A7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J3</w:t>
            </w:r>
          </w:p>
        </w:tc>
        <w:tc>
          <w:tcPr>
            <w:tcW w:w="1847" w:type="dxa"/>
            <w:tcBorders>
              <w:top w:val="single" w:sz="4" w:space="0" w:color="000000"/>
              <w:left w:val="single" w:sz="4" w:space="0" w:color="000000"/>
              <w:bottom w:val="single" w:sz="4" w:space="0" w:color="000000"/>
              <w:right w:val="single" w:sz="4" w:space="0" w:color="000000"/>
            </w:tcBorders>
          </w:tcPr>
          <w:p w14:paraId="0E84BFC9"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r>
      <w:tr w:rsidR="00F50D70" w:rsidRPr="00BE4F47" w14:paraId="61EB66C1" w14:textId="77777777">
        <w:trPr>
          <w:trHeight w:val="431"/>
        </w:trPr>
        <w:tc>
          <w:tcPr>
            <w:tcW w:w="580" w:type="dxa"/>
            <w:tcBorders>
              <w:top w:val="single" w:sz="4" w:space="0" w:color="000000"/>
              <w:left w:val="single" w:sz="4" w:space="0" w:color="000000"/>
              <w:bottom w:val="single" w:sz="4" w:space="0" w:color="000000"/>
              <w:right w:val="single" w:sz="4" w:space="0" w:color="000000"/>
            </w:tcBorders>
          </w:tcPr>
          <w:p w14:paraId="4075740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L03</w:t>
            </w:r>
          </w:p>
        </w:tc>
        <w:tc>
          <w:tcPr>
            <w:tcW w:w="1830" w:type="dxa"/>
            <w:tcBorders>
              <w:top w:val="single" w:sz="4" w:space="0" w:color="000000"/>
              <w:left w:val="single" w:sz="4" w:space="0" w:color="000000"/>
              <w:bottom w:val="single" w:sz="4" w:space="0" w:color="000000"/>
              <w:right w:val="single" w:sz="4" w:space="0" w:color="000000"/>
            </w:tcBorders>
          </w:tcPr>
          <w:p w14:paraId="74F067C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Registre des exigences</w:t>
            </w:r>
          </w:p>
        </w:tc>
        <w:tc>
          <w:tcPr>
            <w:tcW w:w="1150" w:type="dxa"/>
            <w:tcBorders>
              <w:top w:val="single" w:sz="4" w:space="0" w:color="000000"/>
              <w:left w:val="single" w:sz="4" w:space="0" w:color="000000"/>
              <w:bottom w:val="single" w:sz="4" w:space="0" w:color="000000"/>
              <w:right w:val="single" w:sz="4" w:space="0" w:color="000000"/>
            </w:tcBorders>
          </w:tcPr>
          <w:p w14:paraId="45CA7BE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Technique</w:t>
            </w:r>
          </w:p>
        </w:tc>
        <w:tc>
          <w:tcPr>
            <w:tcW w:w="2200" w:type="dxa"/>
            <w:tcBorders>
              <w:top w:val="single" w:sz="4" w:space="0" w:color="000000"/>
              <w:left w:val="single" w:sz="4" w:space="0" w:color="000000"/>
              <w:bottom w:val="single" w:sz="4" w:space="0" w:color="000000"/>
              <w:right w:val="single" w:sz="4" w:space="0" w:color="000000"/>
            </w:tcBorders>
          </w:tcPr>
          <w:p w14:paraId="0400771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Chaque exigence porte un moyen de vérification, un état GEMMA et un lot.</w:t>
            </w:r>
          </w:p>
        </w:tc>
        <w:tc>
          <w:tcPr>
            <w:tcW w:w="950" w:type="dxa"/>
            <w:tcBorders>
              <w:top w:val="single" w:sz="4" w:space="0" w:color="000000"/>
              <w:left w:val="single" w:sz="4" w:space="0" w:color="000000"/>
              <w:bottom w:val="single" w:sz="4" w:space="0" w:color="000000"/>
              <w:right w:val="single" w:sz="4" w:space="0" w:color="000000"/>
            </w:tcBorders>
          </w:tcPr>
          <w:p w14:paraId="20E5278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J1</w:t>
            </w:r>
          </w:p>
        </w:tc>
        <w:tc>
          <w:tcPr>
            <w:tcW w:w="1847" w:type="dxa"/>
            <w:tcBorders>
              <w:top w:val="single" w:sz="4" w:space="0" w:color="000000"/>
              <w:left w:val="single" w:sz="4" w:space="0" w:color="000000"/>
              <w:bottom w:val="single" w:sz="4" w:space="0" w:color="000000"/>
              <w:right w:val="single" w:sz="4" w:space="0" w:color="000000"/>
            </w:tcBorders>
          </w:tcPr>
          <w:p w14:paraId="12299FFD"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r>
      <w:tr w:rsidR="00F50D70" w:rsidRPr="00BE4F47" w14:paraId="00FE5D33" w14:textId="77777777">
        <w:trPr>
          <w:trHeight w:val="440"/>
        </w:trPr>
        <w:tc>
          <w:tcPr>
            <w:tcW w:w="580" w:type="dxa"/>
            <w:tcBorders>
              <w:top w:val="single" w:sz="4" w:space="0" w:color="000000"/>
              <w:left w:val="single" w:sz="4" w:space="0" w:color="000000"/>
              <w:bottom w:val="single" w:sz="4" w:space="0" w:color="000000"/>
              <w:right w:val="single" w:sz="4" w:space="0" w:color="000000"/>
            </w:tcBorders>
          </w:tcPr>
          <w:p w14:paraId="1ED1DCA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L04</w:t>
            </w:r>
          </w:p>
        </w:tc>
        <w:tc>
          <w:tcPr>
            <w:tcW w:w="1830" w:type="dxa"/>
            <w:tcBorders>
              <w:top w:val="single" w:sz="4" w:space="0" w:color="000000"/>
              <w:left w:val="single" w:sz="4" w:space="0" w:color="000000"/>
              <w:bottom w:val="single" w:sz="4" w:space="0" w:color="000000"/>
              <w:right w:val="single" w:sz="4" w:space="0" w:color="000000"/>
            </w:tcBorders>
          </w:tcPr>
          <w:p w14:paraId="740A7A4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GEMMA</w:t>
            </w:r>
          </w:p>
        </w:tc>
        <w:tc>
          <w:tcPr>
            <w:tcW w:w="1150" w:type="dxa"/>
            <w:tcBorders>
              <w:top w:val="single" w:sz="4" w:space="0" w:color="000000"/>
              <w:left w:val="single" w:sz="4" w:space="0" w:color="000000"/>
              <w:bottom w:val="single" w:sz="4" w:space="0" w:color="000000"/>
              <w:right w:val="single" w:sz="4" w:space="0" w:color="000000"/>
            </w:tcBorders>
          </w:tcPr>
          <w:p w14:paraId="510316C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Technique</w:t>
            </w:r>
          </w:p>
        </w:tc>
        <w:tc>
          <w:tcPr>
            <w:tcW w:w="2200" w:type="dxa"/>
            <w:tcBorders>
              <w:top w:val="single" w:sz="4" w:space="0" w:color="000000"/>
              <w:left w:val="single" w:sz="4" w:space="0" w:color="000000"/>
              <w:bottom w:val="single" w:sz="4" w:space="0" w:color="000000"/>
              <w:right w:val="single" w:sz="4" w:space="0" w:color="000000"/>
            </w:tcBorders>
          </w:tcPr>
          <w:p w14:paraId="7E8D56F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Cohérence vérifiée : aucun état sans sortie, aucune transition sans condition.</w:t>
            </w:r>
          </w:p>
        </w:tc>
        <w:tc>
          <w:tcPr>
            <w:tcW w:w="950" w:type="dxa"/>
            <w:tcBorders>
              <w:top w:val="single" w:sz="4" w:space="0" w:color="000000"/>
              <w:left w:val="single" w:sz="4" w:space="0" w:color="000000"/>
              <w:bottom w:val="single" w:sz="4" w:space="0" w:color="000000"/>
              <w:right w:val="single" w:sz="4" w:space="0" w:color="000000"/>
            </w:tcBorders>
          </w:tcPr>
          <w:p w14:paraId="0F4DFB9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J1</w:t>
            </w:r>
          </w:p>
        </w:tc>
        <w:tc>
          <w:tcPr>
            <w:tcW w:w="1847" w:type="dxa"/>
            <w:tcBorders>
              <w:top w:val="single" w:sz="4" w:space="0" w:color="000000"/>
              <w:left w:val="single" w:sz="4" w:space="0" w:color="000000"/>
              <w:bottom w:val="single" w:sz="4" w:space="0" w:color="000000"/>
              <w:right w:val="single" w:sz="4" w:space="0" w:color="000000"/>
            </w:tcBorders>
          </w:tcPr>
          <w:p w14:paraId="3DB918EF"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r>
      <w:tr w:rsidR="00F50D70" w:rsidRPr="00BE4F47" w14:paraId="7B2FA450" w14:textId="77777777">
        <w:trPr>
          <w:trHeight w:val="431"/>
        </w:trPr>
        <w:tc>
          <w:tcPr>
            <w:tcW w:w="580" w:type="dxa"/>
            <w:tcBorders>
              <w:top w:val="single" w:sz="4" w:space="0" w:color="000000"/>
              <w:left w:val="single" w:sz="4" w:space="0" w:color="000000"/>
              <w:bottom w:val="single" w:sz="4" w:space="0" w:color="000000"/>
              <w:right w:val="single" w:sz="4" w:space="0" w:color="000000"/>
            </w:tcBorders>
          </w:tcPr>
          <w:p w14:paraId="394A0ED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L05</w:t>
            </w:r>
          </w:p>
        </w:tc>
        <w:tc>
          <w:tcPr>
            <w:tcW w:w="1830" w:type="dxa"/>
            <w:tcBorders>
              <w:top w:val="single" w:sz="4" w:space="0" w:color="000000"/>
              <w:left w:val="single" w:sz="4" w:space="0" w:color="000000"/>
              <w:bottom w:val="single" w:sz="4" w:space="0" w:color="000000"/>
              <w:right w:val="single" w:sz="4" w:space="0" w:color="000000"/>
            </w:tcBorders>
          </w:tcPr>
          <w:p w14:paraId="6929545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Plan de vérification et de validation</w:t>
            </w:r>
          </w:p>
        </w:tc>
        <w:tc>
          <w:tcPr>
            <w:tcW w:w="1150" w:type="dxa"/>
            <w:tcBorders>
              <w:top w:val="single" w:sz="4" w:space="0" w:color="000000"/>
              <w:left w:val="single" w:sz="4" w:space="0" w:color="000000"/>
              <w:bottom w:val="single" w:sz="4" w:space="0" w:color="000000"/>
              <w:right w:val="single" w:sz="4" w:space="0" w:color="000000"/>
            </w:tcBorders>
          </w:tcPr>
          <w:p w14:paraId="7195259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Technique</w:t>
            </w:r>
          </w:p>
        </w:tc>
        <w:tc>
          <w:tcPr>
            <w:tcW w:w="2200" w:type="dxa"/>
            <w:tcBorders>
              <w:top w:val="single" w:sz="4" w:space="0" w:color="000000"/>
              <w:left w:val="single" w:sz="4" w:space="0" w:color="000000"/>
              <w:bottom w:val="single" w:sz="4" w:space="0" w:color="000000"/>
              <w:right w:val="single" w:sz="4" w:space="0" w:color="000000"/>
            </w:tcBorders>
          </w:tcPr>
          <w:p w14:paraId="01CFA3C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Contenu conforme à celui exigé par IEEE 1012 ; degré d’indépendance précisé.</w:t>
            </w:r>
          </w:p>
        </w:tc>
        <w:tc>
          <w:tcPr>
            <w:tcW w:w="950" w:type="dxa"/>
            <w:tcBorders>
              <w:top w:val="single" w:sz="4" w:space="0" w:color="000000"/>
              <w:left w:val="single" w:sz="4" w:space="0" w:color="000000"/>
              <w:bottom w:val="single" w:sz="4" w:space="0" w:color="000000"/>
              <w:right w:val="single" w:sz="4" w:space="0" w:color="000000"/>
            </w:tcBorders>
          </w:tcPr>
          <w:p w14:paraId="15CA599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J2</w:t>
            </w:r>
          </w:p>
        </w:tc>
        <w:tc>
          <w:tcPr>
            <w:tcW w:w="1847" w:type="dxa"/>
            <w:tcBorders>
              <w:top w:val="single" w:sz="4" w:space="0" w:color="000000"/>
              <w:left w:val="single" w:sz="4" w:space="0" w:color="000000"/>
              <w:bottom w:val="single" w:sz="4" w:space="0" w:color="000000"/>
              <w:right w:val="single" w:sz="4" w:space="0" w:color="000000"/>
            </w:tcBorders>
          </w:tcPr>
          <w:p w14:paraId="0EDACE79"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r>
      <w:tr w:rsidR="00F50D70" w:rsidRPr="00BE4F47" w14:paraId="1D766D18" w14:textId="77777777">
        <w:trPr>
          <w:trHeight w:val="431"/>
        </w:trPr>
        <w:tc>
          <w:tcPr>
            <w:tcW w:w="580" w:type="dxa"/>
            <w:tcBorders>
              <w:top w:val="single" w:sz="4" w:space="0" w:color="000000"/>
              <w:left w:val="single" w:sz="4" w:space="0" w:color="000000"/>
              <w:bottom w:val="single" w:sz="4" w:space="0" w:color="000000"/>
              <w:right w:val="single" w:sz="4" w:space="0" w:color="000000"/>
            </w:tcBorders>
          </w:tcPr>
          <w:p w14:paraId="6DBF7F4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L06</w:t>
            </w:r>
          </w:p>
        </w:tc>
        <w:tc>
          <w:tcPr>
            <w:tcW w:w="1830" w:type="dxa"/>
            <w:tcBorders>
              <w:top w:val="single" w:sz="4" w:space="0" w:color="000000"/>
              <w:left w:val="single" w:sz="4" w:space="0" w:color="000000"/>
              <w:bottom w:val="single" w:sz="4" w:space="0" w:color="000000"/>
              <w:right w:val="single" w:sz="4" w:space="0" w:color="000000"/>
            </w:tcBorders>
          </w:tcPr>
          <w:p w14:paraId="6682CE7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Campagne d’essais et résultats</w:t>
            </w:r>
          </w:p>
        </w:tc>
        <w:tc>
          <w:tcPr>
            <w:tcW w:w="1150" w:type="dxa"/>
            <w:tcBorders>
              <w:top w:val="single" w:sz="4" w:space="0" w:color="000000"/>
              <w:left w:val="single" w:sz="4" w:space="0" w:color="000000"/>
              <w:bottom w:val="single" w:sz="4" w:space="0" w:color="000000"/>
              <w:right w:val="single" w:sz="4" w:space="0" w:color="000000"/>
            </w:tcBorders>
          </w:tcPr>
          <w:p w14:paraId="4338697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Technique</w:t>
            </w:r>
          </w:p>
        </w:tc>
        <w:tc>
          <w:tcPr>
            <w:tcW w:w="2200" w:type="dxa"/>
            <w:tcBorders>
              <w:top w:val="single" w:sz="4" w:space="0" w:color="000000"/>
              <w:left w:val="single" w:sz="4" w:space="0" w:color="000000"/>
              <w:bottom w:val="single" w:sz="4" w:space="0" w:color="000000"/>
              <w:right w:val="single" w:sz="4" w:space="0" w:color="000000"/>
            </w:tcBorders>
          </w:tcPr>
          <w:p w14:paraId="66324B0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Un résultat consigné pour chaque exigence vérifiable du registre.</w:t>
            </w:r>
          </w:p>
        </w:tc>
        <w:tc>
          <w:tcPr>
            <w:tcW w:w="950" w:type="dxa"/>
            <w:tcBorders>
              <w:top w:val="single" w:sz="4" w:space="0" w:color="000000"/>
              <w:left w:val="single" w:sz="4" w:space="0" w:color="000000"/>
              <w:bottom w:val="single" w:sz="4" w:space="0" w:color="000000"/>
              <w:right w:val="single" w:sz="4" w:space="0" w:color="000000"/>
            </w:tcBorders>
          </w:tcPr>
          <w:p w14:paraId="327514C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J4</w:t>
            </w:r>
          </w:p>
        </w:tc>
        <w:tc>
          <w:tcPr>
            <w:tcW w:w="1847" w:type="dxa"/>
            <w:tcBorders>
              <w:top w:val="single" w:sz="4" w:space="0" w:color="000000"/>
              <w:left w:val="single" w:sz="4" w:space="0" w:color="000000"/>
              <w:bottom w:val="single" w:sz="4" w:space="0" w:color="000000"/>
              <w:right w:val="single" w:sz="4" w:space="0" w:color="000000"/>
            </w:tcBorders>
          </w:tcPr>
          <w:p w14:paraId="50A9CEFC"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r>
      <w:tr w:rsidR="00F50D70" w:rsidRPr="00BE4F47" w14:paraId="3D9E7410" w14:textId="77777777">
        <w:trPr>
          <w:trHeight w:val="808"/>
        </w:trPr>
        <w:tc>
          <w:tcPr>
            <w:tcW w:w="580" w:type="dxa"/>
            <w:tcBorders>
              <w:top w:val="single" w:sz="4" w:space="0" w:color="000000"/>
              <w:left w:val="single" w:sz="4" w:space="0" w:color="000000"/>
              <w:bottom w:val="single" w:sz="4" w:space="0" w:color="000000"/>
              <w:right w:val="single" w:sz="4" w:space="0" w:color="000000"/>
            </w:tcBorders>
          </w:tcPr>
          <w:p w14:paraId="6343F98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L07</w:t>
            </w:r>
          </w:p>
        </w:tc>
        <w:tc>
          <w:tcPr>
            <w:tcW w:w="1830" w:type="dxa"/>
            <w:tcBorders>
              <w:top w:val="single" w:sz="4" w:space="0" w:color="000000"/>
              <w:left w:val="single" w:sz="4" w:space="0" w:color="000000"/>
              <w:bottom w:val="single" w:sz="4" w:space="0" w:color="000000"/>
              <w:right w:val="single" w:sz="4" w:space="0" w:color="000000"/>
            </w:tcBorders>
          </w:tcPr>
          <w:p w14:paraId="41C77DC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Plan de projet et documents de suivi</w:t>
            </w:r>
          </w:p>
        </w:tc>
        <w:tc>
          <w:tcPr>
            <w:tcW w:w="1150" w:type="dxa"/>
            <w:tcBorders>
              <w:top w:val="single" w:sz="4" w:space="0" w:color="000000"/>
              <w:left w:val="single" w:sz="4" w:space="0" w:color="000000"/>
              <w:bottom w:val="single" w:sz="4" w:space="0" w:color="000000"/>
              <w:right w:val="single" w:sz="4" w:space="0" w:color="000000"/>
            </w:tcBorders>
          </w:tcPr>
          <w:p w14:paraId="1D31838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Gestion</w:t>
            </w:r>
          </w:p>
        </w:tc>
        <w:tc>
          <w:tcPr>
            <w:tcW w:w="2200" w:type="dxa"/>
            <w:tcBorders>
              <w:top w:val="single" w:sz="4" w:space="0" w:color="000000"/>
              <w:left w:val="single" w:sz="4" w:space="0" w:color="000000"/>
              <w:bottom w:val="single" w:sz="4" w:space="0" w:color="000000"/>
              <w:right w:val="single" w:sz="4" w:space="0" w:color="000000"/>
            </w:tcBorders>
          </w:tcPr>
          <w:p w14:paraId="0F8EAC8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Sections complétées, fusionnées et références consolidées.</w:t>
            </w:r>
          </w:p>
        </w:tc>
        <w:tc>
          <w:tcPr>
            <w:tcW w:w="950" w:type="dxa"/>
            <w:tcBorders>
              <w:top w:val="single" w:sz="4" w:space="0" w:color="000000"/>
              <w:left w:val="single" w:sz="4" w:space="0" w:color="000000"/>
              <w:bottom w:val="single" w:sz="4" w:space="0" w:color="000000"/>
              <w:right w:val="single" w:sz="4" w:space="0" w:color="000000"/>
            </w:tcBorders>
          </w:tcPr>
          <w:p w14:paraId="6F7D878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J0, puis à chaque jalon</w:t>
            </w:r>
          </w:p>
        </w:tc>
        <w:tc>
          <w:tcPr>
            <w:tcW w:w="1847" w:type="dxa"/>
            <w:tcBorders>
              <w:top w:val="single" w:sz="4" w:space="0" w:color="000000"/>
              <w:left w:val="single" w:sz="4" w:space="0" w:color="000000"/>
              <w:bottom w:val="single" w:sz="4" w:space="0" w:color="000000"/>
              <w:right w:val="single" w:sz="4" w:space="0" w:color="000000"/>
            </w:tcBorders>
          </w:tcPr>
          <w:p w14:paraId="3DC4AFF1" w14:textId="77777777" w:rsidR="00F50D70" w:rsidRPr="00BE4F47" w:rsidRDefault="005E5B35" w:rsidP="008E113B">
            <w:pPr>
              <w:spacing w:before="20" w:after="20"/>
              <w:ind w:left="0"/>
              <w:jc w:val="left"/>
              <w:outlineLvl w:val="9"/>
              <w:rPr>
                <w:rFonts w:ascii="Aptos" w:eastAsia="Calibri" w:hAnsi="Aptos" w:cs="Calibri"/>
                <w:color w:val="1A1A19"/>
                <w:sz w:val="20"/>
                <w:szCs w:val="20"/>
              </w:rPr>
            </w:pPr>
            <w:r>
              <w:rPr>
                <w:rFonts w:ascii="Aptos" w:eastAsia="Calibri" w:hAnsi="Aptos" w:cs="Calibri"/>
                <w:color w:val="1A1A19"/>
                <w:sz w:val="16"/>
                <w:szCs w:val="16"/>
              </w:rPr>
              <w:t>Christian et toute l’équipe</w:t>
            </w:r>
          </w:p>
        </w:tc>
      </w:tr>
      <w:tr w:rsidR="00F50D70" w:rsidRPr="00BE4F47" w14:paraId="1EEB46C7" w14:textId="77777777">
        <w:trPr>
          <w:trHeight w:val="431"/>
        </w:trPr>
        <w:tc>
          <w:tcPr>
            <w:tcW w:w="580" w:type="dxa"/>
            <w:tcBorders>
              <w:top w:val="single" w:sz="4" w:space="0" w:color="000000"/>
              <w:left w:val="single" w:sz="4" w:space="0" w:color="000000"/>
              <w:bottom w:val="single" w:sz="4" w:space="0" w:color="000000"/>
              <w:right w:val="single" w:sz="4" w:space="0" w:color="000000"/>
            </w:tcBorders>
          </w:tcPr>
          <w:p w14:paraId="02D7568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lastRenderedPageBreak/>
              <w:t>L08</w:t>
            </w:r>
          </w:p>
        </w:tc>
        <w:tc>
          <w:tcPr>
            <w:tcW w:w="1830" w:type="dxa"/>
            <w:tcBorders>
              <w:top w:val="single" w:sz="4" w:space="0" w:color="000000"/>
              <w:left w:val="single" w:sz="4" w:space="0" w:color="000000"/>
              <w:bottom w:val="single" w:sz="4" w:space="0" w:color="000000"/>
              <w:right w:val="single" w:sz="4" w:space="0" w:color="000000"/>
            </w:tcBorders>
          </w:tcPr>
          <w:p w14:paraId="1A1FC5F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Rapport final et recommandation d’ingénierie</w:t>
            </w:r>
          </w:p>
        </w:tc>
        <w:tc>
          <w:tcPr>
            <w:tcW w:w="1150" w:type="dxa"/>
            <w:tcBorders>
              <w:top w:val="single" w:sz="4" w:space="0" w:color="000000"/>
              <w:left w:val="single" w:sz="4" w:space="0" w:color="000000"/>
              <w:bottom w:val="single" w:sz="4" w:space="0" w:color="000000"/>
              <w:right w:val="single" w:sz="4" w:space="0" w:color="000000"/>
            </w:tcBorders>
          </w:tcPr>
          <w:p w14:paraId="4FFAB32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Gestion</w:t>
            </w:r>
          </w:p>
        </w:tc>
        <w:tc>
          <w:tcPr>
            <w:tcW w:w="2200" w:type="dxa"/>
            <w:tcBorders>
              <w:top w:val="single" w:sz="4" w:space="0" w:color="000000"/>
              <w:left w:val="single" w:sz="4" w:space="0" w:color="000000"/>
              <w:bottom w:val="single" w:sz="4" w:space="0" w:color="000000"/>
              <w:right w:val="single" w:sz="4" w:space="0" w:color="000000"/>
            </w:tcBorders>
          </w:tcPr>
          <w:p w14:paraId="5FB6E96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Limites documentées (EX-C-01) et enjeux traités (EX-C-03).</w:t>
            </w:r>
          </w:p>
        </w:tc>
        <w:tc>
          <w:tcPr>
            <w:tcW w:w="950" w:type="dxa"/>
            <w:tcBorders>
              <w:top w:val="single" w:sz="4" w:space="0" w:color="000000"/>
              <w:left w:val="single" w:sz="4" w:space="0" w:color="000000"/>
              <w:bottom w:val="single" w:sz="4" w:space="0" w:color="000000"/>
              <w:right w:val="single" w:sz="4" w:space="0" w:color="000000"/>
            </w:tcBorders>
          </w:tcPr>
          <w:p w14:paraId="072419C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J5</w:t>
            </w:r>
          </w:p>
        </w:tc>
        <w:tc>
          <w:tcPr>
            <w:tcW w:w="1847" w:type="dxa"/>
            <w:tcBorders>
              <w:top w:val="single" w:sz="4" w:space="0" w:color="000000"/>
              <w:left w:val="single" w:sz="4" w:space="0" w:color="000000"/>
              <w:bottom w:val="single" w:sz="4" w:space="0" w:color="000000"/>
              <w:right w:val="single" w:sz="4" w:space="0" w:color="000000"/>
            </w:tcBorders>
          </w:tcPr>
          <w:p w14:paraId="0EFD1A6B"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r>
      <w:tr w:rsidR="00F50D70" w:rsidRPr="00BE4F47" w14:paraId="0097471F" w14:textId="77777777">
        <w:trPr>
          <w:trHeight w:val="431"/>
        </w:trPr>
        <w:tc>
          <w:tcPr>
            <w:tcW w:w="580" w:type="dxa"/>
            <w:tcBorders>
              <w:top w:val="single" w:sz="4" w:space="0" w:color="000000"/>
              <w:left w:val="single" w:sz="4" w:space="0" w:color="000000"/>
              <w:bottom w:val="single" w:sz="4" w:space="0" w:color="000000"/>
              <w:right w:val="single" w:sz="4" w:space="0" w:color="000000"/>
            </w:tcBorders>
          </w:tcPr>
          <w:p w14:paraId="4306F3D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L09</w:t>
            </w:r>
          </w:p>
        </w:tc>
        <w:tc>
          <w:tcPr>
            <w:tcW w:w="1830" w:type="dxa"/>
            <w:tcBorders>
              <w:top w:val="single" w:sz="4" w:space="0" w:color="000000"/>
              <w:left w:val="single" w:sz="4" w:space="0" w:color="000000"/>
              <w:bottom w:val="single" w:sz="4" w:space="0" w:color="000000"/>
              <w:right w:val="single" w:sz="4" w:space="0" w:color="000000"/>
            </w:tcBorders>
          </w:tcPr>
          <w:p w14:paraId="7CC57E1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Présentation orale</w:t>
            </w:r>
          </w:p>
        </w:tc>
        <w:tc>
          <w:tcPr>
            <w:tcW w:w="1150" w:type="dxa"/>
            <w:tcBorders>
              <w:top w:val="single" w:sz="4" w:space="0" w:color="000000"/>
              <w:left w:val="single" w:sz="4" w:space="0" w:color="000000"/>
              <w:bottom w:val="single" w:sz="4" w:space="0" w:color="000000"/>
              <w:right w:val="single" w:sz="4" w:space="0" w:color="000000"/>
            </w:tcBorders>
          </w:tcPr>
          <w:p w14:paraId="3F83CD7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Gestion</w:t>
            </w:r>
          </w:p>
        </w:tc>
        <w:tc>
          <w:tcPr>
            <w:tcW w:w="2200" w:type="dxa"/>
            <w:tcBorders>
              <w:top w:val="single" w:sz="4" w:space="0" w:color="000000"/>
              <w:left w:val="single" w:sz="4" w:space="0" w:color="000000"/>
              <w:bottom w:val="single" w:sz="4" w:space="0" w:color="000000"/>
              <w:right w:val="single" w:sz="4" w:space="0" w:color="000000"/>
            </w:tcBorders>
          </w:tcPr>
          <w:p w14:paraId="3E6D36C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Présentation répétée au moins une fois devant l’équipe complète.</w:t>
            </w:r>
          </w:p>
        </w:tc>
        <w:tc>
          <w:tcPr>
            <w:tcW w:w="950" w:type="dxa"/>
            <w:tcBorders>
              <w:top w:val="single" w:sz="4" w:space="0" w:color="000000"/>
              <w:left w:val="single" w:sz="4" w:space="0" w:color="000000"/>
              <w:bottom w:val="single" w:sz="4" w:space="0" w:color="000000"/>
              <w:right w:val="single" w:sz="4" w:space="0" w:color="000000"/>
            </w:tcBorders>
          </w:tcPr>
          <w:p w14:paraId="7EDC2CA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J5</w:t>
            </w:r>
          </w:p>
        </w:tc>
        <w:tc>
          <w:tcPr>
            <w:tcW w:w="1847" w:type="dxa"/>
            <w:tcBorders>
              <w:top w:val="single" w:sz="4" w:space="0" w:color="000000"/>
              <w:left w:val="single" w:sz="4" w:space="0" w:color="000000"/>
              <w:bottom w:val="single" w:sz="4" w:space="0" w:color="000000"/>
              <w:right w:val="single" w:sz="4" w:space="0" w:color="000000"/>
            </w:tcBorders>
          </w:tcPr>
          <w:p w14:paraId="5FA96512"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r>
    </w:tbl>
    <w:p w14:paraId="250520D3" w14:textId="77777777" w:rsidR="00F50D70" w:rsidRPr="00BE4F47" w:rsidRDefault="00137D7F" w:rsidP="008E113B">
      <w:pPr>
        <w:pStyle w:val="Titre2"/>
        <w:spacing w:line="360" w:lineRule="auto"/>
      </w:pPr>
      <w:bookmarkStart w:id="155" w:name="_Toc241670050"/>
      <w:r w:rsidRPr="00BE4F47">
        <w:t>Domaine de validité et exclusions</w:t>
      </w:r>
      <w:bookmarkEnd w:id="155"/>
    </w:p>
    <w:p w14:paraId="50C8FC51" w14:textId="77777777" w:rsidR="00F50D70" w:rsidRPr="00BE4F47" w:rsidRDefault="00137D7F" w:rsidP="008E113B">
      <w:pPr>
        <w:spacing w:before="200" w:after="130" w:line="360" w:lineRule="auto"/>
        <w:ind w:left="360"/>
        <w:rPr>
          <w:rFonts w:ascii="Aptos" w:hAnsi="Aptos"/>
        </w:rPr>
      </w:pPr>
      <w:bookmarkStart w:id="156" w:name="_Toc241082855"/>
      <w:bookmarkStart w:id="157" w:name="_Toc241670051"/>
      <w:r w:rsidRPr="00BE4F47">
        <w:rPr>
          <w:rFonts w:ascii="Aptos" w:hAnsi="Aptos"/>
          <w:color w:val="1A1A19"/>
          <w:sz w:val="20"/>
          <w:szCs w:val="20"/>
        </w:rPr>
        <w:t>Le tableau 2-2 précise dans quelles conditions les livrables sont valides. Hors de ce domaine, les résultats du prototype ne doivent pas être employés.</w:t>
      </w:r>
      <w:bookmarkEnd w:id="156"/>
      <w:bookmarkEnd w:id="157"/>
    </w:p>
    <w:p w14:paraId="49849C12" w14:textId="77777777" w:rsidR="00F50D70" w:rsidRPr="00BE4F47" w:rsidRDefault="00137D7F" w:rsidP="008E113B">
      <w:pPr>
        <w:pStyle w:val="Lgende"/>
        <w:keepNext/>
        <w:spacing w:line="360" w:lineRule="auto"/>
        <w:rPr>
          <w:rFonts w:ascii="Aptos" w:hAnsi="Aptos"/>
        </w:rPr>
      </w:pPr>
      <w:bookmarkStart w:id="158" w:name="_Toc241082856"/>
      <w:bookmarkStart w:id="159" w:name="_Toc241670052"/>
      <w:r w:rsidRPr="00BE4F47">
        <w:rPr>
          <w:rFonts w:ascii="Aptos" w:hAnsi="Aptos"/>
        </w:rPr>
        <w:t>Tableau 2-2. Domaine de validité des livrables</w:t>
      </w:r>
      <w:bookmarkEnd w:id="158"/>
      <w:bookmarkEnd w:id="159"/>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1700"/>
        <w:gridCol w:w="4200"/>
        <w:gridCol w:w="2657"/>
      </w:tblGrid>
      <w:tr w:rsidR="00F50D70" w:rsidRPr="00BE4F47" w14:paraId="22F5E4D5" w14:textId="77777777" w:rsidTr="0036725C">
        <w:trPr>
          <w:trHeight w:val="227"/>
          <w:tblHeader/>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F6446E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Dimension</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50159D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Domaine dans lequel les livrables sont valides</w:t>
            </w:r>
          </w:p>
        </w:tc>
        <w:tc>
          <w:tcPr>
            <w:tcW w:w="26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FDFACD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Hors domaine</w:t>
            </w:r>
          </w:p>
        </w:tc>
      </w:tr>
      <w:tr w:rsidR="00F50D70" w:rsidRPr="00BE4F47" w14:paraId="55EFC772" w14:textId="77777777">
        <w:trPr>
          <w:cantSplit/>
          <w:trHeight w:val="415"/>
        </w:trPr>
        <w:tc>
          <w:tcPr>
            <w:tcW w:w="1700" w:type="dxa"/>
            <w:tcBorders>
              <w:top w:val="single" w:sz="4" w:space="0" w:color="000000"/>
              <w:left w:val="single" w:sz="4" w:space="0" w:color="000000"/>
              <w:bottom w:val="single" w:sz="4" w:space="0" w:color="000000"/>
              <w:right w:val="single" w:sz="4" w:space="0" w:color="000000"/>
            </w:tcBorders>
          </w:tcPr>
          <w:p w14:paraId="4E58927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Système représenté</w:t>
            </w:r>
          </w:p>
        </w:tc>
        <w:tc>
          <w:tcPr>
            <w:tcW w:w="4200" w:type="dxa"/>
            <w:tcBorders>
              <w:top w:val="single" w:sz="4" w:space="0" w:color="000000"/>
              <w:left w:val="single" w:sz="4" w:space="0" w:color="000000"/>
              <w:bottom w:val="single" w:sz="4" w:space="0" w:color="000000"/>
              <w:right w:val="single" w:sz="4" w:space="0" w:color="000000"/>
            </w:tcBorders>
          </w:tcPr>
          <w:p w14:paraId="36F816A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Boucle thermohydraulique simplifiée, en circuit fermé, monophasique, inspirée d’un système de refroidissement.</w:t>
            </w:r>
          </w:p>
        </w:tc>
        <w:tc>
          <w:tcPr>
            <w:tcW w:w="2657" w:type="dxa"/>
            <w:tcBorders>
              <w:top w:val="single" w:sz="4" w:space="0" w:color="000000"/>
              <w:left w:val="single" w:sz="4" w:space="0" w:color="000000"/>
              <w:bottom w:val="single" w:sz="4" w:space="0" w:color="000000"/>
              <w:right w:val="single" w:sz="4" w:space="0" w:color="000000"/>
            </w:tcBorders>
          </w:tcPr>
          <w:p w14:paraId="6689F7A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Écoulement diphasique, circuit ouvert, géométrie complète d’une centrale.</w:t>
            </w:r>
          </w:p>
        </w:tc>
      </w:tr>
      <w:tr w:rsidR="00F50D70" w:rsidRPr="00BE4F47" w14:paraId="4EFA3BEB" w14:textId="77777777">
        <w:trPr>
          <w:cantSplit/>
          <w:trHeight w:val="415"/>
        </w:trPr>
        <w:tc>
          <w:tcPr>
            <w:tcW w:w="1700" w:type="dxa"/>
            <w:tcBorders>
              <w:top w:val="single" w:sz="4" w:space="0" w:color="000000"/>
              <w:left w:val="single" w:sz="4" w:space="0" w:color="000000"/>
              <w:bottom w:val="single" w:sz="4" w:space="0" w:color="000000"/>
              <w:right w:val="single" w:sz="4" w:space="0" w:color="000000"/>
            </w:tcBorders>
          </w:tcPr>
          <w:p w14:paraId="6AC3363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Modélisation</w:t>
            </w:r>
          </w:p>
        </w:tc>
        <w:tc>
          <w:tcPr>
            <w:tcW w:w="4200" w:type="dxa"/>
            <w:tcBorders>
              <w:top w:val="single" w:sz="4" w:space="0" w:color="000000"/>
              <w:left w:val="single" w:sz="4" w:space="0" w:color="000000"/>
              <w:bottom w:val="single" w:sz="4" w:space="0" w:color="000000"/>
              <w:right w:val="single" w:sz="4" w:space="0" w:color="000000"/>
            </w:tcBorders>
          </w:tcPr>
          <w:p w14:paraId="5E03684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Approche 0D et 1D à paramètres concentrés.</w:t>
            </w:r>
          </w:p>
        </w:tc>
        <w:tc>
          <w:tcPr>
            <w:tcW w:w="2657" w:type="dxa"/>
            <w:tcBorders>
              <w:top w:val="single" w:sz="4" w:space="0" w:color="000000"/>
              <w:left w:val="single" w:sz="4" w:space="0" w:color="000000"/>
              <w:bottom w:val="single" w:sz="4" w:space="0" w:color="000000"/>
              <w:right w:val="single" w:sz="4" w:space="0" w:color="000000"/>
            </w:tcBorders>
          </w:tcPr>
          <w:p w14:paraId="43C3F0D0" w14:textId="4866B323"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 xml:space="preserve">Champs tridimensionnels, mécanique </w:t>
            </w:r>
            <w:r w:rsidR="00F355AE" w:rsidRPr="00BE4F47">
              <w:rPr>
                <w:rFonts w:ascii="Aptos" w:eastAsia="Calibri" w:hAnsi="Aptos" w:cs="Calibri"/>
                <w:color w:val="1A1A19"/>
                <w:sz w:val="16"/>
                <w:szCs w:val="16"/>
              </w:rPr>
              <w:t>des fluides numériques</w:t>
            </w:r>
            <w:r w:rsidRPr="00BE4F47">
              <w:rPr>
                <w:rFonts w:ascii="Aptos" w:eastAsia="Calibri" w:hAnsi="Aptos" w:cs="Calibri"/>
                <w:color w:val="1A1A19"/>
                <w:sz w:val="16"/>
                <w:szCs w:val="16"/>
              </w:rPr>
              <w:t xml:space="preserve"> détaillée.</w:t>
            </w:r>
          </w:p>
        </w:tc>
      </w:tr>
      <w:tr w:rsidR="00F50D70" w:rsidRPr="00BE4F47" w14:paraId="0F1F89E5" w14:textId="77777777">
        <w:trPr>
          <w:cantSplit/>
          <w:trHeight w:val="415"/>
        </w:trPr>
        <w:tc>
          <w:tcPr>
            <w:tcW w:w="1700" w:type="dxa"/>
            <w:tcBorders>
              <w:top w:val="single" w:sz="4" w:space="0" w:color="000000"/>
              <w:left w:val="single" w:sz="4" w:space="0" w:color="000000"/>
              <w:bottom w:val="single" w:sz="4" w:space="0" w:color="000000"/>
              <w:right w:val="single" w:sz="4" w:space="0" w:color="000000"/>
            </w:tcBorders>
          </w:tcPr>
          <w:p w14:paraId="70D996D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Variables suivies</w:t>
            </w:r>
          </w:p>
        </w:tc>
        <w:tc>
          <w:tcPr>
            <w:tcW w:w="4200" w:type="dxa"/>
            <w:tcBorders>
              <w:top w:val="single" w:sz="4" w:space="0" w:color="000000"/>
              <w:left w:val="single" w:sz="4" w:space="0" w:color="000000"/>
              <w:bottom w:val="single" w:sz="4" w:space="0" w:color="000000"/>
              <w:right w:val="single" w:sz="4" w:space="0" w:color="000000"/>
            </w:tcBorders>
          </w:tcPr>
          <w:p w14:paraId="667C823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Température, pression et débit.</w:t>
            </w:r>
          </w:p>
        </w:tc>
        <w:tc>
          <w:tcPr>
            <w:tcW w:w="2657" w:type="dxa"/>
            <w:tcBorders>
              <w:top w:val="single" w:sz="4" w:space="0" w:color="000000"/>
              <w:left w:val="single" w:sz="4" w:space="0" w:color="000000"/>
              <w:bottom w:val="single" w:sz="4" w:space="0" w:color="000000"/>
              <w:right w:val="single" w:sz="4" w:space="0" w:color="000000"/>
            </w:tcBorders>
          </w:tcPr>
          <w:p w14:paraId="519D004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Toute autre grandeur, notamment la radioactivité et les grandeurs neutroniques.</w:t>
            </w:r>
          </w:p>
        </w:tc>
      </w:tr>
      <w:tr w:rsidR="00F50D70" w:rsidRPr="00BE4F47" w14:paraId="07D65A9E" w14:textId="77777777">
        <w:trPr>
          <w:cantSplit/>
          <w:trHeight w:val="415"/>
        </w:trPr>
        <w:tc>
          <w:tcPr>
            <w:tcW w:w="1700" w:type="dxa"/>
            <w:tcBorders>
              <w:top w:val="single" w:sz="4" w:space="0" w:color="000000"/>
              <w:left w:val="single" w:sz="4" w:space="0" w:color="000000"/>
              <w:bottom w:val="single" w:sz="4" w:space="0" w:color="000000"/>
              <w:right w:val="single" w:sz="4" w:space="0" w:color="000000"/>
            </w:tcBorders>
          </w:tcPr>
          <w:p w14:paraId="47F9C63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Données</w:t>
            </w:r>
          </w:p>
        </w:tc>
        <w:tc>
          <w:tcPr>
            <w:tcW w:w="4200" w:type="dxa"/>
            <w:tcBorders>
              <w:top w:val="single" w:sz="4" w:space="0" w:color="000000"/>
              <w:left w:val="single" w:sz="4" w:space="0" w:color="000000"/>
              <w:bottom w:val="single" w:sz="4" w:space="0" w:color="000000"/>
              <w:right w:val="single" w:sz="4" w:space="0" w:color="000000"/>
            </w:tcBorders>
          </w:tcPr>
          <w:p w14:paraId="54363CB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Données synthétiques produites par le modèle, puis bruitées et dégradées de façon contrôlée.</w:t>
            </w:r>
          </w:p>
        </w:tc>
        <w:tc>
          <w:tcPr>
            <w:tcW w:w="2657" w:type="dxa"/>
            <w:tcBorders>
              <w:top w:val="single" w:sz="4" w:space="0" w:color="000000"/>
              <w:left w:val="single" w:sz="4" w:space="0" w:color="000000"/>
              <w:bottom w:val="single" w:sz="4" w:space="0" w:color="000000"/>
              <w:right w:val="single" w:sz="4" w:space="0" w:color="000000"/>
            </w:tcBorders>
          </w:tcPr>
          <w:p w14:paraId="3FC51C2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Données d’exploitation d’une installation réelle.</w:t>
            </w:r>
          </w:p>
        </w:tc>
      </w:tr>
      <w:tr w:rsidR="00F50D70" w:rsidRPr="00BE4F47" w14:paraId="12586AF9" w14:textId="77777777">
        <w:trPr>
          <w:cantSplit/>
          <w:trHeight w:val="415"/>
        </w:trPr>
        <w:tc>
          <w:tcPr>
            <w:tcW w:w="1700" w:type="dxa"/>
            <w:tcBorders>
              <w:top w:val="single" w:sz="4" w:space="0" w:color="000000"/>
              <w:left w:val="single" w:sz="4" w:space="0" w:color="000000"/>
              <w:bottom w:val="single" w:sz="4" w:space="0" w:color="000000"/>
              <w:right w:val="single" w:sz="4" w:space="0" w:color="000000"/>
            </w:tcBorders>
          </w:tcPr>
          <w:p w14:paraId="455F0D5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Référence de comparaison</w:t>
            </w:r>
          </w:p>
        </w:tc>
        <w:tc>
          <w:tcPr>
            <w:tcW w:w="4200" w:type="dxa"/>
            <w:tcBorders>
              <w:top w:val="single" w:sz="4" w:space="0" w:color="000000"/>
              <w:left w:val="single" w:sz="4" w:space="0" w:color="000000"/>
              <w:bottom w:val="single" w:sz="4" w:space="0" w:color="000000"/>
              <w:right w:val="single" w:sz="4" w:space="0" w:color="000000"/>
            </w:tcBorders>
          </w:tcPr>
          <w:p w14:paraId="6A8F369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Second modèle numérique de fidélité supérieure, développé indépendamment.</w:t>
            </w:r>
          </w:p>
        </w:tc>
        <w:tc>
          <w:tcPr>
            <w:tcW w:w="2657" w:type="dxa"/>
            <w:tcBorders>
              <w:top w:val="single" w:sz="4" w:space="0" w:color="000000"/>
              <w:left w:val="single" w:sz="4" w:space="0" w:color="000000"/>
              <w:bottom w:val="single" w:sz="4" w:space="0" w:color="000000"/>
              <w:right w:val="single" w:sz="4" w:space="0" w:color="000000"/>
            </w:tcBorders>
          </w:tcPr>
          <w:p w14:paraId="132F22D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Banc d’essai physique instrumenté.</w:t>
            </w:r>
          </w:p>
        </w:tc>
      </w:tr>
      <w:tr w:rsidR="00F50D70" w:rsidRPr="00BE4F47" w14:paraId="7F07DD78" w14:textId="77777777">
        <w:trPr>
          <w:cantSplit/>
          <w:trHeight w:val="415"/>
        </w:trPr>
        <w:tc>
          <w:tcPr>
            <w:tcW w:w="1700" w:type="dxa"/>
            <w:tcBorders>
              <w:top w:val="single" w:sz="4" w:space="0" w:color="000000"/>
              <w:left w:val="single" w:sz="4" w:space="0" w:color="000000"/>
              <w:bottom w:val="single" w:sz="4" w:space="0" w:color="000000"/>
              <w:right w:val="single" w:sz="4" w:space="0" w:color="000000"/>
            </w:tcBorders>
          </w:tcPr>
          <w:p w14:paraId="650C964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Emploi</w:t>
            </w:r>
          </w:p>
        </w:tc>
        <w:tc>
          <w:tcPr>
            <w:tcW w:w="4200" w:type="dxa"/>
            <w:tcBorders>
              <w:top w:val="single" w:sz="4" w:space="0" w:color="000000"/>
              <w:left w:val="single" w:sz="4" w:space="0" w:color="000000"/>
              <w:bottom w:val="single" w:sz="4" w:space="0" w:color="000000"/>
              <w:right w:val="single" w:sz="4" w:space="0" w:color="000000"/>
            </w:tcBorders>
          </w:tcPr>
          <w:p w14:paraId="2EED974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Aide à la décision hors ligne, avec validation humaine obligatoire.</w:t>
            </w:r>
          </w:p>
        </w:tc>
        <w:tc>
          <w:tcPr>
            <w:tcW w:w="2657" w:type="dxa"/>
            <w:tcBorders>
              <w:top w:val="single" w:sz="4" w:space="0" w:color="000000"/>
              <w:left w:val="single" w:sz="4" w:space="0" w:color="000000"/>
              <w:bottom w:val="single" w:sz="4" w:space="0" w:color="000000"/>
              <w:right w:val="single" w:sz="4" w:space="0" w:color="000000"/>
            </w:tcBorders>
          </w:tcPr>
          <w:p w14:paraId="6BD254B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Conduite en temps réel, commande automatique, raccordement à un équipement réel.</w:t>
            </w:r>
          </w:p>
        </w:tc>
      </w:tr>
      <w:tr w:rsidR="00F50D70" w:rsidRPr="00BE4F47" w14:paraId="2007167E" w14:textId="77777777">
        <w:trPr>
          <w:cantSplit/>
          <w:trHeight w:val="415"/>
        </w:trPr>
        <w:tc>
          <w:tcPr>
            <w:tcW w:w="1700" w:type="dxa"/>
            <w:tcBorders>
              <w:top w:val="single" w:sz="4" w:space="0" w:color="000000"/>
              <w:left w:val="single" w:sz="4" w:space="0" w:color="000000"/>
              <w:bottom w:val="single" w:sz="4" w:space="0" w:color="000000"/>
              <w:right w:val="single" w:sz="4" w:space="0" w:color="000000"/>
            </w:tcBorders>
          </w:tcPr>
          <w:p w14:paraId="6BC8366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Scénarios couverts</w:t>
            </w:r>
          </w:p>
        </w:tc>
        <w:tc>
          <w:tcPr>
            <w:tcW w:w="4200" w:type="dxa"/>
            <w:tcBorders>
              <w:top w:val="single" w:sz="4" w:space="0" w:color="000000"/>
              <w:left w:val="single" w:sz="4" w:space="0" w:color="000000"/>
              <w:bottom w:val="single" w:sz="4" w:space="0" w:color="000000"/>
              <w:right w:val="single" w:sz="4" w:space="0" w:color="000000"/>
            </w:tcBorders>
          </w:tcPr>
          <w:p w14:paraId="7ADC30A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Les scénarios listés à l’exigence EX-F-02, plus les cas de données manquantes.</w:t>
            </w:r>
          </w:p>
        </w:tc>
        <w:tc>
          <w:tcPr>
            <w:tcW w:w="2657" w:type="dxa"/>
            <w:tcBorders>
              <w:top w:val="single" w:sz="4" w:space="0" w:color="000000"/>
              <w:left w:val="single" w:sz="4" w:space="0" w:color="000000"/>
              <w:bottom w:val="single" w:sz="4" w:space="0" w:color="000000"/>
              <w:right w:val="single" w:sz="4" w:space="0" w:color="000000"/>
            </w:tcBorders>
          </w:tcPr>
          <w:p w14:paraId="6C44A1F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Tout scénario non listé, en particulier les transitoires accidentels.</w:t>
            </w:r>
          </w:p>
        </w:tc>
      </w:tr>
    </w:tbl>
    <w:p w14:paraId="4AF6A070" w14:textId="77777777" w:rsidR="00F50D70" w:rsidRPr="00BE4F47" w:rsidRDefault="00137D7F" w:rsidP="008E113B">
      <w:pPr>
        <w:spacing w:before="200" w:after="130" w:line="360" w:lineRule="auto"/>
        <w:ind w:left="360"/>
        <w:rPr>
          <w:rFonts w:ascii="Aptos" w:hAnsi="Aptos"/>
        </w:rPr>
      </w:pPr>
      <w:bookmarkStart w:id="160" w:name="_Toc241082857"/>
      <w:bookmarkStart w:id="161" w:name="_Toc241670053"/>
      <w:r w:rsidRPr="00BE4F47">
        <w:rPr>
          <w:rFonts w:ascii="Aptos" w:hAnsi="Aptos"/>
          <w:color w:val="1A1A19"/>
          <w:sz w:val="20"/>
          <w:szCs w:val="20"/>
        </w:rPr>
        <w:t>Ce domaine est repris dans la recommandation d’ingénierie du livrable L08 et conditionne l’acceptation de l’ensemble. Il répond à l’exigence EX-C-01 et au risque RT4.</w:t>
      </w:r>
      <w:bookmarkEnd w:id="160"/>
      <w:bookmarkEnd w:id="161"/>
    </w:p>
    <w:p w14:paraId="294D36E2" w14:textId="77777777" w:rsidR="00F50D70" w:rsidRPr="00BE4F47" w:rsidRDefault="00137D7F" w:rsidP="008E113B">
      <w:pPr>
        <w:spacing w:after="130" w:line="360" w:lineRule="auto"/>
        <w:ind w:left="360"/>
        <w:rPr>
          <w:rFonts w:ascii="Aptos" w:hAnsi="Aptos"/>
        </w:rPr>
      </w:pPr>
      <w:bookmarkStart w:id="162" w:name="_Toc241082859"/>
      <w:bookmarkStart w:id="163" w:name="_Toc241670054"/>
      <w:r w:rsidRPr="00BE4F47">
        <w:rPr>
          <w:rFonts w:ascii="Aptos" w:hAnsi="Aptos"/>
          <w:color w:val="1A1A19"/>
          <w:sz w:val="20"/>
          <w:szCs w:val="20"/>
        </w:rPr>
        <w:t>Les exclusions de livrables sont celles du périmètre défini en 1.5, reprises par l’exigence de périmètre EX-C-02.</w:t>
      </w:r>
      <w:bookmarkEnd w:id="162"/>
      <w:bookmarkEnd w:id="163"/>
    </w:p>
    <w:p w14:paraId="123F3F9D" w14:textId="77777777" w:rsidR="00F50D70" w:rsidRPr="00136F18" w:rsidRDefault="00137D7F" w:rsidP="008E113B">
      <w:pPr>
        <w:pStyle w:val="Titre1"/>
        <w:spacing w:line="360" w:lineRule="auto"/>
      </w:pPr>
      <w:bookmarkStart w:id="164" w:name="__RefHeading___Toc240715117"/>
      <w:bookmarkStart w:id="165" w:name="_Toc241670055"/>
      <w:r w:rsidRPr="00136F18">
        <w:t>Description de l’équipe</w:t>
      </w:r>
      <w:bookmarkEnd w:id="164"/>
      <w:bookmarkEnd w:id="165"/>
    </w:p>
    <w:p w14:paraId="1F7836C4" w14:textId="77777777" w:rsidR="00F50D70" w:rsidRPr="00BE4F47" w:rsidRDefault="005E5B35" w:rsidP="008E113B">
      <w:pPr>
        <w:spacing w:after="130" w:line="360" w:lineRule="auto"/>
        <w:ind w:left="360"/>
        <w:rPr>
          <w:rFonts w:ascii="Aptos" w:hAnsi="Aptos"/>
        </w:rPr>
      </w:pPr>
      <w:bookmarkStart w:id="166" w:name="_Toc241082861"/>
      <w:bookmarkStart w:id="167" w:name="_Toc241670056"/>
      <w:r w:rsidRPr="005E5B35">
        <w:rPr>
          <w:rFonts w:ascii="Aptos" w:hAnsi="Aptos"/>
          <w:color w:val="1A1A19"/>
          <w:sz w:val="20"/>
          <w:szCs w:val="20"/>
        </w:rPr>
        <w:t>Le travail est réparti entre les huit membres de l’équipe. Chacun prend en charge un volet du plan selon ses points forts.</w:t>
      </w:r>
      <w:bookmarkEnd w:id="166"/>
      <w:bookmarkEnd w:id="167"/>
    </w:p>
    <w:p w14:paraId="61D9B0AD" w14:textId="77777777" w:rsidR="00F50D70" w:rsidRDefault="00137D7F" w:rsidP="008E113B">
      <w:pPr>
        <w:pStyle w:val="Titre2"/>
        <w:numPr>
          <w:ilvl w:val="0"/>
          <w:numId w:val="13"/>
        </w:numPr>
        <w:spacing w:line="360" w:lineRule="auto"/>
      </w:pPr>
      <w:bookmarkStart w:id="168" w:name="__RefHeading___Toc240715118"/>
      <w:bookmarkStart w:id="169" w:name="_Toc241670057"/>
      <w:bookmarkEnd w:id="168"/>
      <w:r w:rsidRPr="00BE4F47">
        <w:lastRenderedPageBreak/>
        <w:t>Composition de l’équipe</w:t>
      </w:r>
      <w:r w:rsidR="005E5B35">
        <w:t xml:space="preserve"> et d</w:t>
      </w:r>
      <w:r w:rsidR="005E5B35" w:rsidRPr="005E5B35">
        <w:t>escription des compétences de chaque membre</w:t>
      </w:r>
      <w:bookmarkEnd w:id="169"/>
    </w:p>
    <w:p w14:paraId="5369BCA4" w14:textId="77777777" w:rsidR="00F50D70" w:rsidRPr="00BE4F47" w:rsidRDefault="00137D7F" w:rsidP="008E113B">
      <w:pPr>
        <w:spacing w:after="130" w:line="360" w:lineRule="auto"/>
        <w:ind w:left="360"/>
        <w:rPr>
          <w:rFonts w:ascii="Aptos" w:hAnsi="Aptos"/>
        </w:rPr>
      </w:pPr>
      <w:bookmarkStart w:id="170" w:name="_Toc241670058"/>
      <w:r w:rsidRPr="00BE4F47">
        <w:rPr>
          <w:rFonts w:ascii="Aptos" w:hAnsi="Aptos"/>
          <w:color w:val="1A1A19"/>
          <w:sz w:val="20"/>
          <w:szCs w:val="20"/>
        </w:rPr>
        <w:t>Les huit membres sont étudiants en génie informatique en troisième année. Le tableau 3-1 donne le volet dont chacun a la charge et les compétences qu’il y apporte.</w:t>
      </w:r>
      <w:bookmarkEnd w:id="170"/>
    </w:p>
    <w:p w14:paraId="1A76C0EA" w14:textId="77777777" w:rsidR="00F50D70" w:rsidRPr="00BE4F47" w:rsidRDefault="00137D7F" w:rsidP="008E113B">
      <w:pPr>
        <w:pStyle w:val="Lgende"/>
        <w:keepNext/>
        <w:spacing w:after="130" w:line="360" w:lineRule="auto"/>
        <w:ind w:left="360"/>
        <w:rPr>
          <w:rFonts w:ascii="Aptos" w:hAnsi="Aptos"/>
        </w:rPr>
      </w:pPr>
      <w:bookmarkStart w:id="171" w:name="_Toc241670059"/>
      <w:r w:rsidRPr="00BE4F47">
        <w:rPr>
          <w:rFonts w:ascii="Aptos" w:hAnsi="Aptos"/>
          <w:color w:val="1A1A19"/>
          <w:sz w:val="20"/>
          <w:szCs w:val="20"/>
        </w:rPr>
        <w:t>Tableau 3-1. Composition de l’équipe, volets pris en charge et compétences</w:t>
      </w:r>
      <w:bookmarkEnd w:id="171"/>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1900"/>
        <w:gridCol w:w="2600"/>
        <w:gridCol w:w="4057"/>
      </w:tblGrid>
      <w:tr w:rsidR="00F50D70" w:rsidRPr="00BE4F47" w14:paraId="018FDCF5" w14:textId="77777777" w:rsidTr="0036725C">
        <w:trPr>
          <w:trHeight w:val="227"/>
          <w:tblHeader/>
        </w:trPr>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8D3829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Membre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5467DF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Volet pris en charge</w:t>
            </w:r>
          </w:p>
        </w:tc>
        <w:tc>
          <w:tcPr>
            <w:tcW w:w="40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C5AC6F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Compétences mobilisées</w:t>
            </w:r>
          </w:p>
        </w:tc>
      </w:tr>
      <w:tr w:rsidR="00F50D70" w:rsidRPr="00BE4F47" w14:paraId="305DA89D"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071C53B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Christian Kévin Sawadogo</w:t>
            </w:r>
          </w:p>
        </w:tc>
        <w:tc>
          <w:tcPr>
            <w:tcW w:w="2600" w:type="dxa"/>
            <w:tcBorders>
              <w:top w:val="single" w:sz="4" w:space="0" w:color="000000"/>
              <w:left w:val="single" w:sz="4" w:space="0" w:color="000000"/>
              <w:bottom w:val="single" w:sz="4" w:space="0" w:color="000000"/>
              <w:right w:val="single" w:sz="4" w:space="0" w:color="000000"/>
            </w:tcBorders>
          </w:tcPr>
          <w:p w14:paraId="64C4232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Coordination générale, ressources, échéancier, contrôle des versions et références</w:t>
            </w:r>
          </w:p>
        </w:tc>
        <w:tc>
          <w:tcPr>
            <w:tcW w:w="4057" w:type="dxa"/>
            <w:tcBorders>
              <w:top w:val="single" w:sz="4" w:space="0" w:color="000000"/>
              <w:left w:val="single" w:sz="4" w:space="0" w:color="000000"/>
              <w:bottom w:val="single" w:sz="4" w:space="0" w:color="000000"/>
              <w:right w:val="single" w:sz="4" w:space="0" w:color="000000"/>
            </w:tcBorders>
          </w:tcPr>
          <w:p w14:paraId="5384FFF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Coordination et animation d’équipe, planification des calendriers, estimation des ressources, outils de versionnement, recherche et validation des références</w:t>
            </w:r>
          </w:p>
        </w:tc>
      </w:tr>
      <w:tr w:rsidR="00F50D70" w:rsidRPr="00BE4F47" w14:paraId="2B2FEECC"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141A53B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Abdramane [ NOM À COMPLÉTER ]</w:t>
            </w:r>
          </w:p>
        </w:tc>
        <w:tc>
          <w:tcPr>
            <w:tcW w:w="2600" w:type="dxa"/>
            <w:tcBorders>
              <w:top w:val="single" w:sz="4" w:space="0" w:color="000000"/>
              <w:left w:val="single" w:sz="4" w:space="0" w:color="000000"/>
              <w:bottom w:val="single" w:sz="4" w:space="0" w:color="000000"/>
              <w:right w:val="single" w:sz="4" w:space="0" w:color="000000"/>
            </w:tcBorders>
          </w:tcPr>
          <w:p w14:paraId="510B8F8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Description de l’équipe et co-rédaction de l’état de l’art</w:t>
            </w:r>
          </w:p>
        </w:tc>
        <w:tc>
          <w:tcPr>
            <w:tcW w:w="4057" w:type="dxa"/>
            <w:tcBorders>
              <w:top w:val="single" w:sz="4" w:space="0" w:color="000000"/>
              <w:left w:val="single" w:sz="4" w:space="0" w:color="000000"/>
              <w:bottom w:val="single" w:sz="4" w:space="0" w:color="000000"/>
              <w:right w:val="single" w:sz="4" w:space="0" w:color="000000"/>
            </w:tcBorders>
          </w:tcPr>
          <w:p w14:paraId="438D9F9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Rédaction technique, analyse documentaire, esprit de synthèse, structuration des rôles</w:t>
            </w:r>
          </w:p>
        </w:tc>
      </w:tr>
      <w:tr w:rsidR="00F50D70" w:rsidRPr="00BE4F47" w14:paraId="47336B77"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68E8CF8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Ibrahim Diallo</w:t>
            </w:r>
          </w:p>
        </w:tc>
        <w:tc>
          <w:tcPr>
            <w:tcW w:w="2600" w:type="dxa"/>
            <w:tcBorders>
              <w:top w:val="single" w:sz="4" w:space="0" w:color="000000"/>
              <w:left w:val="single" w:sz="4" w:space="0" w:color="000000"/>
              <w:bottom w:val="single" w:sz="4" w:space="0" w:color="000000"/>
              <w:right w:val="single" w:sz="4" w:space="0" w:color="000000"/>
            </w:tcBorders>
          </w:tcPr>
          <w:p w14:paraId="466DD8C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Cadrage des besoins et définition des livrables</w:t>
            </w:r>
          </w:p>
        </w:tc>
        <w:tc>
          <w:tcPr>
            <w:tcW w:w="4057" w:type="dxa"/>
            <w:tcBorders>
              <w:top w:val="single" w:sz="4" w:space="0" w:color="000000"/>
              <w:left w:val="single" w:sz="4" w:space="0" w:color="000000"/>
              <w:bottom w:val="single" w:sz="4" w:space="0" w:color="000000"/>
              <w:right w:val="single" w:sz="4" w:space="0" w:color="000000"/>
            </w:tcBorders>
          </w:tcPr>
          <w:p w14:paraId="7F219A8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Écoute et analyse des exigences, formalisation des besoins fonctionnels, rigueur dans la spécification des résultats attendus</w:t>
            </w:r>
          </w:p>
        </w:tc>
      </w:tr>
      <w:tr w:rsidR="00F50D70" w:rsidRPr="00BE4F47" w14:paraId="1CCD28AA"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1AAE967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Rayane Arèmou Akorede Alimi</w:t>
            </w:r>
          </w:p>
        </w:tc>
        <w:tc>
          <w:tcPr>
            <w:tcW w:w="2600" w:type="dxa"/>
            <w:tcBorders>
              <w:top w:val="single" w:sz="4" w:space="0" w:color="000000"/>
              <w:left w:val="single" w:sz="4" w:space="0" w:color="000000"/>
              <w:bottom w:val="single" w:sz="4" w:space="0" w:color="000000"/>
              <w:right w:val="single" w:sz="4" w:space="0" w:color="000000"/>
            </w:tcBorders>
          </w:tcPr>
          <w:p w14:paraId="36CF0BB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Recherche et veille technologique pour l’état de l’art, références</w:t>
            </w:r>
          </w:p>
        </w:tc>
        <w:tc>
          <w:tcPr>
            <w:tcW w:w="4057" w:type="dxa"/>
            <w:tcBorders>
              <w:top w:val="single" w:sz="4" w:space="0" w:color="000000"/>
              <w:left w:val="single" w:sz="4" w:space="0" w:color="000000"/>
              <w:bottom w:val="single" w:sz="4" w:space="0" w:color="000000"/>
              <w:right w:val="single" w:sz="4" w:space="0" w:color="000000"/>
            </w:tcBorders>
          </w:tcPr>
          <w:p w14:paraId="4001B6C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Recherche bibliographique, analyse comparative des solutions existantes, esprit critique</w:t>
            </w:r>
          </w:p>
        </w:tc>
      </w:tr>
      <w:tr w:rsidR="00F50D70" w:rsidRPr="00BE4F47" w14:paraId="29F50A46"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059DC2B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Abdoul Raouf Kabré</w:t>
            </w:r>
          </w:p>
        </w:tc>
        <w:tc>
          <w:tcPr>
            <w:tcW w:w="2600" w:type="dxa"/>
            <w:tcBorders>
              <w:top w:val="single" w:sz="4" w:space="0" w:color="000000"/>
              <w:left w:val="single" w:sz="4" w:space="0" w:color="000000"/>
              <w:bottom w:val="single" w:sz="4" w:space="0" w:color="000000"/>
              <w:right w:val="single" w:sz="4" w:space="0" w:color="000000"/>
            </w:tcBorders>
          </w:tcPr>
          <w:p w14:paraId="1043F93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Normes, codes et standards</w:t>
            </w:r>
          </w:p>
        </w:tc>
        <w:tc>
          <w:tcPr>
            <w:tcW w:w="4057" w:type="dxa"/>
            <w:tcBorders>
              <w:top w:val="single" w:sz="4" w:space="0" w:color="000000"/>
              <w:left w:val="single" w:sz="4" w:space="0" w:color="000000"/>
              <w:bottom w:val="single" w:sz="4" w:space="0" w:color="000000"/>
              <w:right w:val="single" w:sz="4" w:space="0" w:color="000000"/>
            </w:tcBorders>
          </w:tcPr>
          <w:p w14:paraId="1ABB994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Recherche et interprétation des normes industrielles, analyse des critères de conformité, contrôle de la qualité</w:t>
            </w:r>
          </w:p>
        </w:tc>
      </w:tr>
      <w:tr w:rsidR="00F50D70" w:rsidRPr="00BE4F47" w14:paraId="7BD3257C"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3897D71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Djasra Wilson Thoroum</w:t>
            </w:r>
          </w:p>
        </w:tc>
        <w:tc>
          <w:tcPr>
            <w:tcW w:w="2600" w:type="dxa"/>
            <w:tcBorders>
              <w:top w:val="single" w:sz="4" w:space="0" w:color="000000"/>
              <w:left w:val="single" w:sz="4" w:space="0" w:color="000000"/>
              <w:bottom w:val="single" w:sz="4" w:space="0" w:color="000000"/>
              <w:right w:val="single" w:sz="4" w:space="0" w:color="000000"/>
            </w:tcBorders>
          </w:tcPr>
          <w:p w14:paraId="3423D8B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Estimation préliminaire des coûts et budget</w:t>
            </w:r>
          </w:p>
        </w:tc>
        <w:tc>
          <w:tcPr>
            <w:tcW w:w="4057" w:type="dxa"/>
            <w:tcBorders>
              <w:top w:val="single" w:sz="4" w:space="0" w:color="000000"/>
              <w:left w:val="single" w:sz="4" w:space="0" w:color="000000"/>
              <w:bottom w:val="single" w:sz="4" w:space="0" w:color="000000"/>
              <w:right w:val="single" w:sz="4" w:space="0" w:color="000000"/>
            </w:tcBorders>
          </w:tcPr>
          <w:p w14:paraId="5E3D96E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Chiffrage financier, calcul prévisionnel des coûts, rigueur budgétaire, analyse de viabilité économique</w:t>
            </w:r>
          </w:p>
        </w:tc>
      </w:tr>
      <w:tr w:rsidR="00F50D70" w:rsidRPr="00BE4F47" w14:paraId="4E312FE4"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6E51F2C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Aboubacar Sidiki Yansané</w:t>
            </w:r>
          </w:p>
        </w:tc>
        <w:tc>
          <w:tcPr>
            <w:tcW w:w="2600" w:type="dxa"/>
            <w:tcBorders>
              <w:top w:val="single" w:sz="4" w:space="0" w:color="000000"/>
              <w:left w:val="single" w:sz="4" w:space="0" w:color="000000"/>
              <w:bottom w:val="single" w:sz="4" w:space="0" w:color="000000"/>
              <w:right w:val="single" w:sz="4" w:space="0" w:color="000000"/>
            </w:tcBorders>
          </w:tcPr>
          <w:p w14:paraId="58DB389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Impacts, gestion des risques et modélisation conceptuelle</w:t>
            </w:r>
          </w:p>
        </w:tc>
        <w:tc>
          <w:tcPr>
            <w:tcW w:w="4057" w:type="dxa"/>
            <w:tcBorders>
              <w:top w:val="single" w:sz="4" w:space="0" w:color="000000"/>
              <w:left w:val="single" w:sz="4" w:space="0" w:color="000000"/>
              <w:bottom w:val="single" w:sz="4" w:space="0" w:color="000000"/>
              <w:right w:val="single" w:sz="4" w:space="0" w:color="000000"/>
            </w:tcBorders>
          </w:tcPr>
          <w:p w14:paraId="6D18097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Évaluation d’impacts, identification des risques, plans d’atténuation, modélisation UML</w:t>
            </w:r>
          </w:p>
        </w:tc>
      </w:tr>
      <w:tr w:rsidR="00F50D70" w:rsidRPr="00BE4F47" w14:paraId="24C0741E"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5007274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Jérémie Arno Tchawo Soppewe</w:t>
            </w:r>
          </w:p>
        </w:tc>
        <w:tc>
          <w:tcPr>
            <w:tcW w:w="2600" w:type="dxa"/>
            <w:tcBorders>
              <w:top w:val="single" w:sz="4" w:space="0" w:color="000000"/>
              <w:left w:val="single" w:sz="4" w:space="0" w:color="000000"/>
              <w:bottom w:val="single" w:sz="4" w:space="0" w:color="000000"/>
              <w:right w:val="single" w:sz="4" w:space="0" w:color="000000"/>
            </w:tcBorders>
          </w:tcPr>
          <w:p w14:paraId="3D79B1E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Modélisation visuelle de l’échéancier et du calendrier</w:t>
            </w:r>
          </w:p>
        </w:tc>
        <w:tc>
          <w:tcPr>
            <w:tcW w:w="4057" w:type="dxa"/>
            <w:tcBorders>
              <w:top w:val="single" w:sz="4" w:space="0" w:color="000000"/>
              <w:left w:val="single" w:sz="4" w:space="0" w:color="000000"/>
              <w:bottom w:val="single" w:sz="4" w:space="0" w:color="000000"/>
              <w:right w:val="single" w:sz="4" w:space="0" w:color="000000"/>
            </w:tcBorders>
          </w:tcPr>
          <w:p w14:paraId="00AA6A66" w14:textId="29868E6D"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 xml:space="preserve">Outils de planification dont </w:t>
            </w:r>
            <w:r w:rsidR="007E5FC7" w:rsidRPr="00BE4F47">
              <w:rPr>
                <w:rFonts w:ascii="Aptos" w:eastAsia="Calibri" w:hAnsi="Aptos" w:cs="Calibri"/>
                <w:color w:val="1A1A19"/>
                <w:sz w:val="16"/>
                <w:szCs w:val="16"/>
              </w:rPr>
              <w:t>Gantt Project</w:t>
            </w:r>
            <w:r w:rsidRPr="00BE4F47">
              <w:rPr>
                <w:rFonts w:ascii="Aptos" w:eastAsia="Calibri" w:hAnsi="Aptos" w:cs="Calibri"/>
                <w:color w:val="1A1A19"/>
                <w:sz w:val="16"/>
                <w:szCs w:val="16"/>
              </w:rPr>
              <w:t>, ordonnancement des activités, synthèse</w:t>
            </w:r>
          </w:p>
        </w:tc>
      </w:tr>
    </w:tbl>
    <w:p w14:paraId="53460E67" w14:textId="77777777" w:rsidR="00F50D70" w:rsidRPr="00BE4F47" w:rsidRDefault="00137D7F" w:rsidP="008E113B">
      <w:pPr>
        <w:pStyle w:val="Titre2"/>
        <w:numPr>
          <w:ilvl w:val="0"/>
          <w:numId w:val="13"/>
        </w:numPr>
        <w:spacing w:line="360" w:lineRule="auto"/>
      </w:pPr>
      <w:bookmarkStart w:id="172" w:name="__RefHeading___Toc240715119"/>
      <w:bookmarkStart w:id="173" w:name="_Toc241670060"/>
      <w:r w:rsidRPr="00BE4F47">
        <w:t>Rôles et responsabilités</w:t>
      </w:r>
      <w:bookmarkEnd w:id="172"/>
      <w:bookmarkEnd w:id="173"/>
    </w:p>
    <w:p w14:paraId="34FFE7D6" w14:textId="77777777" w:rsidR="00F50D70" w:rsidRPr="00BE4F47" w:rsidRDefault="00137D7F" w:rsidP="008E113B">
      <w:pPr>
        <w:spacing w:before="200" w:after="130" w:line="360" w:lineRule="auto"/>
        <w:ind w:left="360"/>
        <w:rPr>
          <w:rFonts w:ascii="Aptos" w:hAnsi="Aptos"/>
        </w:rPr>
      </w:pPr>
      <w:bookmarkStart w:id="174" w:name="_Toc241082880"/>
      <w:bookmarkStart w:id="175" w:name="_Toc241670061"/>
      <w:r w:rsidRPr="00BE4F47">
        <w:rPr>
          <w:rFonts w:ascii="Aptos" w:hAnsi="Aptos"/>
          <w:color w:val="1A1A19"/>
          <w:sz w:val="20"/>
          <w:szCs w:val="20"/>
        </w:rPr>
        <w:t>Le tableau 3-2, ou matrice RACI, indique, pour chaque tâche du plan, qui la produit, qui l’approuve et qui est consulté. Les membres qui ne figurent dans aucune de ces trois colonnes sont informés du résultat.</w:t>
      </w:r>
      <w:bookmarkEnd w:id="174"/>
      <w:bookmarkEnd w:id="175"/>
    </w:p>
    <w:p w14:paraId="586DD77B" w14:textId="77777777" w:rsidR="00F50D70" w:rsidRPr="00BE4F47" w:rsidRDefault="00137D7F" w:rsidP="008E113B">
      <w:pPr>
        <w:spacing w:after="130" w:line="360" w:lineRule="auto"/>
        <w:ind w:left="360"/>
        <w:rPr>
          <w:rFonts w:ascii="Aptos" w:hAnsi="Aptos"/>
        </w:rPr>
      </w:pPr>
      <w:bookmarkStart w:id="176" w:name="_Toc241082881"/>
      <w:bookmarkStart w:id="177" w:name="_Toc241670062"/>
      <w:r w:rsidRPr="00BE4F47">
        <w:rPr>
          <w:rFonts w:ascii="Aptos" w:hAnsi="Aptos"/>
          <w:color w:val="1A1A19"/>
          <w:sz w:val="20"/>
          <w:szCs w:val="20"/>
        </w:rPr>
        <w:t>Une tâche n’a qu’un seul responsable et qu’un seul approbateur, et ce n’est jamais la même personne. Le responsable produit, l’approbateur accepte. C’est la même logique que la relecture croisée de la section 4.</w:t>
      </w:r>
      <w:bookmarkEnd w:id="176"/>
      <w:bookmarkEnd w:id="177"/>
    </w:p>
    <w:p w14:paraId="06336B0F" w14:textId="77777777" w:rsidR="00F50D70" w:rsidRPr="00BE4F47" w:rsidRDefault="00137D7F" w:rsidP="008E113B">
      <w:pPr>
        <w:pStyle w:val="Lgende"/>
        <w:keepNext/>
        <w:spacing w:after="130" w:line="360" w:lineRule="auto"/>
        <w:ind w:left="360"/>
        <w:rPr>
          <w:rFonts w:ascii="Aptos" w:hAnsi="Aptos"/>
        </w:rPr>
      </w:pPr>
      <w:bookmarkStart w:id="178" w:name="_Toc241082769"/>
      <w:bookmarkStart w:id="179" w:name="_Toc241670063"/>
      <w:r w:rsidRPr="00BE4F47">
        <w:rPr>
          <w:rFonts w:ascii="Aptos" w:hAnsi="Aptos"/>
          <w:color w:val="1A1A19"/>
          <w:sz w:val="20"/>
          <w:szCs w:val="20"/>
        </w:rPr>
        <w:t>Tableau 3-2. Responsable, approbateur et consultés par tâche du plan</w:t>
      </w:r>
      <w:bookmarkEnd w:id="178"/>
      <w:bookmarkEnd w:id="179"/>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2900"/>
        <w:gridCol w:w="1400"/>
        <w:gridCol w:w="1400"/>
        <w:gridCol w:w="2857"/>
      </w:tblGrid>
      <w:tr w:rsidR="00F50D70" w:rsidRPr="00BE4F47" w14:paraId="10AC5030" w14:textId="77777777" w:rsidTr="0036725C">
        <w:trPr>
          <w:trHeight w:val="227"/>
          <w:tblHeader/>
        </w:trPr>
        <w:tc>
          <w:tcPr>
            <w:tcW w:w="29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D9EDA5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Tâche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22BA43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Responsable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6F47E1C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Approbateur</w:t>
            </w:r>
          </w:p>
        </w:tc>
        <w:tc>
          <w:tcPr>
            <w:tcW w:w="28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3AD0BD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Consultés</w:t>
            </w:r>
          </w:p>
        </w:tc>
      </w:tr>
      <w:tr w:rsidR="00F50D70" w:rsidRPr="00BE4F47" w14:paraId="50B9F214"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3D8CF86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Analyse des besoins</w:t>
            </w:r>
          </w:p>
        </w:tc>
        <w:tc>
          <w:tcPr>
            <w:tcW w:w="1400" w:type="dxa"/>
            <w:tcBorders>
              <w:top w:val="single" w:sz="4" w:space="0" w:color="000000"/>
              <w:left w:val="single" w:sz="4" w:space="0" w:color="000000"/>
              <w:bottom w:val="single" w:sz="4" w:space="0" w:color="000000"/>
              <w:right w:val="single" w:sz="4" w:space="0" w:color="000000"/>
            </w:tcBorders>
          </w:tcPr>
          <w:p w14:paraId="6423A09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Ibrahim</w:t>
            </w:r>
          </w:p>
        </w:tc>
        <w:tc>
          <w:tcPr>
            <w:tcW w:w="1400" w:type="dxa"/>
            <w:tcBorders>
              <w:top w:val="single" w:sz="4" w:space="0" w:color="000000"/>
              <w:left w:val="single" w:sz="4" w:space="0" w:color="000000"/>
              <w:bottom w:val="single" w:sz="4" w:space="0" w:color="000000"/>
              <w:right w:val="single" w:sz="4" w:space="0" w:color="000000"/>
            </w:tcBorders>
          </w:tcPr>
          <w:p w14:paraId="45D50B7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19258DB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Martin Otis</w:t>
            </w:r>
          </w:p>
        </w:tc>
      </w:tr>
      <w:tr w:rsidR="00F50D70" w:rsidRPr="00BE4F47" w14:paraId="52456547"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0888D23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Diagramme UML</w:t>
            </w:r>
          </w:p>
        </w:tc>
        <w:tc>
          <w:tcPr>
            <w:tcW w:w="1400" w:type="dxa"/>
            <w:tcBorders>
              <w:top w:val="single" w:sz="4" w:space="0" w:color="000000"/>
              <w:left w:val="single" w:sz="4" w:space="0" w:color="000000"/>
              <w:bottom w:val="single" w:sz="4" w:space="0" w:color="000000"/>
              <w:right w:val="single" w:sz="4" w:space="0" w:color="000000"/>
            </w:tcBorders>
          </w:tcPr>
          <w:p w14:paraId="03F65A5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Sidiki</w:t>
            </w:r>
          </w:p>
        </w:tc>
        <w:tc>
          <w:tcPr>
            <w:tcW w:w="1400" w:type="dxa"/>
            <w:tcBorders>
              <w:top w:val="single" w:sz="4" w:space="0" w:color="000000"/>
              <w:left w:val="single" w:sz="4" w:space="0" w:color="000000"/>
              <w:bottom w:val="single" w:sz="4" w:space="0" w:color="000000"/>
              <w:right w:val="single" w:sz="4" w:space="0" w:color="000000"/>
            </w:tcBorders>
          </w:tcPr>
          <w:p w14:paraId="1CF539F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06BE6C1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Martin Otis, Raouf</w:t>
            </w:r>
          </w:p>
        </w:tc>
      </w:tr>
      <w:tr w:rsidR="00F50D70" w:rsidRPr="00BE4F47" w14:paraId="1195F8E5"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4B4B341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Structure du projet</w:t>
            </w:r>
          </w:p>
        </w:tc>
        <w:tc>
          <w:tcPr>
            <w:tcW w:w="1400" w:type="dxa"/>
            <w:tcBorders>
              <w:top w:val="single" w:sz="4" w:space="0" w:color="000000"/>
              <w:left w:val="single" w:sz="4" w:space="0" w:color="000000"/>
              <w:bottom w:val="single" w:sz="4" w:space="0" w:color="000000"/>
              <w:right w:val="single" w:sz="4" w:space="0" w:color="000000"/>
            </w:tcBorders>
          </w:tcPr>
          <w:p w14:paraId="1F1AA51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1400" w:type="dxa"/>
            <w:tcBorders>
              <w:top w:val="single" w:sz="4" w:space="0" w:color="000000"/>
              <w:left w:val="single" w:sz="4" w:space="0" w:color="000000"/>
              <w:bottom w:val="single" w:sz="4" w:space="0" w:color="000000"/>
              <w:right w:val="single" w:sz="4" w:space="0" w:color="000000"/>
            </w:tcBorders>
          </w:tcPr>
          <w:p w14:paraId="5C3BF61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Martin Otis</w:t>
            </w:r>
          </w:p>
        </w:tc>
        <w:tc>
          <w:tcPr>
            <w:tcW w:w="2857" w:type="dxa"/>
            <w:tcBorders>
              <w:top w:val="single" w:sz="4" w:space="0" w:color="000000"/>
              <w:left w:val="single" w:sz="4" w:space="0" w:color="000000"/>
              <w:bottom w:val="single" w:sz="4" w:space="0" w:color="000000"/>
              <w:right w:val="single" w:sz="4" w:space="0" w:color="000000"/>
            </w:tcBorders>
          </w:tcPr>
          <w:p w14:paraId="035C939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Jérémie, Abdramane</w:t>
            </w:r>
          </w:p>
        </w:tc>
      </w:tr>
      <w:tr w:rsidR="00F50D70" w:rsidRPr="00BE4F47" w14:paraId="5BA7987B"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417A2D2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Diagramme de Gantt</w:t>
            </w:r>
          </w:p>
        </w:tc>
        <w:tc>
          <w:tcPr>
            <w:tcW w:w="1400" w:type="dxa"/>
            <w:tcBorders>
              <w:top w:val="single" w:sz="4" w:space="0" w:color="000000"/>
              <w:left w:val="single" w:sz="4" w:space="0" w:color="000000"/>
              <w:bottom w:val="single" w:sz="4" w:space="0" w:color="000000"/>
              <w:right w:val="single" w:sz="4" w:space="0" w:color="000000"/>
            </w:tcBorders>
          </w:tcPr>
          <w:p w14:paraId="0723015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Jérémie</w:t>
            </w:r>
          </w:p>
        </w:tc>
        <w:tc>
          <w:tcPr>
            <w:tcW w:w="1400" w:type="dxa"/>
            <w:tcBorders>
              <w:top w:val="single" w:sz="4" w:space="0" w:color="000000"/>
              <w:left w:val="single" w:sz="4" w:space="0" w:color="000000"/>
              <w:bottom w:val="single" w:sz="4" w:space="0" w:color="000000"/>
              <w:right w:val="single" w:sz="4" w:space="0" w:color="000000"/>
            </w:tcBorders>
          </w:tcPr>
          <w:p w14:paraId="64F74E1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7E7B4F8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Ibrahim</w:t>
            </w:r>
          </w:p>
        </w:tc>
      </w:tr>
      <w:tr w:rsidR="00F50D70" w:rsidRPr="00BE4F47" w14:paraId="4DE16C21"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479192C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lastRenderedPageBreak/>
              <w:t>Description de l’équipe</w:t>
            </w:r>
          </w:p>
        </w:tc>
        <w:tc>
          <w:tcPr>
            <w:tcW w:w="1400" w:type="dxa"/>
            <w:tcBorders>
              <w:top w:val="single" w:sz="4" w:space="0" w:color="000000"/>
              <w:left w:val="single" w:sz="4" w:space="0" w:color="000000"/>
              <w:bottom w:val="single" w:sz="4" w:space="0" w:color="000000"/>
              <w:right w:val="single" w:sz="4" w:space="0" w:color="000000"/>
            </w:tcBorders>
          </w:tcPr>
          <w:p w14:paraId="36B9C6C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Abdramane</w:t>
            </w:r>
          </w:p>
        </w:tc>
        <w:tc>
          <w:tcPr>
            <w:tcW w:w="1400" w:type="dxa"/>
            <w:tcBorders>
              <w:top w:val="single" w:sz="4" w:space="0" w:color="000000"/>
              <w:left w:val="single" w:sz="4" w:space="0" w:color="000000"/>
              <w:bottom w:val="single" w:sz="4" w:space="0" w:color="000000"/>
              <w:right w:val="single" w:sz="4" w:space="0" w:color="000000"/>
            </w:tcBorders>
          </w:tcPr>
          <w:p w14:paraId="100C516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439BDFB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Sidiki</w:t>
            </w:r>
          </w:p>
        </w:tc>
      </w:tr>
      <w:tr w:rsidR="00F50D70" w:rsidRPr="00BE4F47" w14:paraId="723A8A1A"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5BFE1E3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Matrice des responsabilités</w:t>
            </w:r>
          </w:p>
        </w:tc>
        <w:tc>
          <w:tcPr>
            <w:tcW w:w="1400" w:type="dxa"/>
            <w:tcBorders>
              <w:top w:val="single" w:sz="4" w:space="0" w:color="000000"/>
              <w:left w:val="single" w:sz="4" w:space="0" w:color="000000"/>
              <w:bottom w:val="single" w:sz="4" w:space="0" w:color="000000"/>
              <w:right w:val="single" w:sz="4" w:space="0" w:color="000000"/>
            </w:tcBorders>
          </w:tcPr>
          <w:p w14:paraId="3EDA9B0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1400" w:type="dxa"/>
            <w:tcBorders>
              <w:top w:val="single" w:sz="4" w:space="0" w:color="000000"/>
              <w:left w:val="single" w:sz="4" w:space="0" w:color="000000"/>
              <w:bottom w:val="single" w:sz="4" w:space="0" w:color="000000"/>
              <w:right w:val="single" w:sz="4" w:space="0" w:color="000000"/>
            </w:tcBorders>
          </w:tcPr>
          <w:p w14:paraId="6379E3A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Martin Otis</w:t>
            </w:r>
          </w:p>
        </w:tc>
        <w:tc>
          <w:tcPr>
            <w:tcW w:w="2857" w:type="dxa"/>
            <w:tcBorders>
              <w:top w:val="single" w:sz="4" w:space="0" w:color="000000"/>
              <w:left w:val="single" w:sz="4" w:space="0" w:color="000000"/>
              <w:bottom w:val="single" w:sz="4" w:space="0" w:color="000000"/>
              <w:right w:val="single" w:sz="4" w:space="0" w:color="000000"/>
            </w:tcBorders>
          </w:tcPr>
          <w:p w14:paraId="561EAF5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Jérémie, Sidiki</w:t>
            </w:r>
          </w:p>
        </w:tc>
      </w:tr>
      <w:tr w:rsidR="00F50D70" w:rsidRPr="00BE4F47" w14:paraId="3BEE298B"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4AD1094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Description des livrables</w:t>
            </w:r>
          </w:p>
        </w:tc>
        <w:tc>
          <w:tcPr>
            <w:tcW w:w="1400" w:type="dxa"/>
            <w:tcBorders>
              <w:top w:val="single" w:sz="4" w:space="0" w:color="000000"/>
              <w:left w:val="single" w:sz="4" w:space="0" w:color="000000"/>
              <w:bottom w:val="single" w:sz="4" w:space="0" w:color="000000"/>
              <w:right w:val="single" w:sz="4" w:space="0" w:color="000000"/>
            </w:tcBorders>
          </w:tcPr>
          <w:p w14:paraId="505E7A3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Ibrahim</w:t>
            </w:r>
          </w:p>
        </w:tc>
        <w:tc>
          <w:tcPr>
            <w:tcW w:w="1400" w:type="dxa"/>
            <w:tcBorders>
              <w:top w:val="single" w:sz="4" w:space="0" w:color="000000"/>
              <w:left w:val="single" w:sz="4" w:space="0" w:color="000000"/>
              <w:bottom w:val="single" w:sz="4" w:space="0" w:color="000000"/>
              <w:right w:val="single" w:sz="4" w:space="0" w:color="000000"/>
            </w:tcBorders>
          </w:tcPr>
          <w:p w14:paraId="538315A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66E3603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Rayane</w:t>
            </w:r>
          </w:p>
        </w:tc>
      </w:tr>
      <w:tr w:rsidR="00F50D70" w:rsidRPr="00BE4F47" w14:paraId="069EF8DD"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3ABC88F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Stratégie de contrôle des versions</w:t>
            </w:r>
          </w:p>
        </w:tc>
        <w:tc>
          <w:tcPr>
            <w:tcW w:w="1400" w:type="dxa"/>
            <w:tcBorders>
              <w:top w:val="single" w:sz="4" w:space="0" w:color="000000"/>
              <w:left w:val="single" w:sz="4" w:space="0" w:color="000000"/>
              <w:bottom w:val="single" w:sz="4" w:space="0" w:color="000000"/>
              <w:right w:val="single" w:sz="4" w:space="0" w:color="000000"/>
            </w:tcBorders>
          </w:tcPr>
          <w:p w14:paraId="6DE06DC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1400" w:type="dxa"/>
            <w:tcBorders>
              <w:top w:val="single" w:sz="4" w:space="0" w:color="000000"/>
              <w:left w:val="single" w:sz="4" w:space="0" w:color="000000"/>
              <w:bottom w:val="single" w:sz="4" w:space="0" w:color="000000"/>
              <w:right w:val="single" w:sz="4" w:space="0" w:color="000000"/>
            </w:tcBorders>
          </w:tcPr>
          <w:p w14:paraId="55DFA47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Martin Otis</w:t>
            </w:r>
          </w:p>
        </w:tc>
        <w:tc>
          <w:tcPr>
            <w:tcW w:w="2857" w:type="dxa"/>
            <w:tcBorders>
              <w:top w:val="single" w:sz="4" w:space="0" w:color="000000"/>
              <w:left w:val="single" w:sz="4" w:space="0" w:color="000000"/>
              <w:bottom w:val="single" w:sz="4" w:space="0" w:color="000000"/>
              <w:right w:val="single" w:sz="4" w:space="0" w:color="000000"/>
            </w:tcBorders>
          </w:tcPr>
          <w:p w14:paraId="7FB6105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Raouf, Abdramane</w:t>
            </w:r>
          </w:p>
        </w:tc>
      </w:tr>
      <w:tr w:rsidR="00F50D70" w:rsidRPr="00BE4F47" w14:paraId="02B98AF5"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1BBDDC9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Revue de l’état de l’art</w:t>
            </w:r>
          </w:p>
        </w:tc>
        <w:tc>
          <w:tcPr>
            <w:tcW w:w="1400" w:type="dxa"/>
            <w:tcBorders>
              <w:top w:val="single" w:sz="4" w:space="0" w:color="000000"/>
              <w:left w:val="single" w:sz="4" w:space="0" w:color="000000"/>
              <w:bottom w:val="single" w:sz="4" w:space="0" w:color="000000"/>
              <w:right w:val="single" w:sz="4" w:space="0" w:color="000000"/>
            </w:tcBorders>
          </w:tcPr>
          <w:p w14:paraId="5DC3C64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Abdramane</w:t>
            </w:r>
          </w:p>
        </w:tc>
        <w:tc>
          <w:tcPr>
            <w:tcW w:w="1400" w:type="dxa"/>
            <w:tcBorders>
              <w:top w:val="single" w:sz="4" w:space="0" w:color="000000"/>
              <w:left w:val="single" w:sz="4" w:space="0" w:color="000000"/>
              <w:bottom w:val="single" w:sz="4" w:space="0" w:color="000000"/>
              <w:right w:val="single" w:sz="4" w:space="0" w:color="000000"/>
            </w:tcBorders>
          </w:tcPr>
          <w:p w14:paraId="3A9A413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4AC500B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Rayane, Raouf, Wilson</w:t>
            </w:r>
          </w:p>
        </w:tc>
      </w:tr>
      <w:tr w:rsidR="00F50D70" w:rsidRPr="00BE4F47" w14:paraId="5C9AA9A7"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2314930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Normes, codes et standards</w:t>
            </w:r>
          </w:p>
        </w:tc>
        <w:tc>
          <w:tcPr>
            <w:tcW w:w="1400" w:type="dxa"/>
            <w:tcBorders>
              <w:top w:val="single" w:sz="4" w:space="0" w:color="000000"/>
              <w:left w:val="single" w:sz="4" w:space="0" w:color="000000"/>
              <w:bottom w:val="single" w:sz="4" w:space="0" w:color="000000"/>
              <w:right w:val="single" w:sz="4" w:space="0" w:color="000000"/>
            </w:tcBorders>
          </w:tcPr>
          <w:p w14:paraId="6758311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Raouf</w:t>
            </w:r>
          </w:p>
        </w:tc>
        <w:tc>
          <w:tcPr>
            <w:tcW w:w="1400" w:type="dxa"/>
            <w:tcBorders>
              <w:top w:val="single" w:sz="4" w:space="0" w:color="000000"/>
              <w:left w:val="single" w:sz="4" w:space="0" w:color="000000"/>
              <w:bottom w:val="single" w:sz="4" w:space="0" w:color="000000"/>
              <w:right w:val="single" w:sz="4" w:space="0" w:color="000000"/>
            </w:tcBorders>
          </w:tcPr>
          <w:p w14:paraId="3D60BBF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4316CBF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Jérémie, Abdramane</w:t>
            </w:r>
          </w:p>
        </w:tc>
      </w:tr>
      <w:tr w:rsidR="00F50D70" w:rsidRPr="00BE4F47" w14:paraId="7E97D17C"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346B41F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Impacts du projet et gestion des risques</w:t>
            </w:r>
          </w:p>
        </w:tc>
        <w:tc>
          <w:tcPr>
            <w:tcW w:w="1400" w:type="dxa"/>
            <w:tcBorders>
              <w:top w:val="single" w:sz="4" w:space="0" w:color="000000"/>
              <w:left w:val="single" w:sz="4" w:space="0" w:color="000000"/>
              <w:bottom w:val="single" w:sz="4" w:space="0" w:color="000000"/>
              <w:right w:val="single" w:sz="4" w:space="0" w:color="000000"/>
            </w:tcBorders>
          </w:tcPr>
          <w:p w14:paraId="11CF43F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Sidiki</w:t>
            </w:r>
          </w:p>
        </w:tc>
        <w:tc>
          <w:tcPr>
            <w:tcW w:w="1400" w:type="dxa"/>
            <w:tcBorders>
              <w:top w:val="single" w:sz="4" w:space="0" w:color="000000"/>
              <w:left w:val="single" w:sz="4" w:space="0" w:color="000000"/>
              <w:bottom w:val="single" w:sz="4" w:space="0" w:color="000000"/>
              <w:right w:val="single" w:sz="4" w:space="0" w:color="000000"/>
            </w:tcBorders>
          </w:tcPr>
          <w:p w14:paraId="576FA91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71B66D9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Martin Otis</w:t>
            </w:r>
          </w:p>
        </w:tc>
      </w:tr>
      <w:tr w:rsidR="00F50D70" w:rsidRPr="00BE4F47" w14:paraId="75CC3B02"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214C7DC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Estimation préliminaire des coûts</w:t>
            </w:r>
          </w:p>
        </w:tc>
        <w:tc>
          <w:tcPr>
            <w:tcW w:w="1400" w:type="dxa"/>
            <w:tcBorders>
              <w:top w:val="single" w:sz="4" w:space="0" w:color="000000"/>
              <w:left w:val="single" w:sz="4" w:space="0" w:color="000000"/>
              <w:bottom w:val="single" w:sz="4" w:space="0" w:color="000000"/>
              <w:right w:val="single" w:sz="4" w:space="0" w:color="000000"/>
            </w:tcBorders>
          </w:tcPr>
          <w:p w14:paraId="0E812AC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Wilson</w:t>
            </w:r>
          </w:p>
        </w:tc>
        <w:tc>
          <w:tcPr>
            <w:tcW w:w="1400" w:type="dxa"/>
            <w:tcBorders>
              <w:top w:val="single" w:sz="4" w:space="0" w:color="000000"/>
              <w:left w:val="single" w:sz="4" w:space="0" w:color="000000"/>
              <w:bottom w:val="single" w:sz="4" w:space="0" w:color="000000"/>
              <w:right w:val="single" w:sz="4" w:space="0" w:color="000000"/>
            </w:tcBorders>
          </w:tcPr>
          <w:p w14:paraId="0C521F8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4591649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Sidiki</w:t>
            </w:r>
          </w:p>
        </w:tc>
      </w:tr>
      <w:tr w:rsidR="00F50D70" w:rsidRPr="00BE4F47" w14:paraId="1AB5377B"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3700B33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Échéancier préliminaire</w:t>
            </w:r>
          </w:p>
        </w:tc>
        <w:tc>
          <w:tcPr>
            <w:tcW w:w="1400" w:type="dxa"/>
            <w:tcBorders>
              <w:top w:val="single" w:sz="4" w:space="0" w:color="000000"/>
              <w:left w:val="single" w:sz="4" w:space="0" w:color="000000"/>
              <w:bottom w:val="single" w:sz="4" w:space="0" w:color="000000"/>
              <w:right w:val="single" w:sz="4" w:space="0" w:color="000000"/>
            </w:tcBorders>
          </w:tcPr>
          <w:p w14:paraId="30E8FA3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1400" w:type="dxa"/>
            <w:tcBorders>
              <w:top w:val="single" w:sz="4" w:space="0" w:color="000000"/>
              <w:left w:val="single" w:sz="4" w:space="0" w:color="000000"/>
              <w:bottom w:val="single" w:sz="4" w:space="0" w:color="000000"/>
              <w:right w:val="single" w:sz="4" w:space="0" w:color="000000"/>
            </w:tcBorders>
          </w:tcPr>
          <w:p w14:paraId="74D3B54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Martin Otis</w:t>
            </w:r>
          </w:p>
        </w:tc>
        <w:tc>
          <w:tcPr>
            <w:tcW w:w="2857" w:type="dxa"/>
            <w:tcBorders>
              <w:top w:val="single" w:sz="4" w:space="0" w:color="000000"/>
              <w:left w:val="single" w:sz="4" w:space="0" w:color="000000"/>
              <w:bottom w:val="single" w:sz="4" w:space="0" w:color="000000"/>
              <w:right w:val="single" w:sz="4" w:space="0" w:color="000000"/>
            </w:tcBorders>
          </w:tcPr>
          <w:p w14:paraId="78DEE99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Jérémie</w:t>
            </w:r>
          </w:p>
        </w:tc>
      </w:tr>
      <w:tr w:rsidR="00F50D70" w:rsidRPr="00BE4F47" w14:paraId="2494C0D0" w14:textId="77777777">
        <w:trPr>
          <w:cantSplit/>
          <w:trHeight w:val="415"/>
        </w:trPr>
        <w:tc>
          <w:tcPr>
            <w:tcW w:w="2900" w:type="dxa"/>
            <w:tcBorders>
              <w:top w:val="single" w:sz="4" w:space="0" w:color="000000"/>
              <w:left w:val="single" w:sz="4" w:space="0" w:color="000000"/>
              <w:bottom w:val="single" w:sz="4" w:space="0" w:color="000000"/>
              <w:right w:val="single" w:sz="4" w:space="0" w:color="000000"/>
            </w:tcBorders>
          </w:tcPr>
          <w:p w14:paraId="351E1E8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Références pertinentes au projet</w:t>
            </w:r>
          </w:p>
        </w:tc>
        <w:tc>
          <w:tcPr>
            <w:tcW w:w="1400" w:type="dxa"/>
            <w:tcBorders>
              <w:top w:val="single" w:sz="4" w:space="0" w:color="000000"/>
              <w:left w:val="single" w:sz="4" w:space="0" w:color="000000"/>
              <w:bottom w:val="single" w:sz="4" w:space="0" w:color="000000"/>
              <w:right w:val="single" w:sz="4" w:space="0" w:color="000000"/>
            </w:tcBorders>
          </w:tcPr>
          <w:p w14:paraId="5F853D3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Rayane</w:t>
            </w:r>
          </w:p>
        </w:tc>
        <w:tc>
          <w:tcPr>
            <w:tcW w:w="1400" w:type="dxa"/>
            <w:tcBorders>
              <w:top w:val="single" w:sz="4" w:space="0" w:color="000000"/>
              <w:left w:val="single" w:sz="4" w:space="0" w:color="000000"/>
              <w:bottom w:val="single" w:sz="4" w:space="0" w:color="000000"/>
              <w:right w:val="single" w:sz="4" w:space="0" w:color="000000"/>
            </w:tcBorders>
          </w:tcPr>
          <w:p w14:paraId="158B291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Christian</w:t>
            </w:r>
          </w:p>
        </w:tc>
        <w:tc>
          <w:tcPr>
            <w:tcW w:w="2857" w:type="dxa"/>
            <w:tcBorders>
              <w:top w:val="single" w:sz="4" w:space="0" w:color="000000"/>
              <w:left w:val="single" w:sz="4" w:space="0" w:color="000000"/>
              <w:bottom w:val="single" w:sz="4" w:space="0" w:color="000000"/>
              <w:right w:val="single" w:sz="4" w:space="0" w:color="000000"/>
            </w:tcBorders>
          </w:tcPr>
          <w:p w14:paraId="16B4790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Abdramane</w:t>
            </w:r>
          </w:p>
        </w:tc>
      </w:tr>
    </w:tbl>
    <w:p w14:paraId="57B13101" w14:textId="77777777" w:rsidR="00F50D70" w:rsidRPr="00136F18" w:rsidRDefault="00137D7F" w:rsidP="008E113B">
      <w:pPr>
        <w:pStyle w:val="Titre1"/>
        <w:spacing w:line="360" w:lineRule="auto"/>
      </w:pPr>
      <w:bookmarkStart w:id="180" w:name="__RefHeading___Toc240715120"/>
      <w:bookmarkStart w:id="181" w:name="_Toc241670064"/>
      <w:bookmarkEnd w:id="180"/>
      <w:r w:rsidRPr="00136F18">
        <w:t>Stratégie de contrôle des versions</w:t>
      </w:r>
      <w:bookmarkEnd w:id="181"/>
    </w:p>
    <w:p w14:paraId="43B1DFDC" w14:textId="77777777" w:rsidR="00F50D70" w:rsidRPr="00BE4F47" w:rsidRDefault="00137D7F" w:rsidP="008E113B">
      <w:pPr>
        <w:spacing w:before="200" w:after="130" w:line="360" w:lineRule="auto"/>
        <w:ind w:left="360"/>
        <w:rPr>
          <w:rFonts w:ascii="Aptos" w:hAnsi="Aptos"/>
        </w:rPr>
      </w:pPr>
      <w:bookmarkStart w:id="182" w:name="_Toc241082889"/>
      <w:bookmarkStart w:id="183" w:name="_Toc241670065"/>
      <w:r w:rsidRPr="00BE4F47">
        <w:rPr>
          <w:rFonts w:ascii="Aptos" w:hAnsi="Aptos"/>
          <w:color w:val="1A1A19"/>
          <w:sz w:val="20"/>
          <w:szCs w:val="20"/>
        </w:rPr>
        <w:t>Huit personnes produisent les livrables de la section 2. Cette section dit comment nous conservons et retrouvons notre travail.</w:t>
      </w:r>
      <w:bookmarkEnd w:id="182"/>
      <w:bookmarkEnd w:id="183"/>
    </w:p>
    <w:p w14:paraId="19E5D55D" w14:textId="77777777" w:rsidR="00F50D70" w:rsidRPr="00136F18" w:rsidRDefault="00137D7F" w:rsidP="008E113B">
      <w:pPr>
        <w:pStyle w:val="Titre2"/>
        <w:spacing w:line="360" w:lineRule="auto"/>
      </w:pPr>
      <w:bookmarkStart w:id="184" w:name="_Toc241670066"/>
      <w:r w:rsidRPr="00136F18">
        <w:t>Objet et portée</w:t>
      </w:r>
      <w:bookmarkEnd w:id="184"/>
    </w:p>
    <w:p w14:paraId="21370D7B"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185" w:name="_Toc241082891"/>
      <w:bookmarkStart w:id="186" w:name="_Toc241670067"/>
      <w:r w:rsidRPr="00BE4F47">
        <w:rPr>
          <w:rFonts w:ascii="Aptos" w:hAnsi="Aptos"/>
          <w:color w:val="1A1A19"/>
          <w:sz w:val="20"/>
          <w:szCs w:val="20"/>
        </w:rPr>
        <w:t>La gestion porte sur tout ce que le projet produit, et pas seulement sur le code : documents, code, modèles, diagrammes, jeux de données, résultats d’essais et références.</w:t>
      </w:r>
      <w:bookmarkEnd w:id="185"/>
      <w:bookmarkEnd w:id="186"/>
    </w:p>
    <w:p w14:paraId="580CE01A"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187" w:name="_Toc241082892"/>
      <w:bookmarkStart w:id="188" w:name="_Toc241670068"/>
      <w:r w:rsidRPr="00BE4F47">
        <w:rPr>
          <w:rFonts w:ascii="Aptos" w:hAnsi="Aptos"/>
          <w:color w:val="1A1A19"/>
          <w:sz w:val="20"/>
          <w:szCs w:val="20"/>
        </w:rPr>
        <w:t>Trois raisons la rendent nécessaire :</w:t>
      </w:r>
      <w:bookmarkEnd w:id="187"/>
      <w:bookmarkEnd w:id="188"/>
    </w:p>
    <w:p w14:paraId="00FE3D09" w14:textId="77777777" w:rsidR="00F50D70" w:rsidRPr="00BE4F47" w:rsidRDefault="00137D7F" w:rsidP="008E113B">
      <w:pPr>
        <w:numPr>
          <w:ilvl w:val="0"/>
          <w:numId w:val="20"/>
        </w:numPr>
        <w:spacing w:after="130" w:line="360" w:lineRule="auto"/>
        <w:ind w:left="720"/>
        <w:rPr>
          <w:rFonts w:ascii="Aptos" w:hAnsi="Aptos"/>
          <w:lang w:val="fr-FR"/>
        </w:rPr>
      </w:pPr>
      <w:bookmarkStart w:id="189" w:name="_Toc241670069"/>
      <w:r w:rsidRPr="00BE4F47">
        <w:rPr>
          <w:rFonts w:ascii="Aptos" w:hAnsi="Aptos"/>
          <w:color w:val="1A1A19"/>
          <w:sz w:val="20"/>
          <w:szCs w:val="20"/>
        </w:rPr>
        <w:t>Nous sommes huit à écrire onze sections du même document. Sans règle commune, les versions divergent en quelques jours.</w:t>
      </w:r>
      <w:bookmarkEnd w:id="189"/>
    </w:p>
    <w:p w14:paraId="347831DA" w14:textId="77777777" w:rsidR="00F50D70" w:rsidRPr="00BE4F47" w:rsidRDefault="00137D7F" w:rsidP="008E113B">
      <w:pPr>
        <w:numPr>
          <w:ilvl w:val="0"/>
          <w:numId w:val="20"/>
        </w:numPr>
        <w:spacing w:after="130" w:line="360" w:lineRule="auto"/>
        <w:ind w:left="720"/>
        <w:rPr>
          <w:rFonts w:ascii="Aptos" w:hAnsi="Aptos"/>
          <w:lang w:val="fr-FR"/>
        </w:rPr>
      </w:pPr>
      <w:bookmarkStart w:id="190" w:name="_Toc241670070"/>
      <w:r w:rsidRPr="00BE4F47">
        <w:rPr>
          <w:rFonts w:ascii="Aptos" w:hAnsi="Aptos"/>
          <w:color w:val="1A1A19"/>
          <w:sz w:val="20"/>
          <w:szCs w:val="20"/>
        </w:rPr>
        <w:t>Un résultat d’essai n’a de valeur que si l’on sait quelle version du modèle et du jeu de données l’a produit. C’est la reproductibilité exigée par EX-F-02.</w:t>
      </w:r>
      <w:bookmarkEnd w:id="190"/>
    </w:p>
    <w:p w14:paraId="021D38CA" w14:textId="77777777" w:rsidR="00F50D70" w:rsidRPr="00BE4F47" w:rsidRDefault="00137D7F" w:rsidP="008E113B">
      <w:pPr>
        <w:numPr>
          <w:ilvl w:val="0"/>
          <w:numId w:val="20"/>
        </w:numPr>
        <w:spacing w:after="130" w:line="360" w:lineRule="auto"/>
        <w:ind w:left="720"/>
        <w:rPr>
          <w:rFonts w:ascii="Aptos" w:hAnsi="Aptos"/>
          <w:lang w:val="fr-FR"/>
        </w:rPr>
      </w:pPr>
      <w:bookmarkStart w:id="191" w:name="_Toc241670071"/>
      <w:r w:rsidRPr="00BE4F47">
        <w:rPr>
          <w:rFonts w:ascii="Aptos" w:hAnsi="Aptos"/>
          <w:color w:val="1A1A19"/>
          <w:sz w:val="20"/>
          <w:szCs w:val="20"/>
        </w:rPr>
        <w:t>Le projet se place dans un cadre nucléaire simulé. La traçabilité documentaire est une attente du système de gestion décrit par REGDOC-2.1.1 [2].</w:t>
      </w:r>
      <w:bookmarkEnd w:id="191"/>
    </w:p>
    <w:p w14:paraId="36184C07"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192" w:name="_Toc241082893"/>
      <w:bookmarkStart w:id="193" w:name="_Toc241670072"/>
      <w:r w:rsidRPr="00BE4F47">
        <w:rPr>
          <w:rFonts w:ascii="Aptos" w:hAnsi="Aptos"/>
          <w:color w:val="1A1A19"/>
          <w:sz w:val="20"/>
          <w:szCs w:val="20"/>
        </w:rPr>
        <w:t>Nous suivons le processus de gestion de la configuration de la norme ISO/IEC/IEEE 12207 [3], retenue au tableau des normes de la section 6 : identifier ce qui est géré, contrôler les modifications, enregistrer l’état, et vérifier que ce qui est livré est bien ce qui était prévu. La section suit cet ordre.</w:t>
      </w:r>
      <w:bookmarkEnd w:id="192"/>
      <w:bookmarkEnd w:id="193"/>
    </w:p>
    <w:p w14:paraId="47DD832E" w14:textId="77777777" w:rsidR="00F50D70" w:rsidRPr="00136F18" w:rsidRDefault="00137D7F" w:rsidP="008E113B">
      <w:pPr>
        <w:pStyle w:val="Titre2"/>
        <w:spacing w:line="360" w:lineRule="auto"/>
      </w:pPr>
      <w:bookmarkStart w:id="194" w:name="_Toc241670073"/>
      <w:r w:rsidRPr="00136F18">
        <w:lastRenderedPageBreak/>
        <w:t>Inventaire de l’information à gérer</w:t>
      </w:r>
      <w:bookmarkEnd w:id="194"/>
    </w:p>
    <w:p w14:paraId="17FE5A7F"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195" w:name="_Toc241082896"/>
      <w:bookmarkStart w:id="196" w:name="_Toc241670074"/>
      <w:r w:rsidRPr="00BE4F47">
        <w:rPr>
          <w:rFonts w:ascii="Aptos" w:hAnsi="Aptos"/>
          <w:color w:val="1A1A19"/>
          <w:sz w:val="20"/>
          <w:szCs w:val="20"/>
        </w:rPr>
        <w:t>Le tableau 4-1 indique, pour chaque type d’information, où elle est rangée et qui en répond.</w:t>
      </w:r>
      <w:bookmarkEnd w:id="195"/>
      <w:bookmarkEnd w:id="196"/>
    </w:p>
    <w:p w14:paraId="13E28B5D" w14:textId="77777777" w:rsidR="00F50D70" w:rsidRPr="00BE4F47" w:rsidRDefault="00137D7F" w:rsidP="008E113B">
      <w:pPr>
        <w:pStyle w:val="Lgende"/>
        <w:keepNext/>
        <w:spacing w:line="360" w:lineRule="auto"/>
        <w:rPr>
          <w:rFonts w:ascii="Aptos" w:hAnsi="Aptos"/>
        </w:rPr>
      </w:pPr>
      <w:bookmarkStart w:id="197" w:name="_Toc241082897"/>
      <w:bookmarkStart w:id="198" w:name="_Toc241670075"/>
      <w:r w:rsidRPr="00BE4F47">
        <w:rPr>
          <w:rFonts w:ascii="Aptos" w:hAnsi="Aptos"/>
        </w:rPr>
        <w:t>Tableau 4-1. Éléments de configuration du projet</w:t>
      </w:r>
      <w:bookmarkEnd w:id="197"/>
      <w:bookmarkEnd w:id="198"/>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1737"/>
        <w:gridCol w:w="3712"/>
        <w:gridCol w:w="1737"/>
        <w:gridCol w:w="1371"/>
      </w:tblGrid>
      <w:tr w:rsidR="00F50D70" w:rsidRPr="00BE4F47" w14:paraId="78A03423" w14:textId="77777777" w:rsidTr="0036725C">
        <w:trPr>
          <w:tblHeader/>
        </w:trPr>
        <w:tc>
          <w:tcPr>
            <w:tcW w:w="173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5091E5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Catégorie</w:t>
            </w:r>
          </w:p>
        </w:tc>
        <w:tc>
          <w:tcPr>
            <w:tcW w:w="3712"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9DEBCB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Contenu</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0FB685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Emplacement</w:t>
            </w:r>
          </w:p>
        </w:tc>
        <w:tc>
          <w:tcPr>
            <w:tcW w:w="1371"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7DDB42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Responsable</w:t>
            </w:r>
          </w:p>
        </w:tc>
      </w:tr>
      <w:tr w:rsidR="00F50D70" w:rsidRPr="00BE4F47" w14:paraId="3CCF79E2"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34FD117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Sections du plan de projet</w:t>
            </w:r>
          </w:p>
        </w:tc>
        <w:tc>
          <w:tcPr>
            <w:tcW w:w="3712" w:type="dxa"/>
            <w:tcBorders>
              <w:top w:val="single" w:sz="4" w:space="0" w:color="000000"/>
              <w:left w:val="single" w:sz="4" w:space="0" w:color="000000"/>
              <w:bottom w:val="single" w:sz="4" w:space="0" w:color="000000"/>
              <w:right w:val="single" w:sz="4" w:space="0" w:color="000000"/>
            </w:tcBorders>
          </w:tcPr>
          <w:p w14:paraId="6B93A15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Onze sections rédigées en format Word</w:t>
            </w:r>
          </w:p>
        </w:tc>
        <w:tc>
          <w:tcPr>
            <w:tcW w:w="1737" w:type="dxa"/>
            <w:tcBorders>
              <w:top w:val="single" w:sz="4" w:space="0" w:color="000000"/>
              <w:left w:val="single" w:sz="4" w:space="0" w:color="000000"/>
              <w:bottom w:val="single" w:sz="4" w:space="0" w:color="000000"/>
              <w:right w:val="single" w:sz="4" w:space="0" w:color="000000"/>
            </w:tcBorders>
          </w:tcPr>
          <w:p w14:paraId="19A0D59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Dépôt GitHub, dossier plan/</w:t>
            </w:r>
          </w:p>
        </w:tc>
        <w:tc>
          <w:tcPr>
            <w:tcW w:w="1371" w:type="dxa"/>
            <w:tcBorders>
              <w:top w:val="single" w:sz="4" w:space="0" w:color="000000"/>
              <w:left w:val="single" w:sz="4" w:space="0" w:color="000000"/>
              <w:bottom w:val="single" w:sz="4" w:space="0" w:color="000000"/>
              <w:right w:val="single" w:sz="4" w:space="0" w:color="000000"/>
            </w:tcBorders>
          </w:tcPr>
          <w:p w14:paraId="4A2F56E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Chargé de projet</w:t>
            </w:r>
          </w:p>
        </w:tc>
      </w:tr>
      <w:tr w:rsidR="00F50D70" w:rsidRPr="00BE4F47" w14:paraId="05A32B35"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7E83A36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Code et scripts</w:t>
            </w:r>
          </w:p>
        </w:tc>
        <w:tc>
          <w:tcPr>
            <w:tcW w:w="3712" w:type="dxa"/>
            <w:tcBorders>
              <w:top w:val="single" w:sz="4" w:space="0" w:color="000000"/>
              <w:left w:val="single" w:sz="4" w:space="0" w:color="000000"/>
              <w:bottom w:val="single" w:sz="4" w:space="0" w:color="000000"/>
              <w:right w:val="single" w:sz="4" w:space="0" w:color="000000"/>
            </w:tcBorders>
          </w:tcPr>
          <w:p w14:paraId="1B215BA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Noyau de simulation, détection, interface</w:t>
            </w:r>
          </w:p>
        </w:tc>
        <w:tc>
          <w:tcPr>
            <w:tcW w:w="1737" w:type="dxa"/>
            <w:tcBorders>
              <w:top w:val="single" w:sz="4" w:space="0" w:color="000000"/>
              <w:left w:val="single" w:sz="4" w:space="0" w:color="000000"/>
              <w:bottom w:val="single" w:sz="4" w:space="0" w:color="000000"/>
              <w:right w:val="single" w:sz="4" w:space="0" w:color="000000"/>
            </w:tcBorders>
          </w:tcPr>
          <w:p w14:paraId="69C5BB0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Dépôt GitHub</w:t>
            </w:r>
          </w:p>
        </w:tc>
        <w:tc>
          <w:tcPr>
            <w:tcW w:w="1371" w:type="dxa"/>
            <w:tcBorders>
              <w:top w:val="single" w:sz="4" w:space="0" w:color="000000"/>
              <w:left w:val="single" w:sz="4" w:space="0" w:color="000000"/>
              <w:bottom w:val="single" w:sz="4" w:space="0" w:color="000000"/>
              <w:right w:val="single" w:sz="4" w:space="0" w:color="000000"/>
            </w:tcBorders>
          </w:tcPr>
          <w:p w14:paraId="61A5FA6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Responsable du lot</w:t>
            </w:r>
          </w:p>
        </w:tc>
      </w:tr>
      <w:tr w:rsidR="00F50D70" w:rsidRPr="00BE4F47" w14:paraId="1952C442"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5FBD3F8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Modèles</w:t>
            </w:r>
          </w:p>
        </w:tc>
        <w:tc>
          <w:tcPr>
            <w:tcW w:w="3712" w:type="dxa"/>
            <w:tcBorders>
              <w:top w:val="single" w:sz="4" w:space="0" w:color="000000"/>
              <w:left w:val="single" w:sz="4" w:space="0" w:color="000000"/>
              <w:bottom w:val="single" w:sz="4" w:space="0" w:color="000000"/>
              <w:right w:val="single" w:sz="4" w:space="0" w:color="000000"/>
            </w:tcBorders>
          </w:tcPr>
          <w:p w14:paraId="7A3B35D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Fichiers Modelica de la boucle et du modèle de référence</w:t>
            </w:r>
          </w:p>
        </w:tc>
        <w:tc>
          <w:tcPr>
            <w:tcW w:w="1737" w:type="dxa"/>
            <w:tcBorders>
              <w:top w:val="single" w:sz="4" w:space="0" w:color="000000"/>
              <w:left w:val="single" w:sz="4" w:space="0" w:color="000000"/>
              <w:bottom w:val="single" w:sz="4" w:space="0" w:color="000000"/>
              <w:right w:val="single" w:sz="4" w:space="0" w:color="000000"/>
            </w:tcBorders>
          </w:tcPr>
          <w:p w14:paraId="4C8D9FD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Dépôt GitHub</w:t>
            </w:r>
          </w:p>
        </w:tc>
        <w:tc>
          <w:tcPr>
            <w:tcW w:w="1371" w:type="dxa"/>
            <w:tcBorders>
              <w:top w:val="single" w:sz="4" w:space="0" w:color="000000"/>
              <w:left w:val="single" w:sz="4" w:space="0" w:color="000000"/>
              <w:bottom w:val="single" w:sz="4" w:space="0" w:color="000000"/>
              <w:right w:val="single" w:sz="4" w:space="0" w:color="000000"/>
            </w:tcBorders>
          </w:tcPr>
          <w:p w14:paraId="70391A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Responsable du lot L4</w:t>
            </w:r>
          </w:p>
        </w:tc>
      </w:tr>
      <w:tr w:rsidR="00F50D70" w:rsidRPr="00BE4F47" w14:paraId="6F8ECA47"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173FDD1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Diagrammes</w:t>
            </w:r>
          </w:p>
        </w:tc>
        <w:tc>
          <w:tcPr>
            <w:tcW w:w="3712" w:type="dxa"/>
            <w:tcBorders>
              <w:top w:val="single" w:sz="4" w:space="0" w:color="000000"/>
              <w:left w:val="single" w:sz="4" w:space="0" w:color="000000"/>
              <w:bottom w:val="single" w:sz="4" w:space="0" w:color="000000"/>
              <w:right w:val="single" w:sz="4" w:space="0" w:color="000000"/>
            </w:tcBorders>
          </w:tcPr>
          <w:p w14:paraId="0810746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GEMMA, structure de découpage, arbre des risques, en format PlantUML</w:t>
            </w:r>
          </w:p>
        </w:tc>
        <w:tc>
          <w:tcPr>
            <w:tcW w:w="1737" w:type="dxa"/>
            <w:tcBorders>
              <w:top w:val="single" w:sz="4" w:space="0" w:color="000000"/>
              <w:left w:val="single" w:sz="4" w:space="0" w:color="000000"/>
              <w:bottom w:val="single" w:sz="4" w:space="0" w:color="000000"/>
              <w:right w:val="single" w:sz="4" w:space="0" w:color="000000"/>
            </w:tcBorders>
          </w:tcPr>
          <w:p w14:paraId="7A4F234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Dépôt GitHub</w:t>
            </w:r>
          </w:p>
        </w:tc>
        <w:tc>
          <w:tcPr>
            <w:tcW w:w="1371" w:type="dxa"/>
            <w:tcBorders>
              <w:top w:val="single" w:sz="4" w:space="0" w:color="000000"/>
              <w:left w:val="single" w:sz="4" w:space="0" w:color="000000"/>
              <w:bottom w:val="single" w:sz="4" w:space="0" w:color="000000"/>
              <w:right w:val="single" w:sz="4" w:space="0" w:color="000000"/>
            </w:tcBorders>
          </w:tcPr>
          <w:p w14:paraId="4908748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Auteur du diagramme</w:t>
            </w:r>
          </w:p>
        </w:tc>
      </w:tr>
      <w:tr w:rsidR="00F50D70" w:rsidRPr="00BE4F47" w14:paraId="5AD280F7"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53F2F4C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Jeux de données d’essai</w:t>
            </w:r>
          </w:p>
        </w:tc>
        <w:tc>
          <w:tcPr>
            <w:tcW w:w="3712" w:type="dxa"/>
            <w:tcBorders>
              <w:top w:val="single" w:sz="4" w:space="0" w:color="000000"/>
              <w:left w:val="single" w:sz="4" w:space="0" w:color="000000"/>
              <w:bottom w:val="single" w:sz="4" w:space="0" w:color="000000"/>
              <w:right w:val="single" w:sz="4" w:space="0" w:color="000000"/>
            </w:tcBorders>
          </w:tcPr>
          <w:p w14:paraId="2AA4B72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Données synthétiques générées, bruitées et dégradées</w:t>
            </w:r>
          </w:p>
        </w:tc>
        <w:tc>
          <w:tcPr>
            <w:tcW w:w="1737" w:type="dxa"/>
            <w:tcBorders>
              <w:top w:val="single" w:sz="4" w:space="0" w:color="000000"/>
              <w:left w:val="single" w:sz="4" w:space="0" w:color="000000"/>
              <w:bottom w:val="single" w:sz="4" w:space="0" w:color="000000"/>
              <w:right w:val="single" w:sz="4" w:space="0" w:color="000000"/>
            </w:tcBorders>
          </w:tcPr>
          <w:p w14:paraId="0C12421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Dépôt GitHub, via Git LFS si volumineux</w:t>
            </w:r>
          </w:p>
        </w:tc>
        <w:tc>
          <w:tcPr>
            <w:tcW w:w="1371" w:type="dxa"/>
            <w:tcBorders>
              <w:top w:val="single" w:sz="4" w:space="0" w:color="000000"/>
              <w:left w:val="single" w:sz="4" w:space="0" w:color="000000"/>
              <w:bottom w:val="single" w:sz="4" w:space="0" w:color="000000"/>
              <w:right w:val="single" w:sz="4" w:space="0" w:color="000000"/>
            </w:tcBorders>
          </w:tcPr>
          <w:p w14:paraId="337EECD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Responsable du lot L9</w:t>
            </w:r>
          </w:p>
        </w:tc>
      </w:tr>
      <w:tr w:rsidR="00F50D70" w:rsidRPr="00BE4F47" w14:paraId="781D783D"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58AA6D8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Résultats d’essais</w:t>
            </w:r>
          </w:p>
        </w:tc>
        <w:tc>
          <w:tcPr>
            <w:tcW w:w="3712" w:type="dxa"/>
            <w:tcBorders>
              <w:top w:val="single" w:sz="4" w:space="0" w:color="000000"/>
              <w:left w:val="single" w:sz="4" w:space="0" w:color="000000"/>
              <w:bottom w:val="single" w:sz="4" w:space="0" w:color="000000"/>
              <w:right w:val="single" w:sz="4" w:space="0" w:color="000000"/>
            </w:tcBorders>
          </w:tcPr>
          <w:p w14:paraId="1D38C02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Journaux, mesures, rapports de couverture</w:t>
            </w:r>
          </w:p>
        </w:tc>
        <w:tc>
          <w:tcPr>
            <w:tcW w:w="1737" w:type="dxa"/>
            <w:tcBorders>
              <w:top w:val="single" w:sz="4" w:space="0" w:color="000000"/>
              <w:left w:val="single" w:sz="4" w:space="0" w:color="000000"/>
              <w:bottom w:val="single" w:sz="4" w:space="0" w:color="000000"/>
              <w:right w:val="single" w:sz="4" w:space="0" w:color="000000"/>
            </w:tcBorders>
          </w:tcPr>
          <w:p w14:paraId="2530E93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Dépôt GitHub</w:t>
            </w:r>
          </w:p>
        </w:tc>
        <w:tc>
          <w:tcPr>
            <w:tcW w:w="1371" w:type="dxa"/>
            <w:tcBorders>
              <w:top w:val="single" w:sz="4" w:space="0" w:color="000000"/>
              <w:left w:val="single" w:sz="4" w:space="0" w:color="000000"/>
              <w:bottom w:val="single" w:sz="4" w:space="0" w:color="000000"/>
              <w:right w:val="single" w:sz="4" w:space="0" w:color="000000"/>
            </w:tcBorders>
          </w:tcPr>
          <w:p w14:paraId="606FDAA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Responsable du lot L9</w:t>
            </w:r>
          </w:p>
        </w:tc>
      </w:tr>
      <w:tr w:rsidR="00F50D70" w:rsidRPr="00BE4F47" w14:paraId="5C5586A3"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1D9AAC6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Références bibliographiques</w:t>
            </w:r>
          </w:p>
        </w:tc>
        <w:tc>
          <w:tcPr>
            <w:tcW w:w="3712" w:type="dxa"/>
            <w:tcBorders>
              <w:top w:val="single" w:sz="4" w:space="0" w:color="000000"/>
              <w:left w:val="single" w:sz="4" w:space="0" w:color="000000"/>
              <w:bottom w:val="single" w:sz="4" w:space="0" w:color="000000"/>
              <w:right w:val="single" w:sz="4" w:space="0" w:color="000000"/>
            </w:tcBorders>
          </w:tcPr>
          <w:p w14:paraId="51D4C92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Bibliothèque des sources citées dans les onze sections</w:t>
            </w:r>
          </w:p>
        </w:tc>
        <w:tc>
          <w:tcPr>
            <w:tcW w:w="1737" w:type="dxa"/>
            <w:tcBorders>
              <w:top w:val="single" w:sz="4" w:space="0" w:color="000000"/>
              <w:left w:val="single" w:sz="4" w:space="0" w:color="000000"/>
              <w:bottom w:val="single" w:sz="4" w:space="0" w:color="000000"/>
              <w:right w:val="single" w:sz="4" w:space="0" w:color="000000"/>
            </w:tcBorders>
          </w:tcPr>
          <w:p w14:paraId="6B35BFE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Zotero, avec export déposé au dépôt</w:t>
            </w:r>
          </w:p>
        </w:tc>
        <w:tc>
          <w:tcPr>
            <w:tcW w:w="1371" w:type="dxa"/>
            <w:tcBorders>
              <w:top w:val="single" w:sz="4" w:space="0" w:color="000000"/>
              <w:left w:val="single" w:sz="4" w:space="0" w:color="000000"/>
              <w:bottom w:val="single" w:sz="4" w:space="0" w:color="000000"/>
              <w:right w:val="single" w:sz="4" w:space="0" w:color="000000"/>
            </w:tcBorders>
          </w:tcPr>
          <w:p w14:paraId="0810AA0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Chargé de projet</w:t>
            </w:r>
          </w:p>
        </w:tc>
      </w:tr>
      <w:tr w:rsidR="00F50D70" w:rsidRPr="00BE4F47" w14:paraId="65B5E094"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581B0C2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Suivi des tâches et des risques</w:t>
            </w:r>
          </w:p>
        </w:tc>
        <w:tc>
          <w:tcPr>
            <w:tcW w:w="3712" w:type="dxa"/>
            <w:tcBorders>
              <w:top w:val="single" w:sz="4" w:space="0" w:color="000000"/>
              <w:left w:val="single" w:sz="4" w:space="0" w:color="000000"/>
              <w:bottom w:val="single" w:sz="4" w:space="0" w:color="000000"/>
              <w:right w:val="single" w:sz="4" w:space="0" w:color="000000"/>
            </w:tcBorders>
          </w:tcPr>
          <w:p w14:paraId="20AD5AE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Éléments de travail, affectations, listes de vérification</w:t>
            </w:r>
          </w:p>
        </w:tc>
        <w:tc>
          <w:tcPr>
            <w:tcW w:w="1737" w:type="dxa"/>
            <w:tcBorders>
              <w:top w:val="single" w:sz="4" w:space="0" w:color="000000"/>
              <w:left w:val="single" w:sz="4" w:space="0" w:color="000000"/>
              <w:bottom w:val="single" w:sz="4" w:space="0" w:color="000000"/>
              <w:right w:val="single" w:sz="4" w:space="0" w:color="000000"/>
            </w:tcBorders>
          </w:tcPr>
          <w:p w14:paraId="3586297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GitHub Projects et issues</w:t>
            </w:r>
          </w:p>
        </w:tc>
        <w:tc>
          <w:tcPr>
            <w:tcW w:w="1371" w:type="dxa"/>
            <w:tcBorders>
              <w:top w:val="single" w:sz="4" w:space="0" w:color="000000"/>
              <w:left w:val="single" w:sz="4" w:space="0" w:color="000000"/>
              <w:bottom w:val="single" w:sz="4" w:space="0" w:color="000000"/>
              <w:right w:val="single" w:sz="4" w:space="0" w:color="000000"/>
            </w:tcBorders>
          </w:tcPr>
          <w:p w14:paraId="76F26FC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Chargé de projet</w:t>
            </w:r>
          </w:p>
        </w:tc>
      </w:tr>
      <w:tr w:rsidR="00F50D70" w:rsidRPr="00BE4F47" w14:paraId="374B7B4A"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0D75823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Comptes rendus</w:t>
            </w:r>
          </w:p>
        </w:tc>
        <w:tc>
          <w:tcPr>
            <w:tcW w:w="3712" w:type="dxa"/>
            <w:tcBorders>
              <w:top w:val="single" w:sz="4" w:space="0" w:color="000000"/>
              <w:left w:val="single" w:sz="4" w:space="0" w:color="000000"/>
              <w:bottom w:val="single" w:sz="4" w:space="0" w:color="000000"/>
              <w:right w:val="single" w:sz="4" w:space="0" w:color="000000"/>
            </w:tcBorders>
          </w:tcPr>
          <w:p w14:paraId="7010E91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Minutes de laboratoire et d’atelier</w:t>
            </w:r>
          </w:p>
        </w:tc>
        <w:tc>
          <w:tcPr>
            <w:tcW w:w="1737" w:type="dxa"/>
            <w:tcBorders>
              <w:top w:val="single" w:sz="4" w:space="0" w:color="000000"/>
              <w:left w:val="single" w:sz="4" w:space="0" w:color="000000"/>
              <w:bottom w:val="single" w:sz="4" w:space="0" w:color="000000"/>
              <w:right w:val="single" w:sz="4" w:space="0" w:color="000000"/>
            </w:tcBorders>
          </w:tcPr>
          <w:p w14:paraId="53CA2BC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Dépôt GitHub, dossier comptes-rendus/</w:t>
            </w:r>
          </w:p>
        </w:tc>
        <w:tc>
          <w:tcPr>
            <w:tcW w:w="1371" w:type="dxa"/>
            <w:tcBorders>
              <w:top w:val="single" w:sz="4" w:space="0" w:color="000000"/>
              <w:left w:val="single" w:sz="4" w:space="0" w:color="000000"/>
              <w:bottom w:val="single" w:sz="4" w:space="0" w:color="000000"/>
              <w:right w:val="single" w:sz="4" w:space="0" w:color="000000"/>
            </w:tcBorders>
          </w:tcPr>
          <w:p w14:paraId="0DFD919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Membre désigné en séance</w:t>
            </w:r>
          </w:p>
        </w:tc>
      </w:tr>
      <w:tr w:rsidR="00F50D70" w:rsidRPr="00BE4F47" w14:paraId="64B02162" w14:textId="77777777">
        <w:trPr>
          <w:cantSplit/>
        </w:trPr>
        <w:tc>
          <w:tcPr>
            <w:tcW w:w="1737" w:type="dxa"/>
            <w:tcBorders>
              <w:top w:val="single" w:sz="4" w:space="0" w:color="000000"/>
              <w:left w:val="single" w:sz="4" w:space="0" w:color="000000"/>
              <w:bottom w:val="single" w:sz="4" w:space="0" w:color="000000"/>
              <w:right w:val="single" w:sz="4" w:space="0" w:color="000000"/>
            </w:tcBorders>
          </w:tcPr>
          <w:p w14:paraId="65C58D3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Environnement d’exécution</w:t>
            </w:r>
          </w:p>
        </w:tc>
        <w:tc>
          <w:tcPr>
            <w:tcW w:w="3712" w:type="dxa"/>
            <w:tcBorders>
              <w:top w:val="single" w:sz="4" w:space="0" w:color="000000"/>
              <w:left w:val="single" w:sz="4" w:space="0" w:color="000000"/>
              <w:bottom w:val="single" w:sz="4" w:space="0" w:color="000000"/>
              <w:right w:val="single" w:sz="4" w:space="0" w:color="000000"/>
            </w:tcBorders>
          </w:tcPr>
          <w:p w14:paraId="66C74DD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Versions des bibliothèques employées pour les essais</w:t>
            </w:r>
          </w:p>
        </w:tc>
        <w:tc>
          <w:tcPr>
            <w:tcW w:w="1737" w:type="dxa"/>
            <w:tcBorders>
              <w:top w:val="single" w:sz="4" w:space="0" w:color="000000"/>
              <w:left w:val="single" w:sz="4" w:space="0" w:color="000000"/>
              <w:bottom w:val="single" w:sz="4" w:space="0" w:color="000000"/>
              <w:right w:val="single" w:sz="4" w:space="0" w:color="000000"/>
            </w:tcBorders>
          </w:tcPr>
          <w:p w14:paraId="07015F2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Fichier d’environnement au dépôt</w:t>
            </w:r>
          </w:p>
        </w:tc>
        <w:tc>
          <w:tcPr>
            <w:tcW w:w="1371" w:type="dxa"/>
            <w:tcBorders>
              <w:top w:val="single" w:sz="4" w:space="0" w:color="000000"/>
              <w:left w:val="single" w:sz="4" w:space="0" w:color="000000"/>
              <w:bottom w:val="single" w:sz="4" w:space="0" w:color="000000"/>
              <w:right w:val="single" w:sz="4" w:space="0" w:color="000000"/>
            </w:tcBorders>
          </w:tcPr>
          <w:p w14:paraId="5AAB802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Responsable du lot L6</w:t>
            </w:r>
          </w:p>
        </w:tc>
      </w:tr>
    </w:tbl>
    <w:p w14:paraId="40D094F6"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199" w:name="_Toc241082898"/>
      <w:bookmarkStart w:id="200" w:name="_Toc241670076"/>
      <w:r w:rsidRPr="00BE4F47">
        <w:rPr>
          <w:rFonts w:ascii="Aptos" w:hAnsi="Aptos"/>
          <w:color w:val="1A1A19"/>
          <w:sz w:val="20"/>
          <w:szCs w:val="20"/>
        </w:rPr>
        <w:t>Tout est dans le même dépôt, sauf la bibliothèque Zotero, dont un export est déposé à chaque jalon. Le compte rendu de séance est pris à tour de rôle par le membre désigné en début de séance. Les notes personnelles des membres ne sont pas déposées.</w:t>
      </w:r>
      <w:bookmarkEnd w:id="199"/>
      <w:bookmarkEnd w:id="200"/>
    </w:p>
    <w:p w14:paraId="6CD7AF21" w14:textId="77777777" w:rsidR="00F50D70" w:rsidRPr="00136F18" w:rsidRDefault="00137D7F" w:rsidP="008E113B">
      <w:pPr>
        <w:pStyle w:val="Titre2"/>
        <w:spacing w:line="360" w:lineRule="auto"/>
      </w:pPr>
      <w:bookmarkStart w:id="201" w:name="_Toc241670077"/>
      <w:r w:rsidRPr="00136F18">
        <w:t>Outils retenus</w:t>
      </w:r>
      <w:bookmarkEnd w:id="201"/>
    </w:p>
    <w:p w14:paraId="29666593"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02" w:name="_Toc241082901"/>
      <w:bookmarkStart w:id="203" w:name="_Toc241670078"/>
      <w:r w:rsidRPr="00BE4F47">
        <w:rPr>
          <w:rFonts w:ascii="Aptos" w:hAnsi="Aptos"/>
          <w:color w:val="1A1A19"/>
          <w:sz w:val="20"/>
          <w:szCs w:val="20"/>
        </w:rPr>
        <w:t>Nous utilisons un seul dépôt GitHub, qui contient le code, les modèles, les diagrammes et les sections du plan. Les outils de développement eux-mêmes sont au tableau 8-4.</w:t>
      </w:r>
      <w:bookmarkEnd w:id="202"/>
      <w:bookmarkEnd w:id="203"/>
    </w:p>
    <w:p w14:paraId="5853711F" w14:textId="77777777" w:rsidR="00F50D70" w:rsidRPr="00BE4F47" w:rsidRDefault="00137D7F" w:rsidP="008E113B">
      <w:pPr>
        <w:pStyle w:val="Lgende"/>
        <w:keepNext/>
        <w:spacing w:line="360" w:lineRule="auto"/>
        <w:rPr>
          <w:rFonts w:ascii="Aptos" w:hAnsi="Aptos"/>
        </w:rPr>
      </w:pPr>
      <w:bookmarkStart w:id="204" w:name="_Toc241082902"/>
      <w:bookmarkStart w:id="205" w:name="_Toc241670079"/>
      <w:r w:rsidRPr="00BE4F47">
        <w:rPr>
          <w:rFonts w:ascii="Aptos" w:hAnsi="Aptos"/>
        </w:rPr>
        <w:t>Tableau 4-2. Outils employés pour la gestion des versions</w:t>
      </w:r>
      <w:bookmarkEnd w:id="204"/>
      <w:bookmarkEnd w:id="205"/>
    </w:p>
    <w:tbl>
      <w:tblPr>
        <w:tblW w:w="9337" w:type="dxa"/>
        <w:tblInd w:w="413" w:type="dxa"/>
        <w:tblLayout w:type="fixed"/>
        <w:tblCellMar>
          <w:top w:w="55" w:type="dxa"/>
          <w:left w:w="85" w:type="dxa"/>
          <w:bottom w:w="55" w:type="dxa"/>
          <w:right w:w="85" w:type="dxa"/>
        </w:tblCellMar>
        <w:tblLook w:val="04A0" w:firstRow="1" w:lastRow="0" w:firstColumn="1" w:lastColumn="0" w:noHBand="0" w:noVBand="1"/>
      </w:tblPr>
      <w:tblGrid>
        <w:gridCol w:w="4047"/>
        <w:gridCol w:w="5290"/>
      </w:tblGrid>
      <w:tr w:rsidR="00F50D70" w:rsidRPr="00BE4F47" w14:paraId="2171CC39" w14:textId="77777777" w:rsidTr="0036725C">
        <w:trPr>
          <w:tblHeader/>
        </w:trPr>
        <w:tc>
          <w:tcPr>
            <w:tcW w:w="2594"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14279F5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Outil</w:t>
            </w:r>
          </w:p>
        </w:tc>
        <w:tc>
          <w:tcPr>
            <w:tcW w:w="3391"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F1951E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Ce qu’il nous apporte</w:t>
            </w:r>
          </w:p>
        </w:tc>
      </w:tr>
      <w:tr w:rsidR="00F50D70" w:rsidRPr="00BE4F47" w14:paraId="47274AC7" w14:textId="77777777">
        <w:trPr>
          <w:cantSplit/>
        </w:trPr>
        <w:tc>
          <w:tcPr>
            <w:tcW w:w="2594" w:type="dxa"/>
            <w:tcBorders>
              <w:top w:val="single" w:sz="4" w:space="0" w:color="000000"/>
              <w:left w:val="single" w:sz="4" w:space="0" w:color="000000"/>
              <w:bottom w:val="single" w:sz="4" w:space="0" w:color="000000"/>
              <w:right w:val="single" w:sz="4" w:space="0" w:color="000000"/>
            </w:tcBorders>
          </w:tcPr>
          <w:p w14:paraId="25B45BC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Dépôt Git sur GitHub</w:t>
            </w:r>
          </w:p>
        </w:tc>
        <w:tc>
          <w:tcPr>
            <w:tcW w:w="3391" w:type="dxa"/>
            <w:tcBorders>
              <w:top w:val="single" w:sz="4" w:space="0" w:color="000000"/>
              <w:left w:val="single" w:sz="4" w:space="0" w:color="000000"/>
              <w:bottom w:val="single" w:sz="4" w:space="0" w:color="000000"/>
              <w:right w:val="single" w:sz="4" w:space="0" w:color="000000"/>
            </w:tcBorders>
          </w:tcPr>
          <w:p w14:paraId="1330EC0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Chaque modification est datée et attribuée. Chacun en garde une copie complète.</w:t>
            </w:r>
          </w:p>
        </w:tc>
      </w:tr>
      <w:tr w:rsidR="00F50D70" w:rsidRPr="00BE4F47" w14:paraId="6D026175" w14:textId="77777777">
        <w:trPr>
          <w:cantSplit/>
        </w:trPr>
        <w:tc>
          <w:tcPr>
            <w:tcW w:w="2594" w:type="dxa"/>
            <w:tcBorders>
              <w:top w:val="single" w:sz="4" w:space="0" w:color="000000"/>
              <w:left w:val="single" w:sz="4" w:space="0" w:color="000000"/>
              <w:bottom w:val="single" w:sz="4" w:space="0" w:color="000000"/>
              <w:right w:val="single" w:sz="4" w:space="0" w:color="000000"/>
            </w:tcBorders>
          </w:tcPr>
          <w:p w14:paraId="79B5C44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Demandes de tirage</w:t>
            </w:r>
          </w:p>
        </w:tc>
        <w:tc>
          <w:tcPr>
            <w:tcW w:w="3391" w:type="dxa"/>
            <w:tcBorders>
              <w:top w:val="single" w:sz="4" w:space="0" w:color="000000"/>
              <w:left w:val="single" w:sz="4" w:space="0" w:color="000000"/>
              <w:bottom w:val="single" w:sz="4" w:space="0" w:color="000000"/>
              <w:right w:val="single" w:sz="4" w:space="0" w:color="000000"/>
            </w:tcBorders>
          </w:tcPr>
          <w:p w14:paraId="4D37B40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Un changement est lu par quelqu’un d’autre avant d’entrer dans la version principale.</w:t>
            </w:r>
          </w:p>
        </w:tc>
      </w:tr>
      <w:tr w:rsidR="00F50D70" w:rsidRPr="00BE4F47" w14:paraId="1FF17DB6" w14:textId="77777777">
        <w:trPr>
          <w:cantSplit/>
        </w:trPr>
        <w:tc>
          <w:tcPr>
            <w:tcW w:w="2594" w:type="dxa"/>
            <w:tcBorders>
              <w:top w:val="single" w:sz="4" w:space="0" w:color="000000"/>
              <w:left w:val="single" w:sz="4" w:space="0" w:color="000000"/>
              <w:bottom w:val="single" w:sz="4" w:space="0" w:color="000000"/>
              <w:right w:val="single" w:sz="4" w:space="0" w:color="000000"/>
            </w:tcBorders>
          </w:tcPr>
          <w:p w14:paraId="0F61BB7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Issues et GitHub Projects</w:t>
            </w:r>
          </w:p>
        </w:tc>
        <w:tc>
          <w:tcPr>
            <w:tcW w:w="3391" w:type="dxa"/>
            <w:tcBorders>
              <w:top w:val="single" w:sz="4" w:space="0" w:color="000000"/>
              <w:left w:val="single" w:sz="4" w:space="0" w:color="000000"/>
              <w:bottom w:val="single" w:sz="4" w:space="0" w:color="000000"/>
              <w:right w:val="single" w:sz="4" w:space="0" w:color="000000"/>
            </w:tcBorders>
          </w:tcPr>
          <w:p w14:paraId="3360B44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Une tâche par élément de travail, rattachée à un lot et à un jalon.</w:t>
            </w:r>
          </w:p>
        </w:tc>
      </w:tr>
      <w:tr w:rsidR="00F50D70" w:rsidRPr="00BE4F47" w14:paraId="0C9ECA21" w14:textId="77777777">
        <w:trPr>
          <w:cantSplit/>
        </w:trPr>
        <w:tc>
          <w:tcPr>
            <w:tcW w:w="2594" w:type="dxa"/>
            <w:tcBorders>
              <w:top w:val="single" w:sz="4" w:space="0" w:color="000000"/>
              <w:left w:val="single" w:sz="4" w:space="0" w:color="000000"/>
              <w:bottom w:val="single" w:sz="4" w:space="0" w:color="000000"/>
              <w:right w:val="single" w:sz="4" w:space="0" w:color="000000"/>
            </w:tcBorders>
          </w:tcPr>
          <w:p w14:paraId="0E70682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Étiquettes de version</w:t>
            </w:r>
          </w:p>
        </w:tc>
        <w:tc>
          <w:tcPr>
            <w:tcW w:w="3391" w:type="dxa"/>
            <w:tcBorders>
              <w:top w:val="single" w:sz="4" w:space="0" w:color="000000"/>
              <w:left w:val="single" w:sz="4" w:space="0" w:color="000000"/>
              <w:bottom w:val="single" w:sz="4" w:space="0" w:color="000000"/>
              <w:right w:val="single" w:sz="4" w:space="0" w:color="000000"/>
            </w:tcBorders>
          </w:tcPr>
          <w:p w14:paraId="0957E95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L’état du dépôt à chaque jalon est conservé et peut être retéléchargé.</w:t>
            </w:r>
          </w:p>
        </w:tc>
      </w:tr>
      <w:tr w:rsidR="00F50D70" w:rsidRPr="00BE4F47" w14:paraId="4CAE32CD" w14:textId="77777777">
        <w:trPr>
          <w:cantSplit/>
        </w:trPr>
        <w:tc>
          <w:tcPr>
            <w:tcW w:w="2594" w:type="dxa"/>
            <w:tcBorders>
              <w:top w:val="single" w:sz="4" w:space="0" w:color="000000"/>
              <w:left w:val="single" w:sz="4" w:space="0" w:color="000000"/>
              <w:bottom w:val="single" w:sz="4" w:space="0" w:color="000000"/>
              <w:right w:val="single" w:sz="4" w:space="0" w:color="000000"/>
            </w:tcBorders>
          </w:tcPr>
          <w:p w14:paraId="42BD179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Zotero, style IEEE</w:t>
            </w:r>
          </w:p>
        </w:tc>
        <w:tc>
          <w:tcPr>
            <w:tcW w:w="3391" w:type="dxa"/>
            <w:tcBorders>
              <w:top w:val="single" w:sz="4" w:space="0" w:color="000000"/>
              <w:left w:val="single" w:sz="4" w:space="0" w:color="000000"/>
              <w:bottom w:val="single" w:sz="4" w:space="0" w:color="000000"/>
              <w:right w:val="single" w:sz="4" w:space="0" w:color="000000"/>
            </w:tcBorders>
          </w:tcPr>
          <w:p w14:paraId="6B3E361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Une seule bibliographie pour les onze sections.</w:t>
            </w:r>
          </w:p>
        </w:tc>
      </w:tr>
      <w:tr w:rsidR="00F50D70" w:rsidRPr="00BE4F47" w14:paraId="0F9B7310" w14:textId="77777777">
        <w:trPr>
          <w:cantSplit/>
        </w:trPr>
        <w:tc>
          <w:tcPr>
            <w:tcW w:w="2594" w:type="dxa"/>
            <w:tcBorders>
              <w:top w:val="single" w:sz="4" w:space="0" w:color="000000"/>
              <w:left w:val="single" w:sz="4" w:space="0" w:color="000000"/>
              <w:bottom w:val="single" w:sz="4" w:space="0" w:color="000000"/>
              <w:right w:val="single" w:sz="4" w:space="0" w:color="000000"/>
            </w:tcBorders>
          </w:tcPr>
          <w:p w14:paraId="51DFB48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Fichier d’environnement au dépôt</w:t>
            </w:r>
          </w:p>
        </w:tc>
        <w:tc>
          <w:tcPr>
            <w:tcW w:w="3391" w:type="dxa"/>
            <w:tcBorders>
              <w:top w:val="single" w:sz="4" w:space="0" w:color="000000"/>
              <w:left w:val="single" w:sz="4" w:space="0" w:color="000000"/>
              <w:bottom w:val="single" w:sz="4" w:space="0" w:color="000000"/>
              <w:right w:val="single" w:sz="4" w:space="0" w:color="000000"/>
            </w:tcBorders>
          </w:tcPr>
          <w:p w14:paraId="0E1D283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Les versions des bibliothèques employées pour un essai sont figées.</w:t>
            </w:r>
          </w:p>
        </w:tc>
      </w:tr>
    </w:tbl>
    <w:p w14:paraId="48F9749F" w14:textId="77777777" w:rsidR="00F50D70" w:rsidRPr="00136F18" w:rsidRDefault="00137D7F" w:rsidP="008E113B">
      <w:pPr>
        <w:pStyle w:val="Titre2"/>
        <w:spacing w:line="360" w:lineRule="auto"/>
      </w:pPr>
      <w:bookmarkStart w:id="206" w:name="_Toc241670080"/>
      <w:r w:rsidRPr="00136F18">
        <w:lastRenderedPageBreak/>
        <w:t>Flux de travail et revue par les pairs</w:t>
      </w:r>
      <w:bookmarkEnd w:id="206"/>
    </w:p>
    <w:p w14:paraId="24FBD054"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207" w:name="_Toc241082904"/>
      <w:bookmarkStart w:id="208" w:name="_Toc241670081"/>
      <w:r w:rsidRPr="00BE4F47">
        <w:rPr>
          <w:rFonts w:ascii="Aptos" w:hAnsi="Aptos"/>
          <w:color w:val="1A1A19"/>
          <w:sz w:val="20"/>
          <w:szCs w:val="20"/>
        </w:rPr>
        <w:t>Personne n’écrit directement dans la branche principale. Chaque travail se fait sur une branche nommée d’après le lot et l’objet du travail.</w:t>
      </w:r>
      <w:bookmarkEnd w:id="207"/>
      <w:bookmarkEnd w:id="208"/>
    </w:p>
    <w:p w14:paraId="6B73F4D0"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09" w:name="_Toc241082905"/>
      <w:bookmarkStart w:id="210" w:name="_Toc241670082"/>
      <w:r w:rsidRPr="00BE4F47">
        <w:rPr>
          <w:rFonts w:ascii="Aptos" w:hAnsi="Aptos"/>
          <w:color w:val="1A1A19"/>
          <w:sz w:val="20"/>
          <w:szCs w:val="20"/>
        </w:rPr>
        <w:t>Pour intégrer, on ouvre une demande de tirage. Un autre membre la lit avant la fusion, jamais l’auteur lui-même. C’est la relecture croisée annoncée à la section 3.</w:t>
      </w:r>
      <w:bookmarkEnd w:id="209"/>
      <w:bookmarkEnd w:id="210"/>
    </w:p>
    <w:p w14:paraId="5A83C8A5" w14:textId="77777777" w:rsidR="00F50D70" w:rsidRPr="00BE4F47" w:rsidRDefault="00137D7F" w:rsidP="008E113B">
      <w:pPr>
        <w:spacing w:after="130" w:line="360" w:lineRule="auto"/>
        <w:ind w:left="360"/>
        <w:rPr>
          <w:rFonts w:ascii="Aptos" w:hAnsi="Aptos"/>
        </w:rPr>
      </w:pPr>
      <w:bookmarkStart w:id="211" w:name="_Toc241082906"/>
      <w:bookmarkStart w:id="212" w:name="_Toc241670083"/>
      <w:r w:rsidRPr="00BE4F47">
        <w:rPr>
          <w:rFonts w:ascii="Aptos" w:hAnsi="Aptos"/>
          <w:color w:val="1A1A19"/>
          <w:sz w:val="20"/>
          <w:szCs w:val="20"/>
        </w:rPr>
        <w:t>Le relecteur vérifie trois choses : que le changement est rattaché à une tâche, que les essais existants passent encore, et que les sources ajoutées sont entrées dans Zotero.</w:t>
      </w:r>
      <w:bookmarkEnd w:id="211"/>
      <w:bookmarkEnd w:id="212"/>
    </w:p>
    <w:p w14:paraId="0CB5502A"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13" w:name="_Toc241082907"/>
      <w:bookmarkStart w:id="214" w:name="_Toc241670084"/>
      <w:r w:rsidRPr="00BE4F47">
        <w:rPr>
          <w:rFonts w:ascii="Aptos" w:hAnsi="Aptos"/>
          <w:color w:val="1A1A19"/>
          <w:sz w:val="20"/>
          <w:szCs w:val="20"/>
        </w:rPr>
        <w:t>Une tâche n’est fermée que par la fusion de la demande de tirage qui la traite, et pas par son auteur. Toute demande de fonction nouvelle après le jalon J3 est ouverte comme une tâche marquée « changement », plutôt qu’intégrée directement.</w:t>
      </w:r>
      <w:bookmarkEnd w:id="213"/>
      <w:bookmarkEnd w:id="214"/>
    </w:p>
    <w:p w14:paraId="4A4BA72A" w14:textId="77777777" w:rsidR="00F50D70" w:rsidRPr="00136F18" w:rsidRDefault="00137D7F" w:rsidP="008E113B">
      <w:pPr>
        <w:pStyle w:val="Titre1"/>
        <w:spacing w:line="360" w:lineRule="auto"/>
      </w:pPr>
      <w:bookmarkStart w:id="215" w:name="__RefHeading___Toc240715125"/>
      <w:bookmarkStart w:id="216" w:name="_Toc241670085"/>
      <w:bookmarkEnd w:id="215"/>
      <w:r w:rsidRPr="00136F18">
        <w:t>Revue de l’état de l’art</w:t>
      </w:r>
      <w:bookmarkEnd w:id="216"/>
    </w:p>
    <w:p w14:paraId="5358DDA8" w14:textId="77777777" w:rsidR="00F50D70" w:rsidRPr="00BE4F47" w:rsidRDefault="00137D7F" w:rsidP="008E113B">
      <w:pPr>
        <w:spacing w:after="130" w:line="360" w:lineRule="auto"/>
        <w:ind w:left="360"/>
        <w:rPr>
          <w:rFonts w:ascii="Aptos" w:hAnsi="Aptos"/>
        </w:rPr>
      </w:pPr>
      <w:bookmarkStart w:id="217" w:name="_Toc241082909"/>
      <w:bookmarkStart w:id="218" w:name="_Toc241670086"/>
      <w:r w:rsidRPr="00BE4F47">
        <w:rPr>
          <w:rFonts w:ascii="Aptos" w:hAnsi="Aptos"/>
          <w:color w:val="1A1A19"/>
          <w:sz w:val="20"/>
          <w:szCs w:val="20"/>
        </w:rPr>
        <w:t>La revue porte sur les jumeaux numériques en contexte nucléaire, la modélisation thermohydraulique, la détection d’anomalies, la quantification de l’incertitude, la cybersécurité des systèmes industriels et l’aide à la décision. Elle situe ensuite le projet face à la solution la plus proche.</w:t>
      </w:r>
      <w:bookmarkEnd w:id="217"/>
      <w:bookmarkEnd w:id="218"/>
    </w:p>
    <w:p w14:paraId="0FA243B7" w14:textId="77777777" w:rsidR="00F50D70" w:rsidRPr="00256140" w:rsidRDefault="00137D7F" w:rsidP="008E113B">
      <w:pPr>
        <w:pStyle w:val="Titre2"/>
        <w:spacing w:line="360" w:lineRule="auto"/>
      </w:pPr>
      <w:bookmarkStart w:id="219" w:name="__RefHeading___Toc240715127"/>
      <w:bookmarkStart w:id="220" w:name="_Toc241670087"/>
      <w:r w:rsidRPr="00256140">
        <w:t>Méthode de recherche</w:t>
      </w:r>
      <w:bookmarkEnd w:id="219"/>
      <w:bookmarkEnd w:id="220"/>
    </w:p>
    <w:p w14:paraId="5F0C88CA" w14:textId="77777777" w:rsidR="00F50D70" w:rsidRPr="00BE4F47" w:rsidRDefault="00137D7F" w:rsidP="008E113B">
      <w:pPr>
        <w:spacing w:after="130" w:line="360" w:lineRule="auto"/>
        <w:ind w:left="360"/>
        <w:rPr>
          <w:rFonts w:ascii="Aptos" w:hAnsi="Aptos"/>
        </w:rPr>
      </w:pPr>
      <w:bookmarkStart w:id="221" w:name="_Toc241082912"/>
      <w:bookmarkStart w:id="222" w:name="_Toc241670088"/>
      <w:r w:rsidRPr="00BE4F47">
        <w:rPr>
          <w:rFonts w:ascii="Aptos" w:hAnsi="Aptos"/>
          <w:color w:val="1A1A19"/>
          <w:sz w:val="20"/>
          <w:szCs w:val="20"/>
        </w:rPr>
        <w:t>Le tableau 5-1 donne le protocole suivi, pour qu’un tiers puisse refaire la recherche et obtenir un résultat comparable.</w:t>
      </w:r>
      <w:bookmarkEnd w:id="221"/>
      <w:bookmarkEnd w:id="222"/>
    </w:p>
    <w:p w14:paraId="7EE887E5" w14:textId="77777777" w:rsidR="00F50D70" w:rsidRPr="00BE4F47" w:rsidRDefault="00137D7F" w:rsidP="008E113B">
      <w:pPr>
        <w:pStyle w:val="Lgende"/>
        <w:keepNext/>
        <w:spacing w:line="360" w:lineRule="auto"/>
        <w:rPr>
          <w:rFonts w:ascii="Aptos" w:hAnsi="Aptos"/>
        </w:rPr>
      </w:pPr>
      <w:bookmarkStart w:id="223" w:name="_Toc241082913"/>
      <w:bookmarkStart w:id="224" w:name="_Toc241670089"/>
      <w:r w:rsidRPr="00BE4F47">
        <w:rPr>
          <w:rFonts w:ascii="Aptos" w:hAnsi="Aptos"/>
        </w:rPr>
        <w:t>Tableau 5-1. Protocole de la recherche documentaire</w:t>
      </w:r>
      <w:bookmarkEnd w:id="223"/>
      <w:bookmarkEnd w:id="224"/>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2102"/>
        <w:gridCol w:w="6455"/>
      </w:tblGrid>
      <w:tr w:rsidR="00F50D70" w:rsidRPr="00BE4F47" w14:paraId="38091969" w14:textId="77777777" w:rsidTr="0036725C">
        <w:trPr>
          <w:trHeight w:val="236"/>
          <w:tblHeader/>
        </w:trPr>
        <w:tc>
          <w:tcPr>
            <w:tcW w:w="2102"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9B2463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Élément</w:t>
            </w:r>
          </w:p>
        </w:tc>
        <w:tc>
          <w:tcPr>
            <w:tcW w:w="6455"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73C86B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Valeur</w:t>
            </w:r>
          </w:p>
        </w:tc>
      </w:tr>
      <w:tr w:rsidR="00F50D70" w:rsidRPr="00BE4F47" w14:paraId="055F2593" w14:textId="77777777">
        <w:trPr>
          <w:trHeight w:val="254"/>
        </w:trPr>
        <w:tc>
          <w:tcPr>
            <w:tcW w:w="2102" w:type="dxa"/>
            <w:tcBorders>
              <w:top w:val="single" w:sz="4" w:space="0" w:color="000000"/>
              <w:left w:val="single" w:sz="4" w:space="0" w:color="000000"/>
              <w:bottom w:val="single" w:sz="4" w:space="0" w:color="000000"/>
              <w:right w:val="single" w:sz="4" w:space="0" w:color="000000"/>
            </w:tcBorders>
          </w:tcPr>
          <w:p w14:paraId="50209F7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Date de la recherche</w:t>
            </w:r>
          </w:p>
        </w:tc>
        <w:tc>
          <w:tcPr>
            <w:tcW w:w="6455" w:type="dxa"/>
            <w:tcBorders>
              <w:top w:val="single" w:sz="4" w:space="0" w:color="000000"/>
              <w:left w:val="single" w:sz="4" w:space="0" w:color="000000"/>
              <w:bottom w:val="single" w:sz="4" w:space="0" w:color="000000"/>
              <w:right w:val="single" w:sz="4" w:space="0" w:color="000000"/>
            </w:tcBorders>
          </w:tcPr>
          <w:p w14:paraId="0E91AB23" w14:textId="3DEE4B16" w:rsidR="00F50D70" w:rsidRPr="00BE4F47" w:rsidRDefault="007E5FC7" w:rsidP="008E113B">
            <w:pPr>
              <w:spacing w:before="20" w:after="20"/>
              <w:ind w:left="0"/>
              <w:jc w:val="left"/>
              <w:outlineLvl w:val="9"/>
              <w:rPr>
                <w:rFonts w:ascii="Aptos" w:eastAsia="Calibri" w:hAnsi="Aptos" w:cs="Calibri"/>
                <w:color w:val="1A1A19"/>
                <w:sz w:val="20"/>
                <w:szCs w:val="20"/>
              </w:rPr>
            </w:pPr>
            <w:r>
              <w:rPr>
                <w:rFonts w:ascii="Aptos" w:eastAsia="Calibri" w:hAnsi="Aptos" w:cs="Calibri"/>
                <w:color w:val="1A1A19"/>
                <w:sz w:val="16"/>
                <w:szCs w:val="16"/>
              </w:rPr>
              <w:t>16.17 et 18 septembre 22026</w:t>
            </w:r>
          </w:p>
        </w:tc>
      </w:tr>
      <w:tr w:rsidR="00F50D70" w:rsidRPr="00BE4F47" w14:paraId="2EEF10B6" w14:textId="77777777">
        <w:trPr>
          <w:trHeight w:val="244"/>
        </w:trPr>
        <w:tc>
          <w:tcPr>
            <w:tcW w:w="2102" w:type="dxa"/>
            <w:tcBorders>
              <w:top w:val="single" w:sz="4" w:space="0" w:color="000000"/>
              <w:left w:val="single" w:sz="4" w:space="0" w:color="000000"/>
              <w:bottom w:val="single" w:sz="4" w:space="0" w:color="000000"/>
              <w:right w:val="single" w:sz="4" w:space="0" w:color="000000"/>
            </w:tcBorders>
          </w:tcPr>
          <w:p w14:paraId="2E31334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Bases interrogées</w:t>
            </w:r>
          </w:p>
        </w:tc>
        <w:tc>
          <w:tcPr>
            <w:tcW w:w="6455" w:type="dxa"/>
            <w:tcBorders>
              <w:top w:val="single" w:sz="4" w:space="0" w:color="000000"/>
              <w:left w:val="single" w:sz="4" w:space="0" w:color="000000"/>
              <w:bottom w:val="single" w:sz="4" w:space="0" w:color="000000"/>
              <w:right w:val="single" w:sz="4" w:space="0" w:color="000000"/>
            </w:tcBorders>
          </w:tcPr>
          <w:p w14:paraId="3089BB9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IEEE Xplore, Scopus, Google Scholar, ASME Digital Collection, Google Patents</w:t>
            </w:r>
          </w:p>
        </w:tc>
      </w:tr>
      <w:tr w:rsidR="00F50D70" w:rsidRPr="00BE4F47" w14:paraId="08E848BC" w14:textId="77777777">
        <w:trPr>
          <w:trHeight w:val="1475"/>
        </w:trPr>
        <w:tc>
          <w:tcPr>
            <w:tcW w:w="2102" w:type="dxa"/>
            <w:tcBorders>
              <w:top w:val="single" w:sz="4" w:space="0" w:color="000000"/>
              <w:left w:val="single" w:sz="4" w:space="0" w:color="000000"/>
              <w:bottom w:val="single" w:sz="4" w:space="0" w:color="000000"/>
              <w:right w:val="single" w:sz="4" w:space="0" w:color="000000"/>
            </w:tcBorders>
          </w:tcPr>
          <w:p w14:paraId="2460E31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Équations de recherche</w:t>
            </w:r>
          </w:p>
        </w:tc>
        <w:tc>
          <w:tcPr>
            <w:tcW w:w="6455" w:type="dxa"/>
            <w:tcBorders>
              <w:top w:val="single" w:sz="4" w:space="0" w:color="000000"/>
              <w:left w:val="single" w:sz="4" w:space="0" w:color="000000"/>
              <w:bottom w:val="single" w:sz="4" w:space="0" w:color="000000"/>
              <w:right w:val="single" w:sz="4" w:space="0" w:color="000000"/>
            </w:tcBorders>
          </w:tcPr>
          <w:p w14:paraId="33F3F1E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en-CA"/>
              </w:rPr>
            </w:pPr>
            <w:r w:rsidRPr="00BE4F47">
              <w:rPr>
                <w:rFonts w:ascii="Aptos" w:eastAsia="Calibri" w:hAnsi="Aptos" w:cs="Calibri"/>
                <w:color w:val="1A1A19"/>
                <w:sz w:val="16"/>
                <w:szCs w:val="16"/>
                <w:lang w:val="en-CA"/>
              </w:rPr>
              <w:t>« digital twin » AND « nuclear »</w:t>
            </w:r>
          </w:p>
          <w:p w14:paraId="3094B00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en-CA"/>
              </w:rPr>
            </w:pPr>
            <w:r w:rsidRPr="00BE4F47">
              <w:rPr>
                <w:rFonts w:ascii="Aptos" w:eastAsia="Calibri" w:hAnsi="Aptos" w:cs="Calibri"/>
                <w:color w:val="1A1A19"/>
                <w:sz w:val="16"/>
                <w:szCs w:val="16"/>
                <w:lang w:val="en-CA"/>
              </w:rPr>
              <w:t>« digital twin » AND « thermal-hydraulic »</w:t>
            </w:r>
          </w:p>
          <w:p w14:paraId="5332708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en-CA"/>
              </w:rPr>
            </w:pPr>
            <w:r w:rsidRPr="00BE4F47">
              <w:rPr>
                <w:rFonts w:ascii="Aptos" w:eastAsia="Calibri" w:hAnsi="Aptos" w:cs="Calibri"/>
                <w:color w:val="1A1A19"/>
                <w:sz w:val="16"/>
                <w:szCs w:val="16"/>
                <w:lang w:val="en-CA"/>
              </w:rPr>
              <w:t>« digital twin » AND « anomaly detection »</w:t>
            </w:r>
          </w:p>
          <w:p w14:paraId="5113154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en-CA"/>
              </w:rPr>
            </w:pPr>
            <w:r w:rsidRPr="00BE4F47">
              <w:rPr>
                <w:rFonts w:ascii="Aptos" w:eastAsia="Calibri" w:hAnsi="Aptos" w:cs="Calibri"/>
                <w:color w:val="1A1A19"/>
                <w:sz w:val="16"/>
                <w:szCs w:val="16"/>
                <w:lang w:val="en-CA"/>
              </w:rPr>
              <w:t>« digital twin » AND « uncertainty quantification »</w:t>
            </w:r>
          </w:p>
          <w:p w14:paraId="30996C9B" w14:textId="2AAB9E0A" w:rsidR="00F50D70" w:rsidRPr="007E5FC7" w:rsidRDefault="00137D7F" w:rsidP="008E113B">
            <w:pPr>
              <w:spacing w:before="20" w:after="20"/>
              <w:ind w:left="0"/>
              <w:jc w:val="left"/>
              <w:outlineLvl w:val="9"/>
              <w:rPr>
                <w:rFonts w:ascii="Aptos" w:eastAsia="Calibri" w:hAnsi="Aptos" w:cs="Calibri"/>
                <w:color w:val="1A1A19"/>
                <w:sz w:val="20"/>
                <w:szCs w:val="20"/>
                <w:lang w:val="en-CA"/>
              </w:rPr>
            </w:pPr>
            <w:r w:rsidRPr="00BE4F47">
              <w:rPr>
                <w:rFonts w:ascii="Aptos" w:eastAsia="Calibri" w:hAnsi="Aptos" w:cs="Calibri"/>
                <w:color w:val="1A1A19"/>
                <w:sz w:val="16"/>
                <w:szCs w:val="16"/>
                <w:lang w:val="en-CA"/>
              </w:rPr>
              <w:t>« digital twin » AND « SCADA » AND « cybersecurity »</w:t>
            </w:r>
          </w:p>
        </w:tc>
      </w:tr>
      <w:tr w:rsidR="00F50D70" w:rsidRPr="00BE4F47" w14:paraId="12237846" w14:textId="77777777">
        <w:trPr>
          <w:trHeight w:val="244"/>
        </w:trPr>
        <w:tc>
          <w:tcPr>
            <w:tcW w:w="2102" w:type="dxa"/>
            <w:tcBorders>
              <w:top w:val="single" w:sz="4" w:space="0" w:color="000000"/>
              <w:left w:val="single" w:sz="4" w:space="0" w:color="000000"/>
              <w:bottom w:val="single" w:sz="4" w:space="0" w:color="000000"/>
              <w:right w:val="single" w:sz="4" w:space="0" w:color="000000"/>
            </w:tcBorders>
          </w:tcPr>
          <w:p w14:paraId="523B004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Période couverte</w:t>
            </w:r>
          </w:p>
        </w:tc>
        <w:tc>
          <w:tcPr>
            <w:tcW w:w="6455" w:type="dxa"/>
            <w:tcBorders>
              <w:top w:val="single" w:sz="4" w:space="0" w:color="000000"/>
              <w:left w:val="single" w:sz="4" w:space="0" w:color="000000"/>
              <w:bottom w:val="single" w:sz="4" w:space="0" w:color="000000"/>
              <w:right w:val="single" w:sz="4" w:space="0" w:color="000000"/>
            </w:tcBorders>
          </w:tcPr>
          <w:p w14:paraId="3C86958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2020 à 2026, avec conservation de références antérieures lorsqu’elles sont fondatrices</w:t>
            </w:r>
          </w:p>
        </w:tc>
      </w:tr>
      <w:tr w:rsidR="00F50D70" w:rsidRPr="00BE4F47" w14:paraId="1E596CBE" w14:textId="77777777">
        <w:trPr>
          <w:trHeight w:val="438"/>
        </w:trPr>
        <w:tc>
          <w:tcPr>
            <w:tcW w:w="2102" w:type="dxa"/>
            <w:tcBorders>
              <w:top w:val="single" w:sz="4" w:space="0" w:color="000000"/>
              <w:left w:val="single" w:sz="4" w:space="0" w:color="000000"/>
              <w:bottom w:val="single" w:sz="4" w:space="0" w:color="000000"/>
              <w:right w:val="single" w:sz="4" w:space="0" w:color="000000"/>
            </w:tcBorders>
          </w:tcPr>
          <w:p w14:paraId="75C9BE3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Critères d’inclusion</w:t>
            </w:r>
          </w:p>
        </w:tc>
        <w:tc>
          <w:tcPr>
            <w:tcW w:w="6455" w:type="dxa"/>
            <w:tcBorders>
              <w:top w:val="single" w:sz="4" w:space="0" w:color="000000"/>
              <w:left w:val="single" w:sz="4" w:space="0" w:color="000000"/>
              <w:bottom w:val="single" w:sz="4" w:space="0" w:color="000000"/>
              <w:right w:val="single" w:sz="4" w:space="0" w:color="000000"/>
            </w:tcBorders>
          </w:tcPr>
          <w:p w14:paraId="5792307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Pertinence avec un lot technique du projet ; publication dans une revue avec comité de lecture ou par un organisme reconnu ; texte intégral accessible</w:t>
            </w:r>
          </w:p>
        </w:tc>
      </w:tr>
      <w:tr w:rsidR="00F50D70" w:rsidRPr="00BE4F47" w14:paraId="2092445F" w14:textId="77777777">
        <w:trPr>
          <w:trHeight w:val="438"/>
        </w:trPr>
        <w:tc>
          <w:tcPr>
            <w:tcW w:w="2102" w:type="dxa"/>
            <w:tcBorders>
              <w:top w:val="single" w:sz="4" w:space="0" w:color="000000"/>
              <w:left w:val="single" w:sz="4" w:space="0" w:color="000000"/>
              <w:bottom w:val="single" w:sz="4" w:space="0" w:color="000000"/>
              <w:right w:val="single" w:sz="4" w:space="0" w:color="000000"/>
            </w:tcBorders>
          </w:tcPr>
          <w:p w14:paraId="67AD7B0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Critères d’exclusion</w:t>
            </w:r>
          </w:p>
        </w:tc>
        <w:tc>
          <w:tcPr>
            <w:tcW w:w="6455" w:type="dxa"/>
            <w:tcBorders>
              <w:top w:val="single" w:sz="4" w:space="0" w:color="000000"/>
              <w:left w:val="single" w:sz="4" w:space="0" w:color="000000"/>
              <w:bottom w:val="single" w:sz="4" w:space="0" w:color="000000"/>
              <w:right w:val="single" w:sz="4" w:space="0" w:color="000000"/>
            </w:tcBorders>
          </w:tcPr>
          <w:p w14:paraId="0554C83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Travaux limités à un domaine sans transposition possible ; documents sans méthode explicite ; doublons et préprints dont la version publiée est disponible</w:t>
            </w:r>
          </w:p>
        </w:tc>
      </w:tr>
    </w:tbl>
    <w:p w14:paraId="2CE02CF4" w14:textId="77777777" w:rsidR="00F50D70" w:rsidRPr="00BE4F47" w:rsidRDefault="00137D7F" w:rsidP="008E113B">
      <w:pPr>
        <w:spacing w:before="200" w:after="130" w:line="360" w:lineRule="auto"/>
        <w:ind w:left="360"/>
        <w:rPr>
          <w:rFonts w:ascii="Aptos" w:hAnsi="Aptos"/>
        </w:rPr>
      </w:pPr>
      <w:bookmarkStart w:id="225" w:name="_Toc241082914"/>
      <w:bookmarkStart w:id="226" w:name="_Toc241670090"/>
      <w:r w:rsidRPr="00BE4F47">
        <w:rPr>
          <w:rFonts w:ascii="Aptos" w:hAnsi="Aptos"/>
          <w:color w:val="1A1A19"/>
          <w:sz w:val="20"/>
          <w:szCs w:val="20"/>
        </w:rPr>
        <w:t>Chaque document retenu est rattaché à un lot technique : modèle de référence (L4), architecture et cybersécurité (L5), acquisition et noyau de simulation (L6), détection et incertitude (L7), interface (L8), vérification et validation (L9).</w:t>
      </w:r>
      <w:bookmarkEnd w:id="225"/>
      <w:bookmarkEnd w:id="226"/>
    </w:p>
    <w:p w14:paraId="5DB2C361" w14:textId="77777777" w:rsidR="00F50D70" w:rsidRPr="00256140" w:rsidRDefault="00137D7F" w:rsidP="008E113B">
      <w:pPr>
        <w:pStyle w:val="Titre2"/>
        <w:spacing w:line="360" w:lineRule="auto"/>
      </w:pPr>
      <w:bookmarkStart w:id="227" w:name="__RefHeading___Toc240715130"/>
      <w:bookmarkStart w:id="228" w:name="_Toc241670091"/>
      <w:bookmarkEnd w:id="227"/>
      <w:r w:rsidRPr="00256140">
        <w:lastRenderedPageBreak/>
        <w:t>Ce qui existe</w:t>
      </w:r>
      <w:bookmarkEnd w:id="228"/>
    </w:p>
    <w:p w14:paraId="0D34E0DF"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29" w:name="_Toc241082916"/>
      <w:bookmarkStart w:id="230" w:name="_Toc241670092"/>
      <w:r w:rsidRPr="00BE4F47">
        <w:rPr>
          <w:rFonts w:ascii="Aptos" w:hAnsi="Aptos"/>
          <w:b/>
          <w:color w:val="1A1A19"/>
          <w:sz w:val="20"/>
          <w:szCs w:val="20"/>
        </w:rPr>
        <w:t xml:space="preserve">Les jumeaux numériques dans le nucléaire. </w:t>
      </w:r>
      <w:r w:rsidRPr="00BE4F47">
        <w:rPr>
          <w:rFonts w:ascii="Aptos" w:hAnsi="Aptos"/>
          <w:color w:val="1A1A19"/>
          <w:sz w:val="20"/>
          <w:szCs w:val="20"/>
        </w:rPr>
        <w:t>Le secteur nucléaire étudie les jumeaux numériques pour la surveillance, le diagnostic, la maintenance et l’aide à la décision.</w:t>
      </w:r>
      <w:bookmarkEnd w:id="229"/>
      <w:bookmarkEnd w:id="230"/>
    </w:p>
    <w:p w14:paraId="40A388D4" w14:textId="77777777" w:rsidR="00F50D70" w:rsidRPr="00BE4F47" w:rsidRDefault="00137D7F" w:rsidP="008E113B">
      <w:pPr>
        <w:spacing w:after="130" w:line="360" w:lineRule="auto"/>
        <w:ind w:left="360"/>
        <w:rPr>
          <w:rFonts w:ascii="Aptos" w:hAnsi="Aptos"/>
        </w:rPr>
      </w:pPr>
      <w:bookmarkStart w:id="231" w:name="_Toc241082917"/>
      <w:bookmarkStart w:id="232" w:name="_Toc241670093"/>
      <w:r w:rsidRPr="00BE4F47">
        <w:rPr>
          <w:rFonts w:ascii="Aptos" w:hAnsi="Aptos"/>
          <w:color w:val="1A1A19"/>
          <w:sz w:val="20"/>
          <w:szCs w:val="20"/>
        </w:rPr>
        <w:t>M. Hu et ses coauteurs proposent une revue des architectures de jumeaux numériques appliquées au domaine nucléaire. Ils montrent que les solutions actuelles cherchent principalement à intégrer des modèles physiques, des données de fonctionnement et des fonctions d’analyse dans une architecture numérique cohérente, et soulignent l’importance des modèles thermohydrauliques pour représenter le comportement des systèmes nucléaires [4].</w:t>
      </w:r>
      <w:bookmarkEnd w:id="231"/>
      <w:bookmarkEnd w:id="232"/>
    </w:p>
    <w:p w14:paraId="5CC5013C" w14:textId="77777777" w:rsidR="00F50D70" w:rsidRPr="00BE4F47" w:rsidRDefault="00137D7F" w:rsidP="008E113B">
      <w:pPr>
        <w:spacing w:after="130" w:line="360" w:lineRule="auto"/>
        <w:ind w:left="360"/>
        <w:rPr>
          <w:rFonts w:ascii="Aptos" w:hAnsi="Aptos"/>
        </w:rPr>
      </w:pPr>
      <w:bookmarkStart w:id="233" w:name="_Toc241082918"/>
      <w:bookmarkStart w:id="234" w:name="_Toc241670094"/>
      <w:r w:rsidRPr="00BE4F47">
        <w:rPr>
          <w:rFonts w:ascii="Aptos" w:hAnsi="Aptos"/>
          <w:color w:val="1A1A19"/>
          <w:sz w:val="20"/>
          <w:szCs w:val="20"/>
        </w:rPr>
        <w:t>Q. Huang et ses coauteurs montrent, dans une revue publiée en 2025, que les jumeaux numériques appliqués aux réacteurs nucléaires restent à des niveaux de maturité faibles à intermédiaires. Ils distinguent quatre familles de solutions : les modèles fondés sur la physique, les approches fondées sur les données, les modèles fondés sur les connaissances expertes, et les approches hybrides combinant plusieurs de ces méthodes [5].</w:t>
      </w:r>
      <w:bookmarkEnd w:id="233"/>
      <w:bookmarkEnd w:id="234"/>
    </w:p>
    <w:p w14:paraId="0CCD3AEF" w14:textId="77777777" w:rsidR="00F50D70" w:rsidRPr="00BE4F47" w:rsidRDefault="00137D7F" w:rsidP="008E113B">
      <w:pPr>
        <w:spacing w:after="130" w:line="360" w:lineRule="auto"/>
        <w:ind w:left="360"/>
        <w:rPr>
          <w:rFonts w:ascii="Aptos" w:hAnsi="Aptos"/>
        </w:rPr>
      </w:pPr>
      <w:bookmarkStart w:id="235" w:name="_Toc241082919"/>
      <w:bookmarkStart w:id="236" w:name="_Toc241670095"/>
      <w:r w:rsidRPr="00BE4F47">
        <w:rPr>
          <w:rFonts w:ascii="Aptos" w:hAnsi="Aptos"/>
          <w:color w:val="1A1A19"/>
          <w:sz w:val="20"/>
          <w:szCs w:val="20"/>
        </w:rPr>
        <w:t>La norme ISO 23247-1 fournit le cadre de référence du jumeau numérique, employé ici par analogie et hors de son domaine d’application déclaré. Cette limite est traitée dans la déclaration d’applicabilité de la section 6.</w:t>
      </w:r>
      <w:bookmarkEnd w:id="235"/>
      <w:bookmarkEnd w:id="236"/>
    </w:p>
    <w:p w14:paraId="385A9806"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37" w:name="_Toc241082920"/>
      <w:bookmarkStart w:id="238" w:name="_Toc241670096"/>
      <w:r w:rsidRPr="00BE4F47">
        <w:rPr>
          <w:rFonts w:ascii="Aptos" w:hAnsi="Aptos"/>
          <w:color w:val="1A1A19"/>
          <w:sz w:val="20"/>
          <w:szCs w:val="20"/>
        </w:rPr>
        <w:t>Ces travaux montrent que le jumeau numérique constitue une approche pertinente pour la surveillance d’une boucle thermohydraulique, mais qu’il présente encore des difficultés liées à la fidélité des modèles, à la disponibilité des données et à l’interprétation des résultats.</w:t>
      </w:r>
      <w:bookmarkEnd w:id="237"/>
      <w:bookmarkEnd w:id="238"/>
    </w:p>
    <w:p w14:paraId="02B1EBD2" w14:textId="77777777" w:rsidR="00F50D70" w:rsidRPr="00BE4F47" w:rsidRDefault="00137D7F" w:rsidP="008E113B">
      <w:pPr>
        <w:spacing w:after="130" w:line="360" w:lineRule="auto"/>
        <w:ind w:left="360"/>
        <w:rPr>
          <w:rFonts w:ascii="Aptos" w:hAnsi="Aptos"/>
        </w:rPr>
      </w:pPr>
      <w:bookmarkStart w:id="239" w:name="_Toc241082921"/>
      <w:bookmarkStart w:id="240" w:name="_Toc241670097"/>
      <w:r w:rsidRPr="00BE4F47">
        <w:rPr>
          <w:rFonts w:ascii="Aptos" w:hAnsi="Aptos"/>
          <w:b/>
          <w:color w:val="1A1A19"/>
          <w:sz w:val="20"/>
          <w:szCs w:val="20"/>
        </w:rPr>
        <w:t xml:space="preserve">La modélisation thermohydraulique. </w:t>
      </w:r>
      <w:r w:rsidRPr="00BE4F47">
        <w:rPr>
          <w:rFonts w:ascii="Aptos" w:hAnsi="Aptos"/>
          <w:color w:val="1A1A19"/>
          <w:sz w:val="20"/>
          <w:szCs w:val="20"/>
        </w:rPr>
        <w:t>Dans une boucle thermohydraulique, le modèle doit représenter l’évolution de la température, de la pression et du débit, les trois variables retenues par l’exigence EX-F-01.</w:t>
      </w:r>
      <w:bookmarkEnd w:id="239"/>
      <w:bookmarkEnd w:id="240"/>
    </w:p>
    <w:p w14:paraId="7EB087C4" w14:textId="24A8D0E2" w:rsidR="00F50D70" w:rsidRPr="00BE4F47" w:rsidRDefault="00137D7F" w:rsidP="008E113B">
      <w:pPr>
        <w:spacing w:after="130" w:line="360" w:lineRule="auto"/>
        <w:ind w:left="360"/>
        <w:rPr>
          <w:rFonts w:ascii="Aptos" w:hAnsi="Aptos"/>
        </w:rPr>
      </w:pPr>
      <w:bookmarkStart w:id="241" w:name="_Toc241082922"/>
      <w:bookmarkStart w:id="242" w:name="_Toc241670098"/>
      <w:r w:rsidRPr="00BE4F47">
        <w:rPr>
          <w:rFonts w:ascii="Aptos" w:hAnsi="Aptos"/>
          <w:color w:val="1A1A19"/>
          <w:sz w:val="20"/>
          <w:szCs w:val="20"/>
        </w:rPr>
        <w:t xml:space="preserve">Les modèles de </w:t>
      </w:r>
      <w:r w:rsidR="007E5FC7" w:rsidRPr="00BE4F47">
        <w:rPr>
          <w:rFonts w:ascii="Aptos" w:hAnsi="Aptos"/>
          <w:color w:val="1A1A19"/>
          <w:sz w:val="20"/>
          <w:szCs w:val="20"/>
        </w:rPr>
        <w:t>haute-fidélité</w:t>
      </w:r>
      <w:r w:rsidRPr="00BE4F47">
        <w:rPr>
          <w:rFonts w:ascii="Aptos" w:hAnsi="Aptos"/>
          <w:color w:val="1A1A19"/>
          <w:sz w:val="20"/>
          <w:szCs w:val="20"/>
        </w:rPr>
        <w:t xml:space="preserve"> fournissent une représentation détaillée du comportement du système, au prix d’un coût de calcul élevé. Cette contrainte devient déterminante lorsque le modèle doit être exploité dans un contexte de surveillance ou d’aide à la décision en temps réel, situation dans laquelle se place le prototype [4], [5].</w:t>
      </w:r>
      <w:bookmarkEnd w:id="241"/>
      <w:bookmarkEnd w:id="242"/>
    </w:p>
    <w:p w14:paraId="5555580D"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43" w:name="_Toc241082923"/>
      <w:bookmarkStart w:id="244" w:name="_Toc241670099"/>
      <w:r w:rsidRPr="00BE4F47">
        <w:rPr>
          <w:rFonts w:ascii="Aptos" w:hAnsi="Aptos"/>
          <w:color w:val="1A1A19"/>
          <w:sz w:val="20"/>
          <w:szCs w:val="20"/>
        </w:rPr>
        <w:t>Un modèle simplifié de type 0D/1D à paramètres concentrés répond à cette contrainte. Il suffit à servir de référence lors des essais du jumeau, dans le périmètre défini à la section 1.</w:t>
      </w:r>
      <w:bookmarkEnd w:id="243"/>
      <w:bookmarkEnd w:id="244"/>
    </w:p>
    <w:p w14:paraId="4B1DE17C" w14:textId="77777777" w:rsidR="00F50D70" w:rsidRPr="00BE4F47" w:rsidRDefault="00137D7F" w:rsidP="008E113B">
      <w:pPr>
        <w:spacing w:after="130" w:line="360" w:lineRule="auto"/>
        <w:ind w:left="360"/>
        <w:rPr>
          <w:rFonts w:ascii="Aptos" w:hAnsi="Aptos"/>
        </w:rPr>
      </w:pPr>
      <w:bookmarkStart w:id="245" w:name="_Toc241082924"/>
      <w:bookmarkStart w:id="246" w:name="_Toc241670100"/>
      <w:r w:rsidRPr="00BE4F47">
        <w:rPr>
          <w:rFonts w:ascii="Aptos" w:hAnsi="Aptos"/>
          <w:b/>
          <w:color w:val="1A1A19"/>
          <w:sz w:val="20"/>
          <w:szCs w:val="20"/>
        </w:rPr>
        <w:t xml:space="preserve">La détection d’anomalies. </w:t>
      </w:r>
      <w:r w:rsidRPr="00BE4F47">
        <w:rPr>
          <w:rFonts w:ascii="Aptos" w:hAnsi="Aptos"/>
          <w:color w:val="1A1A19"/>
          <w:sz w:val="20"/>
          <w:szCs w:val="20"/>
        </w:rPr>
        <w:t>La détection repose sur la comparaison entre les données observées et les données attendues produites par le modèle, ce que reprend l’exigence EX-F-03.</w:t>
      </w:r>
      <w:bookmarkEnd w:id="245"/>
      <w:bookmarkEnd w:id="246"/>
    </w:p>
    <w:p w14:paraId="54603447"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47" w:name="_Toc241082925"/>
      <w:bookmarkStart w:id="248" w:name="_Toc241670101"/>
      <w:r w:rsidRPr="00BE4F47">
        <w:rPr>
          <w:rFonts w:ascii="Aptos" w:hAnsi="Aptos"/>
          <w:color w:val="1A1A19"/>
          <w:sz w:val="20"/>
          <w:szCs w:val="20"/>
        </w:rPr>
        <w:t>H. Huang et ses coauteurs proposent une approche de détection d’anomalies en ligne fondée sur un jumeau numérique et des données en temps réel, dans un contexte de système d’automatisation. Leurs travaux montrent qu’un modèle numérique peut servir de référence pour détecter un comportement qui s’écarte du fonctionnement normal [6].</w:t>
      </w:r>
      <w:bookmarkEnd w:id="247"/>
      <w:bookmarkEnd w:id="248"/>
    </w:p>
    <w:p w14:paraId="01E8ECDD"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49" w:name="_Toc241082927"/>
      <w:bookmarkStart w:id="250" w:name="_Toc241670102"/>
      <w:r w:rsidRPr="00BE4F47">
        <w:rPr>
          <w:rFonts w:ascii="Aptos" w:hAnsi="Aptos"/>
          <w:color w:val="1A1A19"/>
          <w:sz w:val="20"/>
          <w:szCs w:val="20"/>
        </w:rPr>
        <w:lastRenderedPageBreak/>
        <w:t>Dans le GEMMA de l’équipe, cette fonction correspond à la transition de l’état F1 vers l’état D2, franchie dès qu’une dérive ou une anomalie est confirmée en fonctionnement.</w:t>
      </w:r>
      <w:bookmarkEnd w:id="249"/>
      <w:bookmarkEnd w:id="250"/>
    </w:p>
    <w:p w14:paraId="3EA6A6AF" w14:textId="77777777" w:rsidR="00F50D70" w:rsidRPr="00BE4F47" w:rsidRDefault="00137D7F" w:rsidP="008E113B">
      <w:pPr>
        <w:spacing w:after="130" w:line="360" w:lineRule="auto"/>
        <w:ind w:left="360"/>
        <w:rPr>
          <w:rFonts w:ascii="Aptos" w:hAnsi="Aptos"/>
        </w:rPr>
      </w:pPr>
      <w:bookmarkStart w:id="251" w:name="_Toc241082928"/>
      <w:bookmarkStart w:id="252" w:name="_Toc241670103"/>
      <w:r w:rsidRPr="00BE4F47">
        <w:rPr>
          <w:rFonts w:ascii="Aptos" w:hAnsi="Aptos"/>
          <w:b/>
          <w:color w:val="1A1A19"/>
          <w:sz w:val="20"/>
          <w:szCs w:val="20"/>
        </w:rPr>
        <w:t xml:space="preserve">La quantification de l’incertitude. </w:t>
      </w:r>
      <w:r w:rsidRPr="00BE4F47">
        <w:rPr>
          <w:rFonts w:ascii="Aptos" w:hAnsi="Aptos"/>
          <w:color w:val="1A1A19"/>
          <w:sz w:val="20"/>
          <w:szCs w:val="20"/>
        </w:rPr>
        <w:t>Dans un système d’aide à la décision, produire un diagnostic ne suffit pas. Il faut également évaluer le niveau de confiance associé au résultat, ce qu’exige EX-F-07.</w:t>
      </w:r>
      <w:bookmarkEnd w:id="251"/>
      <w:bookmarkEnd w:id="252"/>
    </w:p>
    <w:p w14:paraId="1A554B03"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53" w:name="_Toc241082929"/>
      <w:bookmarkStart w:id="254" w:name="_Toc241670104"/>
      <w:r w:rsidRPr="00BE4F47">
        <w:rPr>
          <w:rFonts w:ascii="Aptos" w:hAnsi="Aptos"/>
          <w:color w:val="1A1A19"/>
          <w:sz w:val="20"/>
          <w:szCs w:val="20"/>
        </w:rPr>
        <w:t>K. Kobayashi, D. Kumar et S. B. Alam ont étudié l’emploi de techniques de quantification de l’incertitude pour les technologies de jumeaux numériques nucléaires. Leurs travaux montrent l’importance d’estimer les incertitudes associées aux paramètres et aux modèles, afin d’éviter qu’un résultat numérique soit interprété avec une certitude qu’il n’a pas [7].</w:t>
      </w:r>
      <w:bookmarkEnd w:id="253"/>
      <w:bookmarkEnd w:id="254"/>
    </w:p>
    <w:p w14:paraId="552B77D9" w14:textId="77777777" w:rsidR="00F50D70" w:rsidRPr="00BE4F47" w:rsidRDefault="00137D7F" w:rsidP="008E113B">
      <w:pPr>
        <w:spacing w:after="130" w:line="360" w:lineRule="auto"/>
        <w:ind w:left="360"/>
        <w:rPr>
          <w:rFonts w:ascii="Aptos" w:hAnsi="Aptos"/>
        </w:rPr>
      </w:pPr>
      <w:bookmarkStart w:id="255" w:name="_Toc241082930"/>
      <w:bookmarkStart w:id="256" w:name="_Toc241670105"/>
      <w:r w:rsidRPr="00BE4F47">
        <w:rPr>
          <w:rFonts w:ascii="Aptos" w:hAnsi="Aptos"/>
          <w:color w:val="1A1A19"/>
          <w:sz w:val="20"/>
          <w:szCs w:val="20"/>
        </w:rPr>
        <w:t>La norme ASME V&amp;V 20 apporte le complément méthodologique que la littérature laisse ouvert. La décomposition de l’écart entre modèle et référence et ses conséquences sur la campagne d’essais sont détaillées à la section 6.5.</w:t>
      </w:r>
      <w:bookmarkEnd w:id="255"/>
      <w:bookmarkEnd w:id="256"/>
    </w:p>
    <w:p w14:paraId="7FA19DCA" w14:textId="77777777" w:rsidR="00B03F2E" w:rsidRDefault="00137D7F" w:rsidP="008E113B">
      <w:pPr>
        <w:spacing w:after="130" w:line="360" w:lineRule="auto"/>
        <w:ind w:left="360"/>
        <w:rPr>
          <w:rFonts w:ascii="Aptos" w:eastAsia="Calibri" w:hAnsi="Aptos" w:cs="Calibri"/>
          <w:color w:val="1A1A19"/>
          <w:sz w:val="20"/>
          <w:szCs w:val="20"/>
        </w:rPr>
      </w:pPr>
      <w:bookmarkStart w:id="257" w:name="_Toc241082931"/>
      <w:bookmarkStart w:id="258" w:name="_Toc241670106"/>
      <w:r w:rsidRPr="00BE4F47">
        <w:rPr>
          <w:rFonts w:ascii="Aptos" w:hAnsi="Aptos"/>
          <w:color w:val="1A1A19"/>
          <w:sz w:val="20"/>
          <w:szCs w:val="20"/>
        </w:rPr>
        <w:t>Le niveau de confiance affiché par le prototype pourra dépendre :</w:t>
      </w:r>
      <w:bookmarkEnd w:id="257"/>
      <w:bookmarkEnd w:id="258"/>
    </w:p>
    <w:p w14:paraId="762F460A" w14:textId="77777777" w:rsidR="00F50D70" w:rsidRPr="00BE4F47" w:rsidRDefault="00137D7F" w:rsidP="008E113B">
      <w:pPr>
        <w:numPr>
          <w:ilvl w:val="0"/>
          <w:numId w:val="20"/>
        </w:numPr>
        <w:spacing w:after="130" w:line="360" w:lineRule="auto"/>
        <w:ind w:left="720"/>
        <w:rPr>
          <w:rFonts w:ascii="Aptos" w:eastAsia="Calibri" w:hAnsi="Aptos" w:cs="Calibri"/>
          <w:color w:val="1A1A19"/>
          <w:sz w:val="20"/>
          <w:szCs w:val="20"/>
        </w:rPr>
      </w:pPr>
      <w:bookmarkStart w:id="259" w:name="_Toc241082932"/>
      <w:bookmarkStart w:id="260" w:name="_Toc241670107"/>
      <w:r w:rsidRPr="00BE4F47">
        <w:rPr>
          <w:rFonts w:ascii="Aptos" w:hAnsi="Aptos"/>
          <w:color w:val="1A1A19"/>
          <w:sz w:val="20"/>
          <w:szCs w:val="20"/>
        </w:rPr>
        <w:t>de la disponibilité des données.</w:t>
      </w:r>
      <w:bookmarkEnd w:id="259"/>
      <w:bookmarkEnd w:id="260"/>
    </w:p>
    <w:p w14:paraId="0E9EF0FC" w14:textId="77777777" w:rsidR="00F50D70" w:rsidRPr="00BE4F47" w:rsidRDefault="00137D7F" w:rsidP="008E113B">
      <w:pPr>
        <w:numPr>
          <w:ilvl w:val="0"/>
          <w:numId w:val="20"/>
        </w:numPr>
        <w:spacing w:after="130" w:line="360" w:lineRule="auto"/>
        <w:ind w:left="720"/>
        <w:rPr>
          <w:rFonts w:ascii="Aptos" w:eastAsia="Calibri" w:hAnsi="Aptos" w:cs="Calibri"/>
          <w:color w:val="1A1A19"/>
          <w:sz w:val="20"/>
          <w:szCs w:val="20"/>
        </w:rPr>
      </w:pPr>
      <w:bookmarkStart w:id="261" w:name="_Toc241082933"/>
      <w:bookmarkStart w:id="262" w:name="_Toc241670108"/>
      <w:r w:rsidRPr="00BE4F47">
        <w:rPr>
          <w:rFonts w:ascii="Aptos" w:hAnsi="Aptos"/>
          <w:color w:val="1A1A19"/>
          <w:sz w:val="20"/>
          <w:szCs w:val="20"/>
        </w:rPr>
        <w:t>de leur qualité.</w:t>
      </w:r>
      <w:bookmarkEnd w:id="261"/>
      <w:bookmarkEnd w:id="262"/>
    </w:p>
    <w:p w14:paraId="028FB710" w14:textId="77777777" w:rsidR="00F50D70" w:rsidRPr="00BE4F47" w:rsidRDefault="00137D7F" w:rsidP="008E113B">
      <w:pPr>
        <w:numPr>
          <w:ilvl w:val="0"/>
          <w:numId w:val="20"/>
        </w:numPr>
        <w:spacing w:after="130" w:line="360" w:lineRule="auto"/>
        <w:ind w:left="720"/>
        <w:rPr>
          <w:rFonts w:ascii="Aptos" w:eastAsia="Calibri" w:hAnsi="Aptos" w:cs="Calibri"/>
          <w:color w:val="1A1A19"/>
          <w:sz w:val="20"/>
          <w:szCs w:val="20"/>
        </w:rPr>
      </w:pPr>
      <w:bookmarkStart w:id="263" w:name="_Toc241082934"/>
      <w:bookmarkStart w:id="264" w:name="_Toc241670109"/>
      <w:r w:rsidRPr="00BE4F47">
        <w:rPr>
          <w:rFonts w:ascii="Aptos" w:hAnsi="Aptos"/>
          <w:color w:val="1A1A19"/>
          <w:sz w:val="20"/>
          <w:szCs w:val="20"/>
        </w:rPr>
        <w:t>de l’écart entre le modèle et les mesures.</w:t>
      </w:r>
      <w:bookmarkEnd w:id="263"/>
      <w:bookmarkEnd w:id="264"/>
    </w:p>
    <w:p w14:paraId="5E6E872D" w14:textId="77777777" w:rsidR="00F50D70" w:rsidRPr="00BE4F47" w:rsidRDefault="00137D7F" w:rsidP="008E113B">
      <w:pPr>
        <w:numPr>
          <w:ilvl w:val="0"/>
          <w:numId w:val="20"/>
        </w:numPr>
        <w:spacing w:after="130" w:line="360" w:lineRule="auto"/>
        <w:ind w:left="720"/>
        <w:rPr>
          <w:rFonts w:ascii="Aptos" w:eastAsia="Calibri" w:hAnsi="Aptos" w:cs="Calibri"/>
          <w:color w:val="1A1A19"/>
          <w:sz w:val="20"/>
          <w:szCs w:val="20"/>
        </w:rPr>
      </w:pPr>
      <w:bookmarkStart w:id="265" w:name="_Toc241082935"/>
      <w:bookmarkStart w:id="266" w:name="_Toc241670110"/>
      <w:r w:rsidRPr="00BE4F47">
        <w:rPr>
          <w:rFonts w:ascii="Aptos" w:hAnsi="Aptos"/>
          <w:color w:val="1A1A19"/>
          <w:sz w:val="20"/>
          <w:szCs w:val="20"/>
        </w:rPr>
        <w:t>du nombre de capteurs cohérents entre eux.</w:t>
      </w:r>
      <w:bookmarkEnd w:id="265"/>
      <w:bookmarkEnd w:id="266"/>
    </w:p>
    <w:p w14:paraId="5144A330" w14:textId="77777777" w:rsidR="00F50D70" w:rsidRPr="00BE4F47" w:rsidRDefault="00137D7F" w:rsidP="008E113B">
      <w:pPr>
        <w:numPr>
          <w:ilvl w:val="0"/>
          <w:numId w:val="20"/>
        </w:numPr>
        <w:spacing w:after="130" w:line="360" w:lineRule="auto"/>
        <w:ind w:left="720"/>
        <w:rPr>
          <w:rFonts w:ascii="Aptos" w:eastAsia="Times New Roman" w:hAnsi="Aptos"/>
        </w:rPr>
      </w:pPr>
      <w:bookmarkStart w:id="267" w:name="_Toc241670111"/>
      <w:r w:rsidRPr="00BE4F47">
        <w:rPr>
          <w:rFonts w:ascii="Aptos" w:hAnsi="Aptos"/>
          <w:color w:val="1A1A19"/>
          <w:sz w:val="20"/>
          <w:szCs w:val="20"/>
        </w:rPr>
        <w:t>du domaine de validité du modèle.</w:t>
      </w:r>
      <w:bookmarkEnd w:id="267"/>
    </w:p>
    <w:p w14:paraId="057595DD"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68" w:name="_Toc241082937"/>
      <w:bookmarkStart w:id="269" w:name="_Toc241670112"/>
      <w:r w:rsidRPr="00BE4F47">
        <w:rPr>
          <w:rFonts w:ascii="Aptos" w:hAnsi="Aptos"/>
          <w:b/>
          <w:color w:val="1A1A19"/>
          <w:sz w:val="20"/>
          <w:szCs w:val="20"/>
        </w:rPr>
        <w:t xml:space="preserve">La cybersécurité et la cyber-résilience. </w:t>
      </w:r>
      <w:r w:rsidRPr="00BE4F47">
        <w:rPr>
          <w:rFonts w:ascii="Aptos" w:hAnsi="Aptos"/>
          <w:color w:val="1A1A19"/>
          <w:sz w:val="20"/>
          <w:szCs w:val="20"/>
        </w:rPr>
        <w:t>Une donnée falsifiée, retardée ou supprimée entraîne une représentation erronée de l’état du système, donc une décision erronée de l’opérateur.</w:t>
      </w:r>
      <w:bookmarkEnd w:id="268"/>
      <w:bookmarkEnd w:id="269"/>
    </w:p>
    <w:p w14:paraId="0B02E7FA" w14:textId="6C0987A6" w:rsidR="00F50D70" w:rsidRPr="00BE4F47" w:rsidRDefault="00137D7F" w:rsidP="008E113B">
      <w:pPr>
        <w:spacing w:after="130" w:line="360" w:lineRule="auto"/>
        <w:ind w:left="360"/>
        <w:rPr>
          <w:rFonts w:ascii="Aptos" w:hAnsi="Aptos"/>
        </w:rPr>
      </w:pPr>
      <w:bookmarkStart w:id="270" w:name="_Toc241082938"/>
      <w:bookmarkStart w:id="271" w:name="_Toc241670113"/>
      <w:r w:rsidRPr="00BE4F47">
        <w:rPr>
          <w:rFonts w:ascii="Aptos" w:hAnsi="Aptos"/>
          <w:color w:val="1A1A19"/>
          <w:sz w:val="20"/>
          <w:szCs w:val="20"/>
        </w:rPr>
        <w:t xml:space="preserve">A. Sayghe propose une architecture de détection d’intrusions reposant sur un jumeau numérique d’un système SCADA. Le jumeau permet de simuler le procédé, d’y injecter différents types de cyberattaques et d’en évaluer l’incidence [8]. C. Alcaraz et J. Lopez montrent de leur côté que les jumeaux numériques peuvent servir de mécanisme complémentaire de détection dans les systèmes </w:t>
      </w:r>
      <w:r w:rsidR="007E5FC7" w:rsidRPr="00BE4F47">
        <w:rPr>
          <w:rFonts w:ascii="Aptos" w:hAnsi="Aptos"/>
          <w:color w:val="1A1A19"/>
          <w:sz w:val="20"/>
          <w:szCs w:val="20"/>
        </w:rPr>
        <w:t>cyber physiques</w:t>
      </w:r>
      <w:r w:rsidRPr="00BE4F47">
        <w:rPr>
          <w:rFonts w:ascii="Aptos" w:hAnsi="Aptos"/>
          <w:color w:val="1A1A19"/>
          <w:sz w:val="20"/>
          <w:szCs w:val="20"/>
        </w:rPr>
        <w:t xml:space="preserve"> [9].</w:t>
      </w:r>
      <w:bookmarkEnd w:id="270"/>
      <w:bookmarkEnd w:id="271"/>
    </w:p>
    <w:p w14:paraId="098A0723"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72" w:name="_Toc241082939"/>
      <w:bookmarkStart w:id="273" w:name="_Toc241670114"/>
      <w:r w:rsidRPr="00BE4F47">
        <w:rPr>
          <w:rFonts w:ascii="Aptos" w:hAnsi="Aptos"/>
          <w:color w:val="1A1A19"/>
          <w:sz w:val="20"/>
          <w:szCs w:val="20"/>
        </w:rPr>
        <w:t>Pour le projet, la cyber-résilience ne se limite pas à empêcher une attaque. Le système doit pouvoir :</w:t>
      </w:r>
      <w:bookmarkEnd w:id="272"/>
      <w:bookmarkEnd w:id="273"/>
    </w:p>
    <w:p w14:paraId="3AB03436" w14:textId="77777777" w:rsidR="00F50D70" w:rsidRPr="00BE4F47" w:rsidRDefault="00137D7F" w:rsidP="008E113B">
      <w:pPr>
        <w:numPr>
          <w:ilvl w:val="0"/>
          <w:numId w:val="20"/>
        </w:numPr>
        <w:spacing w:after="130" w:line="360" w:lineRule="auto"/>
        <w:ind w:left="720"/>
        <w:rPr>
          <w:rFonts w:ascii="Aptos" w:eastAsia="Calibri" w:hAnsi="Aptos" w:cs="Calibri"/>
          <w:color w:val="1A1A19"/>
          <w:sz w:val="20"/>
          <w:szCs w:val="20"/>
        </w:rPr>
      </w:pPr>
      <w:bookmarkStart w:id="274" w:name="_Toc241082940"/>
      <w:bookmarkStart w:id="275" w:name="_Toc241670115"/>
      <w:r w:rsidRPr="00BE4F47">
        <w:rPr>
          <w:rFonts w:ascii="Aptos" w:hAnsi="Aptos"/>
          <w:color w:val="1A1A19"/>
          <w:sz w:val="20"/>
          <w:szCs w:val="20"/>
        </w:rPr>
        <w:t>identifier une donnée incohérente.</w:t>
      </w:r>
      <w:bookmarkEnd w:id="274"/>
      <w:bookmarkEnd w:id="275"/>
    </w:p>
    <w:p w14:paraId="03624502" w14:textId="77777777" w:rsidR="00F50D70" w:rsidRPr="00BE4F47" w:rsidRDefault="00137D7F" w:rsidP="008E113B">
      <w:pPr>
        <w:numPr>
          <w:ilvl w:val="0"/>
          <w:numId w:val="20"/>
        </w:numPr>
        <w:spacing w:after="130" w:line="360" w:lineRule="auto"/>
        <w:ind w:left="720"/>
        <w:rPr>
          <w:rFonts w:ascii="Aptos" w:eastAsia="Calibri" w:hAnsi="Aptos" w:cs="Calibri"/>
          <w:color w:val="1A1A19"/>
          <w:sz w:val="20"/>
          <w:szCs w:val="20"/>
        </w:rPr>
      </w:pPr>
      <w:bookmarkStart w:id="276" w:name="_Toc241082941"/>
      <w:bookmarkStart w:id="277" w:name="_Toc241670116"/>
      <w:r w:rsidRPr="00BE4F47">
        <w:rPr>
          <w:rFonts w:ascii="Aptos" w:hAnsi="Aptos"/>
          <w:color w:val="1A1A19"/>
          <w:sz w:val="20"/>
          <w:szCs w:val="20"/>
        </w:rPr>
        <w:t>détecter une perte de communication.</w:t>
      </w:r>
      <w:bookmarkEnd w:id="276"/>
      <w:bookmarkEnd w:id="277"/>
    </w:p>
    <w:p w14:paraId="0DC6FF7A" w14:textId="77777777" w:rsidR="00F50D70" w:rsidRPr="00BE4F47" w:rsidRDefault="00137D7F" w:rsidP="008E113B">
      <w:pPr>
        <w:numPr>
          <w:ilvl w:val="0"/>
          <w:numId w:val="20"/>
        </w:numPr>
        <w:spacing w:after="130" w:line="360" w:lineRule="auto"/>
        <w:ind w:left="720"/>
        <w:rPr>
          <w:rFonts w:ascii="Aptos" w:eastAsia="Segoe UI Symbol" w:hAnsi="Aptos" w:cs="Calibri"/>
          <w:color w:val="1A1A19"/>
          <w:sz w:val="20"/>
          <w:szCs w:val="20"/>
        </w:rPr>
      </w:pPr>
      <w:bookmarkStart w:id="278" w:name="_Toc241082942"/>
      <w:bookmarkStart w:id="279" w:name="_Toc241670117"/>
      <w:r w:rsidRPr="00BE4F47">
        <w:rPr>
          <w:rFonts w:ascii="Aptos" w:hAnsi="Aptos"/>
          <w:color w:val="1A1A19"/>
          <w:sz w:val="20"/>
          <w:szCs w:val="20"/>
        </w:rPr>
        <w:t>reconnaître une mesure potentiellement falsifiée.</w:t>
      </w:r>
      <w:bookmarkEnd w:id="278"/>
      <w:bookmarkEnd w:id="279"/>
    </w:p>
    <w:p w14:paraId="0EB0A16F" w14:textId="77777777" w:rsidR="00F50D70" w:rsidRPr="00BE4F47" w:rsidRDefault="00137D7F" w:rsidP="008E113B">
      <w:pPr>
        <w:numPr>
          <w:ilvl w:val="0"/>
          <w:numId w:val="20"/>
        </w:numPr>
        <w:spacing w:after="130" w:line="360" w:lineRule="auto"/>
        <w:ind w:left="720"/>
        <w:rPr>
          <w:rFonts w:ascii="Aptos" w:eastAsia="Segoe UI Symbol" w:hAnsi="Aptos" w:cs="Calibri"/>
          <w:color w:val="1A1A19"/>
          <w:sz w:val="20"/>
          <w:szCs w:val="20"/>
        </w:rPr>
      </w:pPr>
      <w:bookmarkStart w:id="280" w:name="_Toc241082943"/>
      <w:bookmarkStart w:id="281" w:name="_Toc241670118"/>
      <w:r w:rsidRPr="00BE4F47">
        <w:rPr>
          <w:rFonts w:ascii="Aptos" w:hAnsi="Aptos"/>
          <w:color w:val="1A1A19"/>
          <w:sz w:val="20"/>
          <w:szCs w:val="20"/>
        </w:rPr>
        <w:t>continuer à fonctionner en mode dégradé lorsque cela reste sûr.</w:t>
      </w:r>
      <w:bookmarkEnd w:id="280"/>
      <w:bookmarkEnd w:id="281"/>
    </w:p>
    <w:p w14:paraId="60B474D9" w14:textId="77777777" w:rsidR="00F50D70" w:rsidRPr="00BE4F47" w:rsidRDefault="00137D7F" w:rsidP="008E113B">
      <w:pPr>
        <w:numPr>
          <w:ilvl w:val="0"/>
          <w:numId w:val="20"/>
        </w:numPr>
        <w:spacing w:after="130" w:line="360" w:lineRule="auto"/>
        <w:ind w:left="720"/>
        <w:rPr>
          <w:rFonts w:ascii="Aptos" w:eastAsia="Segoe UI Symbol" w:hAnsi="Aptos" w:cs="Segoe UI Symbol"/>
          <w:lang w:eastAsia="ja-JP"/>
        </w:rPr>
      </w:pPr>
      <w:bookmarkStart w:id="282" w:name="_Toc241082944"/>
      <w:bookmarkStart w:id="283" w:name="_Toc241670119"/>
      <w:r w:rsidRPr="00BE4F47">
        <w:rPr>
          <w:rFonts w:ascii="Aptos" w:hAnsi="Aptos"/>
          <w:color w:val="1A1A19"/>
          <w:sz w:val="20"/>
          <w:szCs w:val="20"/>
        </w:rPr>
        <w:t>indiquer clairement qu’un diagnostic fiable n’est plus possible.</w:t>
      </w:r>
      <w:bookmarkEnd w:id="282"/>
      <w:bookmarkEnd w:id="283"/>
    </w:p>
    <w:p w14:paraId="69DD52AC" w14:textId="77777777" w:rsidR="00F50D70" w:rsidRPr="00BE4F47" w:rsidRDefault="00137D7F" w:rsidP="008E113B">
      <w:pPr>
        <w:spacing w:after="130" w:line="360" w:lineRule="auto"/>
        <w:ind w:left="360"/>
        <w:rPr>
          <w:rFonts w:ascii="Aptos" w:hAnsi="Aptos"/>
        </w:rPr>
      </w:pPr>
      <w:bookmarkStart w:id="284" w:name="_Toc241082945"/>
      <w:bookmarkStart w:id="285" w:name="_Toc241670120"/>
      <w:r w:rsidRPr="00BE4F47">
        <w:rPr>
          <w:rFonts w:ascii="Aptos" w:hAnsi="Aptos"/>
          <w:color w:val="1A1A19"/>
          <w:sz w:val="20"/>
          <w:szCs w:val="20"/>
        </w:rPr>
        <w:lastRenderedPageBreak/>
        <w:t>Ces cinq comportements correspondent aux exigences EX-Q-04 et EX-F-06 et, dans le GEMMA, aux états D2 et D3. La norme IEC 62859 ajoute une contrainte que la littérature n’énonce pas : une mesure de cybersécurité ne doit jamais empêcher l’opérateur de percevoir l’état réel du système. Une coupure de flux décidée pour des motifs de sécurité doit donc être signalée, et non silencieuse.</w:t>
      </w:r>
      <w:bookmarkEnd w:id="284"/>
      <w:bookmarkEnd w:id="285"/>
    </w:p>
    <w:p w14:paraId="6897E825"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86" w:name="_Toc241082946"/>
      <w:bookmarkStart w:id="287" w:name="_Toc241670121"/>
      <w:r w:rsidRPr="00BE4F47">
        <w:rPr>
          <w:rFonts w:ascii="Aptos" w:hAnsi="Aptos"/>
          <w:b/>
          <w:color w:val="1A1A19"/>
          <w:sz w:val="20"/>
          <w:szCs w:val="20"/>
        </w:rPr>
        <w:t xml:space="preserve">L’aide à la décision et l’explicabilité. </w:t>
      </w:r>
      <w:r w:rsidRPr="00BE4F47">
        <w:rPr>
          <w:rFonts w:ascii="Aptos" w:hAnsi="Aptos"/>
          <w:color w:val="1A1A19"/>
          <w:sz w:val="20"/>
          <w:szCs w:val="20"/>
        </w:rPr>
        <w:t>La littérature relève une limite d’interprétabilité des modèles numériques, en particulier avec l’apprentissage automatique [5]. En contexte nucléaire, une indication « normal » ou « anormal » ne suffit pas : l’opérateur doit pouvoir comprendre quelles variables ont conduit au diagnostic. Les exigences EX-F-04, EX-F-05 et EX-F-07 traduisent ce besoin en contenu d’interface.</w:t>
      </w:r>
      <w:bookmarkEnd w:id="286"/>
      <w:bookmarkEnd w:id="287"/>
    </w:p>
    <w:p w14:paraId="26B1D3A5"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288" w:name="_Toc241082948"/>
      <w:bookmarkStart w:id="289" w:name="_Toc241670122"/>
      <w:r w:rsidRPr="00BE4F47">
        <w:rPr>
          <w:rFonts w:ascii="Aptos" w:hAnsi="Aptos"/>
          <w:color w:val="1A1A19"/>
          <w:sz w:val="20"/>
          <w:szCs w:val="20"/>
        </w:rPr>
        <w:t>Le système demeure un outil d’aide à la décision, la responsabilité finale restant celle de l’opérateur (EX-F-08, norme ISO 9241-210 sur la conception centrée sur l’opérateur humain).</w:t>
      </w:r>
      <w:bookmarkEnd w:id="288"/>
      <w:bookmarkEnd w:id="289"/>
    </w:p>
    <w:p w14:paraId="0068DFE4" w14:textId="77777777" w:rsidR="00F50D70" w:rsidRPr="00BE4F47" w:rsidRDefault="00137D7F" w:rsidP="008E113B">
      <w:pPr>
        <w:spacing w:after="130" w:line="360" w:lineRule="auto"/>
        <w:ind w:left="360"/>
        <w:rPr>
          <w:rFonts w:ascii="Aptos" w:hAnsi="Aptos"/>
        </w:rPr>
      </w:pPr>
      <w:bookmarkStart w:id="290" w:name="_Toc241082967"/>
      <w:bookmarkStart w:id="291" w:name="_Toc241670123"/>
      <w:r w:rsidRPr="00BE4F47">
        <w:rPr>
          <w:rFonts w:ascii="Aptos" w:hAnsi="Aptos"/>
          <w:b/>
          <w:color w:val="1A1A19"/>
          <w:sz w:val="20"/>
          <w:szCs w:val="20"/>
        </w:rPr>
        <w:t xml:space="preserve">Les solutions du marché. </w:t>
      </w:r>
      <w:r w:rsidRPr="00BE4F47">
        <w:rPr>
          <w:rFonts w:ascii="Aptos" w:hAnsi="Aptos"/>
          <w:color w:val="1A1A19"/>
          <w:sz w:val="20"/>
          <w:szCs w:val="20"/>
        </w:rPr>
        <w:t>La revue qui précède porte sur les travaux publiés et sur les brevets. Quatre familles de solutions du marché ont aussi été examinées, pour situer ce que le projet aurait pu acheter plutôt que construire.</w:t>
      </w:r>
      <w:bookmarkEnd w:id="290"/>
      <w:bookmarkEnd w:id="291"/>
    </w:p>
    <w:p w14:paraId="5261D59D" w14:textId="77777777" w:rsidR="00F50D70" w:rsidRPr="00BE4F47" w:rsidRDefault="00137D7F" w:rsidP="008E113B">
      <w:pPr>
        <w:pStyle w:val="Lgende"/>
        <w:keepNext/>
        <w:spacing w:line="360" w:lineRule="auto"/>
        <w:rPr>
          <w:rFonts w:ascii="Aptos" w:hAnsi="Aptos"/>
        </w:rPr>
      </w:pPr>
      <w:bookmarkStart w:id="292" w:name="_Toc241082968"/>
      <w:bookmarkStart w:id="293" w:name="_Toc241670124"/>
      <w:r w:rsidRPr="00BE4F47">
        <w:rPr>
          <w:rFonts w:ascii="Aptos" w:hAnsi="Aptos"/>
        </w:rPr>
        <w:t>Tableau 5-2. Solutions existantes et raison de la décision</w:t>
      </w:r>
      <w:bookmarkEnd w:id="292"/>
      <w:bookmarkEnd w:id="293"/>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1900"/>
        <w:gridCol w:w="1500"/>
        <w:gridCol w:w="2600"/>
        <w:gridCol w:w="2557"/>
      </w:tblGrid>
      <w:tr w:rsidR="00F50D70" w:rsidRPr="00BE4F47" w14:paraId="4F5E33BE" w14:textId="77777777" w:rsidTr="0036725C">
        <w:trPr>
          <w:trHeight w:val="227"/>
          <w:tblHeader/>
        </w:trPr>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E4CD33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Solution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44E908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Nature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50C99A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Ce qu’elle apporte</w:t>
            </w:r>
          </w:p>
        </w:tc>
        <w:tc>
          <w:tcPr>
            <w:tcW w:w="25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F6FCED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Ce qui la met hors de portée du mandat</w:t>
            </w:r>
          </w:p>
        </w:tc>
      </w:tr>
      <w:tr w:rsidR="00F50D70" w:rsidRPr="00BE4F47" w14:paraId="7A57DA0D"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6BF3D79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Ansys Twin Builder [10]</w:t>
            </w:r>
          </w:p>
        </w:tc>
        <w:tc>
          <w:tcPr>
            <w:tcW w:w="1500" w:type="dxa"/>
            <w:tcBorders>
              <w:top w:val="single" w:sz="4" w:space="0" w:color="000000"/>
              <w:left w:val="single" w:sz="4" w:space="0" w:color="000000"/>
              <w:bottom w:val="single" w:sz="4" w:space="0" w:color="000000"/>
              <w:right w:val="single" w:sz="4" w:space="0" w:color="000000"/>
            </w:tcBorders>
          </w:tcPr>
          <w:p w14:paraId="04A388D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Plateforme commerciale de jumeaux numériques.</w:t>
            </w:r>
          </w:p>
        </w:tc>
        <w:tc>
          <w:tcPr>
            <w:tcW w:w="2600" w:type="dxa"/>
            <w:tcBorders>
              <w:top w:val="single" w:sz="4" w:space="0" w:color="000000"/>
              <w:left w:val="single" w:sz="4" w:space="0" w:color="000000"/>
              <w:bottom w:val="single" w:sz="4" w:space="0" w:color="000000"/>
              <w:right w:val="single" w:sz="4" w:space="0" w:color="000000"/>
            </w:tcBorders>
          </w:tcPr>
          <w:p w14:paraId="10C55BA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Chaîne complète, de la modélisation au déploiement, avec réduction de modèle et connexion aux données d’exploitation.</w:t>
            </w:r>
          </w:p>
        </w:tc>
        <w:tc>
          <w:tcPr>
            <w:tcW w:w="2557" w:type="dxa"/>
            <w:tcBorders>
              <w:top w:val="single" w:sz="4" w:space="0" w:color="000000"/>
              <w:left w:val="single" w:sz="4" w:space="0" w:color="000000"/>
              <w:bottom w:val="single" w:sz="4" w:space="0" w:color="000000"/>
              <w:right w:val="single" w:sz="4" w:space="0" w:color="000000"/>
            </w:tcBorders>
          </w:tcPr>
          <w:p w14:paraId="7E5ABED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Licence commerciale hors du budget du mandat. Outil fermé, ce qui empêcherait de démontrer la reproductibilité exigée par EX-F-02.</w:t>
            </w:r>
          </w:p>
        </w:tc>
      </w:tr>
      <w:tr w:rsidR="00F50D70" w:rsidRPr="00BE4F47" w14:paraId="7AF51EF8"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17551B7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Siemens Simcenter Amesim [11]</w:t>
            </w:r>
          </w:p>
        </w:tc>
        <w:tc>
          <w:tcPr>
            <w:tcW w:w="1500" w:type="dxa"/>
            <w:tcBorders>
              <w:top w:val="single" w:sz="4" w:space="0" w:color="000000"/>
              <w:left w:val="single" w:sz="4" w:space="0" w:color="000000"/>
              <w:bottom w:val="single" w:sz="4" w:space="0" w:color="000000"/>
              <w:right w:val="single" w:sz="4" w:space="0" w:color="000000"/>
            </w:tcBorders>
          </w:tcPr>
          <w:p w14:paraId="370C3A2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Environnement commercial de simulation de systèmes.</w:t>
            </w:r>
          </w:p>
        </w:tc>
        <w:tc>
          <w:tcPr>
            <w:tcW w:w="2600" w:type="dxa"/>
            <w:tcBorders>
              <w:top w:val="single" w:sz="4" w:space="0" w:color="000000"/>
              <w:left w:val="single" w:sz="4" w:space="0" w:color="000000"/>
              <w:bottom w:val="single" w:sz="4" w:space="0" w:color="000000"/>
              <w:right w:val="single" w:sz="4" w:space="0" w:color="000000"/>
            </w:tcBorders>
          </w:tcPr>
          <w:p w14:paraId="6B1F459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Bibliothèques thermiques et hydrauliques éprouvées, adaptées à une boucle de refroidissement.</w:t>
            </w:r>
          </w:p>
        </w:tc>
        <w:tc>
          <w:tcPr>
            <w:tcW w:w="2557" w:type="dxa"/>
            <w:tcBorders>
              <w:top w:val="single" w:sz="4" w:space="0" w:color="000000"/>
              <w:left w:val="single" w:sz="4" w:space="0" w:color="000000"/>
              <w:bottom w:val="single" w:sz="4" w:space="0" w:color="000000"/>
              <w:right w:val="single" w:sz="4" w:space="0" w:color="000000"/>
            </w:tcBorders>
          </w:tcPr>
          <w:p w14:paraId="29BE0C9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Même obstacle de licence. La compétence d’équipe sur cet outil est nulle, ce qui consommerait le lot L4 en apprentissage.</w:t>
            </w:r>
          </w:p>
        </w:tc>
      </w:tr>
      <w:tr w:rsidR="00F50D70" w:rsidRPr="00BE4F47" w14:paraId="6EBA399B"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28B1F97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OpenModelica et la bibliothèque ThermoPower [12]</w:t>
            </w:r>
          </w:p>
        </w:tc>
        <w:tc>
          <w:tcPr>
            <w:tcW w:w="1500" w:type="dxa"/>
            <w:tcBorders>
              <w:top w:val="single" w:sz="4" w:space="0" w:color="000000"/>
              <w:left w:val="single" w:sz="4" w:space="0" w:color="000000"/>
              <w:bottom w:val="single" w:sz="4" w:space="0" w:color="000000"/>
              <w:right w:val="single" w:sz="4" w:space="0" w:color="000000"/>
            </w:tcBorders>
          </w:tcPr>
          <w:p w14:paraId="4EBB4CE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Environnement et bibliothèque libres.</w:t>
            </w:r>
          </w:p>
        </w:tc>
        <w:tc>
          <w:tcPr>
            <w:tcW w:w="2600" w:type="dxa"/>
            <w:tcBorders>
              <w:top w:val="single" w:sz="4" w:space="0" w:color="000000"/>
              <w:left w:val="single" w:sz="4" w:space="0" w:color="000000"/>
              <w:bottom w:val="single" w:sz="4" w:space="0" w:color="000000"/>
              <w:right w:val="single" w:sz="4" w:space="0" w:color="000000"/>
            </w:tcBorders>
          </w:tcPr>
          <w:p w14:paraId="02810BA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Modélisation dynamique des centrales thermiques, langage normalisé à équations acausales, code lisible et vérifiable.</w:t>
            </w:r>
          </w:p>
        </w:tc>
        <w:tc>
          <w:tcPr>
            <w:tcW w:w="2557" w:type="dxa"/>
            <w:tcBorders>
              <w:top w:val="single" w:sz="4" w:space="0" w:color="000000"/>
              <w:left w:val="single" w:sz="4" w:space="0" w:color="000000"/>
              <w:bottom w:val="single" w:sz="4" w:space="0" w:color="000000"/>
              <w:right w:val="single" w:sz="4" w:space="0" w:color="000000"/>
            </w:tcBorders>
          </w:tcPr>
          <w:p w14:paraId="2BA8330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Rien. C’est la piste que retient la section 8.5.</w:t>
            </w:r>
          </w:p>
        </w:tc>
      </w:tr>
      <w:tr w:rsidR="00F50D70" w:rsidRPr="00BE4F47" w14:paraId="7E9DE8F4"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7940EAA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Codes TRACE et RELAP5 de la NRC [13]</w:t>
            </w:r>
          </w:p>
        </w:tc>
        <w:tc>
          <w:tcPr>
            <w:tcW w:w="1500" w:type="dxa"/>
            <w:tcBorders>
              <w:top w:val="single" w:sz="4" w:space="0" w:color="000000"/>
              <w:left w:val="single" w:sz="4" w:space="0" w:color="000000"/>
              <w:bottom w:val="single" w:sz="4" w:space="0" w:color="000000"/>
              <w:right w:val="single" w:sz="4" w:space="0" w:color="000000"/>
            </w:tcBorders>
          </w:tcPr>
          <w:p w14:paraId="4A766ED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Codes de référence en thermohydraulique nucléaire.</w:t>
            </w:r>
          </w:p>
        </w:tc>
        <w:tc>
          <w:tcPr>
            <w:tcW w:w="2600" w:type="dxa"/>
            <w:tcBorders>
              <w:top w:val="single" w:sz="4" w:space="0" w:color="000000"/>
              <w:left w:val="single" w:sz="4" w:space="0" w:color="000000"/>
              <w:bottom w:val="single" w:sz="4" w:space="0" w:color="000000"/>
              <w:right w:val="single" w:sz="4" w:space="0" w:color="000000"/>
            </w:tcBorders>
          </w:tcPr>
          <w:p w14:paraId="3C862EA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Référence reconnue pour l’analyse des transitoires de réacteurs à eau sous pression et à eau bouillante.</w:t>
            </w:r>
          </w:p>
        </w:tc>
        <w:tc>
          <w:tcPr>
            <w:tcW w:w="2557" w:type="dxa"/>
            <w:tcBorders>
              <w:top w:val="single" w:sz="4" w:space="0" w:color="000000"/>
              <w:left w:val="single" w:sz="4" w:space="0" w:color="000000"/>
              <w:bottom w:val="single" w:sz="4" w:space="0" w:color="000000"/>
              <w:right w:val="single" w:sz="4" w:space="0" w:color="000000"/>
            </w:tcBorders>
          </w:tcPr>
          <w:p w14:paraId="02B897A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Distribution soumise à une entente institutionnelle, et non librement accessible. Domaine d’emploi très au-delà du périmètre du prototype.</w:t>
            </w:r>
          </w:p>
        </w:tc>
      </w:tr>
    </w:tbl>
    <w:p w14:paraId="0AFEE74F" w14:textId="2FCBC250" w:rsidR="00F50D70" w:rsidRPr="00BE4F47" w:rsidRDefault="00137D7F" w:rsidP="008E113B">
      <w:pPr>
        <w:spacing w:before="200" w:after="130" w:line="360" w:lineRule="auto"/>
        <w:ind w:left="360"/>
        <w:rPr>
          <w:rFonts w:ascii="Aptos" w:hAnsi="Aptos"/>
        </w:rPr>
      </w:pPr>
      <w:bookmarkStart w:id="294" w:name="_Toc241082969"/>
      <w:bookmarkStart w:id="295" w:name="_Toc241670125"/>
      <w:r w:rsidRPr="00BE4F47">
        <w:rPr>
          <w:rFonts w:ascii="Aptos" w:hAnsi="Aptos"/>
          <w:color w:val="1A1A19"/>
          <w:sz w:val="20"/>
          <w:szCs w:val="20"/>
        </w:rPr>
        <w:t xml:space="preserve">Aucune plateforme commerciale n’est accessible dans le cadre du mandat. Le budget ne comporte aucun poste de licence, ce qu’énonce l’hypothèse H-05 de la section 8. La reproductibilité exigée par EX-F-02 suppose qu’un tiers puisse relancer les calculs sans acquérir un logiciel. Le projet est enfin un exercice de conception : employer une plateforme qui </w:t>
      </w:r>
      <w:r w:rsidR="007E5FC7" w:rsidRPr="00BE4F47">
        <w:rPr>
          <w:rFonts w:ascii="Aptos" w:hAnsi="Aptos"/>
          <w:color w:val="1A1A19"/>
          <w:sz w:val="20"/>
          <w:szCs w:val="20"/>
        </w:rPr>
        <w:t>effectue</w:t>
      </w:r>
      <w:r w:rsidRPr="00BE4F47">
        <w:rPr>
          <w:rFonts w:ascii="Aptos" w:hAnsi="Aptos"/>
          <w:color w:val="1A1A19"/>
          <w:sz w:val="20"/>
          <w:szCs w:val="20"/>
        </w:rPr>
        <w:t xml:space="preserve"> déjà le travail viderait les lots L4, L6 et L7 de leur contenu. Le choix d’outillage lui-même est arrêté à la section 8.5.</w:t>
      </w:r>
      <w:bookmarkEnd w:id="294"/>
      <w:bookmarkEnd w:id="295"/>
    </w:p>
    <w:p w14:paraId="6FFC8642" w14:textId="77777777" w:rsidR="00F50D70" w:rsidRPr="00BE4F47" w:rsidRDefault="00137D7F" w:rsidP="008E113B">
      <w:pPr>
        <w:spacing w:after="130" w:line="360" w:lineRule="auto"/>
        <w:ind w:left="360"/>
        <w:rPr>
          <w:rFonts w:ascii="Aptos" w:hAnsi="Aptos"/>
        </w:rPr>
      </w:pPr>
      <w:bookmarkStart w:id="296" w:name="_Toc241082970"/>
      <w:bookmarkStart w:id="297" w:name="_Toc241670126"/>
      <w:r w:rsidRPr="00BE4F47">
        <w:rPr>
          <w:rFonts w:ascii="Aptos" w:hAnsi="Aptos"/>
          <w:color w:val="1A1A19"/>
          <w:sz w:val="20"/>
          <w:szCs w:val="20"/>
        </w:rPr>
        <w:t>Ce constat a un revers. Les outils libres offrent moins de garanties de support et de validation industrielle que les plateformes commerciales, et la charge de vérification retombe sur le lot L9.</w:t>
      </w:r>
      <w:bookmarkEnd w:id="296"/>
      <w:bookmarkEnd w:id="297"/>
    </w:p>
    <w:p w14:paraId="21CF8A6D" w14:textId="77777777" w:rsidR="00F50D70" w:rsidRPr="00B03F2E" w:rsidRDefault="00137D7F" w:rsidP="008E113B">
      <w:pPr>
        <w:pStyle w:val="Titre2"/>
        <w:spacing w:line="360" w:lineRule="auto"/>
      </w:pPr>
      <w:bookmarkStart w:id="298" w:name="_Toc241670127"/>
      <w:r w:rsidRPr="00B03F2E">
        <w:lastRenderedPageBreak/>
        <w:t>Brevets, droits et redevances</w:t>
      </w:r>
      <w:bookmarkStart w:id="299" w:name="__RefHeading___Toc240715169"/>
      <w:bookmarkEnd w:id="298"/>
      <w:bookmarkEnd w:id="299"/>
    </w:p>
    <w:p w14:paraId="02C97B69"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300" w:name="_Toc241082950"/>
      <w:bookmarkStart w:id="301" w:name="_Toc241670128"/>
      <w:r w:rsidRPr="00BE4F47">
        <w:rPr>
          <w:rFonts w:ascii="Aptos" w:hAnsi="Aptos"/>
          <w:color w:val="1A1A19"/>
          <w:sz w:val="20"/>
          <w:szCs w:val="20"/>
        </w:rPr>
        <w:t>La recherche a été menée dans Google Patents. C’est une recherche préliminaire d’antériorité, qui établit ce qui est déjà connu dans le domaine. Ce n’est pas une analyse de liberté d’exploitation : celle-ci suppose l’examen des revendications de chaque brevet, la vérification de son statut juridique et des territoires où il est en vigueur, et relève d’un agent de brevets.</w:t>
      </w:r>
      <w:bookmarkEnd w:id="300"/>
      <w:bookmarkEnd w:id="301"/>
    </w:p>
    <w:p w14:paraId="26568BF0" w14:textId="77777777" w:rsidR="00F50D70" w:rsidRDefault="00137D7F" w:rsidP="008E113B">
      <w:pPr>
        <w:spacing w:after="130" w:line="360" w:lineRule="auto"/>
        <w:ind w:left="360"/>
        <w:rPr>
          <w:rFonts w:ascii="Aptos" w:eastAsia="Calibri" w:hAnsi="Aptos" w:cs="Calibri"/>
          <w:color w:val="1A1A19"/>
          <w:sz w:val="20"/>
          <w:szCs w:val="20"/>
        </w:rPr>
      </w:pPr>
      <w:bookmarkStart w:id="302" w:name="_Toc241082951"/>
      <w:bookmarkStart w:id="303" w:name="_Toc241670129"/>
      <w:r w:rsidRPr="00BE4F47">
        <w:rPr>
          <w:rFonts w:ascii="Aptos" w:hAnsi="Aptos"/>
          <w:b/>
          <w:color w:val="1A1A19"/>
          <w:sz w:val="20"/>
          <w:szCs w:val="20"/>
        </w:rPr>
        <w:t xml:space="preserve">Les brevets identifiés. </w:t>
      </w:r>
      <w:r w:rsidRPr="00BE4F47">
        <w:rPr>
          <w:rFonts w:ascii="Aptos" w:hAnsi="Aptos"/>
          <w:color w:val="1A1A19"/>
          <w:sz w:val="20"/>
          <w:szCs w:val="20"/>
        </w:rPr>
        <w:t>Cinq brevets présentent des similitudes avec des composantes du projet. Le statut et la juridiction ont été vérifiés le 18 septembre 2026.</w:t>
      </w:r>
      <w:bookmarkEnd w:id="302"/>
      <w:bookmarkEnd w:id="303"/>
    </w:p>
    <w:p w14:paraId="6C7AEDD3" w14:textId="77777777" w:rsidR="00F50D70" w:rsidRPr="00BE4F47" w:rsidRDefault="00137D7F" w:rsidP="008E113B">
      <w:pPr>
        <w:pStyle w:val="Lgende"/>
        <w:keepNext/>
        <w:spacing w:line="360" w:lineRule="auto"/>
        <w:rPr>
          <w:rFonts w:ascii="Aptos" w:hAnsi="Aptos"/>
        </w:rPr>
      </w:pPr>
      <w:bookmarkStart w:id="304" w:name="_Toc241082952"/>
      <w:bookmarkStart w:id="305" w:name="_Toc241670130"/>
      <w:r w:rsidRPr="00BE4F47">
        <w:rPr>
          <w:rFonts w:ascii="Aptos" w:hAnsi="Aptos"/>
        </w:rPr>
        <w:t>Tableau 5-3. Brevets identifiés et différence avec le projet</w:t>
      </w:r>
      <w:bookmarkEnd w:id="304"/>
      <w:bookmarkEnd w:id="305"/>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1298"/>
        <w:gridCol w:w="1993"/>
        <w:gridCol w:w="1554"/>
        <w:gridCol w:w="1427"/>
        <w:gridCol w:w="2285"/>
      </w:tblGrid>
      <w:tr w:rsidR="00F50D70" w:rsidRPr="00BE4F47" w14:paraId="5A9322BC" w14:textId="77777777" w:rsidTr="0036725C">
        <w:trPr>
          <w:trHeight w:val="229"/>
          <w:tblHeader/>
        </w:trPr>
        <w:tc>
          <w:tcPr>
            <w:tcW w:w="1298"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3029C2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Numéro</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62C8E2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Objet</w:t>
            </w:r>
          </w:p>
        </w:tc>
        <w:tc>
          <w:tcPr>
            <w:tcW w:w="1554"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6566B2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Titulaire</w:t>
            </w:r>
          </w:p>
        </w:tc>
        <w:tc>
          <w:tcPr>
            <w:tcW w:w="142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C5969B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Statut et juridiction</w:t>
            </w:r>
          </w:p>
        </w:tc>
        <w:tc>
          <w:tcPr>
            <w:tcW w:w="2285"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4D3A8F2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Différence avec le projet</w:t>
            </w:r>
          </w:p>
        </w:tc>
      </w:tr>
      <w:tr w:rsidR="00F50D70" w:rsidRPr="00BE4F47" w14:paraId="6C1A7B70" w14:textId="77777777">
        <w:trPr>
          <w:cantSplit/>
          <w:trHeight w:val="748"/>
        </w:trPr>
        <w:tc>
          <w:tcPr>
            <w:tcW w:w="1298" w:type="dxa"/>
            <w:tcBorders>
              <w:top w:val="single" w:sz="4" w:space="0" w:color="000000"/>
              <w:left w:val="single" w:sz="4" w:space="0" w:color="000000"/>
              <w:bottom w:val="single" w:sz="4" w:space="0" w:color="000000"/>
              <w:right w:val="single" w:sz="4" w:space="0" w:color="000000"/>
            </w:tcBorders>
          </w:tcPr>
          <w:p w14:paraId="59A8766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CN118709527B</w:t>
            </w:r>
          </w:p>
        </w:tc>
        <w:tc>
          <w:tcPr>
            <w:tcW w:w="1993" w:type="dxa"/>
            <w:tcBorders>
              <w:top w:val="single" w:sz="4" w:space="0" w:color="000000"/>
              <w:left w:val="single" w:sz="4" w:space="0" w:color="000000"/>
              <w:bottom w:val="single" w:sz="4" w:space="0" w:color="000000"/>
              <w:right w:val="single" w:sz="4" w:space="0" w:color="000000"/>
            </w:tcBorders>
          </w:tcPr>
          <w:p w14:paraId="2ED2A9F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Modèle de jumeau numérique de centrale nucléaire à approche hybride physique-données [14]</w:t>
            </w:r>
          </w:p>
        </w:tc>
        <w:tc>
          <w:tcPr>
            <w:tcW w:w="1554" w:type="dxa"/>
            <w:tcBorders>
              <w:top w:val="single" w:sz="4" w:space="0" w:color="000000"/>
              <w:left w:val="single" w:sz="4" w:space="0" w:color="000000"/>
              <w:bottom w:val="single" w:sz="4" w:space="0" w:color="000000"/>
              <w:right w:val="single" w:sz="4" w:space="0" w:color="000000"/>
            </w:tcBorders>
          </w:tcPr>
          <w:p w14:paraId="62CFB8E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Université Jiao Tong de Shanghai</w:t>
            </w:r>
          </w:p>
        </w:tc>
        <w:tc>
          <w:tcPr>
            <w:tcW w:w="1427" w:type="dxa"/>
            <w:tcBorders>
              <w:top w:val="single" w:sz="4" w:space="0" w:color="000000"/>
              <w:left w:val="single" w:sz="4" w:space="0" w:color="000000"/>
              <w:bottom w:val="single" w:sz="4" w:space="0" w:color="000000"/>
              <w:right w:val="single" w:sz="4" w:space="0" w:color="000000"/>
            </w:tcBorders>
          </w:tcPr>
          <w:p w14:paraId="55F4808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Délivré, actif</w:t>
            </w:r>
          </w:p>
          <w:p w14:paraId="1FF2BCD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Chine</w:t>
            </w:r>
          </w:p>
          <w:p w14:paraId="3E44489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Dépôt : 4 juin 2024</w:t>
            </w:r>
          </w:p>
        </w:tc>
        <w:tc>
          <w:tcPr>
            <w:tcW w:w="2285" w:type="dxa"/>
            <w:tcBorders>
              <w:top w:val="single" w:sz="4" w:space="0" w:color="000000"/>
              <w:left w:val="single" w:sz="4" w:space="0" w:color="000000"/>
              <w:bottom w:val="single" w:sz="4" w:space="0" w:color="000000"/>
              <w:right w:val="single" w:sz="4" w:space="0" w:color="000000"/>
            </w:tcBorders>
          </w:tcPr>
          <w:p w14:paraId="5CA2C98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Centré sur la construction du modèle numérique, non sur la surveillance et la décision.</w:t>
            </w:r>
          </w:p>
        </w:tc>
      </w:tr>
      <w:tr w:rsidR="00F50D70" w:rsidRPr="00BE4F47" w14:paraId="3656787B" w14:textId="77777777">
        <w:trPr>
          <w:cantSplit/>
          <w:trHeight w:val="1020"/>
        </w:trPr>
        <w:tc>
          <w:tcPr>
            <w:tcW w:w="1298" w:type="dxa"/>
            <w:tcBorders>
              <w:top w:val="single" w:sz="4" w:space="0" w:color="000000"/>
              <w:left w:val="single" w:sz="4" w:space="0" w:color="000000"/>
              <w:bottom w:val="single" w:sz="4" w:space="0" w:color="000000"/>
              <w:right w:val="single" w:sz="4" w:space="0" w:color="000000"/>
            </w:tcBorders>
          </w:tcPr>
          <w:p w14:paraId="4EFE5C6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CN118228587A</w:t>
            </w:r>
          </w:p>
        </w:tc>
        <w:tc>
          <w:tcPr>
            <w:tcW w:w="1993" w:type="dxa"/>
            <w:tcBorders>
              <w:top w:val="single" w:sz="4" w:space="0" w:color="000000"/>
              <w:left w:val="single" w:sz="4" w:space="0" w:color="000000"/>
              <w:bottom w:val="single" w:sz="4" w:space="0" w:color="000000"/>
              <w:right w:val="single" w:sz="4" w:space="0" w:color="000000"/>
            </w:tcBorders>
          </w:tcPr>
          <w:p w14:paraId="0F2B46F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Analyse d’incertitude d’un jumeau numérique de cœur par méthode MCMC [15]</w:t>
            </w:r>
          </w:p>
        </w:tc>
        <w:tc>
          <w:tcPr>
            <w:tcW w:w="1554" w:type="dxa"/>
            <w:tcBorders>
              <w:top w:val="single" w:sz="4" w:space="0" w:color="000000"/>
              <w:left w:val="single" w:sz="4" w:space="0" w:color="000000"/>
              <w:bottom w:val="single" w:sz="4" w:space="0" w:color="000000"/>
              <w:right w:val="single" w:sz="4" w:space="0" w:color="000000"/>
            </w:tcBorders>
          </w:tcPr>
          <w:p w14:paraId="0A4E350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Université Jiao Tong de Shanghai</w:t>
            </w:r>
          </w:p>
        </w:tc>
        <w:tc>
          <w:tcPr>
            <w:tcW w:w="1427" w:type="dxa"/>
            <w:tcBorders>
              <w:top w:val="single" w:sz="4" w:space="0" w:color="000000"/>
              <w:left w:val="single" w:sz="4" w:space="0" w:color="000000"/>
              <w:bottom w:val="single" w:sz="4" w:space="0" w:color="000000"/>
              <w:right w:val="single" w:sz="4" w:space="0" w:color="000000"/>
            </w:tcBorders>
          </w:tcPr>
          <w:p w14:paraId="7554B8A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Demande publiée, rejetée après publication</w:t>
            </w:r>
          </w:p>
          <w:p w14:paraId="4E3C2B6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Chine</w:t>
            </w:r>
          </w:p>
          <w:p w14:paraId="755A786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Dépôt : 26 mars 2024</w:t>
            </w:r>
          </w:p>
        </w:tc>
        <w:tc>
          <w:tcPr>
            <w:tcW w:w="2285" w:type="dxa"/>
            <w:tcBorders>
              <w:top w:val="single" w:sz="4" w:space="0" w:color="000000"/>
              <w:left w:val="single" w:sz="4" w:space="0" w:color="000000"/>
              <w:bottom w:val="single" w:sz="4" w:space="0" w:color="000000"/>
              <w:right w:val="single" w:sz="4" w:space="0" w:color="000000"/>
            </w:tcBorders>
          </w:tcPr>
          <w:p w14:paraId="2ACA84D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Centré sur une méthode statistique d’analyse de l’incertitude du cœur.</w:t>
            </w:r>
          </w:p>
        </w:tc>
      </w:tr>
      <w:tr w:rsidR="00F50D70" w:rsidRPr="00BE4F47" w14:paraId="39CCEF52" w14:textId="77777777">
        <w:trPr>
          <w:cantSplit/>
          <w:trHeight w:val="849"/>
        </w:trPr>
        <w:tc>
          <w:tcPr>
            <w:tcW w:w="1298" w:type="dxa"/>
            <w:tcBorders>
              <w:top w:val="single" w:sz="4" w:space="0" w:color="000000"/>
              <w:left w:val="single" w:sz="4" w:space="0" w:color="000000"/>
              <w:bottom w:val="single" w:sz="4" w:space="0" w:color="000000"/>
              <w:right w:val="single" w:sz="4" w:space="0" w:color="000000"/>
            </w:tcBorders>
          </w:tcPr>
          <w:p w14:paraId="2E58DAC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CN118779601A</w:t>
            </w:r>
          </w:p>
        </w:tc>
        <w:tc>
          <w:tcPr>
            <w:tcW w:w="1993" w:type="dxa"/>
            <w:tcBorders>
              <w:top w:val="single" w:sz="4" w:space="0" w:color="000000"/>
              <w:left w:val="single" w:sz="4" w:space="0" w:color="000000"/>
              <w:bottom w:val="single" w:sz="4" w:space="0" w:color="000000"/>
              <w:right w:val="single" w:sz="4" w:space="0" w:color="000000"/>
            </w:tcBorders>
          </w:tcPr>
          <w:p w14:paraId="21CCF050" w14:textId="1BD3F80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 xml:space="preserve">Prédiction en ligne à long terme et analyse d’incertitude </w:t>
            </w:r>
            <w:r w:rsidR="007E5FC7" w:rsidRPr="00BE4F47">
              <w:rPr>
                <w:rFonts w:ascii="Aptos" w:eastAsia="Calibri" w:hAnsi="Aptos" w:cs="Calibri"/>
                <w:color w:val="1A1A19"/>
                <w:sz w:val="16"/>
                <w:szCs w:val="16"/>
              </w:rPr>
              <w:t>multi paramètre</w:t>
            </w:r>
            <w:r w:rsidRPr="00BE4F47">
              <w:rPr>
                <w:rFonts w:ascii="Aptos" w:eastAsia="Calibri" w:hAnsi="Aptos" w:cs="Calibri"/>
                <w:color w:val="1A1A19"/>
                <w:sz w:val="16"/>
                <w:szCs w:val="16"/>
              </w:rPr>
              <w:t xml:space="preserve"> [16]</w:t>
            </w:r>
          </w:p>
        </w:tc>
        <w:tc>
          <w:tcPr>
            <w:tcW w:w="1554" w:type="dxa"/>
            <w:tcBorders>
              <w:top w:val="single" w:sz="4" w:space="0" w:color="000000"/>
              <w:left w:val="single" w:sz="4" w:space="0" w:color="000000"/>
              <w:bottom w:val="single" w:sz="4" w:space="0" w:color="000000"/>
              <w:right w:val="single" w:sz="4" w:space="0" w:color="000000"/>
            </w:tcBorders>
          </w:tcPr>
          <w:p w14:paraId="4E2BEA8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Université Jiao Tong de Shanghai</w:t>
            </w:r>
          </w:p>
        </w:tc>
        <w:tc>
          <w:tcPr>
            <w:tcW w:w="1427" w:type="dxa"/>
            <w:tcBorders>
              <w:top w:val="single" w:sz="4" w:space="0" w:color="000000"/>
              <w:left w:val="single" w:sz="4" w:space="0" w:color="000000"/>
              <w:bottom w:val="single" w:sz="4" w:space="0" w:color="000000"/>
              <w:right w:val="single" w:sz="4" w:space="0" w:color="000000"/>
            </w:tcBorders>
          </w:tcPr>
          <w:p w14:paraId="05D02E9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Demande publiée, en instance</w:t>
            </w:r>
          </w:p>
          <w:p w14:paraId="1E98BEB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Chine</w:t>
            </w:r>
          </w:p>
          <w:p w14:paraId="64D8194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Dépôt : 14 juin 2024</w:t>
            </w:r>
          </w:p>
        </w:tc>
        <w:tc>
          <w:tcPr>
            <w:tcW w:w="2285" w:type="dxa"/>
            <w:tcBorders>
              <w:top w:val="single" w:sz="4" w:space="0" w:color="000000"/>
              <w:left w:val="single" w:sz="4" w:space="0" w:color="000000"/>
              <w:bottom w:val="single" w:sz="4" w:space="0" w:color="000000"/>
              <w:right w:val="single" w:sz="4" w:space="0" w:color="000000"/>
            </w:tcBorders>
          </w:tcPr>
          <w:p w14:paraId="514E097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Axé sur la prédiction à long terme, non sur la détection en temps réel.</w:t>
            </w:r>
          </w:p>
        </w:tc>
      </w:tr>
      <w:tr w:rsidR="00F50D70" w:rsidRPr="00BE4F47" w14:paraId="67EEA34C" w14:textId="77777777">
        <w:trPr>
          <w:cantSplit/>
          <w:trHeight w:val="918"/>
        </w:trPr>
        <w:tc>
          <w:tcPr>
            <w:tcW w:w="1298" w:type="dxa"/>
            <w:tcBorders>
              <w:top w:val="single" w:sz="4" w:space="0" w:color="000000"/>
              <w:left w:val="single" w:sz="4" w:space="0" w:color="000000"/>
              <w:bottom w:val="single" w:sz="4" w:space="0" w:color="000000"/>
              <w:right w:val="single" w:sz="4" w:space="0" w:color="000000"/>
            </w:tcBorders>
          </w:tcPr>
          <w:p w14:paraId="0605EA4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CN118068765A</w:t>
            </w:r>
          </w:p>
        </w:tc>
        <w:tc>
          <w:tcPr>
            <w:tcW w:w="1993" w:type="dxa"/>
            <w:tcBorders>
              <w:top w:val="single" w:sz="4" w:space="0" w:color="000000"/>
              <w:left w:val="single" w:sz="4" w:space="0" w:color="000000"/>
              <w:bottom w:val="single" w:sz="4" w:space="0" w:color="000000"/>
              <w:right w:val="single" w:sz="4" w:space="0" w:color="000000"/>
            </w:tcBorders>
          </w:tcPr>
          <w:p w14:paraId="2BF9058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Construction d’un modèle de détection d’anomalies pour systèmes de contrôle industriels à partir d’un jumeau numérique [17]</w:t>
            </w:r>
          </w:p>
        </w:tc>
        <w:tc>
          <w:tcPr>
            <w:tcW w:w="1554" w:type="dxa"/>
            <w:tcBorders>
              <w:top w:val="single" w:sz="4" w:space="0" w:color="000000"/>
              <w:left w:val="single" w:sz="4" w:space="0" w:color="000000"/>
              <w:bottom w:val="single" w:sz="4" w:space="0" w:color="000000"/>
              <w:right w:val="single" w:sz="4" w:space="0" w:color="000000"/>
            </w:tcBorders>
          </w:tcPr>
          <w:p w14:paraId="0B54CE5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Université des sciences et technologies de Huazhong</w:t>
            </w:r>
          </w:p>
        </w:tc>
        <w:tc>
          <w:tcPr>
            <w:tcW w:w="1427" w:type="dxa"/>
            <w:tcBorders>
              <w:top w:val="single" w:sz="4" w:space="0" w:color="000000"/>
              <w:left w:val="single" w:sz="4" w:space="0" w:color="000000"/>
              <w:bottom w:val="single" w:sz="4" w:space="0" w:color="000000"/>
              <w:right w:val="single" w:sz="4" w:space="0" w:color="000000"/>
            </w:tcBorders>
          </w:tcPr>
          <w:p w14:paraId="4F7C234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Demande publiée, en instance</w:t>
            </w:r>
          </w:p>
          <w:p w14:paraId="68629F4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Chine</w:t>
            </w:r>
          </w:p>
          <w:p w14:paraId="2A84647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Dépôt : 8 mars 2024</w:t>
            </w:r>
          </w:p>
        </w:tc>
        <w:tc>
          <w:tcPr>
            <w:tcW w:w="2285" w:type="dxa"/>
            <w:tcBorders>
              <w:top w:val="single" w:sz="4" w:space="0" w:color="000000"/>
              <w:left w:val="single" w:sz="4" w:space="0" w:color="000000"/>
              <w:bottom w:val="single" w:sz="4" w:space="0" w:color="000000"/>
              <w:right w:val="single" w:sz="4" w:space="0" w:color="000000"/>
            </w:tcBorders>
          </w:tcPr>
          <w:p w14:paraId="3410147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Industries de procédés en général, non spécifique au nucléaire.</w:t>
            </w:r>
          </w:p>
        </w:tc>
      </w:tr>
      <w:tr w:rsidR="00F50D70" w:rsidRPr="00BE4F47" w14:paraId="1489173E" w14:textId="77777777">
        <w:trPr>
          <w:cantSplit/>
          <w:trHeight w:val="748"/>
        </w:trPr>
        <w:tc>
          <w:tcPr>
            <w:tcW w:w="1298" w:type="dxa"/>
            <w:tcBorders>
              <w:top w:val="single" w:sz="4" w:space="0" w:color="000000"/>
              <w:left w:val="single" w:sz="4" w:space="0" w:color="000000"/>
              <w:bottom w:val="single" w:sz="4" w:space="0" w:color="000000"/>
              <w:right w:val="single" w:sz="4" w:space="0" w:color="000000"/>
            </w:tcBorders>
          </w:tcPr>
          <w:p w14:paraId="48FB9B0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US12093818B2</w:t>
            </w:r>
          </w:p>
        </w:tc>
        <w:tc>
          <w:tcPr>
            <w:tcW w:w="1993" w:type="dxa"/>
            <w:tcBorders>
              <w:top w:val="single" w:sz="4" w:space="0" w:color="000000"/>
              <w:left w:val="single" w:sz="4" w:space="0" w:color="000000"/>
              <w:bottom w:val="single" w:sz="4" w:space="0" w:color="000000"/>
              <w:right w:val="single" w:sz="4" w:space="0" w:color="000000"/>
            </w:tcBorders>
          </w:tcPr>
          <w:p w14:paraId="77778ED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Détection semi-supervisée d’anomalies à partir de données de simulation issues d’un jumeau numérique [18]</w:t>
            </w:r>
          </w:p>
        </w:tc>
        <w:tc>
          <w:tcPr>
            <w:tcW w:w="1554" w:type="dxa"/>
            <w:tcBorders>
              <w:top w:val="single" w:sz="4" w:space="0" w:color="000000"/>
              <w:left w:val="single" w:sz="4" w:space="0" w:color="000000"/>
              <w:bottom w:val="single" w:sz="4" w:space="0" w:color="000000"/>
              <w:right w:val="single" w:sz="4" w:space="0" w:color="000000"/>
            </w:tcBorders>
          </w:tcPr>
          <w:p w14:paraId="40AFE7D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Honda Motor Co.</w:t>
            </w:r>
          </w:p>
        </w:tc>
        <w:tc>
          <w:tcPr>
            <w:tcW w:w="1427" w:type="dxa"/>
            <w:tcBorders>
              <w:top w:val="single" w:sz="4" w:space="0" w:color="000000"/>
              <w:left w:val="single" w:sz="4" w:space="0" w:color="000000"/>
              <w:bottom w:val="single" w:sz="4" w:space="0" w:color="000000"/>
              <w:right w:val="single" w:sz="4" w:space="0" w:color="000000"/>
            </w:tcBorders>
          </w:tcPr>
          <w:p w14:paraId="375EB24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Délivré, actif</w:t>
            </w:r>
          </w:p>
          <w:p w14:paraId="46E9E89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États-Unis</w:t>
            </w:r>
          </w:p>
          <w:p w14:paraId="168DD04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Dépôt : 13 octobre 2020</w:t>
            </w:r>
          </w:p>
        </w:tc>
        <w:tc>
          <w:tcPr>
            <w:tcW w:w="2285" w:type="dxa"/>
            <w:tcBorders>
              <w:top w:val="single" w:sz="4" w:space="0" w:color="000000"/>
              <w:left w:val="single" w:sz="4" w:space="0" w:color="000000"/>
              <w:bottom w:val="single" w:sz="4" w:space="0" w:color="000000"/>
              <w:right w:val="single" w:sz="4" w:space="0" w:color="000000"/>
            </w:tcBorders>
          </w:tcPr>
          <w:p w14:paraId="597C670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Application industrielle générale, fondée sur l’apprentissage semi-supervisé.</w:t>
            </w:r>
          </w:p>
        </w:tc>
      </w:tr>
    </w:tbl>
    <w:p w14:paraId="30E3452B"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306" w:name="_Toc241082953"/>
      <w:bookmarkStart w:id="307" w:name="_Toc241670131"/>
      <w:r w:rsidRPr="00BE4F47">
        <w:rPr>
          <w:rFonts w:ascii="Aptos" w:hAnsi="Aptos"/>
          <w:color w:val="1A1A19"/>
          <w:sz w:val="20"/>
          <w:szCs w:val="20"/>
        </w:rPr>
        <w:t>Trois constats se dégagent :</w:t>
      </w:r>
      <w:bookmarkEnd w:id="306"/>
      <w:bookmarkEnd w:id="307"/>
    </w:p>
    <w:p w14:paraId="19E1575E" w14:textId="77777777" w:rsidR="00F50D70" w:rsidRPr="00BE4F47" w:rsidRDefault="00137D7F" w:rsidP="008E113B">
      <w:pPr>
        <w:spacing w:after="130" w:line="360" w:lineRule="auto"/>
        <w:ind w:left="360"/>
        <w:rPr>
          <w:rFonts w:ascii="Aptos" w:hAnsi="Aptos"/>
        </w:rPr>
      </w:pPr>
      <w:bookmarkStart w:id="308" w:name="_Toc241082954"/>
      <w:bookmarkStart w:id="309" w:name="_Toc241670132"/>
      <w:r w:rsidRPr="00BE4F47">
        <w:rPr>
          <w:rFonts w:ascii="Aptos" w:hAnsi="Aptos"/>
          <w:b/>
          <w:color w:val="1A1A19"/>
          <w:sz w:val="20"/>
          <w:szCs w:val="20"/>
        </w:rPr>
        <w:t xml:space="preserve">Les composantes existent séparément. </w:t>
      </w:r>
      <w:r w:rsidRPr="00BE4F47">
        <w:rPr>
          <w:rFonts w:ascii="Aptos" w:hAnsi="Aptos"/>
          <w:color w:val="1A1A19"/>
          <w:sz w:val="20"/>
          <w:szCs w:val="20"/>
        </w:rPr>
        <w:t>Modélisation, quantification de l’incertitude, prédiction et détection d’anomalies font chacune l’objet de brevets. Aucun de ces documents ne décrit toutefois un système combinant la surveillance, la détection, l’évaluation de la confiance et la gestion explicite des données compromises dans un même prototype.</w:t>
      </w:r>
      <w:bookmarkEnd w:id="308"/>
      <w:bookmarkEnd w:id="309"/>
    </w:p>
    <w:p w14:paraId="74E17555" w14:textId="77777777" w:rsidR="00F50D70" w:rsidRPr="00BE4F47" w:rsidRDefault="00137D7F" w:rsidP="008E113B">
      <w:pPr>
        <w:spacing w:after="130" w:line="360" w:lineRule="auto"/>
        <w:ind w:left="360"/>
        <w:rPr>
          <w:rFonts w:ascii="Aptos" w:hAnsi="Aptos"/>
        </w:rPr>
      </w:pPr>
      <w:bookmarkStart w:id="310" w:name="_Toc241082955"/>
      <w:bookmarkStart w:id="311" w:name="_Toc241670133"/>
      <w:r w:rsidRPr="00BE4F47">
        <w:rPr>
          <w:rFonts w:ascii="Aptos" w:hAnsi="Aptos"/>
          <w:b/>
          <w:color w:val="1A1A19"/>
          <w:sz w:val="20"/>
          <w:szCs w:val="20"/>
        </w:rPr>
        <w:t xml:space="preserve">Aucun de ces brevets n’est opposable au Canada. </w:t>
      </w:r>
      <w:r w:rsidRPr="00BE4F47">
        <w:rPr>
          <w:rFonts w:ascii="Aptos" w:hAnsi="Aptos"/>
          <w:color w:val="1A1A19"/>
          <w:sz w:val="20"/>
          <w:szCs w:val="20"/>
        </w:rPr>
        <w:t>Quatre sont chinois et ne produisent d’effet que sur le territoire chinois. Le cinquième est américain. Un brevet ne confère de droits que dans la juridiction qui l’a délivré ; l’équipe devrait vérifier l’existence d’éventuels membres canadiens de ces familles de brevets si la question devenait pertinente.</w:t>
      </w:r>
      <w:bookmarkEnd w:id="310"/>
      <w:bookmarkEnd w:id="311"/>
    </w:p>
    <w:p w14:paraId="085F22F6" w14:textId="77777777" w:rsidR="00F50D70" w:rsidRPr="00BE4F47" w:rsidRDefault="00137D7F" w:rsidP="008E113B">
      <w:pPr>
        <w:spacing w:after="130" w:line="360" w:lineRule="auto"/>
        <w:ind w:left="360"/>
        <w:rPr>
          <w:rFonts w:ascii="Aptos" w:hAnsi="Aptos"/>
        </w:rPr>
      </w:pPr>
      <w:bookmarkStart w:id="312" w:name="_Toc241082956"/>
      <w:bookmarkStart w:id="313" w:name="_Toc241670134"/>
      <w:r w:rsidRPr="00BE4F47">
        <w:rPr>
          <w:rFonts w:ascii="Aptos" w:hAnsi="Aptos"/>
          <w:color w:val="1A1A19"/>
          <w:sz w:val="20"/>
          <w:szCs w:val="20"/>
        </w:rPr>
        <w:lastRenderedPageBreak/>
        <w:t>Le projet n’est pas une exploitation commerciale. Le prototype est un livrable universitaire entièrement simulé, non destiné à la vente ni au raccordement à une installation réelle, conformément à l’exigence EX-C-02. La question d’une redevance ne se poserait qu’en cas d’exploitation commerciale, et supposerait alors l’analyse décrite au début de 5.3.</w:t>
      </w:r>
      <w:bookmarkEnd w:id="312"/>
      <w:bookmarkEnd w:id="313"/>
    </w:p>
    <w:p w14:paraId="29D8156E" w14:textId="77777777" w:rsidR="00F50D70" w:rsidRDefault="00137D7F" w:rsidP="008E113B">
      <w:pPr>
        <w:spacing w:after="130" w:line="360" w:lineRule="auto"/>
        <w:ind w:left="360"/>
        <w:rPr>
          <w:rFonts w:ascii="Aptos" w:eastAsia="Calibri" w:hAnsi="Aptos" w:cs="Calibri"/>
          <w:color w:val="1A1A19"/>
          <w:sz w:val="20"/>
          <w:szCs w:val="20"/>
        </w:rPr>
      </w:pPr>
      <w:bookmarkStart w:id="314" w:name="_Toc241082971"/>
      <w:bookmarkStart w:id="315" w:name="_Toc241670135"/>
      <w:r w:rsidRPr="00BE4F47">
        <w:rPr>
          <w:rFonts w:ascii="Aptos" w:hAnsi="Aptos"/>
          <w:b/>
          <w:color w:val="1A1A19"/>
          <w:sz w:val="20"/>
          <w:szCs w:val="20"/>
        </w:rPr>
        <w:t xml:space="preserve">Les licences et les redevances. </w:t>
      </w:r>
      <w:r w:rsidRPr="00BE4F47">
        <w:rPr>
          <w:rFonts w:ascii="Aptos" w:hAnsi="Aptos"/>
          <w:color w:val="1A1A19"/>
          <w:sz w:val="20"/>
          <w:szCs w:val="20"/>
        </w:rPr>
        <w:t>La question des droits se pose sur les outils employés et sur les techniques mises en œuvre.</w:t>
      </w:r>
      <w:bookmarkEnd w:id="314"/>
      <w:bookmarkEnd w:id="315"/>
    </w:p>
    <w:p w14:paraId="5881B759" w14:textId="77777777" w:rsidR="00F50D70" w:rsidRPr="00BE4F47" w:rsidRDefault="00137D7F" w:rsidP="008E113B">
      <w:pPr>
        <w:pStyle w:val="Lgende"/>
        <w:keepNext/>
        <w:spacing w:line="360" w:lineRule="auto"/>
        <w:rPr>
          <w:rFonts w:ascii="Aptos" w:hAnsi="Aptos"/>
        </w:rPr>
      </w:pPr>
      <w:bookmarkStart w:id="316" w:name="_Toc241082972"/>
      <w:bookmarkStart w:id="317" w:name="_Toc241670136"/>
      <w:r w:rsidRPr="00BE4F47">
        <w:rPr>
          <w:rFonts w:ascii="Aptos" w:hAnsi="Aptos"/>
        </w:rPr>
        <w:t>Tableau 5-4. Régime de droits des outils et des techniques employés</w:t>
      </w:r>
      <w:bookmarkEnd w:id="316"/>
      <w:bookmarkEnd w:id="317"/>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1900"/>
        <w:gridCol w:w="3400"/>
        <w:gridCol w:w="3257"/>
      </w:tblGrid>
      <w:tr w:rsidR="00F50D70" w:rsidRPr="00BE4F47" w14:paraId="373997F1" w14:textId="77777777" w:rsidTr="0036725C">
        <w:trPr>
          <w:trHeight w:val="227"/>
          <w:tblHeader/>
        </w:trPr>
        <w:tc>
          <w:tcPr>
            <w:tcW w:w="19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0363B2B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Objet</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22CCDB9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Régime de droits</w:t>
            </w:r>
          </w:p>
        </w:tc>
        <w:tc>
          <w:tcPr>
            <w:tcW w:w="32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2811356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Conséquence pour le mandat</w:t>
            </w:r>
          </w:p>
        </w:tc>
      </w:tr>
      <w:tr w:rsidR="00F50D70" w:rsidRPr="00BE4F47" w14:paraId="221F0540"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3786B9E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OpenModelica et ThermoPower</w:t>
            </w:r>
          </w:p>
        </w:tc>
        <w:tc>
          <w:tcPr>
            <w:tcW w:w="3400" w:type="dxa"/>
            <w:tcBorders>
              <w:top w:val="single" w:sz="4" w:space="0" w:color="000000"/>
              <w:left w:val="single" w:sz="4" w:space="0" w:color="000000"/>
              <w:bottom w:val="single" w:sz="4" w:space="0" w:color="000000"/>
              <w:right w:val="single" w:sz="4" w:space="0" w:color="000000"/>
            </w:tcBorders>
          </w:tcPr>
          <w:p w14:paraId="4696224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Diffusion libre. La licence exacte de chaque composant doit être vérifiée et consignée avant la première livraison.</w:t>
            </w:r>
          </w:p>
        </w:tc>
        <w:tc>
          <w:tcPr>
            <w:tcW w:w="3257" w:type="dxa"/>
            <w:tcBorders>
              <w:top w:val="single" w:sz="4" w:space="0" w:color="000000"/>
              <w:left w:val="single" w:sz="4" w:space="0" w:color="000000"/>
              <w:bottom w:val="single" w:sz="4" w:space="0" w:color="000000"/>
              <w:right w:val="single" w:sz="4" w:space="0" w:color="000000"/>
            </w:tcBorders>
          </w:tcPr>
          <w:p w14:paraId="08AE4F2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Aucune redevance prévue. Vérification inscrite au lot L9 avant le jalon J2.</w:t>
            </w:r>
          </w:p>
        </w:tc>
      </w:tr>
      <w:tr w:rsidR="00F50D70" w:rsidRPr="00BE4F47" w14:paraId="57E669C1"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1B1934A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Bibliothèques de calcul et d’apprentissage automatique</w:t>
            </w:r>
          </w:p>
        </w:tc>
        <w:tc>
          <w:tcPr>
            <w:tcW w:w="3400" w:type="dxa"/>
            <w:tcBorders>
              <w:top w:val="single" w:sz="4" w:space="0" w:color="000000"/>
              <w:left w:val="single" w:sz="4" w:space="0" w:color="000000"/>
              <w:bottom w:val="single" w:sz="4" w:space="0" w:color="000000"/>
              <w:right w:val="single" w:sz="4" w:space="0" w:color="000000"/>
            </w:tcBorders>
          </w:tcPr>
          <w:p w14:paraId="3106B52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Licences libres permissives.</w:t>
            </w:r>
          </w:p>
        </w:tc>
        <w:tc>
          <w:tcPr>
            <w:tcW w:w="3257" w:type="dxa"/>
            <w:tcBorders>
              <w:top w:val="single" w:sz="4" w:space="0" w:color="000000"/>
              <w:left w:val="single" w:sz="4" w:space="0" w:color="000000"/>
              <w:bottom w:val="single" w:sz="4" w:space="0" w:color="000000"/>
              <w:right w:val="single" w:sz="4" w:space="0" w:color="000000"/>
            </w:tcBorders>
          </w:tcPr>
          <w:p w14:paraId="6961618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Aucune redevance. Les licences sont consignées dans le dépôt, conformément à la section 4.</w:t>
            </w:r>
          </w:p>
        </w:tc>
      </w:tr>
      <w:tr w:rsidR="00F50D70" w:rsidRPr="00BE4F47" w14:paraId="1CF1C90F"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3D73ED6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Normes consultées</w:t>
            </w:r>
          </w:p>
        </w:tc>
        <w:tc>
          <w:tcPr>
            <w:tcW w:w="3400" w:type="dxa"/>
            <w:tcBorders>
              <w:top w:val="single" w:sz="4" w:space="0" w:color="000000"/>
              <w:left w:val="single" w:sz="4" w:space="0" w:color="000000"/>
              <w:bottom w:val="single" w:sz="4" w:space="0" w:color="000000"/>
              <w:right w:val="single" w:sz="4" w:space="0" w:color="000000"/>
            </w:tcBorders>
          </w:tcPr>
          <w:p w14:paraId="2368400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Accès par l’abonnement institutionnel de l’UQAC. Le texte des normes ne peut pas être reproduit dans les livrables.</w:t>
            </w:r>
          </w:p>
        </w:tc>
        <w:tc>
          <w:tcPr>
            <w:tcW w:w="3257" w:type="dxa"/>
            <w:tcBorders>
              <w:top w:val="single" w:sz="4" w:space="0" w:color="000000"/>
              <w:left w:val="single" w:sz="4" w:space="0" w:color="000000"/>
              <w:bottom w:val="single" w:sz="4" w:space="0" w:color="000000"/>
              <w:right w:val="single" w:sz="4" w:space="0" w:color="000000"/>
            </w:tcBorders>
          </w:tcPr>
          <w:p w14:paraId="716DD0D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Aucun coût imputé au mandat. Les normes sont citées, jamais recopiées.</w:t>
            </w:r>
          </w:p>
        </w:tc>
      </w:tr>
      <w:tr w:rsidR="00F50D70" w:rsidRPr="00BE4F47" w14:paraId="68457116"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02BB0F2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Brevets recensés au tableau des brevets</w:t>
            </w:r>
          </w:p>
        </w:tc>
        <w:tc>
          <w:tcPr>
            <w:tcW w:w="3400" w:type="dxa"/>
            <w:tcBorders>
              <w:top w:val="single" w:sz="4" w:space="0" w:color="000000"/>
              <w:left w:val="single" w:sz="4" w:space="0" w:color="000000"/>
              <w:bottom w:val="single" w:sz="4" w:space="0" w:color="000000"/>
              <w:right w:val="single" w:sz="4" w:space="0" w:color="000000"/>
            </w:tcBorders>
          </w:tcPr>
          <w:p w14:paraId="5D4128A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Quatre demandes chinoises et un brevet états-unien, sans protection en vigueur au Canada à la date de la revue.</w:t>
            </w:r>
          </w:p>
        </w:tc>
        <w:tc>
          <w:tcPr>
            <w:tcW w:w="3257" w:type="dxa"/>
            <w:tcBorders>
              <w:top w:val="single" w:sz="4" w:space="0" w:color="000000"/>
              <w:left w:val="single" w:sz="4" w:space="0" w:color="000000"/>
              <w:bottom w:val="single" w:sz="4" w:space="0" w:color="000000"/>
              <w:right w:val="single" w:sz="4" w:space="0" w:color="000000"/>
            </w:tcBorders>
          </w:tcPr>
          <w:p w14:paraId="27C2691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Aucune redevance exigible dans le contexte du mandat, qui est une démonstration universitaire sans exploitation commerciale.</w:t>
            </w:r>
          </w:p>
        </w:tc>
      </w:tr>
      <w:tr w:rsidR="00F50D70" w:rsidRPr="00BE4F47" w14:paraId="0926534B" w14:textId="77777777">
        <w:trPr>
          <w:cantSplit/>
          <w:trHeight w:val="415"/>
        </w:trPr>
        <w:tc>
          <w:tcPr>
            <w:tcW w:w="1900" w:type="dxa"/>
            <w:tcBorders>
              <w:top w:val="single" w:sz="4" w:space="0" w:color="000000"/>
              <w:left w:val="single" w:sz="4" w:space="0" w:color="000000"/>
              <w:bottom w:val="single" w:sz="4" w:space="0" w:color="000000"/>
              <w:right w:val="single" w:sz="4" w:space="0" w:color="000000"/>
            </w:tcBorders>
          </w:tcPr>
          <w:p w14:paraId="4B1056D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Exploitation ultérieure du prototype</w:t>
            </w:r>
          </w:p>
        </w:tc>
        <w:tc>
          <w:tcPr>
            <w:tcW w:w="3400" w:type="dxa"/>
            <w:tcBorders>
              <w:top w:val="single" w:sz="4" w:space="0" w:color="000000"/>
              <w:left w:val="single" w:sz="4" w:space="0" w:color="000000"/>
              <w:bottom w:val="single" w:sz="4" w:space="0" w:color="000000"/>
              <w:right w:val="single" w:sz="4" w:space="0" w:color="000000"/>
            </w:tcBorders>
          </w:tcPr>
          <w:p w14:paraId="4CE188D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Non couverte par le présent mandat.</w:t>
            </w:r>
          </w:p>
        </w:tc>
        <w:tc>
          <w:tcPr>
            <w:tcW w:w="3257" w:type="dxa"/>
            <w:tcBorders>
              <w:top w:val="single" w:sz="4" w:space="0" w:color="000000"/>
              <w:left w:val="single" w:sz="4" w:space="0" w:color="000000"/>
              <w:bottom w:val="single" w:sz="4" w:space="0" w:color="000000"/>
              <w:right w:val="single" w:sz="4" w:space="0" w:color="000000"/>
            </w:tcBorders>
          </w:tcPr>
          <w:p w14:paraId="034BAC8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Une exploitation commerciale exigerait une recherche de liberté d’exploitation, qui n’est pas au périmètre. Cette réserve figure au rapport final.</w:t>
            </w:r>
          </w:p>
        </w:tc>
      </w:tr>
    </w:tbl>
    <w:p w14:paraId="1E562A16" w14:textId="77777777" w:rsidR="00F50D70" w:rsidRPr="00BE4F47" w:rsidRDefault="00137D7F" w:rsidP="008E113B">
      <w:pPr>
        <w:spacing w:before="200" w:after="130" w:line="360" w:lineRule="auto"/>
        <w:ind w:left="360"/>
        <w:rPr>
          <w:rFonts w:ascii="Aptos" w:hAnsi="Aptos"/>
        </w:rPr>
      </w:pPr>
      <w:bookmarkStart w:id="318" w:name="_Toc241082973"/>
      <w:bookmarkStart w:id="319" w:name="_Toc241670137"/>
      <w:r w:rsidRPr="00BE4F47">
        <w:rPr>
          <w:rFonts w:ascii="Aptos" w:hAnsi="Aptos"/>
          <w:color w:val="1A1A19"/>
          <w:sz w:val="20"/>
          <w:szCs w:val="20"/>
        </w:rPr>
        <w:t>La conclusion est qu’aucune redevance n’est à prévoir au budget du mandat. Cette conclusion vaut pour le périmètre académique défini à la section 1 et pour lui seul. Elle ne constitue pas un avis de liberté d’exploitation, lequel relèverait d’un conseil juridique spécialisé.</w:t>
      </w:r>
      <w:bookmarkEnd w:id="318"/>
      <w:bookmarkEnd w:id="319"/>
    </w:p>
    <w:p w14:paraId="048DEFD1" w14:textId="77777777" w:rsidR="00F50D70" w:rsidRPr="00B03F2E" w:rsidRDefault="00137D7F" w:rsidP="008E113B">
      <w:pPr>
        <w:pStyle w:val="Titre2"/>
        <w:spacing w:line="360" w:lineRule="auto"/>
      </w:pPr>
      <w:bookmarkStart w:id="320" w:name="__RefHeading___Toc240715179"/>
      <w:bookmarkStart w:id="321" w:name="_Toc241670138"/>
      <w:bookmarkEnd w:id="320"/>
      <w:r w:rsidRPr="00B03F2E">
        <w:t>Positionnement du projet</w:t>
      </w:r>
      <w:bookmarkEnd w:id="321"/>
    </w:p>
    <w:p w14:paraId="3C6C15AF" w14:textId="62F04AA9" w:rsidR="00F50D70" w:rsidRPr="00BE4F47" w:rsidRDefault="00137D7F" w:rsidP="008E113B">
      <w:pPr>
        <w:spacing w:after="130" w:line="360" w:lineRule="auto"/>
        <w:ind w:left="360"/>
        <w:rPr>
          <w:rFonts w:ascii="Aptos" w:hAnsi="Aptos"/>
        </w:rPr>
      </w:pPr>
      <w:bookmarkStart w:id="322" w:name="_Toc241082958"/>
      <w:bookmarkStart w:id="323" w:name="_Toc241670139"/>
      <w:r w:rsidRPr="00BE4F47">
        <w:rPr>
          <w:rFonts w:ascii="Aptos" w:hAnsi="Aptos"/>
          <w:color w:val="1A1A19"/>
          <w:sz w:val="20"/>
          <w:szCs w:val="20"/>
        </w:rPr>
        <w:t xml:space="preserve">Trois des cinq brevets identifiés appartiennent à la même équipe, celle de l’Université Jiao Tong de Shanghai [14], [15], [16]. Ensemble, ils couvrent la construction du modèle hybride, la quantification de l’incertitude du cœur et la prédiction </w:t>
      </w:r>
      <w:r w:rsidR="007E5FC7" w:rsidRPr="00BE4F47">
        <w:rPr>
          <w:rFonts w:ascii="Aptos" w:hAnsi="Aptos"/>
          <w:color w:val="1A1A19"/>
          <w:sz w:val="20"/>
          <w:szCs w:val="20"/>
        </w:rPr>
        <w:t>multi paramètre</w:t>
      </w:r>
      <w:r w:rsidRPr="00BE4F47">
        <w:rPr>
          <w:rFonts w:ascii="Aptos" w:hAnsi="Aptos"/>
          <w:color w:val="1A1A19"/>
          <w:sz w:val="20"/>
          <w:szCs w:val="20"/>
        </w:rPr>
        <w:t xml:space="preserve"> avec intervalle de confiance. C’est l’ensemble le plus proche du projet.</w:t>
      </w:r>
      <w:bookmarkEnd w:id="322"/>
      <w:bookmarkEnd w:id="323"/>
    </w:p>
    <w:p w14:paraId="1988B34B" w14:textId="77777777" w:rsidR="00F50D70" w:rsidRPr="00BE4F47" w:rsidRDefault="00137D7F" w:rsidP="008E113B">
      <w:pPr>
        <w:spacing w:after="130" w:line="360" w:lineRule="auto"/>
        <w:ind w:left="360"/>
        <w:rPr>
          <w:rFonts w:ascii="Aptos" w:hAnsi="Aptos"/>
        </w:rPr>
      </w:pPr>
      <w:bookmarkStart w:id="324" w:name="_Toc241082959"/>
      <w:bookmarkStart w:id="325" w:name="_Toc241670140"/>
      <w:r w:rsidRPr="00BE4F47">
        <w:rPr>
          <w:rFonts w:ascii="Aptos" w:hAnsi="Aptos"/>
          <w:color w:val="1A1A19"/>
          <w:sz w:val="20"/>
          <w:szCs w:val="20"/>
        </w:rPr>
        <w:t>Deux écarts le séparent du prototype. Cet ensemble porte sur le cœur du réacteur et vise la prédiction du comportement à long terme, alors que le projet porte sur une boucle thermohydraulique simplifiée et vise la détection en temps réel. Il ne traite pas non plus le cas des données compromises ou manquantes : l’incertitude y est une propriété du modèle, pas la conséquence possible d’un capteur défaillant ou d’un événement de cybersécurité. C’est sur ce second écart que le projet se place.</w:t>
      </w:r>
      <w:bookmarkEnd w:id="324"/>
      <w:bookmarkEnd w:id="325"/>
    </w:p>
    <w:p w14:paraId="1CB0DEA2" w14:textId="77777777" w:rsidR="00F50D70" w:rsidRPr="00BE4F47" w:rsidRDefault="00137D7F" w:rsidP="008E113B">
      <w:pPr>
        <w:spacing w:after="130" w:line="360" w:lineRule="auto"/>
        <w:ind w:left="360"/>
        <w:rPr>
          <w:rFonts w:ascii="Aptos" w:hAnsi="Aptos"/>
        </w:rPr>
      </w:pPr>
      <w:bookmarkStart w:id="326" w:name="_Toc241082961"/>
      <w:bookmarkStart w:id="327" w:name="_Toc241670141"/>
      <w:r w:rsidRPr="00BE4F47">
        <w:rPr>
          <w:rFonts w:ascii="Aptos" w:hAnsi="Aptos"/>
          <w:color w:val="1A1A19"/>
          <w:sz w:val="20"/>
          <w:szCs w:val="20"/>
        </w:rPr>
        <w:t xml:space="preserve">Les composantes du projet sont déjà étudiées dans la littérature, mais séparément et pour des objectifs distincts : fidélité des modèles et maintenance prédictive [4], [5], comparaison entre </w:t>
      </w:r>
      <w:r w:rsidRPr="00BE4F47">
        <w:rPr>
          <w:rFonts w:ascii="Aptos" w:hAnsi="Aptos"/>
          <w:color w:val="1A1A19"/>
          <w:sz w:val="20"/>
          <w:szCs w:val="20"/>
        </w:rPr>
        <w:lastRenderedPageBreak/>
        <w:t>données réelles et valeurs attendues [6], confiance associée aux résultats [7], jumeau numérique employé comme référence de détection [8], [9].</w:t>
      </w:r>
      <w:bookmarkEnd w:id="326"/>
      <w:bookmarkEnd w:id="327"/>
    </w:p>
    <w:p w14:paraId="4859A0B4"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328" w:name="_Toc241082962"/>
      <w:bookmarkStart w:id="329" w:name="_Toc241670142"/>
      <w:r w:rsidRPr="00BE4F47">
        <w:rPr>
          <w:rFonts w:ascii="Aptos" w:hAnsi="Aptos"/>
          <w:color w:val="1A1A19"/>
          <w:sz w:val="20"/>
          <w:szCs w:val="20"/>
        </w:rPr>
        <w:t>Le projet se situe à l’intersection de ces approches. Cinq caractéristiques le distinguent.</w:t>
      </w:r>
      <w:bookmarkEnd w:id="328"/>
      <w:bookmarkEnd w:id="329"/>
    </w:p>
    <w:p w14:paraId="399D8448" w14:textId="77777777" w:rsidR="00F50D70" w:rsidRPr="00BE4F47" w:rsidRDefault="00137D7F" w:rsidP="008E113B">
      <w:pPr>
        <w:pStyle w:val="Lgende"/>
        <w:keepNext/>
        <w:spacing w:line="360" w:lineRule="auto"/>
        <w:rPr>
          <w:rFonts w:ascii="Aptos" w:hAnsi="Aptos"/>
        </w:rPr>
      </w:pPr>
      <w:bookmarkStart w:id="330" w:name="_Toc241082963"/>
      <w:bookmarkStart w:id="331" w:name="_Toc241670143"/>
      <w:r w:rsidRPr="00BE4F47">
        <w:rPr>
          <w:rFonts w:ascii="Aptos" w:hAnsi="Aptos"/>
        </w:rPr>
        <w:t>Tableau 5-5. Cinq distinctions entre le projet et la solution la plus proche</w:t>
      </w:r>
      <w:bookmarkEnd w:id="330"/>
      <w:bookmarkEnd w:id="331"/>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511"/>
        <w:gridCol w:w="2652"/>
        <w:gridCol w:w="5394"/>
      </w:tblGrid>
      <w:tr w:rsidR="00F50D70" w:rsidRPr="00BE4F47" w14:paraId="31E3B14C" w14:textId="77777777" w:rsidTr="0036725C">
        <w:trPr>
          <w:trHeight w:val="293"/>
          <w:tblHeader/>
        </w:trPr>
        <w:tc>
          <w:tcPr>
            <w:tcW w:w="511"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6AE88E41" w14:textId="77777777" w:rsidR="00F50D70" w:rsidRPr="00BE4F47" w:rsidRDefault="00F50D70" w:rsidP="008E113B">
            <w:pPr>
              <w:snapToGrid w:val="0"/>
              <w:spacing w:before="20" w:after="20"/>
              <w:ind w:left="0"/>
              <w:jc w:val="left"/>
              <w:outlineLvl w:val="9"/>
              <w:rPr>
                <w:rFonts w:ascii="Aptos" w:eastAsia="Calibri" w:hAnsi="Aptos" w:cs="Calibri"/>
                <w:color w:val="1A1A19"/>
                <w:sz w:val="20"/>
                <w:szCs w:val="20"/>
              </w:rPr>
            </w:pPr>
            <w:r>
              <w:rPr>
                <w:rFonts w:ascii="Aptos" w:hAnsi="Aptos"/>
                <w:sz w:val="15"/>
                <w:szCs w:val="15"/>
              </w:rPr>
              <w:t>Nº</w:t>
            </w:r>
          </w:p>
        </w:tc>
        <w:tc>
          <w:tcPr>
            <w:tcW w:w="2652"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6A6341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Caractéristique</w:t>
            </w:r>
          </w:p>
        </w:tc>
        <w:tc>
          <w:tcPr>
            <w:tcW w:w="5394"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612A614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Contenu et rattachement</w:t>
            </w:r>
          </w:p>
        </w:tc>
      </w:tr>
      <w:tr w:rsidR="00F50D70" w:rsidRPr="00BE4F47" w14:paraId="25175DB1" w14:textId="77777777">
        <w:trPr>
          <w:cantSplit/>
          <w:trHeight w:val="803"/>
        </w:trPr>
        <w:tc>
          <w:tcPr>
            <w:tcW w:w="511" w:type="dxa"/>
            <w:tcBorders>
              <w:top w:val="single" w:sz="4" w:space="0" w:color="000000"/>
              <w:left w:val="single" w:sz="4" w:space="0" w:color="000000"/>
              <w:bottom w:val="single" w:sz="4" w:space="0" w:color="000000"/>
              <w:right w:val="single" w:sz="4" w:space="0" w:color="000000"/>
            </w:tcBorders>
          </w:tcPr>
          <w:p w14:paraId="071580C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w:t>
            </w:r>
          </w:p>
        </w:tc>
        <w:tc>
          <w:tcPr>
            <w:tcW w:w="2652" w:type="dxa"/>
            <w:tcBorders>
              <w:top w:val="single" w:sz="4" w:space="0" w:color="000000"/>
              <w:left w:val="single" w:sz="4" w:space="0" w:color="000000"/>
              <w:bottom w:val="single" w:sz="4" w:space="0" w:color="000000"/>
              <w:right w:val="single" w:sz="4" w:space="0" w:color="000000"/>
            </w:tcBorders>
          </w:tcPr>
          <w:p w14:paraId="5EFA602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Portée du modèle</w:t>
            </w:r>
          </w:p>
        </w:tc>
        <w:tc>
          <w:tcPr>
            <w:tcW w:w="5394" w:type="dxa"/>
            <w:tcBorders>
              <w:top w:val="single" w:sz="4" w:space="0" w:color="000000"/>
              <w:left w:val="single" w:sz="4" w:space="0" w:color="000000"/>
              <w:bottom w:val="single" w:sz="4" w:space="0" w:color="000000"/>
              <w:right w:val="single" w:sz="4" w:space="0" w:color="000000"/>
            </w:tcBorders>
          </w:tcPr>
          <w:p w14:paraId="4646CC4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Boucle thermohydraulique simplifiée, modélisation 0D/1D à paramètres concentrés, plutôt qu’une représentation détaillée d’un réacteur. Complexité compatible avec un prototype universitaire tout en couvrant les trois variables de fonctionnement (EX-F-01).</w:t>
            </w:r>
          </w:p>
        </w:tc>
      </w:tr>
      <w:tr w:rsidR="00F50D70" w:rsidRPr="00BE4F47" w14:paraId="6607E2C2" w14:textId="77777777">
        <w:trPr>
          <w:cantSplit/>
          <w:trHeight w:val="803"/>
        </w:trPr>
        <w:tc>
          <w:tcPr>
            <w:tcW w:w="511" w:type="dxa"/>
            <w:tcBorders>
              <w:top w:val="single" w:sz="4" w:space="0" w:color="000000"/>
              <w:left w:val="single" w:sz="4" w:space="0" w:color="000000"/>
              <w:bottom w:val="single" w:sz="4" w:space="0" w:color="000000"/>
              <w:right w:val="single" w:sz="4" w:space="0" w:color="000000"/>
            </w:tcBorders>
          </w:tcPr>
          <w:p w14:paraId="0C7214F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w:t>
            </w:r>
          </w:p>
        </w:tc>
        <w:tc>
          <w:tcPr>
            <w:tcW w:w="2652" w:type="dxa"/>
            <w:tcBorders>
              <w:top w:val="single" w:sz="4" w:space="0" w:color="000000"/>
              <w:left w:val="single" w:sz="4" w:space="0" w:color="000000"/>
              <w:bottom w:val="single" w:sz="4" w:space="0" w:color="000000"/>
              <w:right w:val="single" w:sz="4" w:space="0" w:color="000000"/>
            </w:tcBorders>
          </w:tcPr>
          <w:p w14:paraId="0F9BDE8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Nature des anomalies détectées</w:t>
            </w:r>
          </w:p>
        </w:tc>
        <w:tc>
          <w:tcPr>
            <w:tcW w:w="5394" w:type="dxa"/>
            <w:tcBorders>
              <w:top w:val="single" w:sz="4" w:space="0" w:color="000000"/>
              <w:left w:val="single" w:sz="4" w:space="0" w:color="000000"/>
              <w:bottom w:val="single" w:sz="4" w:space="0" w:color="000000"/>
              <w:right w:val="single" w:sz="4" w:space="0" w:color="000000"/>
            </w:tcBorders>
          </w:tcPr>
          <w:p w14:paraId="69B5298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projet ne vise pas seulement la défaillance physique, mais aussi les incohérences dues à un capteur défectueux, à des données manquantes, à une désynchronisation ou à une altération malveillante. La cohérence entre le modèle et les données devient elle-même un mécanisme de surveillance (EX-Q-04).</w:t>
            </w:r>
          </w:p>
        </w:tc>
      </w:tr>
      <w:tr w:rsidR="00F50D70" w:rsidRPr="00BE4F47" w14:paraId="1086F50C" w14:textId="77777777">
        <w:trPr>
          <w:cantSplit/>
          <w:trHeight w:val="613"/>
        </w:trPr>
        <w:tc>
          <w:tcPr>
            <w:tcW w:w="511" w:type="dxa"/>
            <w:tcBorders>
              <w:top w:val="single" w:sz="4" w:space="0" w:color="000000"/>
              <w:left w:val="single" w:sz="4" w:space="0" w:color="000000"/>
              <w:bottom w:val="single" w:sz="4" w:space="0" w:color="000000"/>
              <w:right w:val="single" w:sz="4" w:space="0" w:color="000000"/>
            </w:tcBorders>
          </w:tcPr>
          <w:p w14:paraId="579312D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3</w:t>
            </w:r>
          </w:p>
        </w:tc>
        <w:tc>
          <w:tcPr>
            <w:tcW w:w="2652" w:type="dxa"/>
            <w:tcBorders>
              <w:top w:val="single" w:sz="4" w:space="0" w:color="000000"/>
              <w:left w:val="single" w:sz="4" w:space="0" w:color="000000"/>
              <w:bottom w:val="single" w:sz="4" w:space="0" w:color="000000"/>
              <w:right w:val="single" w:sz="4" w:space="0" w:color="000000"/>
            </w:tcBorders>
          </w:tcPr>
          <w:p w14:paraId="40462D8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Gestion explicite des modes dégradés</w:t>
            </w:r>
          </w:p>
        </w:tc>
        <w:tc>
          <w:tcPr>
            <w:tcW w:w="5394" w:type="dxa"/>
            <w:tcBorders>
              <w:top w:val="single" w:sz="4" w:space="0" w:color="000000"/>
              <w:left w:val="single" w:sz="4" w:space="0" w:color="000000"/>
              <w:bottom w:val="single" w:sz="4" w:space="0" w:color="000000"/>
              <w:right w:val="single" w:sz="4" w:space="0" w:color="000000"/>
            </w:tcBorders>
          </w:tcPr>
          <w:p w14:paraId="5F4C633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système doit pouvoir déclarer qu’il ne dispose pas d’informations suffisantes pour établir un diagnostic fiable, et distinguer fonctionnement normal, état anormal, donnée suspecte et état non déterminable (EX-F-06 ; états D2 et D3 du GEMMA).</w:t>
            </w:r>
          </w:p>
        </w:tc>
      </w:tr>
      <w:tr w:rsidR="00F50D70" w:rsidRPr="00BE4F47" w14:paraId="00AC7F36" w14:textId="77777777">
        <w:trPr>
          <w:cantSplit/>
          <w:trHeight w:val="621"/>
        </w:trPr>
        <w:tc>
          <w:tcPr>
            <w:tcW w:w="511" w:type="dxa"/>
            <w:tcBorders>
              <w:top w:val="single" w:sz="4" w:space="0" w:color="000000"/>
              <w:left w:val="single" w:sz="4" w:space="0" w:color="000000"/>
              <w:bottom w:val="single" w:sz="4" w:space="0" w:color="000000"/>
              <w:right w:val="single" w:sz="4" w:space="0" w:color="000000"/>
            </w:tcBorders>
          </w:tcPr>
          <w:p w14:paraId="24738C7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4</w:t>
            </w:r>
          </w:p>
        </w:tc>
        <w:tc>
          <w:tcPr>
            <w:tcW w:w="2652" w:type="dxa"/>
            <w:tcBorders>
              <w:top w:val="single" w:sz="4" w:space="0" w:color="000000"/>
              <w:left w:val="single" w:sz="4" w:space="0" w:color="000000"/>
              <w:bottom w:val="single" w:sz="4" w:space="0" w:color="000000"/>
              <w:right w:val="single" w:sz="4" w:space="0" w:color="000000"/>
            </w:tcBorders>
          </w:tcPr>
          <w:p w14:paraId="7FDFEF5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Quantification de l’incertitude</w:t>
            </w:r>
          </w:p>
        </w:tc>
        <w:tc>
          <w:tcPr>
            <w:tcW w:w="5394" w:type="dxa"/>
            <w:tcBorders>
              <w:top w:val="single" w:sz="4" w:space="0" w:color="000000"/>
              <w:left w:val="single" w:sz="4" w:space="0" w:color="000000"/>
              <w:bottom w:val="single" w:sz="4" w:space="0" w:color="000000"/>
              <w:right w:val="single" w:sz="4" w:space="0" w:color="000000"/>
            </w:tcBorders>
          </w:tcPr>
          <w:p w14:paraId="4CEECFF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Toute estimation d’état est accompagnée d’un niveau de confiance, de façon qu’une information incertaine ne soit pas interprétée comme une conclusion définitive (EX-F-07 ; méthode d’ASME V&amp;V 20).</w:t>
            </w:r>
          </w:p>
        </w:tc>
      </w:tr>
      <w:tr w:rsidR="00F50D70" w:rsidRPr="00BE4F47" w14:paraId="21670800" w14:textId="77777777">
        <w:trPr>
          <w:cantSplit/>
          <w:trHeight w:val="613"/>
        </w:trPr>
        <w:tc>
          <w:tcPr>
            <w:tcW w:w="511" w:type="dxa"/>
            <w:tcBorders>
              <w:top w:val="single" w:sz="4" w:space="0" w:color="000000"/>
              <w:left w:val="single" w:sz="4" w:space="0" w:color="000000"/>
              <w:bottom w:val="single" w:sz="4" w:space="0" w:color="000000"/>
              <w:right w:val="single" w:sz="4" w:space="0" w:color="000000"/>
            </w:tcBorders>
          </w:tcPr>
          <w:p w14:paraId="7498FD9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5</w:t>
            </w:r>
          </w:p>
        </w:tc>
        <w:tc>
          <w:tcPr>
            <w:tcW w:w="2652" w:type="dxa"/>
            <w:tcBorders>
              <w:top w:val="single" w:sz="4" w:space="0" w:color="000000"/>
              <w:left w:val="single" w:sz="4" w:space="0" w:color="000000"/>
              <w:bottom w:val="single" w:sz="4" w:space="0" w:color="000000"/>
              <w:right w:val="single" w:sz="4" w:space="0" w:color="000000"/>
            </w:tcBorders>
          </w:tcPr>
          <w:p w14:paraId="2C45E59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Rôle de l’opérateur</w:t>
            </w:r>
          </w:p>
        </w:tc>
        <w:tc>
          <w:tcPr>
            <w:tcW w:w="5394" w:type="dxa"/>
            <w:tcBorders>
              <w:top w:val="single" w:sz="4" w:space="0" w:color="000000"/>
              <w:left w:val="single" w:sz="4" w:space="0" w:color="000000"/>
              <w:bottom w:val="single" w:sz="4" w:space="0" w:color="000000"/>
              <w:right w:val="single" w:sz="4" w:space="0" w:color="000000"/>
            </w:tcBorders>
          </w:tcPr>
          <w:p w14:paraId="1086E0B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Outil d’aide à la décision et non système de commande autonome. L’interface montre les variables ayant contribué au diagnostic, les anomalies détectées et le niveau de confiance associé (EX-F-05, EX-F-08 ; ISO 9241-210).</w:t>
            </w:r>
          </w:p>
        </w:tc>
      </w:tr>
    </w:tbl>
    <w:p w14:paraId="2BD78EC2" w14:textId="77777777" w:rsidR="00F50D70" w:rsidRPr="00BE4F47" w:rsidRDefault="00137D7F" w:rsidP="008E113B">
      <w:pPr>
        <w:spacing w:before="200" w:after="130" w:line="360" w:lineRule="auto"/>
        <w:ind w:left="360"/>
        <w:rPr>
          <w:rFonts w:ascii="Aptos" w:hAnsi="Aptos"/>
        </w:rPr>
      </w:pPr>
      <w:bookmarkStart w:id="332" w:name="_Toc241082964"/>
      <w:bookmarkStart w:id="333" w:name="_Toc241670144"/>
      <w:r w:rsidRPr="00BE4F47">
        <w:rPr>
          <w:rFonts w:ascii="Aptos" w:hAnsi="Aptos"/>
          <w:color w:val="1A1A19"/>
          <w:sz w:val="20"/>
          <w:szCs w:val="20"/>
        </w:rPr>
        <w:t>Le projet ne revendique aucune nouveauté sur les méthodes prises isolément, ni aucune performance supérieure aux travaux cités. Son apport est l’intégration cohérente de plusieurs fonctions dans un même démonstrateur appliqué à une boucle simplifiée, et un comportement documenté lorsque les données deviennent incertaines, incomplètes ou compromises.</w:t>
      </w:r>
      <w:bookmarkEnd w:id="332"/>
      <w:bookmarkEnd w:id="333"/>
    </w:p>
    <w:p w14:paraId="6A993D2F" w14:textId="77777777" w:rsidR="00F50D70" w:rsidRPr="00B03F2E" w:rsidRDefault="00137D7F" w:rsidP="008E113B">
      <w:pPr>
        <w:pStyle w:val="Titre2"/>
        <w:spacing w:line="360" w:lineRule="auto"/>
      </w:pPr>
      <w:bookmarkStart w:id="334" w:name="__RefHeading___Toc240715190"/>
      <w:bookmarkStart w:id="335" w:name="_Toc241670145"/>
      <w:r w:rsidRPr="00B03F2E">
        <w:t>Lacunes de notre revue</w:t>
      </w:r>
      <w:bookmarkEnd w:id="334"/>
      <w:bookmarkEnd w:id="335"/>
    </w:p>
    <w:p w14:paraId="13CD35AA" w14:textId="77777777" w:rsidR="00F50D70" w:rsidRPr="00BE4F47" w:rsidRDefault="00137D7F" w:rsidP="008E113B">
      <w:pPr>
        <w:spacing w:after="130" w:line="360" w:lineRule="auto"/>
        <w:ind w:left="360"/>
        <w:rPr>
          <w:rFonts w:ascii="Aptos" w:hAnsi="Aptos"/>
        </w:rPr>
      </w:pPr>
      <w:bookmarkStart w:id="336" w:name="_Toc241082975"/>
      <w:bookmarkStart w:id="337" w:name="_Toc241670146"/>
      <w:r w:rsidRPr="00BE4F47">
        <w:rPr>
          <w:rFonts w:ascii="Aptos" w:hAnsi="Aptos"/>
          <w:color w:val="1A1A19"/>
          <w:sz w:val="20"/>
          <w:szCs w:val="20"/>
        </w:rPr>
        <w:t>Quatre limites sont à signaler :</w:t>
      </w:r>
      <w:bookmarkEnd w:id="336"/>
      <w:bookmarkEnd w:id="337"/>
    </w:p>
    <w:p w14:paraId="5999D413" w14:textId="77777777" w:rsidR="00F50D70" w:rsidRPr="00BE4F47" w:rsidRDefault="00137D7F" w:rsidP="008E113B">
      <w:pPr>
        <w:numPr>
          <w:ilvl w:val="0"/>
          <w:numId w:val="20"/>
        </w:numPr>
        <w:spacing w:after="130" w:line="360" w:lineRule="auto"/>
        <w:ind w:left="720"/>
        <w:rPr>
          <w:rFonts w:ascii="Aptos" w:eastAsia="Times New Roman" w:hAnsi="Aptos"/>
        </w:rPr>
      </w:pPr>
      <w:bookmarkStart w:id="338" w:name="_Toc241670147"/>
      <w:r w:rsidRPr="00BE4F47">
        <w:rPr>
          <w:rFonts w:ascii="Aptos" w:hAnsi="Aptos"/>
          <w:color w:val="1A1A19"/>
          <w:sz w:val="20"/>
          <w:szCs w:val="20"/>
        </w:rPr>
        <w:t>quatre des six articles retenus sont des revues de littérature, donc des sources de seconde main.</w:t>
      </w:r>
      <w:bookmarkEnd w:id="338"/>
    </w:p>
    <w:p w14:paraId="7D69BDA2" w14:textId="77777777" w:rsidR="00F50D70" w:rsidRPr="00BE4F47" w:rsidRDefault="00137D7F" w:rsidP="008E113B">
      <w:pPr>
        <w:numPr>
          <w:ilvl w:val="0"/>
          <w:numId w:val="20"/>
        </w:numPr>
        <w:spacing w:after="130" w:line="360" w:lineRule="auto"/>
        <w:ind w:left="720"/>
        <w:rPr>
          <w:rFonts w:ascii="Aptos" w:eastAsia="Times New Roman" w:hAnsi="Aptos"/>
        </w:rPr>
      </w:pPr>
      <w:bookmarkStart w:id="339" w:name="_Toc241670148"/>
      <w:r w:rsidRPr="00BE4F47">
        <w:rPr>
          <w:rFonts w:ascii="Aptos" w:hAnsi="Aptos"/>
          <w:color w:val="1A1A19"/>
          <w:sz w:val="20"/>
          <w:szCs w:val="20"/>
        </w:rPr>
        <w:t>la modélisation thermohydraulique, qui est le cœur technique du projet, reste la partie la moins documentée de la revue.</w:t>
      </w:r>
      <w:bookmarkEnd w:id="339"/>
    </w:p>
    <w:p w14:paraId="5C9CDCCC" w14:textId="77777777" w:rsidR="00F50D70" w:rsidRPr="00BE4F47" w:rsidRDefault="00137D7F" w:rsidP="008E113B">
      <w:pPr>
        <w:numPr>
          <w:ilvl w:val="0"/>
          <w:numId w:val="20"/>
        </w:numPr>
        <w:spacing w:after="130" w:line="360" w:lineRule="auto"/>
        <w:ind w:left="720"/>
        <w:rPr>
          <w:rFonts w:ascii="Aptos" w:eastAsia="Times New Roman" w:hAnsi="Aptos"/>
        </w:rPr>
      </w:pPr>
      <w:bookmarkStart w:id="340" w:name="_Toc241670149"/>
      <w:r w:rsidRPr="00BE4F47">
        <w:rPr>
          <w:rFonts w:ascii="Aptos" w:hAnsi="Aptos"/>
          <w:color w:val="1A1A19"/>
          <w:sz w:val="20"/>
          <w:szCs w:val="20"/>
        </w:rPr>
        <w:t>aucune source ne porte sur le parc canadien ni sur la filière CANDU, alors que le scénario s’y situe.</w:t>
      </w:r>
      <w:bookmarkEnd w:id="340"/>
    </w:p>
    <w:p w14:paraId="08CF5C26" w14:textId="77777777" w:rsidR="00F50D70" w:rsidRPr="00BE4F47" w:rsidRDefault="00137D7F" w:rsidP="008E113B">
      <w:pPr>
        <w:numPr>
          <w:ilvl w:val="0"/>
          <w:numId w:val="20"/>
        </w:numPr>
        <w:spacing w:after="130" w:line="360" w:lineRule="auto"/>
        <w:ind w:left="720"/>
        <w:rPr>
          <w:rFonts w:ascii="Aptos" w:eastAsia="Times New Roman" w:hAnsi="Aptos"/>
        </w:rPr>
      </w:pPr>
      <w:bookmarkStart w:id="341" w:name="_Toc241082936"/>
      <w:bookmarkStart w:id="342" w:name="_Toc241670150"/>
      <w:r w:rsidRPr="00BE4F47">
        <w:rPr>
          <w:rFonts w:ascii="Aptos" w:hAnsi="Aptos"/>
          <w:color w:val="1A1A19"/>
          <w:sz w:val="20"/>
          <w:szCs w:val="20"/>
        </w:rPr>
        <w:t>la recherche de brevets s’est limitée à Google Patents, ce qui suffit pour une antériorité préliminaire mais pas davantage.</w:t>
      </w:r>
      <w:bookmarkEnd w:id="341"/>
      <w:bookmarkEnd w:id="342"/>
    </w:p>
    <w:p w14:paraId="17E42F22" w14:textId="77777777" w:rsidR="00F50D70" w:rsidRPr="00B03F2E" w:rsidRDefault="00137D7F" w:rsidP="008E113B">
      <w:pPr>
        <w:pStyle w:val="Titre1"/>
        <w:spacing w:line="360" w:lineRule="auto"/>
      </w:pPr>
      <w:bookmarkStart w:id="343" w:name="__RefHeading___Toc240715192"/>
      <w:bookmarkStart w:id="344" w:name="_Toc241670151"/>
      <w:bookmarkEnd w:id="343"/>
      <w:r w:rsidRPr="00B03F2E">
        <w:lastRenderedPageBreak/>
        <w:t>Normes, codes et standards</w:t>
      </w:r>
      <w:bookmarkEnd w:id="344"/>
    </w:p>
    <w:p w14:paraId="27F0D77C" w14:textId="77777777" w:rsidR="00F50D70" w:rsidRPr="00BE4F47" w:rsidRDefault="00137D7F" w:rsidP="008E113B">
      <w:pPr>
        <w:spacing w:after="130" w:line="360" w:lineRule="auto"/>
        <w:ind w:left="360"/>
        <w:rPr>
          <w:rFonts w:ascii="Aptos" w:hAnsi="Aptos"/>
        </w:rPr>
      </w:pPr>
      <w:bookmarkStart w:id="345" w:name="_Toc241082978"/>
      <w:bookmarkStart w:id="346" w:name="_Toc241670152"/>
      <w:r w:rsidRPr="00BE4F47">
        <w:rPr>
          <w:rFonts w:ascii="Aptos" w:hAnsi="Aptos"/>
          <w:color w:val="1A1A19"/>
          <w:sz w:val="20"/>
          <w:szCs w:val="20"/>
        </w:rPr>
        <w:t>La revue a montré ce que d’autres ont fait. Cette section établit le cadre dans lequel le projet doit le faire : la loi, la réglementation, les normes retenues, et ce qui en découle pour la conception.</w:t>
      </w:r>
      <w:bookmarkEnd w:id="345"/>
      <w:bookmarkEnd w:id="346"/>
    </w:p>
    <w:p w14:paraId="33AD7C0B" w14:textId="77777777" w:rsidR="00F50D70" w:rsidRPr="00BE4F47" w:rsidRDefault="00137D7F" w:rsidP="008E113B">
      <w:pPr>
        <w:spacing w:after="130" w:line="360" w:lineRule="auto"/>
        <w:ind w:left="360"/>
        <w:rPr>
          <w:rFonts w:ascii="Aptos" w:hAnsi="Aptos"/>
        </w:rPr>
      </w:pPr>
      <w:bookmarkStart w:id="347" w:name="_Toc241082979"/>
      <w:bookmarkStart w:id="348" w:name="_Toc241670153"/>
      <w:r w:rsidRPr="00BE4F47">
        <w:rPr>
          <w:rFonts w:ascii="Aptos" w:hAnsi="Aptos"/>
          <w:color w:val="1A1A19"/>
          <w:sz w:val="20"/>
          <w:szCs w:val="20"/>
        </w:rPr>
        <w:t>Les lois, règlements et normes ont été retenus pour leur pertinence pour les activités du projet : ingénierie des exigences, modélisation de la boucle, conception logicielle, cybersécurité, acquisition des données, détection d’anomalies, quantification de l’incertitude, interface homme-machine, vérification et validation. La revue distingue trois niveaux : le cadre législatif, qui détermine ce qui relève de l’exercice de l’ingénierie, le cadre réglementaire, qui s’applique aux installations nucléaires canadiennes, et les normes techniques, qui orientent la conception et fournissent les critères de validation.</w:t>
      </w:r>
      <w:bookmarkEnd w:id="347"/>
      <w:bookmarkEnd w:id="348"/>
    </w:p>
    <w:p w14:paraId="4BF05270" w14:textId="77777777" w:rsidR="00F50D70" w:rsidRPr="00B03F2E" w:rsidRDefault="00137D7F" w:rsidP="008E113B">
      <w:pPr>
        <w:pStyle w:val="Titre2"/>
        <w:spacing w:line="360" w:lineRule="auto"/>
      </w:pPr>
      <w:bookmarkStart w:id="349" w:name="__RefHeading___Toc240715195"/>
      <w:bookmarkStart w:id="350" w:name="_Toc241670154"/>
      <w:bookmarkEnd w:id="349"/>
      <w:r w:rsidRPr="00B03F2E">
        <w:t>Cadre législatif</w:t>
      </w:r>
      <w:bookmarkEnd w:id="350"/>
    </w:p>
    <w:p w14:paraId="1775AE56" w14:textId="77777777" w:rsidR="00F50D70" w:rsidRPr="00BE4F47" w:rsidRDefault="00137D7F" w:rsidP="008E113B">
      <w:pPr>
        <w:spacing w:after="130" w:line="360" w:lineRule="auto"/>
        <w:ind w:left="360"/>
        <w:rPr>
          <w:rFonts w:ascii="Aptos" w:hAnsi="Aptos"/>
        </w:rPr>
      </w:pPr>
      <w:bookmarkStart w:id="351" w:name="_Toc241082982"/>
      <w:bookmarkStart w:id="352" w:name="_Toc241670155"/>
      <w:r w:rsidRPr="00BE4F47">
        <w:rPr>
          <w:rFonts w:ascii="Aptos" w:hAnsi="Aptos"/>
          <w:color w:val="1A1A19"/>
          <w:sz w:val="20"/>
          <w:szCs w:val="20"/>
        </w:rPr>
        <w:t>Au Québec, l’exercice de l’ingénierie est encadré par la Loi sur les ingénieurs, RLRQ, chapitre I-9 [19]. L’Ordre des ingénieurs du Québec rappelle que cette loi définit l’exercice de l’ingénierie, les activités réservées, les ouvrages auxquels elles se rapportent ainsi que certaines responsabilités professionnelles [20]. Elle s’inscrit dans la mission de protection du public du système professionnel québécois. Quatre dispositions concernent directement le projet.</w:t>
      </w:r>
      <w:bookmarkEnd w:id="351"/>
      <w:bookmarkEnd w:id="352"/>
    </w:p>
    <w:p w14:paraId="18ADCF91" w14:textId="77777777" w:rsidR="00F50D70" w:rsidRPr="00BE4F47" w:rsidRDefault="00137D7F" w:rsidP="008E113B">
      <w:pPr>
        <w:pStyle w:val="Lgende"/>
        <w:keepNext/>
        <w:spacing w:line="360" w:lineRule="auto"/>
        <w:rPr>
          <w:rFonts w:ascii="Aptos" w:hAnsi="Aptos"/>
        </w:rPr>
      </w:pPr>
      <w:bookmarkStart w:id="353" w:name="_Toc241082983"/>
      <w:bookmarkStart w:id="354" w:name="_Toc241670156"/>
      <w:r w:rsidRPr="00BE4F47">
        <w:rPr>
          <w:rFonts w:ascii="Aptos" w:hAnsi="Aptos"/>
        </w:rPr>
        <w:t>Tableau 6-1. Cadre législatif applicable</w:t>
      </w:r>
      <w:bookmarkEnd w:id="353"/>
      <w:bookmarkEnd w:id="354"/>
    </w:p>
    <w:tbl>
      <w:tblPr>
        <w:tblW w:w="8557" w:type="dxa"/>
        <w:tblInd w:w="413" w:type="dxa"/>
        <w:tblLayout w:type="fixed"/>
        <w:tblCellMar>
          <w:top w:w="70" w:type="dxa"/>
          <w:left w:w="100" w:type="dxa"/>
          <w:bottom w:w="70" w:type="dxa"/>
          <w:right w:w="100" w:type="dxa"/>
        </w:tblCellMar>
        <w:tblLook w:val="04A0" w:firstRow="1" w:lastRow="0" w:firstColumn="1" w:lastColumn="0" w:noHBand="0" w:noVBand="1"/>
      </w:tblPr>
      <w:tblGrid>
        <w:gridCol w:w="1371"/>
        <w:gridCol w:w="3566"/>
        <w:gridCol w:w="3620"/>
      </w:tblGrid>
      <w:tr w:rsidR="00F50D70" w:rsidRPr="00BE4F47" w14:paraId="627670F0" w14:textId="77777777" w:rsidTr="0036725C">
        <w:trPr>
          <w:trHeight w:val="232"/>
          <w:tblHeader/>
        </w:trPr>
        <w:tc>
          <w:tcPr>
            <w:tcW w:w="1371"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5F00BB9A"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Disposition</w:t>
            </w:r>
          </w:p>
        </w:tc>
        <w:tc>
          <w:tcPr>
            <w:tcW w:w="3566"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3A29D930"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Portée</w:t>
            </w:r>
          </w:p>
        </w:tc>
        <w:tc>
          <w:tcPr>
            <w:tcW w:w="3620"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727DE2E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Lien avec le projet</w:t>
            </w:r>
          </w:p>
        </w:tc>
      </w:tr>
      <w:tr w:rsidR="00F50D70" w:rsidRPr="00BE4F47" w14:paraId="2D2230AA" w14:textId="77777777">
        <w:trPr>
          <w:cantSplit/>
          <w:trHeight w:val="621"/>
        </w:trPr>
        <w:tc>
          <w:tcPr>
            <w:tcW w:w="1371" w:type="dxa"/>
            <w:tcBorders>
              <w:top w:val="single" w:sz="4" w:space="0" w:color="000000"/>
              <w:left w:val="single" w:sz="4" w:space="0" w:color="000000"/>
              <w:bottom w:val="single" w:sz="4" w:space="0" w:color="000000"/>
              <w:right w:val="single" w:sz="4" w:space="0" w:color="000000"/>
            </w:tcBorders>
            <w:vAlign w:val="center"/>
          </w:tcPr>
          <w:p w14:paraId="74D789D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Article 2 (1°)</w:t>
            </w:r>
          </w:p>
        </w:tc>
        <w:tc>
          <w:tcPr>
            <w:tcW w:w="3566" w:type="dxa"/>
            <w:tcBorders>
              <w:top w:val="single" w:sz="4" w:space="0" w:color="000000"/>
              <w:left w:val="single" w:sz="4" w:space="0" w:color="000000"/>
              <w:bottom w:val="single" w:sz="4" w:space="0" w:color="000000"/>
              <w:right w:val="single" w:sz="4" w:space="0" w:color="000000"/>
            </w:tcBorders>
            <w:vAlign w:val="center"/>
          </w:tcPr>
          <w:p w14:paraId="0BD0EBF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Déterminer les concepts, les paramètres, les équations ou les modèles permettant d’anticiper le comportement des procédés ou des systèmes.</w:t>
            </w:r>
          </w:p>
        </w:tc>
        <w:tc>
          <w:tcPr>
            <w:tcW w:w="3620" w:type="dxa"/>
            <w:tcBorders>
              <w:top w:val="single" w:sz="4" w:space="0" w:color="000000"/>
              <w:left w:val="single" w:sz="4" w:space="0" w:color="000000"/>
              <w:bottom w:val="single" w:sz="4" w:space="0" w:color="000000"/>
              <w:right w:val="single" w:sz="4" w:space="0" w:color="000000"/>
            </w:tcBorders>
            <w:vAlign w:val="center"/>
          </w:tcPr>
          <w:p w14:paraId="68F8D577"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Modélisation de la boucle thermohydraulique, définition de ses paramètres et construction du jumeau numérique.</w:t>
            </w:r>
          </w:p>
        </w:tc>
      </w:tr>
      <w:tr w:rsidR="00F50D70" w:rsidRPr="00BE4F47" w14:paraId="2C28A0E8" w14:textId="77777777">
        <w:trPr>
          <w:cantSplit/>
          <w:trHeight w:val="422"/>
        </w:trPr>
        <w:tc>
          <w:tcPr>
            <w:tcW w:w="1371" w:type="dxa"/>
            <w:tcBorders>
              <w:top w:val="single" w:sz="4" w:space="0" w:color="000000"/>
              <w:left w:val="single" w:sz="4" w:space="0" w:color="000000"/>
              <w:bottom w:val="single" w:sz="4" w:space="0" w:color="000000"/>
              <w:right w:val="single" w:sz="4" w:space="0" w:color="000000"/>
            </w:tcBorders>
            <w:vAlign w:val="center"/>
          </w:tcPr>
          <w:p w14:paraId="13B1BBF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Article 2 (2°)</w:t>
            </w:r>
          </w:p>
        </w:tc>
        <w:tc>
          <w:tcPr>
            <w:tcW w:w="3566" w:type="dxa"/>
            <w:tcBorders>
              <w:top w:val="single" w:sz="4" w:space="0" w:color="000000"/>
              <w:left w:val="single" w:sz="4" w:space="0" w:color="000000"/>
              <w:bottom w:val="single" w:sz="4" w:space="0" w:color="000000"/>
              <w:right w:val="single" w:sz="4" w:space="0" w:color="000000"/>
            </w:tcBorders>
            <w:vAlign w:val="center"/>
          </w:tcPr>
          <w:p w14:paraId="24846372"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Effectuer des essais ou des calculs nécessitant le recours à des modèles issus de principes d’ingénierie.</w:t>
            </w:r>
          </w:p>
        </w:tc>
        <w:tc>
          <w:tcPr>
            <w:tcW w:w="3620" w:type="dxa"/>
            <w:tcBorders>
              <w:top w:val="single" w:sz="4" w:space="0" w:color="000000"/>
              <w:left w:val="single" w:sz="4" w:space="0" w:color="000000"/>
              <w:bottom w:val="single" w:sz="4" w:space="0" w:color="000000"/>
              <w:right w:val="single" w:sz="4" w:space="0" w:color="000000"/>
            </w:tcBorders>
            <w:vAlign w:val="center"/>
          </w:tcPr>
          <w:p w14:paraId="05E7E429"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Simulations, calculs, injection d’anomalies et campagne de vérification et de validation.</w:t>
            </w:r>
          </w:p>
        </w:tc>
      </w:tr>
      <w:tr w:rsidR="00F50D70" w:rsidRPr="00BE4F47" w14:paraId="382289CD" w14:textId="77777777">
        <w:trPr>
          <w:cantSplit/>
          <w:trHeight w:val="432"/>
        </w:trPr>
        <w:tc>
          <w:tcPr>
            <w:tcW w:w="1371" w:type="dxa"/>
            <w:tcBorders>
              <w:top w:val="single" w:sz="4" w:space="0" w:color="000000"/>
              <w:left w:val="single" w:sz="4" w:space="0" w:color="000000"/>
              <w:bottom w:val="single" w:sz="4" w:space="0" w:color="000000"/>
              <w:right w:val="single" w:sz="4" w:space="0" w:color="000000"/>
            </w:tcBorders>
            <w:vAlign w:val="center"/>
          </w:tcPr>
          <w:p w14:paraId="2DB1BDF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Article 2 (6°)</w:t>
            </w:r>
          </w:p>
        </w:tc>
        <w:tc>
          <w:tcPr>
            <w:tcW w:w="3566" w:type="dxa"/>
            <w:tcBorders>
              <w:top w:val="single" w:sz="4" w:space="0" w:color="000000"/>
              <w:left w:val="single" w:sz="4" w:space="0" w:color="000000"/>
              <w:bottom w:val="single" w:sz="4" w:space="0" w:color="000000"/>
              <w:right w:val="single" w:sz="4" w:space="0" w:color="000000"/>
            </w:tcBorders>
            <w:vAlign w:val="center"/>
          </w:tcPr>
          <w:p w14:paraId="16D1BD32"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Donner un avis relatif à une activité professionnelle d’ingénierie.</w:t>
            </w:r>
          </w:p>
        </w:tc>
        <w:tc>
          <w:tcPr>
            <w:tcW w:w="3620" w:type="dxa"/>
            <w:tcBorders>
              <w:top w:val="single" w:sz="4" w:space="0" w:color="000000"/>
              <w:left w:val="single" w:sz="4" w:space="0" w:color="000000"/>
              <w:bottom w:val="single" w:sz="4" w:space="0" w:color="000000"/>
              <w:right w:val="single" w:sz="4" w:space="0" w:color="000000"/>
            </w:tcBorders>
            <w:vAlign w:val="center"/>
          </w:tcPr>
          <w:p w14:paraId="0753E270"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Analyse des résultats, interprétation et recommandation d’ingénierie remise en fin de projet.</w:t>
            </w:r>
          </w:p>
        </w:tc>
      </w:tr>
      <w:tr w:rsidR="00F50D70" w:rsidRPr="00BE4F47" w14:paraId="6390FD1A" w14:textId="77777777">
        <w:trPr>
          <w:cantSplit/>
          <w:trHeight w:val="989"/>
        </w:trPr>
        <w:tc>
          <w:tcPr>
            <w:tcW w:w="1371" w:type="dxa"/>
            <w:tcBorders>
              <w:top w:val="single" w:sz="4" w:space="0" w:color="000000"/>
              <w:left w:val="single" w:sz="4" w:space="0" w:color="000000"/>
              <w:bottom w:val="single" w:sz="4" w:space="0" w:color="000000"/>
              <w:right w:val="single" w:sz="4" w:space="0" w:color="000000"/>
            </w:tcBorders>
            <w:vAlign w:val="center"/>
          </w:tcPr>
          <w:p w14:paraId="200D504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Article 3 (3°)</w:t>
            </w:r>
          </w:p>
        </w:tc>
        <w:tc>
          <w:tcPr>
            <w:tcW w:w="3566" w:type="dxa"/>
            <w:tcBorders>
              <w:top w:val="single" w:sz="4" w:space="0" w:color="000000"/>
              <w:left w:val="single" w:sz="4" w:space="0" w:color="000000"/>
              <w:bottom w:val="single" w:sz="4" w:space="0" w:color="000000"/>
              <w:right w:val="single" w:sz="4" w:space="0" w:color="000000"/>
            </w:tcBorders>
            <w:vAlign w:val="center"/>
          </w:tcPr>
          <w:p w14:paraId="39CD35E4"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Système de génération, d’accumulation, de transmission, d’utilisation ou de distribution d’énergie sous forme électrique, mécanique ou thermique, à l’exclusion d’un système dont le dysfonctionnement ne présente pas de risque pour la sécurité des personnes.</w:t>
            </w:r>
          </w:p>
        </w:tc>
        <w:tc>
          <w:tcPr>
            <w:tcW w:w="3620" w:type="dxa"/>
            <w:tcBorders>
              <w:top w:val="single" w:sz="4" w:space="0" w:color="000000"/>
              <w:left w:val="single" w:sz="4" w:space="0" w:color="000000"/>
              <w:bottom w:val="single" w:sz="4" w:space="0" w:color="000000"/>
              <w:right w:val="single" w:sz="4" w:space="0" w:color="000000"/>
            </w:tcBorders>
            <w:vAlign w:val="center"/>
          </w:tcPr>
          <w:p w14:paraId="109948F8"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Boucle thermohydraulique : les phénomènes thermiques et mécaniques constituent le cœur du modèle. Applicabilité discutée au début de 6.1.</w:t>
            </w:r>
          </w:p>
        </w:tc>
      </w:tr>
    </w:tbl>
    <w:p w14:paraId="2234620E" w14:textId="77777777" w:rsidR="00F50D70" w:rsidRPr="00BE4F47" w:rsidRDefault="00137D7F" w:rsidP="008E113B">
      <w:pPr>
        <w:spacing w:before="200" w:after="130" w:line="360" w:lineRule="auto"/>
        <w:ind w:left="360"/>
        <w:rPr>
          <w:rFonts w:ascii="Aptos" w:hAnsi="Aptos"/>
        </w:rPr>
      </w:pPr>
      <w:bookmarkStart w:id="355" w:name="_Toc241082985"/>
      <w:bookmarkStart w:id="356" w:name="_Toc241670157"/>
      <w:r w:rsidRPr="00BE4F47">
        <w:rPr>
          <w:rFonts w:ascii="Aptos" w:hAnsi="Aptos"/>
          <w:b/>
          <w:color w:val="1A1A19"/>
          <w:sz w:val="20"/>
          <w:szCs w:val="20"/>
        </w:rPr>
        <w:t xml:space="preserve">L’applicabilité de l’article 3 (3°). </w:t>
      </w:r>
      <w:r w:rsidRPr="00BE4F47">
        <w:rPr>
          <w:rFonts w:ascii="Aptos" w:hAnsi="Aptos"/>
          <w:color w:val="1A1A19"/>
          <w:sz w:val="20"/>
          <w:szCs w:val="20"/>
        </w:rPr>
        <w:t>L’article 3 (3°) ne s’applique qu’à deux conditions cumulatives : le système doit appartenir à la catégorie décrite, et la clause d’exclusion finale ne doit pas jouer.</w:t>
      </w:r>
      <w:bookmarkEnd w:id="355"/>
      <w:bookmarkEnd w:id="356"/>
    </w:p>
    <w:p w14:paraId="4EA2679C" w14:textId="77777777" w:rsidR="00F50D70" w:rsidRPr="00BE4F47" w:rsidRDefault="00137D7F" w:rsidP="008E113B">
      <w:pPr>
        <w:spacing w:after="130" w:line="360" w:lineRule="auto"/>
        <w:ind w:left="360"/>
        <w:rPr>
          <w:rFonts w:ascii="Aptos" w:hAnsi="Aptos" w:cs="Calibri"/>
        </w:rPr>
      </w:pPr>
      <w:bookmarkStart w:id="357" w:name="_Toc241082986"/>
      <w:bookmarkStart w:id="358" w:name="_Toc241670158"/>
      <w:r w:rsidRPr="00BE4F47">
        <w:rPr>
          <w:rFonts w:ascii="Aptos" w:hAnsi="Aptos"/>
          <w:color w:val="1A1A19"/>
          <w:sz w:val="20"/>
          <w:szCs w:val="20"/>
        </w:rPr>
        <w:t>Première condition, l’appartenance à la catégorie. Le texte vise l’énergie sous forme électrique, thermique ou mécanique. La boucle thermohydraulique est un système d’utilisation et de transmission d’énergie thermique et mécanique. La mention de ces deux formes d’énergie suffit à établir l’appartenance, sans avoir à invoquer une composante électrique.</w:t>
      </w:r>
      <w:bookmarkEnd w:id="357"/>
      <w:bookmarkEnd w:id="358"/>
    </w:p>
    <w:p w14:paraId="476DB22C" w14:textId="77777777" w:rsidR="00F50D70" w:rsidRPr="00BE4F47" w:rsidRDefault="00137D7F" w:rsidP="008E113B">
      <w:pPr>
        <w:spacing w:after="130" w:line="360" w:lineRule="auto"/>
        <w:ind w:left="360"/>
        <w:rPr>
          <w:rFonts w:ascii="Aptos" w:hAnsi="Aptos"/>
        </w:rPr>
      </w:pPr>
      <w:bookmarkStart w:id="359" w:name="_Toc241082987"/>
      <w:bookmarkStart w:id="360" w:name="_Toc241670159"/>
      <w:r w:rsidRPr="00BE4F47">
        <w:rPr>
          <w:rFonts w:ascii="Aptos" w:hAnsi="Aptos"/>
          <w:color w:val="1A1A19"/>
          <w:sz w:val="20"/>
          <w:szCs w:val="20"/>
        </w:rPr>
        <w:lastRenderedPageBreak/>
        <w:t>Seconde condition, la clause d’exclusion. Le législateur écarte les systèmes « dont le dysfonctionnement ne présente pas de risque pour la sécurité des personnes ». Il faut donc montrer que le dysfonctionnement du système présente un tel risque.</w:t>
      </w:r>
      <w:bookmarkEnd w:id="359"/>
      <w:bookmarkEnd w:id="360"/>
    </w:p>
    <w:p w14:paraId="11D5F029" w14:textId="77777777" w:rsidR="00F50D70" w:rsidRPr="00BE4F47" w:rsidRDefault="00137D7F" w:rsidP="008E113B">
      <w:pPr>
        <w:spacing w:after="130" w:line="360" w:lineRule="auto"/>
        <w:ind w:left="360"/>
        <w:rPr>
          <w:rFonts w:ascii="Aptos" w:hAnsi="Aptos"/>
        </w:rPr>
      </w:pPr>
      <w:bookmarkStart w:id="361" w:name="_Toc241670160"/>
      <w:r w:rsidRPr="00BE4F47">
        <w:rPr>
          <w:rFonts w:ascii="Aptos" w:hAnsi="Aptos"/>
          <w:color w:val="1A1A19"/>
          <w:sz w:val="20"/>
          <w:szCs w:val="20"/>
        </w:rPr>
        <w:t>Le jumeau numérique ne commande aucun équipement, mais il produit une estimation de l’état de l’installation sur laquelle un opérateur fonde une décision. Trois dysfonctionnements conduisent à un risque pour les personnes :</w:t>
      </w:r>
      <w:bookmarkEnd w:id="361"/>
    </w:p>
    <w:p w14:paraId="574BD222"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362" w:name="_Toc241670161"/>
      <w:r w:rsidRPr="00BE4F47">
        <w:rPr>
          <w:rFonts w:ascii="Aptos" w:hAnsi="Aptos"/>
          <w:color w:val="1A1A19"/>
          <w:sz w:val="20"/>
          <w:szCs w:val="20"/>
        </w:rPr>
        <w:t>une anomalie réelle non détectée, présentée comme un fonctionnement normal.</w:t>
      </w:r>
      <w:bookmarkEnd w:id="362"/>
    </w:p>
    <w:p w14:paraId="160ECFB6"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363" w:name="_Toc241670162"/>
      <w:r w:rsidRPr="00BE4F47">
        <w:rPr>
          <w:rFonts w:ascii="Aptos" w:hAnsi="Aptos"/>
          <w:color w:val="1A1A19"/>
          <w:sz w:val="20"/>
          <w:szCs w:val="20"/>
        </w:rPr>
        <w:t>une estimation d’état erronée provenant d’un capteur défaillant ou de données altérées.</w:t>
      </w:r>
      <w:bookmarkEnd w:id="363"/>
    </w:p>
    <w:p w14:paraId="51432B8B"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364" w:name="_Toc241670163"/>
      <w:r w:rsidRPr="00BE4F47">
        <w:rPr>
          <w:rFonts w:ascii="Aptos" w:hAnsi="Aptos"/>
          <w:color w:val="1A1A19"/>
          <w:sz w:val="20"/>
          <w:szCs w:val="20"/>
        </w:rPr>
        <w:t>l’indisponibilité du système au moment où l’opérateur s’attend à en disposer.</w:t>
      </w:r>
      <w:bookmarkEnd w:id="364"/>
    </w:p>
    <w:p w14:paraId="18EA56B4" w14:textId="77777777" w:rsidR="00F50D70" w:rsidRPr="00BE4F47" w:rsidRDefault="00137D7F" w:rsidP="008E113B">
      <w:pPr>
        <w:spacing w:after="130" w:line="360" w:lineRule="auto"/>
        <w:ind w:left="360"/>
        <w:rPr>
          <w:rFonts w:ascii="Aptos" w:hAnsi="Aptos"/>
        </w:rPr>
      </w:pPr>
      <w:bookmarkStart w:id="365" w:name="_Toc241670164"/>
      <w:r w:rsidRPr="00BE4F47">
        <w:rPr>
          <w:rFonts w:ascii="Aptos" w:hAnsi="Aptos"/>
          <w:color w:val="1A1A19"/>
          <w:sz w:val="20"/>
          <w:szCs w:val="20"/>
        </w:rPr>
        <w:t>Dans les trois cas, la défaillance se propage à la décision humaine, donc à la sécurité des personnes. La clause d’exclusion ne s’applique pas.</w:t>
      </w:r>
      <w:bookmarkEnd w:id="365"/>
    </w:p>
    <w:p w14:paraId="36561F41" w14:textId="77777777" w:rsidR="00F50D70" w:rsidRPr="00B03F2E" w:rsidRDefault="00137D7F" w:rsidP="008E113B">
      <w:pPr>
        <w:pStyle w:val="Titre2"/>
        <w:spacing w:line="360" w:lineRule="auto"/>
      </w:pPr>
      <w:bookmarkStart w:id="366" w:name="__RefHeading___Toc240715201"/>
      <w:bookmarkStart w:id="367" w:name="_Toc241670165"/>
      <w:bookmarkEnd w:id="366"/>
      <w:r w:rsidRPr="00B03F2E">
        <w:t>Cadre réglementaire</w:t>
      </w:r>
      <w:bookmarkEnd w:id="367"/>
    </w:p>
    <w:p w14:paraId="287E5102" w14:textId="77777777" w:rsidR="00F50D70" w:rsidRPr="00BE4F47" w:rsidRDefault="00137D7F" w:rsidP="008E113B">
      <w:pPr>
        <w:spacing w:after="130" w:line="360" w:lineRule="auto"/>
        <w:ind w:left="360"/>
        <w:rPr>
          <w:rFonts w:ascii="Aptos" w:hAnsi="Aptos"/>
        </w:rPr>
      </w:pPr>
      <w:bookmarkStart w:id="368" w:name="_Toc241082989"/>
      <w:bookmarkStart w:id="369" w:name="_Toc241670166"/>
      <w:r w:rsidRPr="00BE4F47">
        <w:rPr>
          <w:rFonts w:ascii="Aptos" w:hAnsi="Aptos"/>
          <w:color w:val="1A1A19"/>
          <w:sz w:val="20"/>
          <w:szCs w:val="20"/>
        </w:rPr>
        <w:t>Même si le prototype reste entièrement simulé, le cadre réglementaire des installations nucléaires détermine les attentes envers un système réel de même fonction. La Loi sur la sûreté et la réglementation nucléaires [21] en constitue la base, mise en œuvre par le Règlement général [22] et, pour les centrales, par le Règlement sur les installations nucléaires de catégorie I [23].</w:t>
      </w:r>
      <w:bookmarkEnd w:id="368"/>
      <w:bookmarkEnd w:id="369"/>
    </w:p>
    <w:p w14:paraId="5DC47C24" w14:textId="77777777" w:rsidR="00F50D70" w:rsidRPr="00BE4F47" w:rsidRDefault="00137D7F" w:rsidP="008E113B">
      <w:pPr>
        <w:spacing w:after="130" w:line="360" w:lineRule="auto"/>
        <w:ind w:left="360"/>
        <w:rPr>
          <w:rFonts w:ascii="Aptos" w:hAnsi="Aptos"/>
        </w:rPr>
      </w:pPr>
      <w:bookmarkStart w:id="370" w:name="_Toc241082990"/>
      <w:bookmarkStart w:id="371" w:name="_Toc241670167"/>
      <w:r w:rsidRPr="00BE4F47">
        <w:rPr>
          <w:rFonts w:ascii="Aptos" w:hAnsi="Aptos"/>
          <w:color w:val="1A1A19"/>
          <w:sz w:val="20"/>
          <w:szCs w:val="20"/>
        </w:rPr>
        <w:t>Ces textes sont toutefois des instruments de portée générale. Les attentes techniques de la Commission canadienne de sûreté nucléaire s’expriment dans ses documents d’application. Deux d’entre eux concernent directement le projet, et ce sont les conditions de permis qui rendent opposables des normes comme CSA N290.7 [24].</w:t>
      </w:r>
      <w:bookmarkEnd w:id="370"/>
      <w:bookmarkEnd w:id="371"/>
    </w:p>
    <w:p w14:paraId="55DB5628" w14:textId="77777777" w:rsidR="00F50D70" w:rsidRPr="00BE4F47" w:rsidRDefault="00137D7F" w:rsidP="008E113B">
      <w:pPr>
        <w:pStyle w:val="Lgende"/>
        <w:keepNext/>
        <w:spacing w:line="360" w:lineRule="auto"/>
        <w:rPr>
          <w:rFonts w:ascii="Aptos" w:hAnsi="Aptos"/>
        </w:rPr>
      </w:pPr>
      <w:bookmarkStart w:id="372" w:name="_Toc241082991"/>
      <w:bookmarkStart w:id="373" w:name="_Toc241670168"/>
      <w:r w:rsidRPr="00BE4F47">
        <w:rPr>
          <w:rFonts w:ascii="Aptos" w:hAnsi="Aptos"/>
        </w:rPr>
        <w:t>Tableau 6-2. Cadre réglementaire applicable</w:t>
      </w:r>
      <w:bookmarkEnd w:id="372"/>
      <w:bookmarkEnd w:id="373"/>
    </w:p>
    <w:tbl>
      <w:tblPr>
        <w:tblW w:w="8557" w:type="dxa"/>
        <w:tblInd w:w="413" w:type="dxa"/>
        <w:tblLayout w:type="fixed"/>
        <w:tblCellMar>
          <w:top w:w="70" w:type="dxa"/>
          <w:left w:w="100" w:type="dxa"/>
          <w:bottom w:w="70" w:type="dxa"/>
          <w:right w:w="100" w:type="dxa"/>
        </w:tblCellMar>
        <w:tblLook w:val="04A0" w:firstRow="1" w:lastRow="0" w:firstColumn="1" w:lastColumn="0" w:noHBand="0" w:noVBand="1"/>
      </w:tblPr>
      <w:tblGrid>
        <w:gridCol w:w="2089"/>
        <w:gridCol w:w="3107"/>
        <w:gridCol w:w="3361"/>
      </w:tblGrid>
      <w:tr w:rsidR="00F50D70" w:rsidRPr="00BE4F47" w14:paraId="309F36E7" w14:textId="77777777" w:rsidTr="0036725C">
        <w:trPr>
          <w:trHeight w:val="249"/>
          <w:tblHeader/>
        </w:trPr>
        <w:tc>
          <w:tcPr>
            <w:tcW w:w="2089"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5A8517A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Référence</w:t>
            </w:r>
          </w:p>
        </w:tc>
        <w:tc>
          <w:tcPr>
            <w:tcW w:w="3107"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3EE8E9FC"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Objet</w:t>
            </w:r>
          </w:p>
        </w:tc>
        <w:tc>
          <w:tcPr>
            <w:tcW w:w="3361"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0865489C"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Lien avec le projet</w:t>
            </w:r>
          </w:p>
        </w:tc>
      </w:tr>
      <w:tr w:rsidR="00F50D70" w:rsidRPr="00BE4F47" w14:paraId="3B4CCFE4" w14:textId="77777777">
        <w:trPr>
          <w:cantSplit/>
          <w:trHeight w:val="462"/>
        </w:trPr>
        <w:tc>
          <w:tcPr>
            <w:tcW w:w="2089" w:type="dxa"/>
            <w:tcBorders>
              <w:top w:val="single" w:sz="4" w:space="0" w:color="000000"/>
              <w:left w:val="single" w:sz="4" w:space="0" w:color="000000"/>
              <w:bottom w:val="single" w:sz="4" w:space="0" w:color="000000"/>
              <w:right w:val="single" w:sz="4" w:space="0" w:color="000000"/>
            </w:tcBorders>
            <w:vAlign w:val="center"/>
          </w:tcPr>
          <w:p w14:paraId="670A1887"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Loi sur la sûreté et la réglementation nucléaires [21]</w:t>
            </w:r>
          </w:p>
        </w:tc>
        <w:tc>
          <w:tcPr>
            <w:tcW w:w="3107" w:type="dxa"/>
            <w:tcBorders>
              <w:top w:val="single" w:sz="4" w:space="0" w:color="000000"/>
              <w:left w:val="single" w:sz="4" w:space="0" w:color="000000"/>
              <w:bottom w:val="single" w:sz="4" w:space="0" w:color="000000"/>
              <w:right w:val="single" w:sz="4" w:space="0" w:color="000000"/>
            </w:tcBorders>
            <w:vAlign w:val="center"/>
          </w:tcPr>
          <w:p w14:paraId="095BE05E"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Cadre fédéral applicable aux activités et installations nucléaires.</w:t>
            </w:r>
          </w:p>
        </w:tc>
        <w:tc>
          <w:tcPr>
            <w:tcW w:w="3361" w:type="dxa"/>
            <w:tcBorders>
              <w:top w:val="single" w:sz="4" w:space="0" w:color="000000"/>
              <w:left w:val="single" w:sz="4" w:space="0" w:color="000000"/>
              <w:bottom w:val="single" w:sz="4" w:space="0" w:color="000000"/>
              <w:right w:val="single" w:sz="4" w:space="0" w:color="000000"/>
            </w:tcBorders>
            <w:vAlign w:val="center"/>
          </w:tcPr>
          <w:p w14:paraId="24BB2A27"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Établit le contexte de sûreté, de responsabilité et de protection du public.</w:t>
            </w:r>
          </w:p>
        </w:tc>
      </w:tr>
      <w:tr w:rsidR="00F50D70" w:rsidRPr="00BE4F47" w14:paraId="36BED27A" w14:textId="77777777">
        <w:trPr>
          <w:cantSplit/>
          <w:trHeight w:val="652"/>
        </w:trPr>
        <w:tc>
          <w:tcPr>
            <w:tcW w:w="2089" w:type="dxa"/>
            <w:tcBorders>
              <w:top w:val="single" w:sz="4" w:space="0" w:color="000000"/>
              <w:left w:val="single" w:sz="4" w:space="0" w:color="000000"/>
              <w:bottom w:val="single" w:sz="4" w:space="0" w:color="000000"/>
              <w:right w:val="single" w:sz="4" w:space="0" w:color="000000"/>
            </w:tcBorders>
            <w:vAlign w:val="center"/>
          </w:tcPr>
          <w:p w14:paraId="0CD040B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Règlement général sur la sûreté et la réglementation nucléaires [22]</w:t>
            </w:r>
          </w:p>
        </w:tc>
        <w:tc>
          <w:tcPr>
            <w:tcW w:w="3107" w:type="dxa"/>
            <w:tcBorders>
              <w:top w:val="single" w:sz="4" w:space="0" w:color="000000"/>
              <w:left w:val="single" w:sz="4" w:space="0" w:color="000000"/>
              <w:bottom w:val="single" w:sz="4" w:space="0" w:color="000000"/>
              <w:right w:val="single" w:sz="4" w:space="0" w:color="000000"/>
            </w:tcBorders>
            <w:vAlign w:val="center"/>
          </w:tcPr>
          <w:p w14:paraId="2C503D2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Exigences générales applicables aux activités réglementées et aux titulaires de permis.</w:t>
            </w:r>
          </w:p>
        </w:tc>
        <w:tc>
          <w:tcPr>
            <w:tcW w:w="3361" w:type="dxa"/>
            <w:tcBorders>
              <w:top w:val="single" w:sz="4" w:space="0" w:color="000000"/>
              <w:left w:val="single" w:sz="4" w:space="0" w:color="000000"/>
              <w:bottom w:val="single" w:sz="4" w:space="0" w:color="000000"/>
              <w:right w:val="single" w:sz="4" w:space="0" w:color="000000"/>
            </w:tcBorders>
            <w:vAlign w:val="center"/>
          </w:tcPr>
          <w:p w14:paraId="1D468DE9"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Fonde les exigences de documentation, de traçabilité et de gestion de l’information du projet.</w:t>
            </w:r>
          </w:p>
        </w:tc>
      </w:tr>
      <w:tr w:rsidR="00F50D70" w:rsidRPr="00BE4F47" w14:paraId="5B1B3F21" w14:textId="77777777">
        <w:trPr>
          <w:cantSplit/>
          <w:trHeight w:val="664"/>
        </w:trPr>
        <w:tc>
          <w:tcPr>
            <w:tcW w:w="2089" w:type="dxa"/>
            <w:tcBorders>
              <w:top w:val="single" w:sz="4" w:space="0" w:color="000000"/>
              <w:left w:val="single" w:sz="4" w:space="0" w:color="000000"/>
              <w:bottom w:val="single" w:sz="4" w:space="0" w:color="000000"/>
              <w:right w:val="single" w:sz="4" w:space="0" w:color="000000"/>
            </w:tcBorders>
            <w:vAlign w:val="center"/>
          </w:tcPr>
          <w:p w14:paraId="519D59F3"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Règlement sur les installations nucléaires de catégorie I [23]</w:t>
            </w:r>
          </w:p>
        </w:tc>
        <w:tc>
          <w:tcPr>
            <w:tcW w:w="3107" w:type="dxa"/>
            <w:tcBorders>
              <w:top w:val="single" w:sz="4" w:space="0" w:color="000000"/>
              <w:left w:val="single" w:sz="4" w:space="0" w:color="000000"/>
              <w:bottom w:val="single" w:sz="4" w:space="0" w:color="000000"/>
              <w:right w:val="single" w:sz="4" w:space="0" w:color="000000"/>
            </w:tcBorders>
            <w:vAlign w:val="center"/>
          </w:tcPr>
          <w:p w14:paraId="1C90B1FF"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Encadre les phases de vie d’une installation de catégorie I, y compris l’examen périodique de sûreté.</w:t>
            </w:r>
          </w:p>
        </w:tc>
        <w:tc>
          <w:tcPr>
            <w:tcW w:w="3361" w:type="dxa"/>
            <w:tcBorders>
              <w:top w:val="single" w:sz="4" w:space="0" w:color="000000"/>
              <w:left w:val="single" w:sz="4" w:space="0" w:color="000000"/>
              <w:bottom w:val="single" w:sz="4" w:space="0" w:color="000000"/>
              <w:right w:val="single" w:sz="4" w:space="0" w:color="000000"/>
            </w:tcBorders>
            <w:vAlign w:val="center"/>
          </w:tcPr>
          <w:p w14:paraId="76093AA2"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Replace le jumeau numérique dans un cycle de vie : exploitation, surveillance, validation, déclassement.</w:t>
            </w:r>
          </w:p>
        </w:tc>
      </w:tr>
      <w:tr w:rsidR="00F50D70" w:rsidRPr="00BE4F47" w14:paraId="0925DFA9" w14:textId="77777777">
        <w:trPr>
          <w:cantSplit/>
          <w:trHeight w:val="652"/>
        </w:trPr>
        <w:tc>
          <w:tcPr>
            <w:tcW w:w="2089" w:type="dxa"/>
            <w:tcBorders>
              <w:top w:val="single" w:sz="4" w:space="0" w:color="000000"/>
              <w:left w:val="single" w:sz="4" w:space="0" w:color="000000"/>
              <w:bottom w:val="single" w:sz="4" w:space="0" w:color="000000"/>
              <w:right w:val="single" w:sz="4" w:space="0" w:color="000000"/>
            </w:tcBorders>
            <w:vAlign w:val="center"/>
          </w:tcPr>
          <w:p w14:paraId="3F51AC94"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REGDOC-2.5.2, Conception d’installations dotées de réacteurs [25]</w:t>
            </w:r>
          </w:p>
        </w:tc>
        <w:tc>
          <w:tcPr>
            <w:tcW w:w="3107" w:type="dxa"/>
            <w:tcBorders>
              <w:top w:val="single" w:sz="4" w:space="0" w:color="000000"/>
              <w:left w:val="single" w:sz="4" w:space="0" w:color="000000"/>
              <w:bottom w:val="single" w:sz="4" w:space="0" w:color="000000"/>
              <w:right w:val="single" w:sz="4" w:space="0" w:color="000000"/>
            </w:tcBorders>
            <w:vAlign w:val="center"/>
          </w:tcPr>
          <w:p w14:paraId="3B569091"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Attentes de conception, dont celles visant l’instrumentation et le contrôle.</w:t>
            </w:r>
          </w:p>
        </w:tc>
        <w:tc>
          <w:tcPr>
            <w:tcW w:w="3361" w:type="dxa"/>
            <w:tcBorders>
              <w:top w:val="single" w:sz="4" w:space="0" w:color="000000"/>
              <w:left w:val="single" w:sz="4" w:space="0" w:color="000000"/>
              <w:bottom w:val="single" w:sz="4" w:space="0" w:color="000000"/>
              <w:right w:val="single" w:sz="4" w:space="0" w:color="000000"/>
            </w:tcBorders>
            <w:vAlign w:val="center"/>
          </w:tcPr>
          <w:p w14:paraId="02F4EC9C"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Source des attentes envers un système d’aide à la décision raccordé à une installation réelle.</w:t>
            </w:r>
          </w:p>
        </w:tc>
      </w:tr>
      <w:tr w:rsidR="00F50D70" w:rsidRPr="00BE4F47" w14:paraId="0368DC50" w14:textId="77777777">
        <w:trPr>
          <w:cantSplit/>
          <w:trHeight w:val="450"/>
        </w:trPr>
        <w:tc>
          <w:tcPr>
            <w:tcW w:w="2089" w:type="dxa"/>
            <w:tcBorders>
              <w:top w:val="single" w:sz="4" w:space="0" w:color="000000"/>
              <w:left w:val="single" w:sz="4" w:space="0" w:color="000000"/>
              <w:bottom w:val="single" w:sz="4" w:space="0" w:color="000000"/>
              <w:right w:val="single" w:sz="4" w:space="0" w:color="000000"/>
            </w:tcBorders>
            <w:vAlign w:val="center"/>
          </w:tcPr>
          <w:p w14:paraId="0D0218B6"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REGDOC-2.1.1, Système de gestion [2]</w:t>
            </w:r>
          </w:p>
        </w:tc>
        <w:tc>
          <w:tcPr>
            <w:tcW w:w="3107" w:type="dxa"/>
            <w:tcBorders>
              <w:top w:val="single" w:sz="4" w:space="0" w:color="000000"/>
              <w:left w:val="single" w:sz="4" w:space="0" w:color="000000"/>
              <w:bottom w:val="single" w:sz="4" w:space="0" w:color="000000"/>
              <w:right w:val="single" w:sz="4" w:space="0" w:color="000000"/>
            </w:tcBorders>
            <w:vAlign w:val="center"/>
          </w:tcPr>
          <w:p w14:paraId="247ABF13"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Exigences relatives au système de gestion du titulaire de permis.</w:t>
            </w:r>
          </w:p>
        </w:tc>
        <w:tc>
          <w:tcPr>
            <w:tcW w:w="3361" w:type="dxa"/>
            <w:tcBorders>
              <w:top w:val="single" w:sz="4" w:space="0" w:color="000000"/>
              <w:left w:val="single" w:sz="4" w:space="0" w:color="000000"/>
              <w:bottom w:val="single" w:sz="4" w:space="0" w:color="000000"/>
              <w:right w:val="single" w:sz="4" w:space="0" w:color="000000"/>
            </w:tcBorders>
            <w:vAlign w:val="center"/>
          </w:tcPr>
          <w:p w14:paraId="1400F2A2"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Cadre la gestion documentaire, le contrôle des versions et la traçabilité des résultats d’essai.</w:t>
            </w:r>
          </w:p>
        </w:tc>
      </w:tr>
    </w:tbl>
    <w:p w14:paraId="19F1CB8C" w14:textId="77777777" w:rsidR="00F50D70" w:rsidRPr="00B03F2E" w:rsidRDefault="00137D7F" w:rsidP="008E113B">
      <w:pPr>
        <w:pStyle w:val="Titre2"/>
        <w:spacing w:line="360" w:lineRule="auto"/>
      </w:pPr>
      <w:bookmarkStart w:id="374" w:name="__RefHeading___Toc240715204"/>
      <w:bookmarkStart w:id="375" w:name="_Toc241670169"/>
      <w:bookmarkEnd w:id="374"/>
      <w:r w:rsidRPr="00B03F2E">
        <w:lastRenderedPageBreak/>
        <w:t>Normes applicables</w:t>
      </w:r>
      <w:bookmarkEnd w:id="375"/>
    </w:p>
    <w:p w14:paraId="4F7F0FC8" w14:textId="77777777" w:rsidR="00F50D70" w:rsidRPr="00BE4F47" w:rsidRDefault="00137D7F" w:rsidP="008E113B">
      <w:pPr>
        <w:spacing w:before="200" w:after="130" w:line="360" w:lineRule="auto"/>
        <w:ind w:left="360"/>
        <w:rPr>
          <w:rFonts w:ascii="Aptos" w:hAnsi="Aptos"/>
        </w:rPr>
      </w:pPr>
      <w:bookmarkStart w:id="376" w:name="_Toc241082993"/>
      <w:bookmarkStart w:id="377" w:name="_Toc241670170"/>
      <w:r w:rsidRPr="00BE4F47">
        <w:rPr>
          <w:rFonts w:ascii="Aptos" w:hAnsi="Aptos"/>
          <w:color w:val="1A1A19"/>
          <w:sz w:val="20"/>
          <w:szCs w:val="20"/>
        </w:rPr>
        <w:t>La revue couvre les principaux aspects techniques du projet : cycle de vie du système et du logiciel, cadre du jumeau numérique, qualité, gestion des risques, vérification et validation des modèles numériques, cybersécurité, sûreté nucléaire, instrumentation et contrôle, et interface homme-machine. Dix-sept normes ont été examinées et figurent au tableau 6-3.</w:t>
      </w:r>
      <w:bookmarkEnd w:id="376"/>
      <w:bookmarkEnd w:id="377"/>
    </w:p>
    <w:p w14:paraId="0CFE4B20" w14:textId="77777777" w:rsidR="00F50D70" w:rsidRPr="00BE4F47" w:rsidRDefault="00137D7F" w:rsidP="008E113B">
      <w:pPr>
        <w:spacing w:after="130" w:line="360" w:lineRule="auto"/>
        <w:ind w:left="360"/>
        <w:rPr>
          <w:rFonts w:ascii="Aptos" w:hAnsi="Aptos" w:cs="Calibri"/>
        </w:rPr>
      </w:pPr>
      <w:bookmarkStart w:id="378" w:name="_Toc241083002"/>
      <w:bookmarkStart w:id="379" w:name="_Toc241670171"/>
      <w:r w:rsidRPr="00BE4F47">
        <w:rPr>
          <w:rFonts w:ascii="Aptos" w:hAnsi="Aptos"/>
          <w:b/>
          <w:color w:val="1A1A19"/>
          <w:sz w:val="20"/>
          <w:szCs w:val="20"/>
        </w:rPr>
        <w:t xml:space="preserve">La déclaration d’applicabilité. </w:t>
      </w:r>
      <w:r w:rsidRPr="00BE4F47">
        <w:rPr>
          <w:rFonts w:ascii="Aptos" w:hAnsi="Aptos"/>
          <w:color w:val="1A1A19"/>
          <w:sz w:val="20"/>
          <w:szCs w:val="20"/>
        </w:rPr>
        <w:t>La revue distingue les normes retenues pour application de celles consultées à titre de référence, pour ne pas revendiquer une conformité qui ne peut pas encore être démontrée.</w:t>
      </w:r>
      <w:bookmarkEnd w:id="378"/>
      <w:bookmarkEnd w:id="379"/>
    </w:p>
    <w:p w14:paraId="70CEEBC9" w14:textId="77777777" w:rsidR="00F50D70" w:rsidRPr="00BE4F47" w:rsidRDefault="00137D7F" w:rsidP="008E113B">
      <w:pPr>
        <w:spacing w:after="130" w:line="360" w:lineRule="auto"/>
        <w:ind w:left="360"/>
        <w:outlineLvl w:val="9"/>
        <w:rPr>
          <w:rFonts w:ascii="Aptos" w:hAnsi="Aptos"/>
        </w:rPr>
      </w:pPr>
      <w:r w:rsidRPr="00BE4F47">
        <w:rPr>
          <w:rFonts w:ascii="Aptos" w:hAnsi="Aptos"/>
          <w:color w:val="1A1A19"/>
          <w:sz w:val="20"/>
          <w:szCs w:val="20"/>
        </w:rPr>
        <w:t>Normes retenues pour application. Huit normes structurent les travaux : ISO/IEC/IEEE 15288, ISO/IEC/IEEE 12207, ISO 23247-1, ISO/IEC 25010, ISO 31000, ASME V&amp;V 20, IEEE 1012 et ISO 9241-210. L’équipe en retient les principes et exigences pertinents pour les traduire en critères de conception ou d’essai. Les articles précis seront confirmés lorsque le texte intégral aura pu être consulté dans une version autorisée.</w:t>
      </w:r>
    </w:p>
    <w:p w14:paraId="4D386EA3" w14:textId="77777777" w:rsidR="00F50D70" w:rsidRPr="00BE4F47" w:rsidRDefault="00137D7F" w:rsidP="008E113B">
      <w:pPr>
        <w:spacing w:after="130" w:line="360" w:lineRule="auto"/>
        <w:ind w:left="360"/>
        <w:rPr>
          <w:rFonts w:ascii="Aptos" w:hAnsi="Aptos"/>
        </w:rPr>
      </w:pPr>
      <w:bookmarkStart w:id="380" w:name="_Toc241083003"/>
      <w:bookmarkStart w:id="381" w:name="_Toc241670172"/>
      <w:r w:rsidRPr="00BE4F47">
        <w:rPr>
          <w:rFonts w:ascii="Aptos" w:hAnsi="Aptos"/>
          <w:color w:val="1A1A19"/>
          <w:sz w:val="20"/>
          <w:szCs w:val="20"/>
        </w:rPr>
        <w:t>Normes consultées. Les neuf autres s’adressent à l’exploitant d’une installation nucléaire réelle, titulaire d’un permis : CSA N290.7, IEC 62645, IEC 63096, IEC 62859, IEC 61513, IEC 60880, IEC 62138, ISO/IEC 27001 et ISO/IEC 27005. Le prototype n’entre pas dans leur domaine d’application déclaré : aucune de leurs exigences n’est reprise comme critère d’acceptation, et le rapport final n’en démontrera pas la conformité.</w:t>
      </w:r>
      <w:bookmarkEnd w:id="380"/>
      <w:bookmarkEnd w:id="381"/>
    </w:p>
    <w:p w14:paraId="5CB3933D" w14:textId="77777777" w:rsidR="00F50D70" w:rsidRDefault="00137D7F" w:rsidP="008E113B">
      <w:pPr>
        <w:spacing w:after="130" w:line="360" w:lineRule="auto"/>
        <w:ind w:left="360"/>
        <w:rPr>
          <w:rFonts w:ascii="Aptos" w:eastAsia="Calibri" w:hAnsi="Aptos" w:cs="Calibri"/>
          <w:color w:val="1A1A19"/>
          <w:sz w:val="20"/>
          <w:szCs w:val="20"/>
        </w:rPr>
      </w:pPr>
      <w:bookmarkStart w:id="382" w:name="_Toc241083004"/>
      <w:bookmarkStart w:id="383" w:name="_Toc241670173"/>
      <w:r w:rsidRPr="00BE4F47">
        <w:rPr>
          <w:rFonts w:ascii="Aptos" w:hAnsi="Aptos"/>
          <w:color w:val="1A1A19"/>
          <w:sz w:val="20"/>
          <w:szCs w:val="20"/>
        </w:rPr>
        <w:t>L’équipe en retient tout de même quatre principes, inscrits au registre des exigences comme exigences internes du projet : séparation des fonctions, intégrité des données, journalisation des événements, coordination entre sûreté et cybersécurité. Leur respect sera vérifié par la campagne d’essais du lot L9, au même titre que les autres exigences internes.</w:t>
      </w:r>
      <w:bookmarkEnd w:id="382"/>
      <w:bookmarkEnd w:id="383"/>
    </w:p>
    <w:p w14:paraId="52DECAD2" w14:textId="77777777" w:rsidR="00F50D70" w:rsidRPr="00BE4F47" w:rsidRDefault="00137D7F" w:rsidP="008E113B">
      <w:pPr>
        <w:pStyle w:val="Lgende"/>
        <w:keepNext/>
        <w:spacing w:line="360" w:lineRule="auto"/>
        <w:rPr>
          <w:rFonts w:ascii="Aptos" w:hAnsi="Aptos"/>
        </w:rPr>
      </w:pPr>
      <w:bookmarkStart w:id="384" w:name="_Toc241083006"/>
      <w:bookmarkStart w:id="385" w:name="_Toc241670174"/>
      <w:r w:rsidRPr="00BE4F47">
        <w:rPr>
          <w:rFonts w:ascii="Aptos" w:hAnsi="Aptos"/>
        </w:rPr>
        <w:t>Tableau 6-3. Normes retenues et incidence sur la conception</w:t>
      </w:r>
      <w:bookmarkEnd w:id="384"/>
      <w:bookmarkEnd w:id="385"/>
    </w:p>
    <w:tbl>
      <w:tblPr>
        <w:tblW w:w="8557" w:type="dxa"/>
        <w:tblInd w:w="413" w:type="dxa"/>
        <w:tblLayout w:type="fixed"/>
        <w:tblCellMar>
          <w:top w:w="70" w:type="dxa"/>
          <w:left w:w="100" w:type="dxa"/>
          <w:bottom w:w="70" w:type="dxa"/>
          <w:right w:w="100" w:type="dxa"/>
        </w:tblCellMar>
        <w:tblLook w:val="04A0" w:firstRow="1" w:lastRow="0" w:firstColumn="1" w:lastColumn="0" w:noHBand="0" w:noVBand="1"/>
      </w:tblPr>
      <w:tblGrid>
        <w:gridCol w:w="1287"/>
        <w:gridCol w:w="1035"/>
        <w:gridCol w:w="1819"/>
        <w:gridCol w:w="1637"/>
        <w:gridCol w:w="2779"/>
      </w:tblGrid>
      <w:tr w:rsidR="00F50D70" w:rsidRPr="00BE4F47" w14:paraId="5A6BC6F7" w14:textId="77777777" w:rsidTr="0036725C">
        <w:trPr>
          <w:trHeight w:val="578"/>
          <w:tblHeader/>
        </w:trPr>
        <w:tc>
          <w:tcPr>
            <w:tcW w:w="1287"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4817CF07"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Norme</w:t>
            </w:r>
          </w:p>
        </w:tc>
        <w:tc>
          <w:tcPr>
            <w:tcW w:w="1035"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546E193B"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Millésime</w:t>
            </w:r>
          </w:p>
        </w:tc>
        <w:tc>
          <w:tcPr>
            <w:tcW w:w="1819"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1ECAD68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Objet principal</w:t>
            </w:r>
          </w:p>
        </w:tc>
        <w:tc>
          <w:tcPr>
            <w:tcW w:w="1637"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6695010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Éléments retenus</w:t>
            </w:r>
          </w:p>
        </w:tc>
        <w:tc>
          <w:tcPr>
            <w:tcW w:w="2779" w:type="dxa"/>
            <w:tcBorders>
              <w:top w:val="single" w:sz="4" w:space="0" w:color="000000"/>
              <w:left w:val="single" w:sz="4" w:space="0" w:color="000000"/>
              <w:bottom w:val="single" w:sz="4" w:space="0" w:color="000000"/>
              <w:right w:val="single" w:sz="4" w:space="0" w:color="000000"/>
            </w:tcBorders>
            <w:shd w:val="clear" w:color="auto" w:fill="FFFFFF" w:themeFill="background2"/>
            <w:vAlign w:val="center"/>
          </w:tcPr>
          <w:p w14:paraId="7D55AA1B"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5"/>
                <w:szCs w:val="15"/>
              </w:rPr>
              <w:t>Incidence sur la conception</w:t>
            </w:r>
          </w:p>
        </w:tc>
      </w:tr>
      <w:tr w:rsidR="00F50D70" w:rsidRPr="00BE4F47" w14:paraId="1A190ABF" w14:textId="77777777">
        <w:trPr>
          <w:cantSplit/>
          <w:trHeight w:val="1359"/>
        </w:trPr>
        <w:tc>
          <w:tcPr>
            <w:tcW w:w="1287" w:type="dxa"/>
            <w:tcBorders>
              <w:top w:val="single" w:sz="4" w:space="0" w:color="000000"/>
              <w:left w:val="single" w:sz="4" w:space="0" w:color="000000"/>
              <w:bottom w:val="single" w:sz="4" w:space="0" w:color="000000"/>
              <w:right w:val="single" w:sz="4" w:space="0" w:color="000000"/>
            </w:tcBorders>
            <w:vAlign w:val="center"/>
          </w:tcPr>
          <w:p w14:paraId="73BCE6FE"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ISO/IEC/IEEE 15288 [26]</w:t>
            </w:r>
          </w:p>
        </w:tc>
        <w:tc>
          <w:tcPr>
            <w:tcW w:w="1035" w:type="dxa"/>
            <w:tcBorders>
              <w:top w:val="single" w:sz="4" w:space="0" w:color="000000"/>
              <w:left w:val="single" w:sz="4" w:space="0" w:color="000000"/>
              <w:bottom w:val="single" w:sz="4" w:space="0" w:color="000000"/>
              <w:right w:val="single" w:sz="4" w:space="0" w:color="000000"/>
            </w:tcBorders>
            <w:vAlign w:val="center"/>
          </w:tcPr>
          <w:p w14:paraId="30F68261"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2023</w:t>
            </w:r>
          </w:p>
        </w:tc>
        <w:tc>
          <w:tcPr>
            <w:tcW w:w="1819" w:type="dxa"/>
            <w:tcBorders>
              <w:top w:val="single" w:sz="4" w:space="0" w:color="000000"/>
              <w:left w:val="single" w:sz="4" w:space="0" w:color="000000"/>
              <w:bottom w:val="single" w:sz="4" w:space="0" w:color="000000"/>
              <w:right w:val="single" w:sz="4" w:space="0" w:color="000000"/>
            </w:tcBorders>
            <w:vAlign w:val="center"/>
          </w:tcPr>
          <w:p w14:paraId="7BF4907C"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Processus du cycle de vie des systèmes</w:t>
            </w:r>
          </w:p>
        </w:tc>
        <w:tc>
          <w:tcPr>
            <w:tcW w:w="1637" w:type="dxa"/>
            <w:tcBorders>
              <w:top w:val="single" w:sz="4" w:space="0" w:color="000000"/>
              <w:left w:val="single" w:sz="4" w:space="0" w:color="000000"/>
              <w:bottom w:val="single" w:sz="4" w:space="0" w:color="000000"/>
              <w:right w:val="single" w:sz="4" w:space="0" w:color="000000"/>
            </w:tcBorders>
            <w:vAlign w:val="center"/>
          </w:tcPr>
          <w:p w14:paraId="7057EFA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Besoins, architecture, intégration, V&amp;V</w:t>
            </w:r>
          </w:p>
        </w:tc>
        <w:tc>
          <w:tcPr>
            <w:tcW w:w="2779" w:type="dxa"/>
            <w:tcBorders>
              <w:top w:val="single" w:sz="4" w:space="0" w:color="000000"/>
              <w:left w:val="single" w:sz="4" w:space="0" w:color="000000"/>
              <w:bottom w:val="single" w:sz="4" w:space="0" w:color="000000"/>
              <w:right w:val="single" w:sz="4" w:space="0" w:color="000000"/>
            </w:tcBorders>
            <w:vAlign w:val="center"/>
          </w:tcPr>
          <w:p w14:paraId="78922818"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Structure la démarche d’ingénierie : analyse des besoins, architecture globale, intégration et validation du jumeau numérique.</w:t>
            </w:r>
          </w:p>
        </w:tc>
      </w:tr>
      <w:tr w:rsidR="00F50D70" w:rsidRPr="00BE4F47" w14:paraId="460B147B" w14:textId="77777777">
        <w:trPr>
          <w:cantSplit/>
          <w:trHeight w:val="1613"/>
        </w:trPr>
        <w:tc>
          <w:tcPr>
            <w:tcW w:w="1287" w:type="dxa"/>
            <w:tcBorders>
              <w:top w:val="single" w:sz="4" w:space="0" w:color="000000"/>
              <w:left w:val="single" w:sz="4" w:space="0" w:color="000000"/>
              <w:bottom w:val="single" w:sz="4" w:space="0" w:color="000000"/>
              <w:right w:val="single" w:sz="4" w:space="0" w:color="000000"/>
            </w:tcBorders>
            <w:vAlign w:val="center"/>
          </w:tcPr>
          <w:p w14:paraId="4DBDF5C3"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ISO/IEC/IEEE 12207 [3]</w:t>
            </w:r>
          </w:p>
        </w:tc>
        <w:tc>
          <w:tcPr>
            <w:tcW w:w="1035" w:type="dxa"/>
            <w:tcBorders>
              <w:top w:val="single" w:sz="4" w:space="0" w:color="000000"/>
              <w:left w:val="single" w:sz="4" w:space="0" w:color="000000"/>
              <w:bottom w:val="single" w:sz="4" w:space="0" w:color="000000"/>
              <w:right w:val="single" w:sz="4" w:space="0" w:color="000000"/>
            </w:tcBorders>
            <w:vAlign w:val="center"/>
          </w:tcPr>
          <w:p w14:paraId="0B8A126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2026</w:t>
            </w:r>
          </w:p>
        </w:tc>
        <w:tc>
          <w:tcPr>
            <w:tcW w:w="1819" w:type="dxa"/>
            <w:tcBorders>
              <w:top w:val="single" w:sz="4" w:space="0" w:color="000000"/>
              <w:left w:val="single" w:sz="4" w:space="0" w:color="000000"/>
              <w:bottom w:val="single" w:sz="4" w:space="0" w:color="000000"/>
              <w:right w:val="single" w:sz="4" w:space="0" w:color="000000"/>
            </w:tcBorders>
            <w:vAlign w:val="center"/>
          </w:tcPr>
          <w:p w14:paraId="4AF0EE1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Processus du cycle de vie du logiciel</w:t>
            </w:r>
          </w:p>
        </w:tc>
        <w:tc>
          <w:tcPr>
            <w:tcW w:w="1637" w:type="dxa"/>
            <w:tcBorders>
              <w:top w:val="single" w:sz="4" w:space="0" w:color="000000"/>
              <w:left w:val="single" w:sz="4" w:space="0" w:color="000000"/>
              <w:bottom w:val="single" w:sz="4" w:space="0" w:color="000000"/>
              <w:right w:val="single" w:sz="4" w:space="0" w:color="000000"/>
            </w:tcBorders>
            <w:vAlign w:val="center"/>
          </w:tcPr>
          <w:p w14:paraId="17EA6E5A"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Développement, intégration, essais, maintenance</w:t>
            </w:r>
          </w:p>
        </w:tc>
        <w:tc>
          <w:tcPr>
            <w:tcW w:w="2779" w:type="dxa"/>
            <w:tcBorders>
              <w:top w:val="single" w:sz="4" w:space="0" w:color="000000"/>
              <w:left w:val="single" w:sz="4" w:space="0" w:color="000000"/>
              <w:bottom w:val="single" w:sz="4" w:space="0" w:color="000000"/>
              <w:right w:val="single" w:sz="4" w:space="0" w:color="000000"/>
            </w:tcBorders>
            <w:vAlign w:val="center"/>
          </w:tcPr>
          <w:p w14:paraId="17983A8E"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Structure les activités logicielles : développement, simulation, intégration des modules et essais. Édition 2 publiée en avril 2026, remplace l’édition 2017 annulée.</w:t>
            </w:r>
          </w:p>
        </w:tc>
      </w:tr>
      <w:tr w:rsidR="00F50D70" w:rsidRPr="00BE4F47" w14:paraId="1FDA9E2D" w14:textId="77777777">
        <w:trPr>
          <w:cantSplit/>
          <w:trHeight w:val="1876"/>
        </w:trPr>
        <w:tc>
          <w:tcPr>
            <w:tcW w:w="1287" w:type="dxa"/>
            <w:tcBorders>
              <w:top w:val="single" w:sz="4" w:space="0" w:color="000000"/>
              <w:left w:val="single" w:sz="4" w:space="0" w:color="000000"/>
              <w:bottom w:val="single" w:sz="4" w:space="0" w:color="000000"/>
              <w:right w:val="single" w:sz="4" w:space="0" w:color="000000"/>
            </w:tcBorders>
            <w:vAlign w:val="center"/>
          </w:tcPr>
          <w:p w14:paraId="321D83AF"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lastRenderedPageBreak/>
              <w:t>ISO 23247-1 [27]</w:t>
            </w:r>
          </w:p>
        </w:tc>
        <w:tc>
          <w:tcPr>
            <w:tcW w:w="1035" w:type="dxa"/>
            <w:tcBorders>
              <w:top w:val="single" w:sz="4" w:space="0" w:color="000000"/>
              <w:left w:val="single" w:sz="4" w:space="0" w:color="000000"/>
              <w:bottom w:val="single" w:sz="4" w:space="0" w:color="000000"/>
              <w:right w:val="single" w:sz="4" w:space="0" w:color="000000"/>
            </w:tcBorders>
            <w:vAlign w:val="center"/>
          </w:tcPr>
          <w:p w14:paraId="3151919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2021</w:t>
            </w:r>
          </w:p>
        </w:tc>
        <w:tc>
          <w:tcPr>
            <w:tcW w:w="1819" w:type="dxa"/>
            <w:tcBorders>
              <w:top w:val="single" w:sz="4" w:space="0" w:color="000000"/>
              <w:left w:val="single" w:sz="4" w:space="0" w:color="000000"/>
              <w:bottom w:val="single" w:sz="4" w:space="0" w:color="000000"/>
              <w:right w:val="single" w:sz="4" w:space="0" w:color="000000"/>
            </w:tcBorders>
            <w:vAlign w:val="center"/>
          </w:tcPr>
          <w:p w14:paraId="214C00F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Cadre du jumeau numérique</w:t>
            </w:r>
          </w:p>
        </w:tc>
        <w:tc>
          <w:tcPr>
            <w:tcW w:w="1637" w:type="dxa"/>
            <w:tcBorders>
              <w:top w:val="single" w:sz="4" w:space="0" w:color="000000"/>
              <w:left w:val="single" w:sz="4" w:space="0" w:color="000000"/>
              <w:bottom w:val="single" w:sz="4" w:space="0" w:color="000000"/>
              <w:right w:val="single" w:sz="4" w:space="0" w:color="000000"/>
            </w:tcBorders>
            <w:vAlign w:val="center"/>
          </w:tcPr>
          <w:p w14:paraId="7BCEB24A"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Principes généraux et architecture de référence</w:t>
            </w:r>
          </w:p>
        </w:tc>
        <w:tc>
          <w:tcPr>
            <w:tcW w:w="2779" w:type="dxa"/>
            <w:tcBorders>
              <w:top w:val="single" w:sz="4" w:space="0" w:color="000000"/>
              <w:left w:val="single" w:sz="4" w:space="0" w:color="000000"/>
              <w:bottom w:val="single" w:sz="4" w:space="0" w:color="000000"/>
              <w:right w:val="single" w:sz="4" w:space="0" w:color="000000"/>
            </w:tcBorders>
            <w:vAlign w:val="center"/>
          </w:tcPr>
          <w:p w14:paraId="439AAC8E"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Sépare les composantes : boucle simulée, acquisition, modèle numérique, analyse, interface. Norme établie pour la fabrication ; employée ici par analogie, hors de son domaine d’application déclaré.</w:t>
            </w:r>
          </w:p>
        </w:tc>
      </w:tr>
      <w:tr w:rsidR="00F50D70" w:rsidRPr="00BE4F47" w14:paraId="5C85796F" w14:textId="77777777">
        <w:trPr>
          <w:cantSplit/>
          <w:trHeight w:val="1359"/>
        </w:trPr>
        <w:tc>
          <w:tcPr>
            <w:tcW w:w="1287" w:type="dxa"/>
            <w:tcBorders>
              <w:top w:val="single" w:sz="4" w:space="0" w:color="000000"/>
              <w:left w:val="single" w:sz="4" w:space="0" w:color="000000"/>
              <w:bottom w:val="single" w:sz="4" w:space="0" w:color="000000"/>
              <w:right w:val="single" w:sz="4" w:space="0" w:color="000000"/>
            </w:tcBorders>
            <w:vAlign w:val="center"/>
          </w:tcPr>
          <w:p w14:paraId="20F2EEFA"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ISO/IEC 25010 [28]</w:t>
            </w:r>
          </w:p>
        </w:tc>
        <w:tc>
          <w:tcPr>
            <w:tcW w:w="1035" w:type="dxa"/>
            <w:tcBorders>
              <w:top w:val="single" w:sz="4" w:space="0" w:color="000000"/>
              <w:left w:val="single" w:sz="4" w:space="0" w:color="000000"/>
              <w:bottom w:val="single" w:sz="4" w:space="0" w:color="000000"/>
              <w:right w:val="single" w:sz="4" w:space="0" w:color="000000"/>
            </w:tcBorders>
            <w:vAlign w:val="center"/>
          </w:tcPr>
          <w:p w14:paraId="22C6C35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2023</w:t>
            </w:r>
          </w:p>
        </w:tc>
        <w:tc>
          <w:tcPr>
            <w:tcW w:w="1819" w:type="dxa"/>
            <w:tcBorders>
              <w:top w:val="single" w:sz="4" w:space="0" w:color="000000"/>
              <w:left w:val="single" w:sz="4" w:space="0" w:color="000000"/>
              <w:bottom w:val="single" w:sz="4" w:space="0" w:color="000000"/>
              <w:right w:val="single" w:sz="4" w:space="0" w:color="000000"/>
            </w:tcBorders>
            <w:vAlign w:val="center"/>
          </w:tcPr>
          <w:p w14:paraId="3E4198C2"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Qualité des systèmes et du logiciel (SQuaRE)</w:t>
            </w:r>
          </w:p>
        </w:tc>
        <w:tc>
          <w:tcPr>
            <w:tcW w:w="1637" w:type="dxa"/>
            <w:tcBorders>
              <w:top w:val="single" w:sz="4" w:space="0" w:color="000000"/>
              <w:left w:val="single" w:sz="4" w:space="0" w:color="000000"/>
              <w:bottom w:val="single" w:sz="4" w:space="0" w:color="000000"/>
              <w:right w:val="single" w:sz="4" w:space="0" w:color="000000"/>
            </w:tcBorders>
            <w:vAlign w:val="center"/>
          </w:tcPr>
          <w:p w14:paraId="758E1960"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Fiabilité, performance, sécurité, maintenabilité, utilisabilité</w:t>
            </w:r>
          </w:p>
        </w:tc>
        <w:tc>
          <w:tcPr>
            <w:tcW w:w="2779" w:type="dxa"/>
            <w:tcBorders>
              <w:top w:val="single" w:sz="4" w:space="0" w:color="000000"/>
              <w:left w:val="single" w:sz="4" w:space="0" w:color="000000"/>
              <w:bottom w:val="single" w:sz="4" w:space="0" w:color="000000"/>
              <w:right w:val="single" w:sz="4" w:space="0" w:color="000000"/>
            </w:tcBorders>
            <w:vAlign w:val="center"/>
          </w:tcPr>
          <w:p w14:paraId="67705BFA"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Fournit les caractéristiques de qualité servant de critères d’acceptation mesurables du prototype.</w:t>
            </w:r>
          </w:p>
        </w:tc>
      </w:tr>
      <w:tr w:rsidR="00F50D70" w:rsidRPr="00BE4F47" w14:paraId="5541E4E2" w14:textId="77777777">
        <w:trPr>
          <w:cantSplit/>
          <w:trHeight w:val="1359"/>
        </w:trPr>
        <w:tc>
          <w:tcPr>
            <w:tcW w:w="1287" w:type="dxa"/>
            <w:tcBorders>
              <w:top w:val="single" w:sz="4" w:space="0" w:color="000000"/>
              <w:left w:val="single" w:sz="4" w:space="0" w:color="000000"/>
              <w:bottom w:val="single" w:sz="4" w:space="0" w:color="000000"/>
              <w:right w:val="single" w:sz="4" w:space="0" w:color="000000"/>
            </w:tcBorders>
            <w:vAlign w:val="center"/>
          </w:tcPr>
          <w:p w14:paraId="07907B9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ISO 31000 [29]</w:t>
            </w:r>
          </w:p>
        </w:tc>
        <w:tc>
          <w:tcPr>
            <w:tcW w:w="1035" w:type="dxa"/>
            <w:tcBorders>
              <w:top w:val="single" w:sz="4" w:space="0" w:color="000000"/>
              <w:left w:val="single" w:sz="4" w:space="0" w:color="000000"/>
              <w:bottom w:val="single" w:sz="4" w:space="0" w:color="000000"/>
              <w:right w:val="single" w:sz="4" w:space="0" w:color="000000"/>
            </w:tcBorders>
            <w:vAlign w:val="center"/>
          </w:tcPr>
          <w:p w14:paraId="4CE1B7F4"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2018</w:t>
            </w:r>
          </w:p>
        </w:tc>
        <w:tc>
          <w:tcPr>
            <w:tcW w:w="1819" w:type="dxa"/>
            <w:tcBorders>
              <w:top w:val="single" w:sz="4" w:space="0" w:color="000000"/>
              <w:left w:val="single" w:sz="4" w:space="0" w:color="000000"/>
              <w:bottom w:val="single" w:sz="4" w:space="0" w:color="000000"/>
              <w:right w:val="single" w:sz="4" w:space="0" w:color="000000"/>
            </w:tcBorders>
            <w:vAlign w:val="center"/>
          </w:tcPr>
          <w:p w14:paraId="0A5AE7A8"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Management du risque</w:t>
            </w:r>
          </w:p>
        </w:tc>
        <w:tc>
          <w:tcPr>
            <w:tcW w:w="1637" w:type="dxa"/>
            <w:tcBorders>
              <w:top w:val="single" w:sz="4" w:space="0" w:color="000000"/>
              <w:left w:val="single" w:sz="4" w:space="0" w:color="000000"/>
              <w:bottom w:val="single" w:sz="4" w:space="0" w:color="000000"/>
              <w:right w:val="single" w:sz="4" w:space="0" w:color="000000"/>
            </w:tcBorders>
            <w:vAlign w:val="center"/>
          </w:tcPr>
          <w:p w14:paraId="5C75CD9B"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Identification, analyse, évaluation, traitement</w:t>
            </w:r>
          </w:p>
        </w:tc>
        <w:tc>
          <w:tcPr>
            <w:tcW w:w="2779" w:type="dxa"/>
            <w:tcBorders>
              <w:top w:val="single" w:sz="4" w:space="0" w:color="000000"/>
              <w:left w:val="single" w:sz="4" w:space="0" w:color="000000"/>
              <w:bottom w:val="single" w:sz="4" w:space="0" w:color="000000"/>
              <w:right w:val="single" w:sz="4" w:space="0" w:color="000000"/>
            </w:tcBorders>
            <w:vAlign w:val="center"/>
          </w:tcPr>
          <w:p w14:paraId="2E5D8847"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Structure la démarche de gestion des risques et alimente la section 7 du plan. Norme en cours de révision ; l’édition 2018 demeure en vigueur.</w:t>
            </w:r>
          </w:p>
        </w:tc>
      </w:tr>
      <w:tr w:rsidR="00F50D70" w:rsidRPr="00BE4F47" w14:paraId="20309386" w14:textId="77777777">
        <w:trPr>
          <w:cantSplit/>
          <w:trHeight w:val="1876"/>
        </w:trPr>
        <w:tc>
          <w:tcPr>
            <w:tcW w:w="1287" w:type="dxa"/>
            <w:tcBorders>
              <w:top w:val="single" w:sz="4" w:space="0" w:color="000000"/>
              <w:left w:val="single" w:sz="4" w:space="0" w:color="000000"/>
              <w:bottom w:val="single" w:sz="4" w:space="0" w:color="000000"/>
              <w:right w:val="single" w:sz="4" w:space="0" w:color="000000"/>
            </w:tcBorders>
            <w:vAlign w:val="center"/>
          </w:tcPr>
          <w:p w14:paraId="5BF68AD1"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ASME V&amp;V 20 [30]</w:t>
            </w:r>
          </w:p>
        </w:tc>
        <w:tc>
          <w:tcPr>
            <w:tcW w:w="1035" w:type="dxa"/>
            <w:tcBorders>
              <w:top w:val="single" w:sz="4" w:space="0" w:color="000000"/>
              <w:left w:val="single" w:sz="4" w:space="0" w:color="000000"/>
              <w:bottom w:val="single" w:sz="4" w:space="0" w:color="000000"/>
              <w:right w:val="single" w:sz="4" w:space="0" w:color="000000"/>
            </w:tcBorders>
            <w:vAlign w:val="center"/>
          </w:tcPr>
          <w:p w14:paraId="1C38502A"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2009 (R2021)</w:t>
            </w:r>
          </w:p>
        </w:tc>
        <w:tc>
          <w:tcPr>
            <w:tcW w:w="1819" w:type="dxa"/>
            <w:tcBorders>
              <w:top w:val="single" w:sz="4" w:space="0" w:color="000000"/>
              <w:left w:val="single" w:sz="4" w:space="0" w:color="000000"/>
              <w:bottom w:val="single" w:sz="4" w:space="0" w:color="000000"/>
              <w:right w:val="single" w:sz="4" w:space="0" w:color="000000"/>
            </w:tcBorders>
            <w:vAlign w:val="center"/>
          </w:tcPr>
          <w:p w14:paraId="376825B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Vérification et validation en mécanique des fluides numérique et transferts thermiques</w:t>
            </w:r>
          </w:p>
        </w:tc>
        <w:tc>
          <w:tcPr>
            <w:tcW w:w="1637" w:type="dxa"/>
            <w:tcBorders>
              <w:top w:val="single" w:sz="4" w:space="0" w:color="000000"/>
              <w:left w:val="single" w:sz="4" w:space="0" w:color="000000"/>
              <w:bottom w:val="single" w:sz="4" w:space="0" w:color="000000"/>
              <w:right w:val="single" w:sz="4" w:space="0" w:color="000000"/>
            </w:tcBorders>
            <w:vAlign w:val="center"/>
          </w:tcPr>
          <w:p w14:paraId="317C8C44"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Erreur numérique, erreur de modèle, incertitude de validation</w:t>
            </w:r>
          </w:p>
        </w:tc>
        <w:tc>
          <w:tcPr>
            <w:tcW w:w="2779" w:type="dxa"/>
            <w:tcBorders>
              <w:top w:val="single" w:sz="4" w:space="0" w:color="000000"/>
              <w:left w:val="single" w:sz="4" w:space="0" w:color="000000"/>
              <w:bottom w:val="single" w:sz="4" w:space="0" w:color="000000"/>
              <w:right w:val="single" w:sz="4" w:space="0" w:color="000000"/>
            </w:tcBorders>
            <w:vAlign w:val="center"/>
          </w:tcPr>
          <w:p w14:paraId="121DE6EB"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Fournit la méthode pour établir la crédibilité du modèle thermohydraulique et pour quantifier l’incertitude comparée aux données de référence. C’est la norme qui outille la campagne d’essais.</w:t>
            </w:r>
          </w:p>
        </w:tc>
      </w:tr>
      <w:tr w:rsidR="00F50D70" w:rsidRPr="00BE4F47" w14:paraId="4EC858EE" w14:textId="77777777">
        <w:trPr>
          <w:cantSplit/>
          <w:trHeight w:val="1359"/>
        </w:trPr>
        <w:tc>
          <w:tcPr>
            <w:tcW w:w="1287" w:type="dxa"/>
            <w:tcBorders>
              <w:top w:val="single" w:sz="4" w:space="0" w:color="000000"/>
              <w:left w:val="single" w:sz="4" w:space="0" w:color="000000"/>
              <w:bottom w:val="single" w:sz="4" w:space="0" w:color="000000"/>
              <w:right w:val="single" w:sz="4" w:space="0" w:color="000000"/>
            </w:tcBorders>
            <w:vAlign w:val="center"/>
          </w:tcPr>
          <w:p w14:paraId="02984078"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IEEE 1012 [31]</w:t>
            </w:r>
          </w:p>
        </w:tc>
        <w:tc>
          <w:tcPr>
            <w:tcW w:w="1035" w:type="dxa"/>
            <w:tcBorders>
              <w:top w:val="single" w:sz="4" w:space="0" w:color="000000"/>
              <w:left w:val="single" w:sz="4" w:space="0" w:color="000000"/>
              <w:bottom w:val="single" w:sz="4" w:space="0" w:color="000000"/>
              <w:right w:val="single" w:sz="4" w:space="0" w:color="000000"/>
            </w:tcBorders>
            <w:vAlign w:val="center"/>
          </w:tcPr>
          <w:p w14:paraId="25EDE55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2024</w:t>
            </w:r>
          </w:p>
        </w:tc>
        <w:tc>
          <w:tcPr>
            <w:tcW w:w="1819" w:type="dxa"/>
            <w:tcBorders>
              <w:top w:val="single" w:sz="4" w:space="0" w:color="000000"/>
              <w:left w:val="single" w:sz="4" w:space="0" w:color="000000"/>
              <w:bottom w:val="single" w:sz="4" w:space="0" w:color="000000"/>
              <w:right w:val="single" w:sz="4" w:space="0" w:color="000000"/>
            </w:tcBorders>
            <w:vAlign w:val="center"/>
          </w:tcPr>
          <w:p w14:paraId="3283A807"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Vérification et validation des systèmes, du logiciel et du matériel</w:t>
            </w:r>
          </w:p>
        </w:tc>
        <w:tc>
          <w:tcPr>
            <w:tcW w:w="1637" w:type="dxa"/>
            <w:tcBorders>
              <w:top w:val="single" w:sz="4" w:space="0" w:color="000000"/>
              <w:left w:val="single" w:sz="4" w:space="0" w:color="000000"/>
              <w:bottom w:val="single" w:sz="4" w:space="0" w:color="000000"/>
              <w:right w:val="single" w:sz="4" w:space="0" w:color="000000"/>
            </w:tcBorders>
            <w:vAlign w:val="center"/>
          </w:tcPr>
          <w:p w14:paraId="7FD1DD38"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Plan de V&amp;V, niveaux d’intégrité, indépendance de la V&amp;V</w:t>
            </w:r>
          </w:p>
        </w:tc>
        <w:tc>
          <w:tcPr>
            <w:tcW w:w="2779" w:type="dxa"/>
            <w:tcBorders>
              <w:top w:val="single" w:sz="4" w:space="0" w:color="000000"/>
              <w:left w:val="single" w:sz="4" w:space="0" w:color="000000"/>
              <w:bottom w:val="single" w:sz="4" w:space="0" w:color="000000"/>
              <w:right w:val="single" w:sz="4" w:space="0" w:color="000000"/>
            </w:tcBorders>
            <w:vAlign w:val="center"/>
          </w:tcPr>
          <w:p w14:paraId="3120B4E4"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Définit le contenu du plan de V&amp;V et le degré d’indépendance attendu entre le développement et la vérification.</w:t>
            </w:r>
          </w:p>
        </w:tc>
      </w:tr>
      <w:tr w:rsidR="00F50D70" w:rsidRPr="00BE4F47" w14:paraId="638DE0B6" w14:textId="77777777">
        <w:trPr>
          <w:cantSplit/>
          <w:trHeight w:val="1096"/>
        </w:trPr>
        <w:tc>
          <w:tcPr>
            <w:tcW w:w="1287" w:type="dxa"/>
            <w:tcBorders>
              <w:top w:val="single" w:sz="4" w:space="0" w:color="000000"/>
              <w:left w:val="single" w:sz="4" w:space="0" w:color="000000"/>
              <w:bottom w:val="single" w:sz="4" w:space="0" w:color="000000"/>
              <w:right w:val="single" w:sz="4" w:space="0" w:color="000000"/>
            </w:tcBorders>
            <w:vAlign w:val="center"/>
          </w:tcPr>
          <w:p w14:paraId="770894F3"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ISO 9241-210 [32]</w:t>
            </w:r>
          </w:p>
        </w:tc>
        <w:tc>
          <w:tcPr>
            <w:tcW w:w="1035" w:type="dxa"/>
            <w:tcBorders>
              <w:top w:val="single" w:sz="4" w:space="0" w:color="000000"/>
              <w:left w:val="single" w:sz="4" w:space="0" w:color="000000"/>
              <w:bottom w:val="single" w:sz="4" w:space="0" w:color="000000"/>
              <w:right w:val="single" w:sz="4" w:space="0" w:color="000000"/>
            </w:tcBorders>
            <w:vAlign w:val="center"/>
          </w:tcPr>
          <w:p w14:paraId="1F471D1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2019</w:t>
            </w:r>
          </w:p>
        </w:tc>
        <w:tc>
          <w:tcPr>
            <w:tcW w:w="1819" w:type="dxa"/>
            <w:tcBorders>
              <w:top w:val="single" w:sz="4" w:space="0" w:color="000000"/>
              <w:left w:val="single" w:sz="4" w:space="0" w:color="000000"/>
              <w:bottom w:val="single" w:sz="4" w:space="0" w:color="000000"/>
              <w:right w:val="single" w:sz="4" w:space="0" w:color="000000"/>
            </w:tcBorders>
            <w:vAlign w:val="center"/>
          </w:tcPr>
          <w:p w14:paraId="06341470"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Conception centrée sur l’humain</w:t>
            </w:r>
          </w:p>
        </w:tc>
        <w:tc>
          <w:tcPr>
            <w:tcW w:w="1637" w:type="dxa"/>
            <w:tcBorders>
              <w:top w:val="single" w:sz="4" w:space="0" w:color="000000"/>
              <w:left w:val="single" w:sz="4" w:space="0" w:color="000000"/>
              <w:bottom w:val="single" w:sz="4" w:space="0" w:color="000000"/>
              <w:right w:val="single" w:sz="4" w:space="0" w:color="000000"/>
            </w:tcBorders>
            <w:vAlign w:val="center"/>
          </w:tcPr>
          <w:p w14:paraId="1700C3B0"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Principes de conception et d’évaluation de l’IHM</w:t>
            </w:r>
          </w:p>
        </w:tc>
        <w:tc>
          <w:tcPr>
            <w:tcW w:w="2779" w:type="dxa"/>
            <w:tcBorders>
              <w:top w:val="single" w:sz="4" w:space="0" w:color="000000"/>
              <w:left w:val="single" w:sz="4" w:space="0" w:color="000000"/>
              <w:bottom w:val="single" w:sz="4" w:space="0" w:color="000000"/>
              <w:right w:val="single" w:sz="4" w:space="0" w:color="000000"/>
            </w:tcBorders>
            <w:vAlign w:val="center"/>
          </w:tcPr>
          <w:p w14:paraId="135FF6DB"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Oriente l’affichage des alertes, la lisibilité des états et la présentation de l’incertitude à l’opérateur.</w:t>
            </w:r>
          </w:p>
        </w:tc>
      </w:tr>
      <w:tr w:rsidR="00F50D70" w:rsidRPr="00BE4F47" w14:paraId="5395A93A" w14:textId="77777777">
        <w:trPr>
          <w:cantSplit/>
          <w:trHeight w:val="1359"/>
        </w:trPr>
        <w:tc>
          <w:tcPr>
            <w:tcW w:w="1287" w:type="dxa"/>
            <w:tcBorders>
              <w:top w:val="single" w:sz="4" w:space="0" w:color="000000"/>
              <w:left w:val="single" w:sz="4" w:space="0" w:color="000000"/>
              <w:bottom w:val="single" w:sz="4" w:space="0" w:color="000000"/>
              <w:right w:val="single" w:sz="4" w:space="0" w:color="000000"/>
            </w:tcBorders>
            <w:vAlign w:val="center"/>
          </w:tcPr>
          <w:p w14:paraId="54F285F3"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CSA N290.7 [24]</w:t>
            </w:r>
          </w:p>
        </w:tc>
        <w:tc>
          <w:tcPr>
            <w:tcW w:w="1035" w:type="dxa"/>
            <w:tcBorders>
              <w:top w:val="single" w:sz="4" w:space="0" w:color="000000"/>
              <w:left w:val="single" w:sz="4" w:space="0" w:color="000000"/>
              <w:bottom w:val="single" w:sz="4" w:space="0" w:color="000000"/>
              <w:right w:val="single" w:sz="4" w:space="0" w:color="000000"/>
            </w:tcBorders>
            <w:vAlign w:val="center"/>
          </w:tcPr>
          <w:p w14:paraId="7709A154"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2021</w:t>
            </w:r>
          </w:p>
        </w:tc>
        <w:tc>
          <w:tcPr>
            <w:tcW w:w="1819" w:type="dxa"/>
            <w:tcBorders>
              <w:top w:val="single" w:sz="4" w:space="0" w:color="000000"/>
              <w:left w:val="single" w:sz="4" w:space="0" w:color="000000"/>
              <w:bottom w:val="single" w:sz="4" w:space="0" w:color="000000"/>
              <w:right w:val="single" w:sz="4" w:space="0" w:color="000000"/>
            </w:tcBorders>
            <w:vAlign w:val="center"/>
          </w:tcPr>
          <w:p w14:paraId="477EFC7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Cybersécurité des installations nucléaires</w:t>
            </w:r>
          </w:p>
        </w:tc>
        <w:tc>
          <w:tcPr>
            <w:tcW w:w="1637" w:type="dxa"/>
            <w:tcBorders>
              <w:top w:val="single" w:sz="4" w:space="0" w:color="000000"/>
              <w:left w:val="single" w:sz="4" w:space="0" w:color="000000"/>
              <w:bottom w:val="single" w:sz="4" w:space="0" w:color="000000"/>
              <w:right w:val="single" w:sz="4" w:space="0" w:color="000000"/>
            </w:tcBorders>
            <w:vAlign w:val="center"/>
          </w:tcPr>
          <w:p w14:paraId="6DA933AE"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Intégrité, disponibilité, contrôle d’accès, surveillance</w:t>
            </w:r>
          </w:p>
        </w:tc>
        <w:tc>
          <w:tcPr>
            <w:tcW w:w="2779" w:type="dxa"/>
            <w:tcBorders>
              <w:top w:val="single" w:sz="4" w:space="0" w:color="000000"/>
              <w:left w:val="single" w:sz="4" w:space="0" w:color="000000"/>
              <w:bottom w:val="single" w:sz="4" w:space="0" w:color="000000"/>
              <w:right w:val="single" w:sz="4" w:space="0" w:color="000000"/>
            </w:tcBorders>
            <w:vAlign w:val="center"/>
          </w:tcPr>
          <w:p w14:paraId="0F30861C"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Oriente la protection des données du jumeau, la gestion des accès et la journalisation. Rendue opposable à l’exploitant par les conditions de permis.</w:t>
            </w:r>
          </w:p>
        </w:tc>
      </w:tr>
      <w:tr w:rsidR="00F50D70" w:rsidRPr="00BE4F47" w14:paraId="51FB96F1" w14:textId="77777777">
        <w:trPr>
          <w:cantSplit/>
          <w:trHeight w:val="1359"/>
        </w:trPr>
        <w:tc>
          <w:tcPr>
            <w:tcW w:w="1287" w:type="dxa"/>
            <w:tcBorders>
              <w:top w:val="single" w:sz="4" w:space="0" w:color="000000"/>
              <w:left w:val="single" w:sz="4" w:space="0" w:color="000000"/>
              <w:bottom w:val="single" w:sz="4" w:space="0" w:color="000000"/>
              <w:right w:val="single" w:sz="4" w:space="0" w:color="000000"/>
            </w:tcBorders>
            <w:vAlign w:val="center"/>
          </w:tcPr>
          <w:p w14:paraId="2F89F3BB"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IEC 62645 [33]</w:t>
            </w:r>
          </w:p>
        </w:tc>
        <w:tc>
          <w:tcPr>
            <w:tcW w:w="1035" w:type="dxa"/>
            <w:tcBorders>
              <w:top w:val="single" w:sz="4" w:space="0" w:color="000000"/>
              <w:left w:val="single" w:sz="4" w:space="0" w:color="000000"/>
              <w:bottom w:val="single" w:sz="4" w:space="0" w:color="000000"/>
              <w:right w:val="single" w:sz="4" w:space="0" w:color="000000"/>
            </w:tcBorders>
            <w:vAlign w:val="center"/>
          </w:tcPr>
          <w:p w14:paraId="5A5828B8"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2019</w:t>
            </w:r>
          </w:p>
        </w:tc>
        <w:tc>
          <w:tcPr>
            <w:tcW w:w="1819" w:type="dxa"/>
            <w:tcBorders>
              <w:top w:val="single" w:sz="4" w:space="0" w:color="000000"/>
              <w:left w:val="single" w:sz="4" w:space="0" w:color="000000"/>
              <w:bottom w:val="single" w:sz="4" w:space="0" w:color="000000"/>
              <w:right w:val="single" w:sz="4" w:space="0" w:color="000000"/>
            </w:tcBorders>
            <w:vAlign w:val="center"/>
          </w:tcPr>
          <w:p w14:paraId="031F083E"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Cybersécurité des systèmes I&amp;C nucléaires</w:t>
            </w:r>
          </w:p>
        </w:tc>
        <w:tc>
          <w:tcPr>
            <w:tcW w:w="1637" w:type="dxa"/>
            <w:tcBorders>
              <w:top w:val="single" w:sz="4" w:space="0" w:color="000000"/>
              <w:left w:val="single" w:sz="4" w:space="0" w:color="000000"/>
              <w:bottom w:val="single" w:sz="4" w:space="0" w:color="000000"/>
              <w:right w:val="single" w:sz="4" w:space="0" w:color="000000"/>
            </w:tcBorders>
            <w:vAlign w:val="center"/>
          </w:tcPr>
          <w:p w14:paraId="588BED7E"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Prévention, détection, surveillance, réaction</w:t>
            </w:r>
          </w:p>
        </w:tc>
        <w:tc>
          <w:tcPr>
            <w:tcW w:w="2779" w:type="dxa"/>
            <w:tcBorders>
              <w:top w:val="single" w:sz="4" w:space="0" w:color="000000"/>
              <w:left w:val="single" w:sz="4" w:space="0" w:color="000000"/>
              <w:bottom w:val="single" w:sz="4" w:space="0" w:color="000000"/>
              <w:right w:val="single" w:sz="4" w:space="0" w:color="000000"/>
            </w:tcBorders>
            <w:vAlign w:val="center"/>
          </w:tcPr>
          <w:p w14:paraId="0B22D2BF"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Encadre l’acquisition de données, la détection d’informations incohérentes et le fonctionnement en mode dégradé.</w:t>
            </w:r>
          </w:p>
        </w:tc>
      </w:tr>
      <w:tr w:rsidR="00F50D70" w:rsidRPr="00BE4F47" w14:paraId="3C429DA1" w14:textId="77777777">
        <w:trPr>
          <w:cantSplit/>
          <w:trHeight w:val="841"/>
        </w:trPr>
        <w:tc>
          <w:tcPr>
            <w:tcW w:w="1287" w:type="dxa"/>
            <w:tcBorders>
              <w:top w:val="single" w:sz="4" w:space="0" w:color="000000"/>
              <w:left w:val="single" w:sz="4" w:space="0" w:color="000000"/>
              <w:bottom w:val="single" w:sz="4" w:space="0" w:color="000000"/>
              <w:right w:val="single" w:sz="4" w:space="0" w:color="000000"/>
            </w:tcBorders>
            <w:vAlign w:val="center"/>
          </w:tcPr>
          <w:p w14:paraId="3BDA862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lastRenderedPageBreak/>
              <w:t>IEC 63096 [34]</w:t>
            </w:r>
          </w:p>
        </w:tc>
        <w:tc>
          <w:tcPr>
            <w:tcW w:w="1035" w:type="dxa"/>
            <w:tcBorders>
              <w:top w:val="single" w:sz="4" w:space="0" w:color="000000"/>
              <w:left w:val="single" w:sz="4" w:space="0" w:color="000000"/>
              <w:bottom w:val="single" w:sz="4" w:space="0" w:color="000000"/>
              <w:right w:val="single" w:sz="4" w:space="0" w:color="000000"/>
            </w:tcBorders>
            <w:vAlign w:val="center"/>
          </w:tcPr>
          <w:p w14:paraId="495A3208"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2020</w:t>
            </w:r>
          </w:p>
        </w:tc>
        <w:tc>
          <w:tcPr>
            <w:tcW w:w="1819" w:type="dxa"/>
            <w:tcBorders>
              <w:top w:val="single" w:sz="4" w:space="0" w:color="000000"/>
              <w:left w:val="single" w:sz="4" w:space="0" w:color="000000"/>
              <w:bottom w:val="single" w:sz="4" w:space="0" w:color="000000"/>
              <w:right w:val="single" w:sz="4" w:space="0" w:color="000000"/>
            </w:tcBorders>
            <w:vAlign w:val="center"/>
          </w:tcPr>
          <w:p w14:paraId="243E33E6"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Contrôles de cybersécurité</w:t>
            </w:r>
          </w:p>
        </w:tc>
        <w:tc>
          <w:tcPr>
            <w:tcW w:w="1637" w:type="dxa"/>
            <w:tcBorders>
              <w:top w:val="single" w:sz="4" w:space="0" w:color="000000"/>
              <w:left w:val="single" w:sz="4" w:space="0" w:color="000000"/>
              <w:bottom w:val="single" w:sz="4" w:space="0" w:color="000000"/>
              <w:right w:val="single" w:sz="4" w:space="0" w:color="000000"/>
            </w:tcBorders>
            <w:vAlign w:val="center"/>
          </w:tcPr>
          <w:p w14:paraId="0159D3FA"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Accès, intégrité, journalisation, communications</w:t>
            </w:r>
          </w:p>
        </w:tc>
        <w:tc>
          <w:tcPr>
            <w:tcW w:w="2779" w:type="dxa"/>
            <w:tcBorders>
              <w:top w:val="single" w:sz="4" w:space="0" w:color="000000"/>
              <w:left w:val="single" w:sz="4" w:space="0" w:color="000000"/>
              <w:bottom w:val="single" w:sz="4" w:space="0" w:color="000000"/>
              <w:right w:val="single" w:sz="4" w:space="0" w:color="000000"/>
            </w:tcBorders>
            <w:vAlign w:val="center"/>
          </w:tcPr>
          <w:p w14:paraId="6E25D3FE"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Oriente le choix des mécanismes de contrôle d’accès et de protection des échanges.</w:t>
            </w:r>
          </w:p>
        </w:tc>
      </w:tr>
      <w:tr w:rsidR="00F50D70" w:rsidRPr="00BE4F47" w14:paraId="7C595D76" w14:textId="77777777">
        <w:trPr>
          <w:cantSplit/>
          <w:trHeight w:val="1359"/>
        </w:trPr>
        <w:tc>
          <w:tcPr>
            <w:tcW w:w="1287" w:type="dxa"/>
            <w:tcBorders>
              <w:top w:val="single" w:sz="4" w:space="0" w:color="000000"/>
              <w:left w:val="single" w:sz="4" w:space="0" w:color="000000"/>
              <w:bottom w:val="single" w:sz="4" w:space="0" w:color="000000"/>
              <w:right w:val="single" w:sz="4" w:space="0" w:color="000000"/>
            </w:tcBorders>
            <w:vAlign w:val="center"/>
          </w:tcPr>
          <w:p w14:paraId="62A5ED26"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IEC 62859 [35]</w:t>
            </w:r>
          </w:p>
        </w:tc>
        <w:tc>
          <w:tcPr>
            <w:tcW w:w="1035" w:type="dxa"/>
            <w:tcBorders>
              <w:top w:val="single" w:sz="4" w:space="0" w:color="000000"/>
              <w:left w:val="single" w:sz="4" w:space="0" w:color="000000"/>
              <w:bottom w:val="single" w:sz="4" w:space="0" w:color="000000"/>
              <w:right w:val="single" w:sz="4" w:space="0" w:color="000000"/>
            </w:tcBorders>
            <w:vAlign w:val="center"/>
          </w:tcPr>
          <w:p w14:paraId="1287A57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2016 + A1:2019</w:t>
            </w:r>
          </w:p>
        </w:tc>
        <w:tc>
          <w:tcPr>
            <w:tcW w:w="1819" w:type="dxa"/>
            <w:tcBorders>
              <w:top w:val="single" w:sz="4" w:space="0" w:color="000000"/>
              <w:left w:val="single" w:sz="4" w:space="0" w:color="000000"/>
              <w:bottom w:val="single" w:sz="4" w:space="0" w:color="000000"/>
              <w:right w:val="single" w:sz="4" w:space="0" w:color="000000"/>
            </w:tcBorders>
            <w:vAlign w:val="center"/>
          </w:tcPr>
          <w:p w14:paraId="78E3BE30"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Coordination entre sûreté et cybersécurité</w:t>
            </w:r>
          </w:p>
        </w:tc>
        <w:tc>
          <w:tcPr>
            <w:tcW w:w="1637" w:type="dxa"/>
            <w:tcBorders>
              <w:top w:val="single" w:sz="4" w:space="0" w:color="000000"/>
              <w:left w:val="single" w:sz="4" w:space="0" w:color="000000"/>
              <w:bottom w:val="single" w:sz="4" w:space="0" w:color="000000"/>
              <w:right w:val="single" w:sz="4" w:space="0" w:color="000000"/>
            </w:tcBorders>
            <w:vAlign w:val="center"/>
          </w:tcPr>
          <w:p w14:paraId="5404303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Interaction entre mesures de sûreté et mesures de sécurité</w:t>
            </w:r>
          </w:p>
        </w:tc>
        <w:tc>
          <w:tcPr>
            <w:tcW w:w="2779" w:type="dxa"/>
            <w:tcBorders>
              <w:top w:val="single" w:sz="4" w:space="0" w:color="000000"/>
              <w:left w:val="single" w:sz="4" w:space="0" w:color="000000"/>
              <w:bottom w:val="single" w:sz="4" w:space="0" w:color="000000"/>
              <w:right w:val="single" w:sz="4" w:space="0" w:color="000000"/>
            </w:tcBorders>
            <w:vAlign w:val="center"/>
          </w:tcPr>
          <w:p w14:paraId="3FBACD0E"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Garantit qu’une mesure de cybersécurité n’empêche pas l’opérateur de percevoir l’état réel du système.</w:t>
            </w:r>
          </w:p>
        </w:tc>
      </w:tr>
      <w:tr w:rsidR="00F50D70" w:rsidRPr="00BE4F47" w14:paraId="24155810" w14:textId="77777777">
        <w:trPr>
          <w:cantSplit/>
          <w:trHeight w:val="833"/>
        </w:trPr>
        <w:tc>
          <w:tcPr>
            <w:tcW w:w="1287" w:type="dxa"/>
            <w:tcBorders>
              <w:top w:val="single" w:sz="4" w:space="0" w:color="000000"/>
              <w:left w:val="single" w:sz="4" w:space="0" w:color="000000"/>
              <w:bottom w:val="single" w:sz="4" w:space="0" w:color="000000"/>
              <w:right w:val="single" w:sz="4" w:space="0" w:color="000000"/>
            </w:tcBorders>
            <w:vAlign w:val="center"/>
          </w:tcPr>
          <w:p w14:paraId="0B636DBC"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IEC 61513 [36]</w:t>
            </w:r>
          </w:p>
        </w:tc>
        <w:tc>
          <w:tcPr>
            <w:tcW w:w="1035" w:type="dxa"/>
            <w:tcBorders>
              <w:top w:val="single" w:sz="4" w:space="0" w:color="000000"/>
              <w:left w:val="single" w:sz="4" w:space="0" w:color="000000"/>
              <w:bottom w:val="single" w:sz="4" w:space="0" w:color="000000"/>
              <w:right w:val="single" w:sz="4" w:space="0" w:color="000000"/>
            </w:tcBorders>
            <w:vAlign w:val="center"/>
          </w:tcPr>
          <w:p w14:paraId="00756E23"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2026 (éd. 3.0)</w:t>
            </w:r>
          </w:p>
        </w:tc>
        <w:tc>
          <w:tcPr>
            <w:tcW w:w="1819" w:type="dxa"/>
            <w:tcBorders>
              <w:top w:val="single" w:sz="4" w:space="0" w:color="000000"/>
              <w:left w:val="single" w:sz="4" w:space="0" w:color="000000"/>
              <w:bottom w:val="single" w:sz="4" w:space="0" w:color="000000"/>
              <w:right w:val="single" w:sz="4" w:space="0" w:color="000000"/>
            </w:tcBorders>
            <w:vAlign w:val="center"/>
          </w:tcPr>
          <w:p w14:paraId="340EE7F8"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Systèmes I&amp;C importants pour la sûreté</w:t>
            </w:r>
          </w:p>
        </w:tc>
        <w:tc>
          <w:tcPr>
            <w:tcW w:w="1637" w:type="dxa"/>
            <w:tcBorders>
              <w:top w:val="single" w:sz="4" w:space="0" w:color="000000"/>
              <w:left w:val="single" w:sz="4" w:space="0" w:color="000000"/>
              <w:bottom w:val="single" w:sz="4" w:space="0" w:color="000000"/>
              <w:right w:val="single" w:sz="4" w:space="0" w:color="000000"/>
            </w:tcBorders>
            <w:vAlign w:val="center"/>
          </w:tcPr>
          <w:p w14:paraId="3AE5D1D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Architecture, exigences, cycle de vie</w:t>
            </w:r>
          </w:p>
        </w:tc>
        <w:tc>
          <w:tcPr>
            <w:tcW w:w="2779" w:type="dxa"/>
            <w:tcBorders>
              <w:top w:val="single" w:sz="4" w:space="0" w:color="000000"/>
              <w:left w:val="single" w:sz="4" w:space="0" w:color="000000"/>
              <w:bottom w:val="single" w:sz="4" w:space="0" w:color="000000"/>
              <w:right w:val="single" w:sz="4" w:space="0" w:color="000000"/>
            </w:tcBorders>
            <w:vAlign w:val="center"/>
          </w:tcPr>
          <w:p w14:paraId="1DB0D62E"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Référence pour l’architecture, la définition des fonctions et la validation du système simulé.</w:t>
            </w:r>
          </w:p>
        </w:tc>
      </w:tr>
      <w:tr w:rsidR="00F50D70" w:rsidRPr="00BE4F47" w14:paraId="022CA0B0" w14:textId="77777777">
        <w:trPr>
          <w:cantSplit/>
          <w:trHeight w:val="1105"/>
        </w:trPr>
        <w:tc>
          <w:tcPr>
            <w:tcW w:w="1287" w:type="dxa"/>
            <w:tcBorders>
              <w:top w:val="single" w:sz="4" w:space="0" w:color="000000"/>
              <w:left w:val="single" w:sz="4" w:space="0" w:color="000000"/>
              <w:bottom w:val="single" w:sz="4" w:space="0" w:color="000000"/>
              <w:right w:val="single" w:sz="4" w:space="0" w:color="000000"/>
            </w:tcBorders>
            <w:vAlign w:val="center"/>
          </w:tcPr>
          <w:p w14:paraId="61E01DE0"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IEC 60880 [37]</w:t>
            </w:r>
          </w:p>
        </w:tc>
        <w:tc>
          <w:tcPr>
            <w:tcW w:w="1035" w:type="dxa"/>
            <w:tcBorders>
              <w:top w:val="single" w:sz="4" w:space="0" w:color="000000"/>
              <w:left w:val="single" w:sz="4" w:space="0" w:color="000000"/>
              <w:bottom w:val="single" w:sz="4" w:space="0" w:color="000000"/>
              <w:right w:val="single" w:sz="4" w:space="0" w:color="000000"/>
            </w:tcBorders>
            <w:vAlign w:val="center"/>
          </w:tcPr>
          <w:p w14:paraId="6DE6FFD3"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2006</w:t>
            </w:r>
          </w:p>
        </w:tc>
        <w:tc>
          <w:tcPr>
            <w:tcW w:w="1819" w:type="dxa"/>
            <w:tcBorders>
              <w:top w:val="single" w:sz="4" w:space="0" w:color="000000"/>
              <w:left w:val="single" w:sz="4" w:space="0" w:color="000000"/>
              <w:bottom w:val="single" w:sz="4" w:space="0" w:color="000000"/>
              <w:right w:val="single" w:sz="4" w:space="0" w:color="000000"/>
            </w:tcBorders>
            <w:vAlign w:val="center"/>
          </w:tcPr>
          <w:p w14:paraId="51F13F9B"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Logiciels des fonctions de catégorie A</w:t>
            </w:r>
          </w:p>
        </w:tc>
        <w:tc>
          <w:tcPr>
            <w:tcW w:w="1637" w:type="dxa"/>
            <w:tcBorders>
              <w:top w:val="single" w:sz="4" w:space="0" w:color="000000"/>
              <w:left w:val="single" w:sz="4" w:space="0" w:color="000000"/>
              <w:bottom w:val="single" w:sz="4" w:space="0" w:color="000000"/>
              <w:right w:val="single" w:sz="4" w:space="0" w:color="000000"/>
            </w:tcBorders>
            <w:vAlign w:val="center"/>
          </w:tcPr>
          <w:p w14:paraId="2F220430"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Développement, vérification, validation</w:t>
            </w:r>
          </w:p>
        </w:tc>
        <w:tc>
          <w:tcPr>
            <w:tcW w:w="2779" w:type="dxa"/>
            <w:tcBorders>
              <w:top w:val="single" w:sz="4" w:space="0" w:color="000000"/>
              <w:left w:val="single" w:sz="4" w:space="0" w:color="000000"/>
              <w:bottom w:val="single" w:sz="4" w:space="0" w:color="000000"/>
              <w:right w:val="single" w:sz="4" w:space="0" w:color="000000"/>
            </w:tcBorders>
            <w:vAlign w:val="center"/>
          </w:tcPr>
          <w:p w14:paraId="470767F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Référence de rigueur pour la vérification, la validation et la traçabilité des fonctions logicielles.</w:t>
            </w:r>
          </w:p>
        </w:tc>
      </w:tr>
      <w:tr w:rsidR="00F50D70" w:rsidRPr="00BE4F47" w14:paraId="4B09B0A9" w14:textId="77777777">
        <w:trPr>
          <w:cantSplit/>
          <w:trHeight w:val="833"/>
        </w:trPr>
        <w:tc>
          <w:tcPr>
            <w:tcW w:w="1287" w:type="dxa"/>
            <w:tcBorders>
              <w:top w:val="single" w:sz="4" w:space="0" w:color="000000"/>
              <w:left w:val="single" w:sz="4" w:space="0" w:color="000000"/>
              <w:bottom w:val="single" w:sz="4" w:space="0" w:color="000000"/>
              <w:right w:val="single" w:sz="4" w:space="0" w:color="000000"/>
            </w:tcBorders>
            <w:vAlign w:val="center"/>
          </w:tcPr>
          <w:p w14:paraId="051D42A1"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IEC 62138 [38]</w:t>
            </w:r>
          </w:p>
        </w:tc>
        <w:tc>
          <w:tcPr>
            <w:tcW w:w="1035" w:type="dxa"/>
            <w:tcBorders>
              <w:top w:val="single" w:sz="4" w:space="0" w:color="000000"/>
              <w:left w:val="single" w:sz="4" w:space="0" w:color="000000"/>
              <w:bottom w:val="single" w:sz="4" w:space="0" w:color="000000"/>
              <w:right w:val="single" w:sz="4" w:space="0" w:color="000000"/>
            </w:tcBorders>
            <w:vAlign w:val="center"/>
          </w:tcPr>
          <w:p w14:paraId="4E91C0EE"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2018</w:t>
            </w:r>
          </w:p>
        </w:tc>
        <w:tc>
          <w:tcPr>
            <w:tcW w:w="1819" w:type="dxa"/>
            <w:tcBorders>
              <w:top w:val="single" w:sz="4" w:space="0" w:color="000000"/>
              <w:left w:val="single" w:sz="4" w:space="0" w:color="000000"/>
              <w:bottom w:val="single" w:sz="4" w:space="0" w:color="000000"/>
              <w:right w:val="single" w:sz="4" w:space="0" w:color="000000"/>
            </w:tcBorders>
            <w:vAlign w:val="center"/>
          </w:tcPr>
          <w:p w14:paraId="48A33BE6"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Logiciels des fonctions de catégorie B ou C</w:t>
            </w:r>
          </w:p>
        </w:tc>
        <w:tc>
          <w:tcPr>
            <w:tcW w:w="1637" w:type="dxa"/>
            <w:tcBorders>
              <w:top w:val="single" w:sz="4" w:space="0" w:color="000000"/>
              <w:left w:val="single" w:sz="4" w:space="0" w:color="000000"/>
              <w:bottom w:val="single" w:sz="4" w:space="0" w:color="000000"/>
              <w:right w:val="single" w:sz="4" w:space="0" w:color="000000"/>
            </w:tcBorders>
            <w:vAlign w:val="center"/>
          </w:tcPr>
          <w:p w14:paraId="393DC21E"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Développement, essais, documentation</w:t>
            </w:r>
          </w:p>
        </w:tc>
        <w:tc>
          <w:tcPr>
            <w:tcW w:w="2779" w:type="dxa"/>
            <w:tcBorders>
              <w:top w:val="single" w:sz="4" w:space="0" w:color="000000"/>
              <w:left w:val="single" w:sz="4" w:space="0" w:color="000000"/>
              <w:bottom w:val="single" w:sz="4" w:space="0" w:color="000000"/>
              <w:right w:val="single" w:sz="4" w:space="0" w:color="000000"/>
            </w:tcBorders>
            <w:vAlign w:val="center"/>
          </w:tcPr>
          <w:p w14:paraId="114CD164"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Encadre les essais, la documentation et la validation des modules logiciels.</w:t>
            </w:r>
          </w:p>
        </w:tc>
      </w:tr>
      <w:tr w:rsidR="00F50D70" w:rsidRPr="00BE4F47" w14:paraId="56ABA15E" w14:textId="77777777">
        <w:trPr>
          <w:cantSplit/>
          <w:trHeight w:val="1105"/>
        </w:trPr>
        <w:tc>
          <w:tcPr>
            <w:tcW w:w="1287" w:type="dxa"/>
            <w:tcBorders>
              <w:top w:val="single" w:sz="4" w:space="0" w:color="000000"/>
              <w:left w:val="single" w:sz="4" w:space="0" w:color="000000"/>
              <w:bottom w:val="single" w:sz="4" w:space="0" w:color="000000"/>
              <w:right w:val="single" w:sz="4" w:space="0" w:color="000000"/>
            </w:tcBorders>
            <w:vAlign w:val="center"/>
          </w:tcPr>
          <w:p w14:paraId="4DCB1A3C"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ISO/IEC 27001 [39]</w:t>
            </w:r>
          </w:p>
        </w:tc>
        <w:tc>
          <w:tcPr>
            <w:tcW w:w="1035" w:type="dxa"/>
            <w:tcBorders>
              <w:top w:val="single" w:sz="4" w:space="0" w:color="000000"/>
              <w:left w:val="single" w:sz="4" w:space="0" w:color="000000"/>
              <w:bottom w:val="single" w:sz="4" w:space="0" w:color="000000"/>
              <w:right w:val="single" w:sz="4" w:space="0" w:color="000000"/>
            </w:tcBorders>
            <w:vAlign w:val="center"/>
          </w:tcPr>
          <w:p w14:paraId="03BA5DA5"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2022</w:t>
            </w:r>
          </w:p>
        </w:tc>
        <w:tc>
          <w:tcPr>
            <w:tcW w:w="1819" w:type="dxa"/>
            <w:tcBorders>
              <w:top w:val="single" w:sz="4" w:space="0" w:color="000000"/>
              <w:left w:val="single" w:sz="4" w:space="0" w:color="000000"/>
              <w:bottom w:val="single" w:sz="4" w:space="0" w:color="000000"/>
              <w:right w:val="single" w:sz="4" w:space="0" w:color="000000"/>
            </w:tcBorders>
            <w:vAlign w:val="center"/>
          </w:tcPr>
          <w:p w14:paraId="1FA7415C"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Management de la sécurité de l’information</w:t>
            </w:r>
          </w:p>
        </w:tc>
        <w:tc>
          <w:tcPr>
            <w:tcW w:w="1637" w:type="dxa"/>
            <w:tcBorders>
              <w:top w:val="single" w:sz="4" w:space="0" w:color="000000"/>
              <w:left w:val="single" w:sz="4" w:space="0" w:color="000000"/>
              <w:bottom w:val="single" w:sz="4" w:space="0" w:color="000000"/>
              <w:right w:val="single" w:sz="4" w:space="0" w:color="000000"/>
            </w:tcBorders>
            <w:vAlign w:val="center"/>
          </w:tcPr>
          <w:p w14:paraId="6E8325A9"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Accès, intégrité, disponibilité</w:t>
            </w:r>
          </w:p>
        </w:tc>
        <w:tc>
          <w:tcPr>
            <w:tcW w:w="2779" w:type="dxa"/>
            <w:tcBorders>
              <w:top w:val="single" w:sz="4" w:space="0" w:color="000000"/>
              <w:left w:val="single" w:sz="4" w:space="0" w:color="000000"/>
              <w:bottom w:val="single" w:sz="4" w:space="0" w:color="000000"/>
              <w:right w:val="single" w:sz="4" w:space="0" w:color="000000"/>
            </w:tcBorders>
            <w:vAlign w:val="center"/>
          </w:tcPr>
          <w:p w14:paraId="3848A9EC"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Prise en compte de la disponibilité des données, de leur intégrité et de la gestion des accès au prototype.</w:t>
            </w:r>
          </w:p>
        </w:tc>
      </w:tr>
      <w:tr w:rsidR="00F50D70" w:rsidRPr="00BE4F47" w14:paraId="535BCC7C" w14:textId="77777777">
        <w:trPr>
          <w:cantSplit/>
          <w:trHeight w:val="1096"/>
        </w:trPr>
        <w:tc>
          <w:tcPr>
            <w:tcW w:w="1287" w:type="dxa"/>
            <w:tcBorders>
              <w:top w:val="single" w:sz="4" w:space="0" w:color="000000"/>
              <w:left w:val="single" w:sz="4" w:space="0" w:color="000000"/>
              <w:bottom w:val="single" w:sz="4" w:space="0" w:color="000000"/>
              <w:right w:val="single" w:sz="4" w:space="0" w:color="000000"/>
            </w:tcBorders>
            <w:vAlign w:val="center"/>
          </w:tcPr>
          <w:p w14:paraId="115A7CCD"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b/>
                <w:bCs/>
                <w:color w:val="1A1A19"/>
                <w:sz w:val="16"/>
                <w:szCs w:val="16"/>
              </w:rPr>
              <w:t>ISO/IEC 27005 [40]</w:t>
            </w:r>
          </w:p>
        </w:tc>
        <w:tc>
          <w:tcPr>
            <w:tcW w:w="1035" w:type="dxa"/>
            <w:tcBorders>
              <w:top w:val="single" w:sz="4" w:space="0" w:color="000000"/>
              <w:left w:val="single" w:sz="4" w:space="0" w:color="000000"/>
              <w:bottom w:val="single" w:sz="4" w:space="0" w:color="000000"/>
              <w:right w:val="single" w:sz="4" w:space="0" w:color="000000"/>
            </w:tcBorders>
            <w:vAlign w:val="center"/>
          </w:tcPr>
          <w:p w14:paraId="57727C4B"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2022</w:t>
            </w:r>
          </w:p>
        </w:tc>
        <w:tc>
          <w:tcPr>
            <w:tcW w:w="1819" w:type="dxa"/>
            <w:tcBorders>
              <w:top w:val="single" w:sz="4" w:space="0" w:color="000000"/>
              <w:left w:val="single" w:sz="4" w:space="0" w:color="000000"/>
              <w:bottom w:val="single" w:sz="4" w:space="0" w:color="000000"/>
              <w:right w:val="single" w:sz="4" w:space="0" w:color="000000"/>
            </w:tcBorders>
            <w:vAlign w:val="center"/>
          </w:tcPr>
          <w:p w14:paraId="5E172F72"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Gestion des risques de sécurité de l’information</w:t>
            </w:r>
          </w:p>
        </w:tc>
        <w:tc>
          <w:tcPr>
            <w:tcW w:w="1637" w:type="dxa"/>
            <w:tcBorders>
              <w:top w:val="single" w:sz="4" w:space="0" w:color="000000"/>
              <w:left w:val="single" w:sz="4" w:space="0" w:color="000000"/>
              <w:bottom w:val="single" w:sz="4" w:space="0" w:color="000000"/>
              <w:right w:val="single" w:sz="4" w:space="0" w:color="000000"/>
            </w:tcBorders>
            <w:vAlign w:val="center"/>
          </w:tcPr>
          <w:p w14:paraId="3A841F53" w14:textId="77777777" w:rsidR="00F50D70" w:rsidRPr="00BE4F47" w:rsidRDefault="00137D7F" w:rsidP="008E113B">
            <w:pPr>
              <w:spacing w:before="20" w:after="20"/>
              <w:ind w:left="0"/>
              <w:outlineLvl w:val="9"/>
              <w:rPr>
                <w:rFonts w:ascii="Aptos" w:eastAsia="Calibri" w:hAnsi="Aptos" w:cs="Calibri"/>
                <w:color w:val="1A1A19"/>
              </w:rPr>
            </w:pPr>
            <w:r w:rsidRPr="00BE4F47">
              <w:rPr>
                <w:rFonts w:ascii="Aptos" w:eastAsia="Calibri" w:hAnsi="Aptos" w:cs="Calibri"/>
                <w:color w:val="1A1A19"/>
                <w:sz w:val="16"/>
                <w:szCs w:val="16"/>
              </w:rPr>
              <w:t>Identification, analyse et traitement des risques</w:t>
            </w:r>
          </w:p>
        </w:tc>
        <w:tc>
          <w:tcPr>
            <w:tcW w:w="2779" w:type="dxa"/>
            <w:tcBorders>
              <w:top w:val="single" w:sz="4" w:space="0" w:color="000000"/>
              <w:left w:val="single" w:sz="4" w:space="0" w:color="000000"/>
              <w:bottom w:val="single" w:sz="4" w:space="0" w:color="000000"/>
              <w:right w:val="single" w:sz="4" w:space="0" w:color="000000"/>
            </w:tcBorders>
            <w:vAlign w:val="center"/>
          </w:tcPr>
          <w:p w14:paraId="79B2971A" w14:textId="77777777" w:rsidR="00F50D70" w:rsidRPr="00BE4F47" w:rsidRDefault="00137D7F" w:rsidP="008E113B">
            <w:pPr>
              <w:spacing w:before="20" w:after="20"/>
              <w:ind w:left="0"/>
              <w:outlineLvl w:val="9"/>
              <w:rPr>
                <w:rFonts w:ascii="Aptos" w:hAnsi="Aptos"/>
              </w:rPr>
            </w:pPr>
            <w:r w:rsidRPr="00BE4F47">
              <w:rPr>
                <w:rFonts w:ascii="Aptos" w:eastAsia="Calibri" w:hAnsi="Aptos" w:cs="Calibri"/>
                <w:color w:val="1A1A19"/>
                <w:sz w:val="16"/>
                <w:szCs w:val="16"/>
              </w:rPr>
              <w:t>Structure l’analyse des risques liés aux données, aux communications et aux fonctions numériques.</w:t>
            </w:r>
          </w:p>
        </w:tc>
      </w:tr>
    </w:tbl>
    <w:p w14:paraId="0F6B97CF" w14:textId="77777777" w:rsidR="00F50D70" w:rsidRPr="00B03F2E" w:rsidRDefault="00137D7F" w:rsidP="008E113B">
      <w:pPr>
        <w:pStyle w:val="Titre2"/>
        <w:spacing w:line="360" w:lineRule="auto"/>
      </w:pPr>
      <w:bookmarkStart w:id="386" w:name="_Toc241670175"/>
      <w:r w:rsidRPr="00B03F2E">
        <w:t>Esprit des normes et dépassement</w:t>
      </w:r>
      <w:bookmarkEnd w:id="386"/>
    </w:p>
    <w:p w14:paraId="2DAB98C6" w14:textId="77777777" w:rsidR="00F50D70" w:rsidRPr="00BE4F47" w:rsidRDefault="00137D7F" w:rsidP="008E113B">
      <w:pPr>
        <w:spacing w:before="200" w:after="130" w:line="360" w:lineRule="auto"/>
        <w:ind w:left="360"/>
        <w:rPr>
          <w:rFonts w:ascii="Aptos" w:hAnsi="Aptos"/>
        </w:rPr>
      </w:pPr>
      <w:bookmarkStart w:id="387" w:name="_Toc241083008"/>
      <w:bookmarkStart w:id="388" w:name="_Toc241670176"/>
      <w:r w:rsidRPr="00BE4F47">
        <w:rPr>
          <w:rFonts w:ascii="Aptos" w:hAnsi="Aptos"/>
          <w:color w:val="1A1A19"/>
          <w:sz w:val="20"/>
          <w:szCs w:val="20"/>
        </w:rPr>
        <w:t>Le guide de pratique professionnelle de l’Ordre des ingénieurs du Québec [41] demande trois choses en plus du respect des normes : comprendre la valeur qu’elles visent, les dépasser quand cette valeur l’exige, et se conduire par jugement quand aucune norme ne couvre la situation.</w:t>
      </w:r>
      <w:bookmarkEnd w:id="387"/>
      <w:bookmarkEnd w:id="388"/>
    </w:p>
    <w:p w14:paraId="2B109CBA" w14:textId="77777777" w:rsidR="00F50D70" w:rsidRPr="00BE4F47" w:rsidRDefault="00137D7F" w:rsidP="008E113B">
      <w:pPr>
        <w:spacing w:after="130" w:line="360" w:lineRule="auto"/>
        <w:ind w:left="360"/>
        <w:rPr>
          <w:rFonts w:ascii="Aptos" w:hAnsi="Aptos"/>
        </w:rPr>
      </w:pPr>
      <w:bookmarkStart w:id="389" w:name="_Toc241083009"/>
      <w:bookmarkStart w:id="390" w:name="_Toc241670177"/>
      <w:r w:rsidRPr="00BE4F47">
        <w:rPr>
          <w:rFonts w:ascii="Aptos" w:hAnsi="Aptos"/>
          <w:b/>
          <w:color w:val="1A1A19"/>
          <w:sz w:val="20"/>
          <w:szCs w:val="20"/>
        </w:rPr>
        <w:t xml:space="preserve">L’esprit des normes retenues. </w:t>
      </w:r>
      <w:r w:rsidRPr="00BE4F47">
        <w:rPr>
          <w:rFonts w:ascii="Aptos" w:hAnsi="Aptos"/>
          <w:color w:val="1A1A19"/>
          <w:sz w:val="20"/>
          <w:szCs w:val="20"/>
        </w:rPr>
        <w:t>Les normes de sûreté et de cybersécurité du tableau précédent visent toutes la même chose : qu’un système ne laisse jamais croire que tout va bien quand on ne sait pas. Le projet traduit cette valeur en une exigence fonctionnelle, EX-F-06, qui impose un état « incertain » explicite. Cette exigence ne vient pas d’un article de norme précis. Elle vient de ce que les normes cherchent à protéger.</w:t>
      </w:r>
      <w:bookmarkEnd w:id="389"/>
      <w:bookmarkEnd w:id="390"/>
    </w:p>
    <w:p w14:paraId="37595946" w14:textId="77777777" w:rsidR="00F50D70" w:rsidRPr="00BE4F47" w:rsidRDefault="00137D7F" w:rsidP="008E113B">
      <w:pPr>
        <w:pStyle w:val="Lgende"/>
        <w:keepNext/>
        <w:spacing w:line="360" w:lineRule="auto"/>
        <w:rPr>
          <w:rFonts w:ascii="Aptos" w:hAnsi="Aptos"/>
        </w:rPr>
      </w:pPr>
      <w:bookmarkStart w:id="391" w:name="_Toc241083010"/>
      <w:bookmarkStart w:id="392" w:name="_Toc241670178"/>
      <w:r w:rsidRPr="00BE4F47">
        <w:rPr>
          <w:rFonts w:ascii="Aptos" w:hAnsi="Aptos"/>
        </w:rPr>
        <w:lastRenderedPageBreak/>
        <w:t>Tableau 6-4. Ce que le projet fait au-delà de ce que les normes imposent</w:t>
      </w:r>
      <w:bookmarkEnd w:id="391"/>
      <w:bookmarkEnd w:id="392"/>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2000"/>
        <w:gridCol w:w="2600"/>
        <w:gridCol w:w="3957"/>
      </w:tblGrid>
      <w:tr w:rsidR="00F50D70" w:rsidRPr="00BE4F47" w14:paraId="4FF7EE83" w14:textId="77777777" w:rsidTr="0036725C">
        <w:trPr>
          <w:trHeight w:val="227"/>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79C293C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Norme retenue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8ABAF0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Ce qu’elle impose</w:t>
            </w:r>
          </w:p>
        </w:tc>
        <w:tc>
          <w:tcPr>
            <w:tcW w:w="395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2D667DE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Ce que le projet fait au-delà</w:t>
            </w:r>
          </w:p>
        </w:tc>
      </w:tr>
      <w:tr w:rsidR="00F50D70" w:rsidRPr="00BE4F47" w14:paraId="00F1FB1F" w14:textId="77777777">
        <w:trPr>
          <w:cantSplit/>
          <w:trHeight w:val="415"/>
        </w:trPr>
        <w:tc>
          <w:tcPr>
            <w:tcW w:w="2000" w:type="dxa"/>
            <w:tcBorders>
              <w:top w:val="single" w:sz="4" w:space="0" w:color="000000"/>
              <w:left w:val="single" w:sz="4" w:space="0" w:color="000000"/>
              <w:bottom w:val="single" w:sz="4" w:space="0" w:color="000000"/>
              <w:right w:val="single" w:sz="4" w:space="0" w:color="000000"/>
            </w:tcBorders>
          </w:tcPr>
          <w:p w14:paraId="7586064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IEEE 1012 sur la vérification et la validation</w:t>
            </w:r>
          </w:p>
        </w:tc>
        <w:tc>
          <w:tcPr>
            <w:tcW w:w="2600" w:type="dxa"/>
            <w:tcBorders>
              <w:top w:val="single" w:sz="4" w:space="0" w:color="000000"/>
              <w:left w:val="single" w:sz="4" w:space="0" w:color="000000"/>
              <w:bottom w:val="single" w:sz="4" w:space="0" w:color="000000"/>
              <w:right w:val="single" w:sz="4" w:space="0" w:color="000000"/>
            </w:tcBorders>
          </w:tcPr>
          <w:p w14:paraId="31AAF6A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Un plan de V&amp;V dont le contenu est fixé.</w:t>
            </w:r>
          </w:p>
        </w:tc>
        <w:tc>
          <w:tcPr>
            <w:tcW w:w="3957" w:type="dxa"/>
            <w:tcBorders>
              <w:top w:val="single" w:sz="4" w:space="0" w:color="000000"/>
              <w:left w:val="single" w:sz="4" w:space="0" w:color="000000"/>
              <w:bottom w:val="single" w:sz="4" w:space="0" w:color="000000"/>
              <w:right w:val="single" w:sz="4" w:space="0" w:color="000000"/>
            </w:tcBorders>
          </w:tcPr>
          <w:p w14:paraId="06C64FD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Chaque essai est rattaché à la version exacte du modèle et du jeu de données qui l’a produit, de sorte qu’un tiers puisse le rejouer. La norme n’exige pas cette reproductibilité intégrale.</w:t>
            </w:r>
          </w:p>
        </w:tc>
      </w:tr>
      <w:tr w:rsidR="00F50D70" w:rsidRPr="00BE4F47" w14:paraId="2D2B8244" w14:textId="77777777">
        <w:trPr>
          <w:cantSplit/>
          <w:trHeight w:val="415"/>
        </w:trPr>
        <w:tc>
          <w:tcPr>
            <w:tcW w:w="2000" w:type="dxa"/>
            <w:tcBorders>
              <w:top w:val="single" w:sz="4" w:space="0" w:color="000000"/>
              <w:left w:val="single" w:sz="4" w:space="0" w:color="000000"/>
              <w:bottom w:val="single" w:sz="4" w:space="0" w:color="000000"/>
              <w:right w:val="single" w:sz="4" w:space="0" w:color="000000"/>
            </w:tcBorders>
          </w:tcPr>
          <w:p w14:paraId="5E3B8C1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ISO 9241-210 sur la conception centrée sur l’humain</w:t>
            </w:r>
          </w:p>
        </w:tc>
        <w:tc>
          <w:tcPr>
            <w:tcW w:w="2600" w:type="dxa"/>
            <w:tcBorders>
              <w:top w:val="single" w:sz="4" w:space="0" w:color="000000"/>
              <w:left w:val="single" w:sz="4" w:space="0" w:color="000000"/>
              <w:bottom w:val="single" w:sz="4" w:space="0" w:color="000000"/>
              <w:right w:val="single" w:sz="4" w:space="0" w:color="000000"/>
            </w:tcBorders>
          </w:tcPr>
          <w:p w14:paraId="2D79E7D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Associer l’utilisateur à la conception de l’interface.</w:t>
            </w:r>
          </w:p>
        </w:tc>
        <w:tc>
          <w:tcPr>
            <w:tcW w:w="3957" w:type="dxa"/>
            <w:tcBorders>
              <w:top w:val="single" w:sz="4" w:space="0" w:color="000000"/>
              <w:left w:val="single" w:sz="4" w:space="0" w:color="000000"/>
              <w:bottom w:val="single" w:sz="4" w:space="0" w:color="000000"/>
              <w:right w:val="single" w:sz="4" w:space="0" w:color="000000"/>
            </w:tcBorders>
          </w:tcPr>
          <w:p w14:paraId="38BFB26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L’interface affiche les variables qui ont contribué au diagnostic, et pas seulement le verdict. La norme demande l’utilisabilité, le projet vise l’explicabilité.</w:t>
            </w:r>
          </w:p>
        </w:tc>
      </w:tr>
      <w:tr w:rsidR="00F50D70" w:rsidRPr="00BE4F47" w14:paraId="5DE3AD14" w14:textId="77777777">
        <w:trPr>
          <w:cantSplit/>
          <w:trHeight w:val="415"/>
        </w:trPr>
        <w:tc>
          <w:tcPr>
            <w:tcW w:w="2000" w:type="dxa"/>
            <w:tcBorders>
              <w:top w:val="single" w:sz="4" w:space="0" w:color="000000"/>
              <w:left w:val="single" w:sz="4" w:space="0" w:color="000000"/>
              <w:bottom w:val="single" w:sz="4" w:space="0" w:color="000000"/>
              <w:right w:val="single" w:sz="4" w:space="0" w:color="000000"/>
            </w:tcBorders>
          </w:tcPr>
          <w:p w14:paraId="79313FA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ISO/IEC 27001 et les normes de cybersécurité nucléaire</w:t>
            </w:r>
          </w:p>
        </w:tc>
        <w:tc>
          <w:tcPr>
            <w:tcW w:w="2600" w:type="dxa"/>
            <w:tcBorders>
              <w:top w:val="single" w:sz="4" w:space="0" w:color="000000"/>
              <w:left w:val="single" w:sz="4" w:space="0" w:color="000000"/>
              <w:bottom w:val="single" w:sz="4" w:space="0" w:color="000000"/>
              <w:right w:val="single" w:sz="4" w:space="0" w:color="000000"/>
            </w:tcBorders>
          </w:tcPr>
          <w:p w14:paraId="7164829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Protéger la confidentialité, l’intégrité et la disponibilité.</w:t>
            </w:r>
          </w:p>
        </w:tc>
        <w:tc>
          <w:tcPr>
            <w:tcW w:w="3957" w:type="dxa"/>
            <w:tcBorders>
              <w:top w:val="single" w:sz="4" w:space="0" w:color="000000"/>
              <w:left w:val="single" w:sz="4" w:space="0" w:color="000000"/>
              <w:bottom w:val="single" w:sz="4" w:space="0" w:color="000000"/>
              <w:right w:val="single" w:sz="4" w:space="0" w:color="000000"/>
            </w:tcBorders>
          </w:tcPr>
          <w:p w14:paraId="37F21A3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projet traite la donnée falsifiée comme un mode de défaillance à détecter, et non seulement comme une menace à repousser. Une donnée altérée doit produire un état « incertain », pas un état « normal ».</w:t>
            </w:r>
          </w:p>
        </w:tc>
      </w:tr>
      <w:tr w:rsidR="00F50D70" w:rsidRPr="00BE4F47" w14:paraId="47ADFB16" w14:textId="77777777">
        <w:trPr>
          <w:cantSplit/>
          <w:trHeight w:val="415"/>
        </w:trPr>
        <w:tc>
          <w:tcPr>
            <w:tcW w:w="2000" w:type="dxa"/>
            <w:tcBorders>
              <w:top w:val="single" w:sz="4" w:space="0" w:color="000000"/>
              <w:left w:val="single" w:sz="4" w:space="0" w:color="000000"/>
              <w:bottom w:val="single" w:sz="4" w:space="0" w:color="000000"/>
              <w:right w:val="single" w:sz="4" w:space="0" w:color="000000"/>
            </w:tcBorders>
          </w:tcPr>
          <w:p w14:paraId="0273CBF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ASME V&amp;V 20 sur la validation en thermohydraulique</w:t>
            </w:r>
          </w:p>
        </w:tc>
        <w:tc>
          <w:tcPr>
            <w:tcW w:w="2600" w:type="dxa"/>
            <w:tcBorders>
              <w:top w:val="single" w:sz="4" w:space="0" w:color="000000"/>
              <w:left w:val="single" w:sz="4" w:space="0" w:color="000000"/>
              <w:bottom w:val="single" w:sz="4" w:space="0" w:color="000000"/>
              <w:right w:val="single" w:sz="4" w:space="0" w:color="000000"/>
            </w:tcBorders>
          </w:tcPr>
          <w:p w14:paraId="2F643AD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Décomposer l’écart entre modèle et référence.</w:t>
            </w:r>
          </w:p>
        </w:tc>
        <w:tc>
          <w:tcPr>
            <w:tcW w:w="3957" w:type="dxa"/>
            <w:tcBorders>
              <w:top w:val="single" w:sz="4" w:space="0" w:color="000000"/>
              <w:left w:val="single" w:sz="4" w:space="0" w:color="000000"/>
              <w:bottom w:val="single" w:sz="4" w:space="0" w:color="000000"/>
              <w:right w:val="single" w:sz="4" w:space="0" w:color="000000"/>
            </w:tcBorders>
          </w:tcPr>
          <w:p w14:paraId="3333075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projet publie l’écart et son domaine de validité dans le livrable remis au client, et non seulement dans ses notes internes.</w:t>
            </w:r>
          </w:p>
        </w:tc>
      </w:tr>
    </w:tbl>
    <w:p w14:paraId="78864A57" w14:textId="77777777" w:rsidR="00F50D70" w:rsidRPr="00BE4F47" w:rsidRDefault="00137D7F" w:rsidP="008E113B">
      <w:pPr>
        <w:spacing w:before="200" w:after="130" w:line="360" w:lineRule="auto"/>
        <w:ind w:left="360"/>
        <w:rPr>
          <w:rFonts w:ascii="Aptos" w:hAnsi="Aptos"/>
        </w:rPr>
      </w:pPr>
      <w:bookmarkStart w:id="393" w:name="_Toc241083011"/>
      <w:bookmarkStart w:id="394" w:name="_Toc241670179"/>
      <w:r w:rsidRPr="00BE4F47">
        <w:rPr>
          <w:rFonts w:ascii="Aptos" w:hAnsi="Aptos"/>
          <w:b/>
          <w:color w:val="1A1A19"/>
          <w:sz w:val="20"/>
          <w:szCs w:val="20"/>
        </w:rPr>
        <w:t xml:space="preserve">Là où aucune norme ne tranche. </w:t>
      </w:r>
      <w:r w:rsidRPr="00BE4F47">
        <w:rPr>
          <w:rFonts w:ascii="Aptos" w:hAnsi="Aptos"/>
          <w:color w:val="1A1A19"/>
          <w:sz w:val="20"/>
          <w:szCs w:val="20"/>
        </w:rPr>
        <w:t>Deux situations du projet ne sont couvertes par aucun des textes retenus. Aucune norme ne fixe le niveau de confiance en dessous duquel un outil d’aide à la décision doit se taire plutôt que de proposer une conclusion. Aucune n’indique non plus comment présenter une incertitude à un opérateur pressé sans qu’il la lise comme un défaut de l’outil.</w:t>
      </w:r>
      <w:bookmarkEnd w:id="393"/>
      <w:bookmarkEnd w:id="394"/>
    </w:p>
    <w:p w14:paraId="52DED328" w14:textId="6ED4381F" w:rsidR="00F50D70" w:rsidRPr="00BE4F47" w:rsidRDefault="00137D7F" w:rsidP="008E113B">
      <w:pPr>
        <w:spacing w:after="130" w:line="360" w:lineRule="auto"/>
        <w:ind w:left="360"/>
        <w:rPr>
          <w:rFonts w:ascii="Aptos" w:hAnsi="Aptos"/>
        </w:rPr>
      </w:pPr>
      <w:bookmarkStart w:id="395" w:name="_Toc241083012"/>
      <w:bookmarkStart w:id="396" w:name="_Toc241670180"/>
      <w:r w:rsidRPr="00BE4F47">
        <w:rPr>
          <w:rFonts w:ascii="Aptos" w:hAnsi="Aptos"/>
          <w:color w:val="1A1A19"/>
          <w:sz w:val="20"/>
          <w:szCs w:val="20"/>
        </w:rPr>
        <w:t xml:space="preserve">Dans ces deux cas, l’équipe retient la même règle : en l’absence de norme, le système annonce son incertitude plutôt que de produire un résultat, et la décision reste humaine. Cette règle découle de l’obligation d’informer </w:t>
      </w:r>
      <w:r w:rsidR="007E5FC7" w:rsidRPr="00BE4F47">
        <w:rPr>
          <w:rFonts w:ascii="Aptos" w:hAnsi="Aptos"/>
          <w:color w:val="1A1A19"/>
          <w:sz w:val="20"/>
          <w:szCs w:val="20"/>
        </w:rPr>
        <w:t>le client inscrit</w:t>
      </w:r>
      <w:r w:rsidRPr="00BE4F47">
        <w:rPr>
          <w:rFonts w:ascii="Aptos" w:hAnsi="Aptos"/>
          <w:color w:val="1A1A19"/>
          <w:sz w:val="20"/>
          <w:szCs w:val="20"/>
        </w:rPr>
        <w:t xml:space="preserve"> au Code de déontologie des ingénieurs [42], et elle est inscrite dans les exigences EX-F-06, EX-F-08 et EX-C-01.</w:t>
      </w:r>
      <w:bookmarkEnd w:id="395"/>
      <w:bookmarkEnd w:id="396"/>
    </w:p>
    <w:p w14:paraId="49578092" w14:textId="77777777" w:rsidR="00F50D70" w:rsidRPr="00BE4F47" w:rsidRDefault="00137D7F" w:rsidP="008E113B">
      <w:pPr>
        <w:spacing w:after="130" w:line="360" w:lineRule="auto"/>
        <w:ind w:left="360"/>
        <w:rPr>
          <w:rFonts w:ascii="Aptos" w:hAnsi="Aptos"/>
        </w:rPr>
      </w:pPr>
      <w:bookmarkStart w:id="397" w:name="_Toc241083013"/>
      <w:bookmarkStart w:id="398" w:name="_Toc241670181"/>
      <w:r w:rsidRPr="00BE4F47">
        <w:rPr>
          <w:rFonts w:ascii="Aptos" w:hAnsi="Aptos"/>
          <w:color w:val="1A1A19"/>
          <w:sz w:val="20"/>
          <w:szCs w:val="20"/>
        </w:rPr>
        <w:t>Un point reste ouvert. Un prototype universitaire portant sur un contexte nucléaire peut être lu hors de son cadre. C’est pourquoi le domaine de validité de la section 2 et les limites d’emploi du rapport final comptent comme un livrable à part entière.</w:t>
      </w:r>
      <w:bookmarkEnd w:id="397"/>
      <w:bookmarkEnd w:id="398"/>
    </w:p>
    <w:p w14:paraId="3CEC2F1D" w14:textId="77777777" w:rsidR="00F50D70" w:rsidRPr="00B03F2E" w:rsidRDefault="00137D7F" w:rsidP="008E113B">
      <w:pPr>
        <w:pStyle w:val="Titre2"/>
        <w:spacing w:line="360" w:lineRule="auto"/>
      </w:pPr>
      <w:bookmarkStart w:id="399" w:name="__RefHeading___Toc240715219"/>
      <w:bookmarkStart w:id="400" w:name="_Toc241670182"/>
      <w:bookmarkEnd w:id="399"/>
      <w:r w:rsidRPr="00B03F2E">
        <w:t>Incidence sur la conception</w:t>
      </w:r>
      <w:bookmarkEnd w:id="400"/>
    </w:p>
    <w:p w14:paraId="4476F3B3" w14:textId="77777777" w:rsidR="00F50D70" w:rsidRPr="00BE4F47" w:rsidRDefault="00137D7F" w:rsidP="008E113B">
      <w:pPr>
        <w:spacing w:after="130" w:line="360" w:lineRule="auto"/>
        <w:ind w:left="360"/>
        <w:outlineLvl w:val="9"/>
        <w:rPr>
          <w:rFonts w:ascii="Aptos" w:hAnsi="Aptos" w:cs="Calibri"/>
        </w:rPr>
      </w:pPr>
      <w:r w:rsidRPr="00BE4F47">
        <w:rPr>
          <w:rFonts w:ascii="Aptos" w:hAnsi="Aptos"/>
          <w:color w:val="1A1A19"/>
          <w:sz w:val="20"/>
          <w:szCs w:val="20"/>
        </w:rPr>
        <w:t>Les textes retenus se traduiront en contraintes techniques et en critères de validation vérifiables.</w:t>
      </w:r>
    </w:p>
    <w:p w14:paraId="3CDCD275" w14:textId="77777777" w:rsidR="00F50D70" w:rsidRPr="00BE4F47" w:rsidRDefault="00137D7F" w:rsidP="008E113B">
      <w:pPr>
        <w:spacing w:after="130" w:line="360" w:lineRule="auto"/>
        <w:ind w:left="360"/>
        <w:outlineLvl w:val="9"/>
        <w:rPr>
          <w:rFonts w:ascii="Aptos" w:hAnsi="Aptos"/>
        </w:rPr>
      </w:pPr>
      <w:r w:rsidRPr="00BE4F47">
        <w:rPr>
          <w:rFonts w:ascii="Aptos" w:hAnsi="Aptos"/>
          <w:b/>
          <w:color w:val="1A1A19"/>
          <w:sz w:val="20"/>
          <w:szCs w:val="20"/>
        </w:rPr>
        <w:t xml:space="preserve">La modélisation. </w:t>
      </w:r>
      <w:r w:rsidRPr="00BE4F47">
        <w:rPr>
          <w:rFonts w:ascii="Aptos" w:hAnsi="Aptos"/>
          <w:color w:val="1A1A19"/>
          <w:sz w:val="20"/>
          <w:szCs w:val="20"/>
        </w:rPr>
        <w:t>Les dispositions de la Loi sur les ingénieurs relatives aux modèles et aux calculs [19] s’appliquent à la boucle thermohydraulique simulée. Les variables de température, de pression et de débit devront reposer sur un modèle cohérent, documenté et vérifiable. Les hypothèses du modèle devront être énoncées, pour distinguer la simulation universitaire d’un modèle représentant réellement Gentilly-2.</w:t>
      </w:r>
    </w:p>
    <w:p w14:paraId="305F63F0" w14:textId="77777777" w:rsidR="00F50D70" w:rsidRPr="00BE4F47" w:rsidRDefault="00137D7F" w:rsidP="008E113B">
      <w:pPr>
        <w:spacing w:after="130" w:line="360" w:lineRule="auto"/>
        <w:ind w:left="360"/>
        <w:outlineLvl w:val="9"/>
        <w:rPr>
          <w:rFonts w:ascii="Aptos" w:hAnsi="Aptos"/>
        </w:rPr>
      </w:pPr>
      <w:r w:rsidRPr="00BE4F47">
        <w:rPr>
          <w:rFonts w:ascii="Aptos" w:hAnsi="Aptos"/>
          <w:b/>
          <w:color w:val="1A1A19"/>
          <w:sz w:val="20"/>
          <w:szCs w:val="20"/>
        </w:rPr>
        <w:t xml:space="preserve">La crédibilité du modèle. </w:t>
      </w:r>
      <w:r w:rsidRPr="00BE4F47">
        <w:rPr>
          <w:rFonts w:ascii="Aptos" w:hAnsi="Aptos"/>
          <w:color w:val="1A1A19"/>
          <w:sz w:val="20"/>
          <w:szCs w:val="20"/>
        </w:rPr>
        <w:t>La vérification montre que le programme est correct. La validation montre que le modèle représente le système physique. Les deux sont nécessaires. ASME V&amp;V 20 [30] décompose l’écart entre le modèle et la référence en erreur numérique, erreur de modélisation et incertitude des données de référence, puis donne la méthode pour les combiner en une incertitude de validation. C’est cette incertitude qui servira à interpréter un écart, et elle déterminera le contenu de la campagne d’essais.</w:t>
      </w:r>
    </w:p>
    <w:p w14:paraId="45CBD80C" w14:textId="77777777" w:rsidR="00F50D70" w:rsidRPr="00BE4F47" w:rsidRDefault="00137D7F" w:rsidP="008E113B">
      <w:pPr>
        <w:spacing w:after="130" w:line="360" w:lineRule="auto"/>
        <w:ind w:left="360"/>
        <w:outlineLvl w:val="9"/>
        <w:rPr>
          <w:rFonts w:ascii="Aptos" w:hAnsi="Aptos" w:cs="Calibri"/>
        </w:rPr>
      </w:pPr>
      <w:r w:rsidRPr="00BE4F47">
        <w:rPr>
          <w:rFonts w:ascii="Aptos" w:hAnsi="Aptos"/>
          <w:color w:val="1A1A19"/>
          <w:sz w:val="20"/>
          <w:szCs w:val="20"/>
        </w:rPr>
        <w:lastRenderedPageBreak/>
        <w:t>La norme IEEE 1012 [31] fixe le contenu du plan de vérification et de validation, ainsi que le degré d’indépendance exigé entre la personne qui développe une fonction et celle qui la vérifie.</w:t>
      </w:r>
    </w:p>
    <w:p w14:paraId="525FEC34" w14:textId="77777777" w:rsidR="00F50D70" w:rsidRPr="00BE4F47" w:rsidRDefault="00137D7F" w:rsidP="008E113B">
      <w:pPr>
        <w:spacing w:after="130" w:line="360" w:lineRule="auto"/>
        <w:ind w:left="360"/>
        <w:outlineLvl w:val="9"/>
        <w:rPr>
          <w:rFonts w:ascii="Aptos" w:hAnsi="Aptos"/>
        </w:rPr>
      </w:pPr>
      <w:r w:rsidRPr="00BE4F47">
        <w:rPr>
          <w:rFonts w:ascii="Aptos" w:hAnsi="Aptos"/>
          <w:b/>
          <w:color w:val="1A1A19"/>
          <w:sz w:val="20"/>
          <w:szCs w:val="20"/>
        </w:rPr>
        <w:t xml:space="preserve">L’architecture. </w:t>
      </w:r>
      <w:r w:rsidRPr="00BE4F47">
        <w:rPr>
          <w:rFonts w:ascii="Aptos" w:hAnsi="Aptos"/>
          <w:color w:val="1A1A19"/>
          <w:sz w:val="20"/>
          <w:szCs w:val="20"/>
        </w:rPr>
        <w:t>Les normes relatives au cycle de vie des systèmes [26], au cycle de vie du logiciel [3] et au cadre du jumeau numérique [27] conduiront à séparer les fonctions du prototype : boucle simulée, acquisition des données, jumeau numérique, analyse, interface d’aide à la décision. Cette séparation facilitera le développement, les essais et la validation de chaque fonction indépendamment.</w:t>
      </w:r>
    </w:p>
    <w:p w14:paraId="0EC1B511" w14:textId="77777777" w:rsidR="00F50D70" w:rsidRPr="00B03F2E" w:rsidRDefault="00137D7F" w:rsidP="008E113B">
      <w:pPr>
        <w:spacing w:after="130" w:line="360" w:lineRule="auto"/>
        <w:ind w:left="360"/>
        <w:rPr>
          <w:rFonts w:ascii="Aptos" w:eastAsia="Calibri" w:hAnsi="Aptos" w:cs="Calibri"/>
          <w:color w:val="1A1A19"/>
          <w:sz w:val="20"/>
          <w:szCs w:val="20"/>
        </w:rPr>
      </w:pPr>
      <w:bookmarkStart w:id="401" w:name="_Toc241083015"/>
      <w:bookmarkStart w:id="402" w:name="_Toc241670183"/>
      <w:r w:rsidRPr="00BE4F47">
        <w:rPr>
          <w:rFonts w:ascii="Aptos" w:hAnsi="Aptos"/>
          <w:b/>
          <w:color w:val="1A1A19"/>
          <w:sz w:val="20"/>
          <w:szCs w:val="20"/>
        </w:rPr>
        <w:t xml:space="preserve">La cybersécurité. </w:t>
      </w:r>
      <w:r w:rsidRPr="00BE4F47">
        <w:rPr>
          <w:rFonts w:ascii="Aptos" w:hAnsi="Aptos"/>
          <w:color w:val="1A1A19"/>
          <w:sz w:val="20"/>
          <w:szCs w:val="20"/>
        </w:rPr>
        <w:t>Les normes de cybersécurité [24], [33], [34], [39] conduiront à intégrer plusieurs principes dans la conception :</w:t>
      </w:r>
      <w:bookmarkEnd w:id="401"/>
      <w:bookmarkEnd w:id="402"/>
    </w:p>
    <w:p w14:paraId="384C0440"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03" w:name="_Toc241083016"/>
      <w:bookmarkStart w:id="404" w:name="_Toc241670184"/>
      <w:r w:rsidRPr="00BE4F47">
        <w:rPr>
          <w:rFonts w:ascii="Aptos" w:hAnsi="Aptos"/>
          <w:color w:val="1A1A19"/>
          <w:sz w:val="20"/>
          <w:szCs w:val="20"/>
        </w:rPr>
        <w:t>protection de l’intégrité des données.</w:t>
      </w:r>
      <w:bookmarkEnd w:id="403"/>
      <w:bookmarkEnd w:id="404"/>
    </w:p>
    <w:p w14:paraId="710CFDBF"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05" w:name="_Toc241083017"/>
      <w:bookmarkStart w:id="406" w:name="_Toc241670185"/>
      <w:r w:rsidRPr="00BE4F47">
        <w:rPr>
          <w:rFonts w:ascii="Aptos" w:hAnsi="Aptos"/>
          <w:color w:val="1A1A19"/>
          <w:sz w:val="20"/>
          <w:szCs w:val="20"/>
        </w:rPr>
        <w:t>contrôle des accès.</w:t>
      </w:r>
      <w:bookmarkEnd w:id="405"/>
      <w:bookmarkEnd w:id="406"/>
    </w:p>
    <w:p w14:paraId="12C935C0"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07" w:name="_Toc241083018"/>
      <w:bookmarkStart w:id="408" w:name="_Toc241670186"/>
      <w:r w:rsidRPr="00BE4F47">
        <w:rPr>
          <w:rFonts w:ascii="Aptos" w:hAnsi="Aptos"/>
          <w:color w:val="1A1A19"/>
          <w:sz w:val="20"/>
          <w:szCs w:val="20"/>
        </w:rPr>
        <w:t>journalisation des événements.</w:t>
      </w:r>
      <w:bookmarkEnd w:id="407"/>
      <w:bookmarkEnd w:id="408"/>
    </w:p>
    <w:p w14:paraId="4C1FC098"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09" w:name="_Toc241083019"/>
      <w:bookmarkStart w:id="410" w:name="_Toc241670187"/>
      <w:r w:rsidRPr="00BE4F47">
        <w:rPr>
          <w:rFonts w:ascii="Aptos" w:hAnsi="Aptos"/>
          <w:color w:val="1A1A19"/>
          <w:sz w:val="20"/>
          <w:szCs w:val="20"/>
        </w:rPr>
        <w:t>surveillance des communications.</w:t>
      </w:r>
      <w:bookmarkEnd w:id="409"/>
      <w:bookmarkEnd w:id="410"/>
    </w:p>
    <w:p w14:paraId="792C69BF"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11" w:name="_Toc241083020"/>
      <w:bookmarkStart w:id="412" w:name="_Toc241670188"/>
      <w:r w:rsidRPr="00BE4F47">
        <w:rPr>
          <w:rFonts w:ascii="Aptos" w:hAnsi="Aptos"/>
          <w:color w:val="1A1A19"/>
          <w:sz w:val="20"/>
          <w:szCs w:val="20"/>
        </w:rPr>
        <w:t>identification des données incohérentes.</w:t>
      </w:r>
      <w:bookmarkEnd w:id="411"/>
      <w:bookmarkEnd w:id="412"/>
    </w:p>
    <w:p w14:paraId="37E1BF1F"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13" w:name="_Toc241083021"/>
      <w:bookmarkStart w:id="414" w:name="_Toc241670189"/>
      <w:r w:rsidRPr="00BE4F47">
        <w:rPr>
          <w:rFonts w:ascii="Aptos" w:hAnsi="Aptos"/>
          <w:color w:val="1A1A19"/>
          <w:sz w:val="20"/>
          <w:szCs w:val="20"/>
        </w:rPr>
        <w:t>détection d’une perte de communication.</w:t>
      </w:r>
      <w:bookmarkEnd w:id="413"/>
      <w:bookmarkEnd w:id="414"/>
    </w:p>
    <w:p w14:paraId="6A6DD01E"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15" w:name="_Toc241083022"/>
      <w:bookmarkStart w:id="416" w:name="_Toc241670190"/>
      <w:r w:rsidRPr="00BE4F47">
        <w:rPr>
          <w:rFonts w:ascii="Aptos" w:hAnsi="Aptos"/>
          <w:color w:val="1A1A19"/>
          <w:sz w:val="20"/>
          <w:szCs w:val="20"/>
        </w:rPr>
        <w:t>fonctionnement contrôlé lorsque certaines informations deviennent indisponibles.</w:t>
      </w:r>
      <w:bookmarkEnd w:id="415"/>
      <w:bookmarkEnd w:id="416"/>
    </w:p>
    <w:p w14:paraId="1A6F77BC" w14:textId="77777777" w:rsidR="00F50D70" w:rsidRPr="00BE4F47" w:rsidRDefault="00137D7F" w:rsidP="008E113B">
      <w:pPr>
        <w:spacing w:after="130" w:line="360" w:lineRule="auto"/>
        <w:ind w:left="360"/>
        <w:rPr>
          <w:rFonts w:ascii="Aptos" w:hAnsi="Aptos"/>
        </w:rPr>
      </w:pPr>
      <w:bookmarkStart w:id="417" w:name="_Toc241083023"/>
      <w:bookmarkStart w:id="418" w:name="_Toc241670191"/>
      <w:r w:rsidRPr="00BE4F47">
        <w:rPr>
          <w:rFonts w:ascii="Aptos" w:hAnsi="Aptos"/>
          <w:color w:val="1A1A19"/>
          <w:sz w:val="20"/>
          <w:szCs w:val="20"/>
        </w:rPr>
        <w:t>Le prototype devra signaler une information incertaine ou indisponible au lieu de la présenter comme fiable (EX-F-06). La norme IEC 62859 [35] ajoute une contrainte que les autres n’imposent pas : une mesure de cybersécurité ne doit jamais empêcher l’opérateur de percevoir l’état réel du système. Une coupure de flux décidée pour des motifs de sécurité doit donc être signalée, et non silencieuse.</w:t>
      </w:r>
      <w:bookmarkEnd w:id="417"/>
      <w:bookmarkEnd w:id="418"/>
    </w:p>
    <w:p w14:paraId="4378735E" w14:textId="77777777" w:rsidR="00F50D70" w:rsidRPr="00B03F2E" w:rsidRDefault="00137D7F" w:rsidP="008E113B">
      <w:pPr>
        <w:spacing w:after="130" w:line="360" w:lineRule="auto"/>
        <w:ind w:left="360"/>
        <w:rPr>
          <w:rFonts w:ascii="Aptos" w:eastAsia="Calibri" w:hAnsi="Aptos" w:cs="Calibri"/>
          <w:color w:val="1A1A19"/>
          <w:sz w:val="20"/>
          <w:szCs w:val="20"/>
        </w:rPr>
      </w:pPr>
      <w:bookmarkStart w:id="419" w:name="_Toc241083024"/>
      <w:bookmarkStart w:id="420" w:name="_Toc241670192"/>
      <w:r w:rsidRPr="00BE4F47">
        <w:rPr>
          <w:rFonts w:ascii="Aptos" w:hAnsi="Aptos"/>
          <w:b/>
          <w:color w:val="1A1A19"/>
          <w:sz w:val="20"/>
          <w:szCs w:val="20"/>
        </w:rPr>
        <w:t xml:space="preserve">L’interface. </w:t>
      </w:r>
      <w:r w:rsidRPr="00BE4F47">
        <w:rPr>
          <w:rFonts w:ascii="Aptos" w:hAnsi="Aptos"/>
          <w:color w:val="1A1A19"/>
          <w:sz w:val="20"/>
          <w:szCs w:val="20"/>
        </w:rPr>
        <w:t>Le jumeau numérique reste un outil d’aide à la décision. Selon les principes de conception centrée sur l’humain [32], l’interface devra présenter clairement :</w:t>
      </w:r>
      <w:bookmarkEnd w:id="419"/>
      <w:bookmarkEnd w:id="420"/>
    </w:p>
    <w:p w14:paraId="7EEEA587"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21" w:name="_Toc241083025"/>
      <w:bookmarkStart w:id="422" w:name="_Toc241670193"/>
      <w:r w:rsidRPr="00BE4F47">
        <w:rPr>
          <w:rFonts w:ascii="Aptos" w:hAnsi="Aptos"/>
          <w:color w:val="1A1A19"/>
          <w:sz w:val="20"/>
          <w:szCs w:val="20"/>
        </w:rPr>
        <w:t>l’état de la boucle simulée.</w:t>
      </w:r>
      <w:bookmarkEnd w:id="421"/>
      <w:bookmarkEnd w:id="422"/>
    </w:p>
    <w:p w14:paraId="245117B8"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23" w:name="_Toc241083026"/>
      <w:bookmarkStart w:id="424" w:name="_Toc241670194"/>
      <w:r w:rsidRPr="00BE4F47">
        <w:rPr>
          <w:rFonts w:ascii="Aptos" w:hAnsi="Aptos"/>
          <w:color w:val="1A1A19"/>
          <w:sz w:val="20"/>
          <w:szCs w:val="20"/>
        </w:rPr>
        <w:t>les valeurs importantes.</w:t>
      </w:r>
      <w:bookmarkEnd w:id="423"/>
      <w:bookmarkEnd w:id="424"/>
    </w:p>
    <w:p w14:paraId="5607A211"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25" w:name="_Toc241083027"/>
      <w:bookmarkStart w:id="426" w:name="_Toc241670195"/>
      <w:r w:rsidRPr="00BE4F47">
        <w:rPr>
          <w:rFonts w:ascii="Aptos" w:hAnsi="Aptos"/>
          <w:color w:val="1A1A19"/>
          <w:sz w:val="20"/>
          <w:szCs w:val="20"/>
        </w:rPr>
        <w:t>les anomalies détectées.</w:t>
      </w:r>
      <w:bookmarkEnd w:id="425"/>
      <w:bookmarkEnd w:id="426"/>
    </w:p>
    <w:p w14:paraId="7DE1572A"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27" w:name="_Toc241083028"/>
      <w:bookmarkStart w:id="428" w:name="_Toc241670196"/>
      <w:r w:rsidRPr="00BE4F47">
        <w:rPr>
          <w:rFonts w:ascii="Aptos" w:hAnsi="Aptos"/>
          <w:color w:val="1A1A19"/>
          <w:sz w:val="20"/>
          <w:szCs w:val="20"/>
        </w:rPr>
        <w:t>les alertes.</w:t>
      </w:r>
      <w:bookmarkEnd w:id="427"/>
      <w:bookmarkEnd w:id="428"/>
    </w:p>
    <w:p w14:paraId="48D9E32A"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29" w:name="_Toc241083029"/>
      <w:bookmarkStart w:id="430" w:name="_Toc241670197"/>
      <w:r w:rsidRPr="00BE4F47">
        <w:rPr>
          <w:rFonts w:ascii="Aptos" w:hAnsi="Aptos"/>
          <w:color w:val="1A1A19"/>
          <w:sz w:val="20"/>
          <w:szCs w:val="20"/>
        </w:rPr>
        <w:t>les informations manquantes.</w:t>
      </w:r>
      <w:bookmarkEnd w:id="429"/>
      <w:bookmarkEnd w:id="430"/>
    </w:p>
    <w:p w14:paraId="69EC944D"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31" w:name="_Toc241083030"/>
      <w:bookmarkStart w:id="432" w:name="_Toc241670198"/>
      <w:r w:rsidRPr="00BE4F47">
        <w:rPr>
          <w:rFonts w:ascii="Aptos" w:hAnsi="Aptos"/>
          <w:color w:val="1A1A19"/>
          <w:sz w:val="20"/>
          <w:szCs w:val="20"/>
        </w:rPr>
        <w:t>le niveau d’incertitude lorsqu’il est pertinent.</w:t>
      </w:r>
      <w:bookmarkEnd w:id="431"/>
      <w:bookmarkEnd w:id="432"/>
    </w:p>
    <w:p w14:paraId="34024A34" w14:textId="77777777" w:rsidR="00F50D70" w:rsidRPr="00B03F2E" w:rsidRDefault="00137D7F" w:rsidP="008E113B">
      <w:pPr>
        <w:spacing w:after="130" w:line="360" w:lineRule="auto"/>
        <w:ind w:left="360"/>
        <w:rPr>
          <w:rFonts w:ascii="Aptos" w:eastAsia="Calibri" w:hAnsi="Aptos" w:cs="Calibri"/>
          <w:color w:val="1A1A19"/>
          <w:sz w:val="20"/>
          <w:szCs w:val="20"/>
        </w:rPr>
      </w:pPr>
      <w:bookmarkStart w:id="433" w:name="_Toc241083031"/>
      <w:bookmarkStart w:id="434" w:name="_Toc241670199"/>
      <w:r w:rsidRPr="00BE4F47">
        <w:rPr>
          <w:rFonts w:ascii="Aptos" w:hAnsi="Aptos"/>
          <w:color w:val="1A1A19"/>
          <w:sz w:val="20"/>
          <w:szCs w:val="20"/>
        </w:rPr>
        <w:t>La décision finale reste celle de l’opérateur (EX-F-08) et le prototype ne commandera aucune installation.</w:t>
      </w:r>
      <w:bookmarkEnd w:id="433"/>
      <w:bookmarkEnd w:id="434"/>
    </w:p>
    <w:p w14:paraId="03964FBD" w14:textId="77777777" w:rsidR="00F50D70" w:rsidRPr="00B03F2E" w:rsidRDefault="00137D7F" w:rsidP="008E113B">
      <w:pPr>
        <w:spacing w:after="130" w:line="360" w:lineRule="auto"/>
        <w:ind w:left="360"/>
        <w:rPr>
          <w:rFonts w:ascii="Aptos" w:eastAsia="Calibri" w:hAnsi="Aptos" w:cs="Calibri"/>
          <w:color w:val="1A1A19"/>
          <w:sz w:val="20"/>
          <w:szCs w:val="20"/>
        </w:rPr>
      </w:pPr>
      <w:bookmarkStart w:id="435" w:name="_Toc241083032"/>
      <w:bookmarkStart w:id="436" w:name="_Toc241670200"/>
      <w:r w:rsidRPr="00BE4F47">
        <w:rPr>
          <w:rFonts w:ascii="Aptos" w:hAnsi="Aptos"/>
          <w:b/>
          <w:color w:val="1A1A19"/>
          <w:sz w:val="20"/>
          <w:szCs w:val="20"/>
        </w:rPr>
        <w:lastRenderedPageBreak/>
        <w:t xml:space="preserve">La vérification et la validation. </w:t>
      </w:r>
      <w:r w:rsidRPr="00BE4F47">
        <w:rPr>
          <w:rFonts w:ascii="Aptos" w:hAnsi="Aptos"/>
          <w:color w:val="1A1A19"/>
          <w:sz w:val="20"/>
          <w:szCs w:val="20"/>
        </w:rPr>
        <w:t>Les exigences liées à la qualité logicielle [28], à la sûreté [36], [37], [38], à la gestion des risques [29] et à la validation des modèles [30], [31] conduiront à prévoir une campagne d’essais structurée :</w:t>
      </w:r>
      <w:bookmarkEnd w:id="435"/>
      <w:bookmarkEnd w:id="436"/>
    </w:p>
    <w:p w14:paraId="387DA5E1"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37" w:name="_Toc241083033"/>
      <w:bookmarkStart w:id="438" w:name="_Toc241670201"/>
      <w:r w:rsidRPr="00BE4F47">
        <w:rPr>
          <w:rFonts w:ascii="Aptos" w:hAnsi="Aptos"/>
          <w:color w:val="1A1A19"/>
          <w:sz w:val="20"/>
          <w:szCs w:val="20"/>
        </w:rPr>
        <w:t>essais du fonctionnement normal.</w:t>
      </w:r>
      <w:bookmarkEnd w:id="437"/>
      <w:bookmarkEnd w:id="438"/>
    </w:p>
    <w:p w14:paraId="475186A0"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39" w:name="_Toc241083034"/>
      <w:bookmarkStart w:id="440" w:name="_Toc241670202"/>
      <w:r w:rsidRPr="00BE4F47">
        <w:rPr>
          <w:rFonts w:ascii="Aptos" w:hAnsi="Aptos"/>
          <w:color w:val="1A1A19"/>
          <w:sz w:val="20"/>
          <w:szCs w:val="20"/>
        </w:rPr>
        <w:t>essais avec données anormales.</w:t>
      </w:r>
      <w:bookmarkEnd w:id="439"/>
      <w:bookmarkEnd w:id="440"/>
    </w:p>
    <w:p w14:paraId="1DA67275"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41" w:name="_Toc241083035"/>
      <w:bookmarkStart w:id="442" w:name="_Toc241670203"/>
      <w:r w:rsidRPr="00BE4F47">
        <w:rPr>
          <w:rFonts w:ascii="Aptos" w:hAnsi="Aptos"/>
          <w:color w:val="1A1A19"/>
          <w:sz w:val="20"/>
          <w:szCs w:val="20"/>
        </w:rPr>
        <w:t>essais de perte de données ou de communication.</w:t>
      </w:r>
      <w:bookmarkEnd w:id="441"/>
      <w:bookmarkEnd w:id="442"/>
    </w:p>
    <w:p w14:paraId="1581AD2D"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43" w:name="_Toc241083036"/>
      <w:bookmarkStart w:id="444" w:name="_Toc241670204"/>
      <w:r w:rsidRPr="00BE4F47">
        <w:rPr>
          <w:rFonts w:ascii="Aptos" w:hAnsi="Aptos"/>
          <w:color w:val="1A1A19"/>
          <w:sz w:val="20"/>
          <w:szCs w:val="20"/>
        </w:rPr>
        <w:t>essais des fonctions de détection et des alertes.</w:t>
      </w:r>
      <w:bookmarkEnd w:id="443"/>
      <w:bookmarkEnd w:id="444"/>
    </w:p>
    <w:p w14:paraId="2ADD5371"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45" w:name="_Toc241083037"/>
      <w:bookmarkStart w:id="446" w:name="_Toc241670205"/>
      <w:r w:rsidRPr="00BE4F47">
        <w:rPr>
          <w:rFonts w:ascii="Aptos" w:hAnsi="Aptos"/>
          <w:color w:val="1A1A19"/>
          <w:sz w:val="20"/>
          <w:szCs w:val="20"/>
        </w:rPr>
        <w:t>essais de l’interface.</w:t>
      </w:r>
      <w:bookmarkEnd w:id="445"/>
      <w:bookmarkEnd w:id="446"/>
    </w:p>
    <w:p w14:paraId="59E0A4F8" w14:textId="77777777" w:rsidR="00F50D70" w:rsidRPr="00B03F2E" w:rsidRDefault="00137D7F" w:rsidP="008E113B">
      <w:pPr>
        <w:numPr>
          <w:ilvl w:val="0"/>
          <w:numId w:val="20"/>
        </w:numPr>
        <w:spacing w:after="130" w:line="360" w:lineRule="auto"/>
        <w:ind w:left="720"/>
        <w:rPr>
          <w:rFonts w:ascii="Aptos" w:eastAsia="Calibri" w:hAnsi="Aptos" w:cs="Calibri"/>
          <w:color w:val="1A1A19"/>
          <w:sz w:val="20"/>
          <w:szCs w:val="20"/>
        </w:rPr>
      </w:pPr>
      <w:bookmarkStart w:id="447" w:name="_Toc241083039"/>
      <w:bookmarkStart w:id="448" w:name="_Toc241670206"/>
      <w:r w:rsidRPr="00BE4F47">
        <w:rPr>
          <w:rFonts w:ascii="Aptos" w:hAnsi="Aptos"/>
          <w:color w:val="1A1A19"/>
          <w:sz w:val="20"/>
          <w:szCs w:val="20"/>
        </w:rPr>
        <w:t>quantification de l’incertitude de validation.</w:t>
      </w:r>
      <w:bookmarkEnd w:id="447"/>
      <w:bookmarkEnd w:id="448"/>
    </w:p>
    <w:p w14:paraId="03873C97" w14:textId="77777777" w:rsidR="00F50D70" w:rsidRPr="00B03F2E" w:rsidRDefault="00137D7F" w:rsidP="008E113B">
      <w:pPr>
        <w:spacing w:after="130" w:line="360" w:lineRule="auto"/>
        <w:ind w:left="360"/>
        <w:rPr>
          <w:rFonts w:ascii="Aptos" w:eastAsia="Calibri" w:hAnsi="Aptos" w:cs="Calibri"/>
          <w:color w:val="1A1A19"/>
          <w:sz w:val="20"/>
          <w:szCs w:val="20"/>
        </w:rPr>
      </w:pPr>
      <w:bookmarkStart w:id="449" w:name="_Toc241083042"/>
      <w:bookmarkStart w:id="450" w:name="_Toc241670207"/>
      <w:r w:rsidRPr="00BE4F47">
        <w:rPr>
          <w:rFonts w:ascii="Aptos" w:hAnsi="Aptos"/>
          <w:color w:val="1A1A19"/>
          <w:sz w:val="20"/>
          <w:szCs w:val="20"/>
        </w:rPr>
        <w:t>Les résultats serviront à déterminer si le système répond aux besoins définis et à produire les recommandations finales.</w:t>
      </w:r>
      <w:bookmarkEnd w:id="449"/>
      <w:bookmarkEnd w:id="450"/>
    </w:p>
    <w:p w14:paraId="762C189C" w14:textId="77777777" w:rsidR="00F50D70" w:rsidRPr="00B36301" w:rsidRDefault="00137D7F" w:rsidP="008E113B">
      <w:pPr>
        <w:pStyle w:val="Titre1"/>
        <w:spacing w:line="360" w:lineRule="auto"/>
      </w:pPr>
      <w:bookmarkStart w:id="451" w:name="__RefHeading___Toc240715220"/>
      <w:bookmarkStart w:id="452" w:name="_Toc241670208"/>
      <w:bookmarkEnd w:id="451"/>
      <w:r w:rsidRPr="00B36301">
        <w:t>Impacts et gestion des risques</w:t>
      </w:r>
      <w:bookmarkEnd w:id="452"/>
    </w:p>
    <w:p w14:paraId="14B91BE0" w14:textId="77777777" w:rsidR="00F50D70" w:rsidRPr="00BE4F47" w:rsidRDefault="00137D7F" w:rsidP="008E113B">
      <w:pPr>
        <w:spacing w:after="130" w:line="360" w:lineRule="auto"/>
        <w:ind w:left="360"/>
        <w:rPr>
          <w:rFonts w:ascii="Aptos" w:hAnsi="Aptos"/>
        </w:rPr>
      </w:pPr>
      <w:bookmarkStart w:id="453" w:name="_Toc241083044"/>
      <w:bookmarkStart w:id="454" w:name="_Toc241670209"/>
      <w:r w:rsidRPr="00BE4F47">
        <w:rPr>
          <w:rFonts w:ascii="Aptos" w:hAnsi="Aptos"/>
          <w:color w:val="1A1A19"/>
          <w:sz w:val="20"/>
          <w:szCs w:val="20"/>
        </w:rPr>
        <w:t>Le cadre normatif est posé. Cette section examine les effets que le projet produit, puis ce qui peut l’empêcher d’aboutir. Chaque risque est rattaché à une exigence, à un lot de travail ou à un jalon.</w:t>
      </w:r>
      <w:bookmarkEnd w:id="453"/>
      <w:bookmarkEnd w:id="454"/>
    </w:p>
    <w:p w14:paraId="6CA9E03E" w14:textId="77777777" w:rsidR="00F50D70" w:rsidRPr="00BE4F47" w:rsidRDefault="00137D7F" w:rsidP="008E113B">
      <w:pPr>
        <w:spacing w:after="130" w:line="360" w:lineRule="auto"/>
        <w:ind w:left="360"/>
        <w:rPr>
          <w:rFonts w:ascii="Aptos" w:hAnsi="Aptos"/>
        </w:rPr>
      </w:pPr>
      <w:bookmarkStart w:id="455" w:name="_Toc241083046"/>
      <w:bookmarkStart w:id="456" w:name="_Toc241670210"/>
      <w:r w:rsidRPr="00BE4F47">
        <w:rPr>
          <w:rFonts w:ascii="Aptos" w:hAnsi="Aptos"/>
          <w:color w:val="1A1A19"/>
          <w:sz w:val="20"/>
          <w:szCs w:val="20"/>
        </w:rPr>
        <w:t>Le projet et son périmètre sont décrits à la section 1. Deux caractéristiques comptent ici. Le prototype est un outil d’aide à la décision : il fournit l’état estimé, les variables qui ont contribué au diagnostic et le niveau de confiance associé. Il ne commande aucune installation : la décision finale reste celle de l’opérateur (EX-F-08). Quand les données ne permettent pas de conclure, il signale son incertitude au lieu d’afficher un état normal (EX-F-06). Ces deux règles reviennent dans tout ce qui suit.</w:t>
      </w:r>
      <w:bookmarkEnd w:id="455"/>
      <w:bookmarkEnd w:id="456"/>
    </w:p>
    <w:p w14:paraId="1CE1B49D" w14:textId="77777777" w:rsidR="00F50D70" w:rsidRPr="00BE4F47" w:rsidRDefault="00137D7F" w:rsidP="008E113B">
      <w:pPr>
        <w:spacing w:after="130" w:line="360" w:lineRule="auto"/>
        <w:ind w:left="360"/>
        <w:rPr>
          <w:rFonts w:ascii="Aptos" w:hAnsi="Aptos"/>
        </w:rPr>
      </w:pPr>
      <w:bookmarkStart w:id="457" w:name="_Toc241083049"/>
      <w:bookmarkStart w:id="458" w:name="_Toc241670211"/>
      <w:r w:rsidRPr="00BE4F47">
        <w:rPr>
          <w:rFonts w:ascii="Aptos" w:hAnsi="Aptos"/>
          <w:color w:val="1A1A19"/>
          <w:sz w:val="20"/>
          <w:szCs w:val="20"/>
        </w:rPr>
        <w:t>Les impacts relevés ci-dessous sont ceux du problème considéré, non ceux de l’objet livré. Un prototype entièrement simulé n’a presque aucune incidence environnementale ou sanitaire par lui-même. Ce qui en a, c’est l’usage auquel il est destiné.</w:t>
      </w:r>
      <w:bookmarkEnd w:id="457"/>
      <w:bookmarkEnd w:id="458"/>
    </w:p>
    <w:p w14:paraId="19DAA7E1" w14:textId="77777777" w:rsidR="00F50D70" w:rsidRPr="00B36301" w:rsidRDefault="00137D7F" w:rsidP="008E113B">
      <w:pPr>
        <w:pStyle w:val="Titre2"/>
        <w:spacing w:line="360" w:lineRule="auto"/>
      </w:pPr>
      <w:bookmarkStart w:id="459" w:name="__RefHeading___Toc240715226"/>
      <w:bookmarkStart w:id="460" w:name="_Toc241670212"/>
      <w:bookmarkEnd w:id="459"/>
      <w:r w:rsidRPr="00B36301">
        <w:t>Impacts du projet</w:t>
      </w:r>
      <w:bookmarkEnd w:id="460"/>
    </w:p>
    <w:p w14:paraId="34A06D10"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461" w:name="_Toc241083051"/>
      <w:bookmarkStart w:id="462" w:name="_Toc241670213"/>
      <w:r w:rsidRPr="00BE4F47">
        <w:rPr>
          <w:rFonts w:ascii="Aptos" w:hAnsi="Aptos"/>
          <w:b/>
          <w:color w:val="1A1A19"/>
          <w:sz w:val="20"/>
          <w:szCs w:val="20"/>
        </w:rPr>
        <w:t xml:space="preserve">Les impacts techniques. </w:t>
      </w:r>
      <w:r w:rsidRPr="00BE4F47">
        <w:rPr>
          <w:rFonts w:ascii="Aptos" w:hAnsi="Aptos"/>
          <w:color w:val="1A1A19"/>
          <w:sz w:val="20"/>
          <w:szCs w:val="20"/>
        </w:rPr>
        <w:t>Le principal effet positif est de pouvoir étudier des états de fonctionnement et des scénarios de défaillance sans les provoquer sur une installation réelle. La simulation permet de rejouer les essais à l’identique et de soumettre le prototype à une campagne structurée de vérification et de validation (EX-F-02).</w:t>
      </w:r>
      <w:bookmarkEnd w:id="461"/>
      <w:bookmarkEnd w:id="462"/>
    </w:p>
    <w:p w14:paraId="0984D5A8" w14:textId="77777777" w:rsidR="00F50D70" w:rsidRPr="00BE4F47" w:rsidRDefault="00137D7F" w:rsidP="008E113B">
      <w:pPr>
        <w:spacing w:after="130" w:line="360" w:lineRule="auto"/>
        <w:ind w:left="360"/>
        <w:rPr>
          <w:rFonts w:ascii="Aptos" w:hAnsi="Aptos"/>
        </w:rPr>
      </w:pPr>
      <w:bookmarkStart w:id="463" w:name="_Toc241083052"/>
      <w:bookmarkStart w:id="464" w:name="_Toc241670214"/>
      <w:r w:rsidRPr="00BE4F47">
        <w:rPr>
          <w:rFonts w:ascii="Aptos" w:hAnsi="Aptos"/>
          <w:color w:val="1A1A19"/>
          <w:sz w:val="20"/>
          <w:szCs w:val="20"/>
        </w:rPr>
        <w:t>En contrepartie, le projet dépend de la qualité des données et de la fidélité du modèle. Une mesure incorrecte, une donnée indisponible ou une désynchronisation donnent une représentation erronée de l’état de la boucle.</w:t>
      </w:r>
      <w:bookmarkEnd w:id="463"/>
      <w:bookmarkEnd w:id="464"/>
    </w:p>
    <w:p w14:paraId="0FAE675F" w14:textId="77777777" w:rsidR="00F50D70" w:rsidRPr="00BE4F47" w:rsidRDefault="00137D7F" w:rsidP="008E113B">
      <w:pPr>
        <w:spacing w:after="130" w:line="360" w:lineRule="auto"/>
        <w:ind w:left="360"/>
        <w:rPr>
          <w:rFonts w:ascii="Aptos" w:hAnsi="Aptos"/>
        </w:rPr>
      </w:pPr>
      <w:bookmarkStart w:id="465" w:name="_Toc241083053"/>
      <w:bookmarkStart w:id="466" w:name="_Toc241670215"/>
      <w:r w:rsidRPr="00BE4F47">
        <w:rPr>
          <w:rFonts w:ascii="Aptos" w:hAnsi="Aptos"/>
          <w:b/>
          <w:color w:val="1A1A19"/>
          <w:sz w:val="20"/>
          <w:szCs w:val="20"/>
        </w:rPr>
        <w:lastRenderedPageBreak/>
        <w:t xml:space="preserve">La sûreté et la cybersécurité. </w:t>
      </w:r>
      <w:r w:rsidRPr="00BE4F47">
        <w:rPr>
          <w:rFonts w:ascii="Aptos" w:hAnsi="Aptos"/>
          <w:color w:val="1A1A19"/>
          <w:sz w:val="20"/>
          <w:szCs w:val="20"/>
        </w:rPr>
        <w:t>La difficulté la plus sérieuse est un système qui reste fonctionnel tout en affichant une information crédible mais incorrecte. Une donnée falsifiée, corrompue ou erronée peut masquer une anomalie réelle ou provoquer une fausse alarme. Le premier cas retire une information à l’opérateur, le second lui fait perdre confiance dans l’outil.</w:t>
      </w:r>
      <w:bookmarkEnd w:id="465"/>
      <w:bookmarkEnd w:id="466"/>
    </w:p>
    <w:p w14:paraId="30C066C1" w14:textId="77777777" w:rsidR="00F50D70" w:rsidRPr="00BE4F47" w:rsidRDefault="00137D7F" w:rsidP="008E113B">
      <w:pPr>
        <w:spacing w:after="130" w:line="360" w:lineRule="auto"/>
        <w:ind w:left="360"/>
        <w:rPr>
          <w:rFonts w:ascii="Aptos" w:hAnsi="Aptos"/>
        </w:rPr>
      </w:pPr>
      <w:bookmarkStart w:id="467" w:name="_Toc241083054"/>
      <w:bookmarkStart w:id="468" w:name="_Toc241670216"/>
      <w:r w:rsidRPr="00BE4F47">
        <w:rPr>
          <w:rFonts w:ascii="Aptos" w:hAnsi="Aptos"/>
          <w:color w:val="1A1A19"/>
          <w:sz w:val="20"/>
          <w:szCs w:val="20"/>
        </w:rPr>
        <w:t>Les mesures prévues devront donc protéger l’intégrité, la disponibilité et la traçabilité des données : contrôle des accès, authentification, journalisation, validation des entrées et segmentation de l’environnement d’essai (EX-Q-04). La norme IEC 62859 ajoute une contrainte, développée en 6.5.</w:t>
      </w:r>
      <w:bookmarkEnd w:id="467"/>
      <w:bookmarkEnd w:id="468"/>
    </w:p>
    <w:p w14:paraId="7158DA60" w14:textId="77777777" w:rsidR="00F50D70" w:rsidRPr="00BE4F47" w:rsidRDefault="00137D7F" w:rsidP="008E113B">
      <w:pPr>
        <w:spacing w:after="130" w:line="360" w:lineRule="auto"/>
        <w:ind w:left="360"/>
        <w:rPr>
          <w:rFonts w:ascii="Aptos" w:hAnsi="Aptos"/>
        </w:rPr>
      </w:pPr>
      <w:bookmarkStart w:id="469" w:name="_Toc241083056"/>
      <w:bookmarkStart w:id="470" w:name="_Toc241670217"/>
      <w:r w:rsidRPr="00BE4F47">
        <w:rPr>
          <w:rFonts w:ascii="Aptos" w:hAnsi="Aptos"/>
          <w:b/>
          <w:color w:val="1A1A19"/>
          <w:sz w:val="20"/>
          <w:szCs w:val="20"/>
        </w:rPr>
        <w:t xml:space="preserve">Les impacts humains et organisationnels. </w:t>
      </w:r>
      <w:r w:rsidRPr="00BE4F47">
        <w:rPr>
          <w:rFonts w:ascii="Aptos" w:hAnsi="Aptos"/>
          <w:color w:val="1A1A19"/>
          <w:sz w:val="20"/>
          <w:szCs w:val="20"/>
        </w:rPr>
        <w:t>L’interface détermine la façon dont les ingénieurs et les opérateurs interprètent l’état estimé. Elle devra présenter les variables contributives et le niveau de confiance (EX-F-05, EX-F-07).</w:t>
      </w:r>
      <w:bookmarkEnd w:id="469"/>
      <w:bookmarkEnd w:id="470"/>
    </w:p>
    <w:p w14:paraId="78BE772E" w14:textId="77777777" w:rsidR="00F50D70" w:rsidRPr="00BE4F47" w:rsidRDefault="00137D7F" w:rsidP="008E113B">
      <w:pPr>
        <w:spacing w:after="130" w:line="360" w:lineRule="auto"/>
        <w:ind w:left="360"/>
        <w:rPr>
          <w:rFonts w:ascii="Aptos" w:hAnsi="Aptos"/>
        </w:rPr>
      </w:pPr>
      <w:bookmarkStart w:id="471" w:name="_Toc241083057"/>
      <w:bookmarkStart w:id="472" w:name="_Toc241670218"/>
      <w:r w:rsidRPr="00BE4F47">
        <w:rPr>
          <w:rFonts w:ascii="Aptos" w:hAnsi="Aptos"/>
          <w:color w:val="1A1A19"/>
          <w:sz w:val="20"/>
          <w:szCs w:val="20"/>
        </w:rPr>
        <w:t>Le principal effet défavorable est la confiance excessive envers le jumeau numérique, appelée biais d’automatisation dans la littérature. Un opérateur qui s’habitue à un outil fiable finit par lui accorder plus de crédit qu’à ses propres instruments.</w:t>
      </w:r>
      <w:bookmarkEnd w:id="471"/>
      <w:bookmarkEnd w:id="472"/>
    </w:p>
    <w:p w14:paraId="15B45348" w14:textId="77777777" w:rsidR="00F50D70" w:rsidRPr="00BE4F47" w:rsidRDefault="00137D7F" w:rsidP="008E113B">
      <w:pPr>
        <w:spacing w:after="130" w:line="360" w:lineRule="auto"/>
        <w:ind w:left="360"/>
        <w:rPr>
          <w:rFonts w:ascii="Aptos" w:hAnsi="Aptos"/>
        </w:rPr>
      </w:pPr>
      <w:bookmarkStart w:id="473" w:name="_Toc241083058"/>
      <w:bookmarkStart w:id="474" w:name="_Toc241670219"/>
      <w:r w:rsidRPr="00BE4F47">
        <w:rPr>
          <w:rFonts w:ascii="Aptos" w:hAnsi="Aptos"/>
          <w:b/>
          <w:color w:val="1A1A19"/>
          <w:sz w:val="20"/>
          <w:szCs w:val="20"/>
        </w:rPr>
        <w:t xml:space="preserve">La santé et la sécurité des personnes. </w:t>
      </w:r>
      <w:r w:rsidRPr="00BE4F47">
        <w:rPr>
          <w:rFonts w:ascii="Aptos" w:hAnsi="Aptos"/>
          <w:color w:val="1A1A19"/>
          <w:sz w:val="20"/>
          <w:szCs w:val="20"/>
        </w:rPr>
        <w:t>Le prototype ne présente aucun danger par lui-même : il est entièrement simulé, ne manipule aucun fluide, aucune énergie et aucune donnée réelle. Le travail de l’équipe se fait devant un poste informatique.</w:t>
      </w:r>
      <w:bookmarkEnd w:id="473"/>
      <w:bookmarkEnd w:id="474"/>
    </w:p>
    <w:p w14:paraId="41EBA3F5" w14:textId="77777777" w:rsidR="00F50D70" w:rsidRPr="00BE4F47" w:rsidRDefault="00137D7F" w:rsidP="008E113B">
      <w:pPr>
        <w:spacing w:after="130" w:line="360" w:lineRule="auto"/>
        <w:ind w:left="360"/>
        <w:rPr>
          <w:rFonts w:ascii="Aptos" w:hAnsi="Aptos"/>
        </w:rPr>
      </w:pPr>
      <w:bookmarkStart w:id="475" w:name="_Toc241083059"/>
      <w:bookmarkStart w:id="476" w:name="_Toc241670220"/>
      <w:r w:rsidRPr="00BE4F47">
        <w:rPr>
          <w:rFonts w:ascii="Aptos" w:hAnsi="Aptos"/>
          <w:color w:val="1A1A19"/>
          <w:sz w:val="20"/>
          <w:szCs w:val="20"/>
        </w:rPr>
        <w:t>L’incidence sur la santé et la sécurité vient du problème considéré. Un outil d’aide à la décision destiné à une installation nucléaire participe à une chaîne qui aboutit à une décision humaine d’exploitation. Les trois modes de dysfonctionnement qui conduisent à un risque pour les personnes sont analysés en 6.1, où ils fondent l’applicabilité de l’article 3 (3°) de la Loi sur les ingénieurs.</w:t>
      </w:r>
      <w:bookmarkEnd w:id="475"/>
      <w:bookmarkEnd w:id="476"/>
    </w:p>
    <w:p w14:paraId="1A8B52A3" w14:textId="77777777" w:rsidR="00F50D70" w:rsidRPr="00BE4F47" w:rsidRDefault="00137D7F" w:rsidP="008E113B">
      <w:pPr>
        <w:spacing w:after="130" w:line="360" w:lineRule="auto"/>
        <w:ind w:left="360"/>
        <w:rPr>
          <w:rFonts w:ascii="Aptos" w:hAnsi="Aptos"/>
        </w:rPr>
      </w:pPr>
      <w:bookmarkStart w:id="477" w:name="_Toc241083061"/>
      <w:bookmarkStart w:id="478" w:name="_Toc241670221"/>
      <w:r w:rsidRPr="00BE4F47">
        <w:rPr>
          <w:rFonts w:ascii="Aptos" w:hAnsi="Aptos"/>
          <w:b/>
          <w:color w:val="1A1A19"/>
          <w:sz w:val="20"/>
          <w:szCs w:val="20"/>
        </w:rPr>
        <w:t xml:space="preserve">Les impacts économiques. </w:t>
      </w:r>
      <w:r w:rsidRPr="00BE4F47">
        <w:rPr>
          <w:rFonts w:ascii="Aptos" w:hAnsi="Aptos"/>
          <w:color w:val="1A1A19"/>
          <w:sz w:val="20"/>
          <w:szCs w:val="20"/>
        </w:rPr>
        <w:t>Le projet mobilise surtout des ressources humaines et informatiques. Le mandat est limité à 1 080 heures d’ingénierie facturables, et les infrastructures, logiciels et ressources de l’UQAC sont privilégiés pour limiter les dépenses. Cette enveloppe est la contrainte de planification la plus structurante du projet, et elle fait l’objet du risque RP2.</w:t>
      </w:r>
      <w:bookmarkEnd w:id="477"/>
      <w:bookmarkEnd w:id="478"/>
    </w:p>
    <w:p w14:paraId="6DEDFCD2"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479" w:name="_Toc241083062"/>
      <w:bookmarkStart w:id="480" w:name="_Toc241670222"/>
      <w:r w:rsidRPr="00BE4F47">
        <w:rPr>
          <w:rFonts w:ascii="Aptos" w:hAnsi="Aptos"/>
          <w:color w:val="1A1A19"/>
          <w:sz w:val="20"/>
          <w:szCs w:val="20"/>
        </w:rPr>
        <w:t>L’intérêt économique de ce type d’outil est indirect. Étudier un scénario de défaillance en simulation coûte une fraction de ce que coûterait sa reproduction sur une installation, et n’immobilise aucun équipement. L’argument vaut pour la classe d’outils, pas pour le prototype universitaire, qui ne produit aucune valeur marchande.</w:t>
      </w:r>
      <w:bookmarkEnd w:id="479"/>
      <w:bookmarkEnd w:id="480"/>
    </w:p>
    <w:p w14:paraId="19859864" w14:textId="77777777" w:rsidR="00F50D70" w:rsidRPr="00BE4F47" w:rsidRDefault="00137D7F" w:rsidP="008E113B">
      <w:pPr>
        <w:spacing w:after="130" w:line="360" w:lineRule="auto"/>
        <w:ind w:left="360"/>
        <w:rPr>
          <w:rFonts w:ascii="Aptos" w:hAnsi="Aptos"/>
        </w:rPr>
      </w:pPr>
      <w:bookmarkStart w:id="481" w:name="_Toc241083063"/>
      <w:bookmarkStart w:id="482" w:name="_Toc241670223"/>
      <w:r w:rsidRPr="00BE4F47">
        <w:rPr>
          <w:rFonts w:ascii="Aptos" w:hAnsi="Aptos"/>
          <w:b/>
          <w:color w:val="1A1A19"/>
          <w:sz w:val="20"/>
          <w:szCs w:val="20"/>
        </w:rPr>
        <w:t xml:space="preserve">L’équité, la diversité et l’inclusion. </w:t>
      </w:r>
      <w:r w:rsidRPr="00BE4F47">
        <w:rPr>
          <w:rFonts w:ascii="Aptos" w:hAnsi="Aptos"/>
          <w:color w:val="1A1A19"/>
          <w:sz w:val="20"/>
          <w:szCs w:val="20"/>
        </w:rPr>
        <w:t>Le projet retient un second critère à côté des objectifs de développement durable : l’équité, la diversité et l’inclusion, qui a des conséquences vérifiables sur l’interface et sur la conduite de l’équipe.</w:t>
      </w:r>
      <w:bookmarkEnd w:id="481"/>
      <w:bookmarkEnd w:id="482"/>
    </w:p>
    <w:p w14:paraId="3533EA21" w14:textId="77777777" w:rsidR="00F50D70" w:rsidRPr="00BE4F47" w:rsidRDefault="00137D7F" w:rsidP="008E113B">
      <w:pPr>
        <w:spacing w:after="130" w:line="360" w:lineRule="auto"/>
        <w:ind w:left="360"/>
        <w:rPr>
          <w:rFonts w:ascii="Aptos" w:hAnsi="Aptos"/>
        </w:rPr>
      </w:pPr>
      <w:bookmarkStart w:id="483" w:name="_Toc241083064"/>
      <w:bookmarkStart w:id="484" w:name="_Toc241670224"/>
      <w:r w:rsidRPr="00BE4F47">
        <w:rPr>
          <w:rFonts w:ascii="Aptos" w:hAnsi="Aptos"/>
          <w:color w:val="1A1A19"/>
          <w:sz w:val="20"/>
          <w:szCs w:val="20"/>
        </w:rPr>
        <w:t>L’interface est destinée à des opérateurs dont l’expérience, la formation et les conditions de travail varient. Trois orientations en découlent :</w:t>
      </w:r>
      <w:bookmarkEnd w:id="483"/>
      <w:bookmarkEnd w:id="484"/>
    </w:p>
    <w:p w14:paraId="19699A9B" w14:textId="77777777" w:rsidR="00F50D70" w:rsidRPr="00B36301" w:rsidRDefault="00137D7F" w:rsidP="008E113B">
      <w:pPr>
        <w:numPr>
          <w:ilvl w:val="0"/>
          <w:numId w:val="20"/>
        </w:numPr>
        <w:spacing w:after="130" w:line="360" w:lineRule="auto"/>
        <w:ind w:left="720"/>
        <w:rPr>
          <w:rFonts w:ascii="Aptos" w:hAnsi="Aptos" w:cs="Calibri"/>
          <w:color w:val="1A1A19"/>
          <w:sz w:val="20"/>
          <w:szCs w:val="20"/>
        </w:rPr>
      </w:pPr>
      <w:bookmarkStart w:id="485" w:name="_Toc241670225"/>
      <w:r w:rsidRPr="00B36301">
        <w:rPr>
          <w:rFonts w:ascii="Aptos" w:hAnsi="Aptos"/>
          <w:color w:val="1A1A19"/>
          <w:sz w:val="20"/>
          <w:szCs w:val="20"/>
        </w:rPr>
        <w:lastRenderedPageBreak/>
        <w:t>le résultat est présenté en texte et par une forme, jamais par la couleur seule, ce qui le rend lisible pour une personne daltonienne et sur une impression en noir et blanc.</w:t>
      </w:r>
      <w:bookmarkEnd w:id="485"/>
    </w:p>
    <w:p w14:paraId="415117C7" w14:textId="77777777" w:rsidR="00F50D70" w:rsidRPr="00B36301" w:rsidRDefault="00137D7F" w:rsidP="008E113B">
      <w:pPr>
        <w:numPr>
          <w:ilvl w:val="0"/>
          <w:numId w:val="20"/>
        </w:numPr>
        <w:spacing w:after="130" w:line="360" w:lineRule="auto"/>
        <w:ind w:left="720"/>
        <w:rPr>
          <w:rFonts w:ascii="Aptos" w:hAnsi="Aptos" w:cs="Calibri"/>
          <w:color w:val="1A1A19"/>
          <w:sz w:val="20"/>
          <w:szCs w:val="20"/>
        </w:rPr>
      </w:pPr>
      <w:bookmarkStart w:id="486" w:name="_Toc241670226"/>
      <w:r w:rsidRPr="00B36301">
        <w:rPr>
          <w:rFonts w:ascii="Aptos" w:hAnsi="Aptos"/>
          <w:color w:val="1A1A19"/>
          <w:sz w:val="20"/>
          <w:szCs w:val="20"/>
        </w:rPr>
        <w:t>le vocabulaire affiché est celui du métier, sans acronyme non défini.</w:t>
      </w:r>
      <w:bookmarkEnd w:id="486"/>
    </w:p>
    <w:p w14:paraId="5F09F4C6" w14:textId="77777777" w:rsidR="00F50D70" w:rsidRPr="00B36301" w:rsidRDefault="00137D7F" w:rsidP="008E113B">
      <w:pPr>
        <w:numPr>
          <w:ilvl w:val="0"/>
          <w:numId w:val="20"/>
        </w:numPr>
        <w:spacing w:after="130" w:line="360" w:lineRule="auto"/>
        <w:ind w:left="720"/>
        <w:rPr>
          <w:rFonts w:ascii="Aptos" w:hAnsi="Aptos" w:cs="Calibri"/>
          <w:color w:val="1A1A19"/>
          <w:sz w:val="20"/>
          <w:szCs w:val="20"/>
        </w:rPr>
      </w:pPr>
      <w:bookmarkStart w:id="487" w:name="_Toc241670227"/>
      <w:r w:rsidRPr="00B36301">
        <w:rPr>
          <w:rFonts w:ascii="Aptos" w:hAnsi="Aptos"/>
          <w:color w:val="1A1A19"/>
          <w:sz w:val="20"/>
          <w:szCs w:val="20"/>
        </w:rPr>
        <w:t>le niveau de confiance est annoncé en clair plutôt que sous forme d’un score que seul un spécialiste saurait interpréter.</w:t>
      </w:r>
      <w:bookmarkEnd w:id="487"/>
    </w:p>
    <w:p w14:paraId="23A9B780" w14:textId="77777777" w:rsidR="00F50D70" w:rsidRPr="00BE4F47" w:rsidRDefault="00137D7F" w:rsidP="008E113B">
      <w:pPr>
        <w:spacing w:after="130" w:line="360" w:lineRule="auto"/>
        <w:ind w:left="360"/>
        <w:rPr>
          <w:rFonts w:ascii="Aptos" w:hAnsi="Aptos"/>
        </w:rPr>
      </w:pPr>
      <w:bookmarkStart w:id="488" w:name="_Toc241670228"/>
      <w:r w:rsidRPr="00BE4F47">
        <w:rPr>
          <w:rFonts w:ascii="Aptos" w:hAnsi="Aptos"/>
          <w:color w:val="1A1A19"/>
          <w:sz w:val="20"/>
          <w:szCs w:val="20"/>
        </w:rPr>
        <w:t>Ces trois orientations rejoignent la norme ISO 9241-210 et l’exigence EX-Q-03.</w:t>
      </w:r>
      <w:bookmarkEnd w:id="488"/>
    </w:p>
    <w:p w14:paraId="1C0034B6" w14:textId="77777777" w:rsidR="00F50D70" w:rsidRPr="00BE4F47" w:rsidRDefault="00137D7F" w:rsidP="008E113B">
      <w:pPr>
        <w:spacing w:after="130" w:line="360" w:lineRule="auto"/>
        <w:ind w:left="360"/>
        <w:rPr>
          <w:rFonts w:ascii="Aptos" w:hAnsi="Aptos"/>
        </w:rPr>
      </w:pPr>
      <w:bookmarkStart w:id="489" w:name="_Toc241083065"/>
      <w:bookmarkStart w:id="490" w:name="_Toc241670229"/>
      <w:r w:rsidRPr="00BE4F47">
        <w:rPr>
          <w:rFonts w:ascii="Aptos" w:hAnsi="Aptos"/>
          <w:color w:val="1A1A19"/>
          <w:sz w:val="20"/>
          <w:szCs w:val="20"/>
        </w:rPr>
        <w:t>L’équipe est composée de personnes venant de plusieurs pays et de plusieurs parcours. L’affectation suit les compétences du tableau des lots et non l’aisance à s’exprimer en réunion. Toute décision engageant le périmètre est consignée par écrit dans une issue du dépôt, ce qui permet d’y contribuer en différé.</w:t>
      </w:r>
      <w:bookmarkEnd w:id="489"/>
      <w:bookmarkEnd w:id="490"/>
    </w:p>
    <w:p w14:paraId="40F1763A" w14:textId="77777777" w:rsidR="00F50D70" w:rsidRPr="00BE4F47" w:rsidRDefault="00137D7F" w:rsidP="008E113B">
      <w:pPr>
        <w:spacing w:after="130" w:line="360" w:lineRule="auto"/>
        <w:ind w:left="360"/>
        <w:rPr>
          <w:rFonts w:ascii="Aptos" w:hAnsi="Aptos"/>
        </w:rPr>
      </w:pPr>
      <w:bookmarkStart w:id="491" w:name="_Toc241083066"/>
      <w:bookmarkStart w:id="492" w:name="_Toc241670230"/>
      <w:r w:rsidRPr="00BE4F47">
        <w:rPr>
          <w:rFonts w:ascii="Aptos" w:hAnsi="Aptos"/>
          <w:color w:val="1A1A19"/>
          <w:sz w:val="20"/>
          <w:szCs w:val="20"/>
        </w:rPr>
        <w:t>Les outils libres de la section 5 permettent à chaque membre de travailler depuis son propre poste, sans licence payante ni accès privilégié à un laboratoire. Retenus pour le budget et la reproductibilité, ils servent aussi l’équité d’accès au travail.</w:t>
      </w:r>
      <w:bookmarkEnd w:id="491"/>
      <w:bookmarkEnd w:id="492"/>
    </w:p>
    <w:p w14:paraId="5D0AF0D0" w14:textId="77777777" w:rsidR="00F50D70" w:rsidRPr="00BE4F47" w:rsidRDefault="00137D7F" w:rsidP="008E113B">
      <w:pPr>
        <w:spacing w:after="130" w:line="360" w:lineRule="auto"/>
        <w:ind w:left="360"/>
        <w:rPr>
          <w:rFonts w:ascii="Aptos" w:hAnsi="Aptos"/>
        </w:rPr>
      </w:pPr>
      <w:bookmarkStart w:id="493" w:name="_Toc241083067"/>
      <w:bookmarkStart w:id="494" w:name="_Toc241670231"/>
      <w:r w:rsidRPr="00BE4F47">
        <w:rPr>
          <w:rFonts w:ascii="Aptos" w:hAnsi="Aptos"/>
          <w:b/>
          <w:color w:val="1A1A19"/>
          <w:sz w:val="20"/>
          <w:szCs w:val="20"/>
        </w:rPr>
        <w:t xml:space="preserve">L’environnement et le développement durable. </w:t>
      </w:r>
      <w:r w:rsidRPr="00BE4F47">
        <w:rPr>
          <w:rFonts w:ascii="Aptos" w:hAnsi="Aptos"/>
          <w:color w:val="1A1A19"/>
          <w:sz w:val="20"/>
          <w:szCs w:val="20"/>
        </w:rPr>
        <w:t>Les incidences environnementales directes du prototype sont faibles : la consommation de ressources informatiques pendant le développement et les essais.</w:t>
      </w:r>
      <w:bookmarkEnd w:id="493"/>
      <w:bookmarkEnd w:id="494"/>
    </w:p>
    <w:p w14:paraId="07C5503B"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495" w:name="_Toc241083068"/>
      <w:bookmarkStart w:id="496" w:name="_Toc241670232"/>
      <w:r w:rsidRPr="00BE4F47">
        <w:rPr>
          <w:rFonts w:ascii="Aptos" w:hAnsi="Aptos"/>
          <w:color w:val="1A1A19"/>
          <w:sz w:val="20"/>
          <w:szCs w:val="20"/>
        </w:rPr>
        <w:t>L’apport au développement durable est indirect. Deux objectifs de développement durable des Nations unies [43] s’y rattachent :</w:t>
      </w:r>
      <w:bookmarkEnd w:id="495"/>
      <w:bookmarkEnd w:id="496"/>
    </w:p>
    <w:p w14:paraId="37A393CB" w14:textId="77777777" w:rsidR="00F50D70" w:rsidRPr="00BE4F47" w:rsidRDefault="00137D7F" w:rsidP="008E113B">
      <w:pPr>
        <w:numPr>
          <w:ilvl w:val="0"/>
          <w:numId w:val="20"/>
        </w:numPr>
        <w:spacing w:after="130" w:line="360" w:lineRule="auto"/>
        <w:ind w:left="720"/>
        <w:rPr>
          <w:rFonts w:ascii="Aptos" w:hAnsi="Aptos"/>
        </w:rPr>
      </w:pPr>
      <w:bookmarkStart w:id="497" w:name="_Toc241670233"/>
      <w:r w:rsidRPr="00BE4F47">
        <w:rPr>
          <w:rFonts w:ascii="Aptos" w:hAnsi="Aptos"/>
          <w:b/>
          <w:color w:val="1A1A19"/>
          <w:sz w:val="20"/>
          <w:szCs w:val="20"/>
        </w:rPr>
        <w:t xml:space="preserve">ODD 7, énergie propre et d’un coût abordable. </w:t>
      </w:r>
      <w:r w:rsidRPr="00BE4F47">
        <w:rPr>
          <w:rFonts w:ascii="Aptos" w:hAnsi="Aptos"/>
          <w:color w:val="1A1A19"/>
          <w:sz w:val="20"/>
          <w:szCs w:val="20"/>
        </w:rPr>
        <w:t>Un outil qui contribue à l’exploitation sûre d’une source de production à faibles émissions soutient indirectement cet objectif. La contribution du prototype est celle d’un démonstrateur, non celle d’un système exploité.</w:t>
      </w:r>
      <w:bookmarkEnd w:id="497"/>
    </w:p>
    <w:p w14:paraId="4EF2E95B" w14:textId="77777777" w:rsidR="00F50D70" w:rsidRPr="00B36301" w:rsidRDefault="00137D7F" w:rsidP="008E113B">
      <w:pPr>
        <w:numPr>
          <w:ilvl w:val="0"/>
          <w:numId w:val="20"/>
        </w:numPr>
        <w:spacing w:after="130" w:line="360" w:lineRule="auto"/>
        <w:ind w:left="720"/>
        <w:rPr>
          <w:rFonts w:ascii="Aptos" w:hAnsi="Aptos" w:cs="Calibri"/>
          <w:color w:val="1A1A19"/>
          <w:sz w:val="20"/>
          <w:szCs w:val="20"/>
        </w:rPr>
      </w:pPr>
      <w:bookmarkStart w:id="498" w:name="_Toc241670234"/>
      <w:r w:rsidRPr="00B36301">
        <w:rPr>
          <w:rFonts w:ascii="Aptos" w:hAnsi="Aptos"/>
          <w:b/>
          <w:color w:val="1A1A19"/>
          <w:sz w:val="20"/>
          <w:szCs w:val="20"/>
        </w:rPr>
        <w:t xml:space="preserve">ODD 9, industrie, innovation et infrastructure. </w:t>
      </w:r>
      <w:r w:rsidRPr="00B36301">
        <w:rPr>
          <w:rFonts w:ascii="Aptos" w:hAnsi="Aptos"/>
          <w:color w:val="1A1A19"/>
          <w:sz w:val="20"/>
          <w:szCs w:val="20"/>
        </w:rPr>
        <w:t>Le projet porte sur la résilience d’une infrastructure existante et sur la modernisation de ses moyens de surveillance.</w:t>
      </w:r>
      <w:bookmarkEnd w:id="498"/>
    </w:p>
    <w:p w14:paraId="035CE735"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499" w:name="_Toc241083069"/>
      <w:bookmarkStart w:id="500" w:name="_Toc241670235"/>
      <w:r w:rsidRPr="00BE4F47">
        <w:rPr>
          <w:rFonts w:ascii="Aptos" w:hAnsi="Aptos"/>
          <w:color w:val="1A1A19"/>
          <w:sz w:val="20"/>
          <w:szCs w:val="20"/>
        </w:rPr>
        <w:t>L’ODD 12, sur la consommation et la production responsables, pourrait s’y ajouter au titre des essais évités. L’équipe s’en tient aux deux premiers.</w:t>
      </w:r>
      <w:bookmarkEnd w:id="499"/>
      <w:bookmarkEnd w:id="500"/>
    </w:p>
    <w:p w14:paraId="142999DE" w14:textId="77777777" w:rsidR="00F50D70" w:rsidRPr="00BE4F47" w:rsidRDefault="00137D7F" w:rsidP="008E113B">
      <w:pPr>
        <w:spacing w:after="130" w:line="360" w:lineRule="auto"/>
        <w:ind w:left="360"/>
        <w:rPr>
          <w:rFonts w:ascii="Aptos" w:hAnsi="Aptos"/>
        </w:rPr>
      </w:pPr>
      <w:bookmarkStart w:id="501" w:name="_Toc241083070"/>
      <w:bookmarkStart w:id="502" w:name="_Toc241670236"/>
      <w:r w:rsidRPr="00BE4F47">
        <w:rPr>
          <w:rFonts w:ascii="Aptos" w:hAnsi="Aptos"/>
          <w:b/>
          <w:color w:val="1A1A19"/>
          <w:sz w:val="20"/>
          <w:szCs w:val="20"/>
        </w:rPr>
        <w:t xml:space="preserve">La confiance, la transparence et la responsabilité. </w:t>
      </w:r>
      <w:r w:rsidRPr="00BE4F47">
        <w:rPr>
          <w:rFonts w:ascii="Aptos" w:hAnsi="Aptos"/>
          <w:color w:val="1A1A19"/>
          <w:sz w:val="20"/>
          <w:szCs w:val="20"/>
        </w:rPr>
        <w:t>La population concernée par une éventuelle remise en service n’a pas accès au détail technique. Elle juge sur la clarté avec laquelle les capacités et les limites de l’outil sont énoncées.</w:t>
      </w:r>
      <w:bookmarkEnd w:id="501"/>
      <w:bookmarkEnd w:id="502"/>
    </w:p>
    <w:p w14:paraId="1B00A69A" w14:textId="77777777" w:rsidR="00F50D70" w:rsidRPr="00BE4F47" w:rsidRDefault="00137D7F" w:rsidP="008E113B">
      <w:pPr>
        <w:spacing w:after="130" w:line="360" w:lineRule="auto"/>
        <w:ind w:left="360"/>
        <w:rPr>
          <w:rFonts w:ascii="Aptos" w:hAnsi="Aptos"/>
        </w:rPr>
      </w:pPr>
      <w:bookmarkStart w:id="503" w:name="_Toc241083071"/>
      <w:bookmarkStart w:id="504" w:name="_Toc241670237"/>
      <w:r w:rsidRPr="00BE4F47">
        <w:rPr>
          <w:rFonts w:ascii="Aptos" w:hAnsi="Aptos"/>
          <w:color w:val="1A1A19"/>
          <w:sz w:val="20"/>
          <w:szCs w:val="20"/>
        </w:rPr>
        <w:t>Deux engagements en découlent : documenter le domaine de validité du prototype et les limites au-delà desquelles ses résultats ne sont pas valides (EX-C-01), et maintenir la responsabilité de la décision chez l’opérateur (EX-F-08).</w:t>
      </w:r>
      <w:bookmarkEnd w:id="503"/>
      <w:bookmarkEnd w:id="504"/>
    </w:p>
    <w:p w14:paraId="51D89DD3" w14:textId="77777777" w:rsidR="00F50D70" w:rsidRPr="00B36301" w:rsidRDefault="00137D7F" w:rsidP="008E113B">
      <w:pPr>
        <w:pStyle w:val="Titre2"/>
        <w:spacing w:line="360" w:lineRule="auto"/>
      </w:pPr>
      <w:bookmarkStart w:id="505" w:name="__RefHeading___Toc240715252"/>
      <w:bookmarkStart w:id="506" w:name="_Toc241670238"/>
      <w:bookmarkEnd w:id="505"/>
      <w:r w:rsidRPr="00B36301">
        <w:t>Bénéfices, inconvénients et rôle de l’équipe</w:t>
      </w:r>
      <w:bookmarkEnd w:id="506"/>
    </w:p>
    <w:p w14:paraId="7E2B822A" w14:textId="77777777" w:rsidR="00F50D70" w:rsidRDefault="00137D7F" w:rsidP="008E113B">
      <w:pPr>
        <w:spacing w:after="130" w:line="360" w:lineRule="auto"/>
        <w:ind w:left="360"/>
        <w:rPr>
          <w:rFonts w:ascii="Aptos" w:eastAsia="Calibri" w:hAnsi="Aptos" w:cs="Calibri"/>
          <w:color w:val="1A1A19"/>
          <w:sz w:val="20"/>
          <w:szCs w:val="20"/>
        </w:rPr>
      </w:pPr>
      <w:bookmarkStart w:id="507" w:name="_Toc241083073"/>
      <w:bookmarkStart w:id="508" w:name="_Toc241670239"/>
      <w:r w:rsidRPr="00BE4F47">
        <w:rPr>
          <w:rFonts w:ascii="Aptos" w:hAnsi="Aptos"/>
          <w:color w:val="1A1A19"/>
          <w:sz w:val="20"/>
          <w:szCs w:val="20"/>
        </w:rPr>
        <w:t>Le tableau 7-1 met en regard ce que le projet apporte et ce qu’il coûte ou fait courir comme risque.</w:t>
      </w:r>
      <w:bookmarkEnd w:id="507"/>
      <w:bookmarkEnd w:id="508"/>
    </w:p>
    <w:p w14:paraId="4930C110" w14:textId="77777777" w:rsidR="00F50D70" w:rsidRPr="00BE4F47" w:rsidRDefault="00137D7F" w:rsidP="008E113B">
      <w:pPr>
        <w:pStyle w:val="Lgende"/>
        <w:keepNext/>
        <w:spacing w:line="360" w:lineRule="auto"/>
        <w:rPr>
          <w:rFonts w:ascii="Aptos" w:hAnsi="Aptos"/>
        </w:rPr>
      </w:pPr>
      <w:bookmarkStart w:id="509" w:name="_Toc241083074"/>
      <w:bookmarkStart w:id="510" w:name="_Toc241670240"/>
      <w:r w:rsidRPr="00BE4F47">
        <w:rPr>
          <w:rFonts w:ascii="Aptos" w:hAnsi="Aptos"/>
        </w:rPr>
        <w:lastRenderedPageBreak/>
        <w:t>Tableau 7-1. Bénéfices et inconvénients du projet</w:t>
      </w:r>
      <w:bookmarkEnd w:id="509"/>
      <w:bookmarkEnd w:id="510"/>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4064"/>
        <w:gridCol w:w="4493"/>
      </w:tblGrid>
      <w:tr w:rsidR="00F50D70" w:rsidRPr="00BE4F47" w14:paraId="15EA8DE4" w14:textId="77777777" w:rsidTr="0036725C">
        <w:trPr>
          <w:trHeight w:val="223"/>
          <w:tblHeader/>
        </w:trPr>
        <w:tc>
          <w:tcPr>
            <w:tcW w:w="4064"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6E6B4D1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Bénéfices</w:t>
            </w:r>
          </w:p>
        </w:tc>
        <w:tc>
          <w:tcPr>
            <w:tcW w:w="4493"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25785F3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Inconvénients</w:t>
            </w:r>
          </w:p>
        </w:tc>
      </w:tr>
      <w:tr w:rsidR="00F50D70" w:rsidRPr="00BE4F47" w14:paraId="02CFA37B" w14:textId="77777777">
        <w:trPr>
          <w:cantSplit/>
          <w:trHeight w:val="429"/>
        </w:trPr>
        <w:tc>
          <w:tcPr>
            <w:tcW w:w="4064" w:type="dxa"/>
            <w:tcBorders>
              <w:top w:val="single" w:sz="4" w:space="0" w:color="000000"/>
              <w:left w:val="single" w:sz="4" w:space="0" w:color="000000"/>
              <w:bottom w:val="single" w:sz="4" w:space="0" w:color="000000"/>
              <w:right w:val="single" w:sz="4" w:space="0" w:color="000000"/>
            </w:tcBorders>
          </w:tcPr>
          <w:p w14:paraId="6252186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Étudier des scénarios de défaillance sans les provoquer sur une installation réelle.</w:t>
            </w:r>
          </w:p>
        </w:tc>
        <w:tc>
          <w:tcPr>
            <w:tcW w:w="4493" w:type="dxa"/>
            <w:tcBorders>
              <w:top w:val="single" w:sz="4" w:space="0" w:color="000000"/>
              <w:left w:val="single" w:sz="4" w:space="0" w:color="000000"/>
              <w:bottom w:val="single" w:sz="4" w:space="0" w:color="000000"/>
              <w:right w:val="single" w:sz="4" w:space="0" w:color="000000"/>
            </w:tcBorders>
          </w:tcPr>
          <w:p w14:paraId="027FFB1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Introduction d’un biais d’automatisation : l’opérateur peut accorder au modèle plus de crédit qu’à ses instruments (RT10).</w:t>
            </w:r>
          </w:p>
        </w:tc>
      </w:tr>
      <w:tr w:rsidR="00F50D70" w:rsidRPr="00BE4F47" w14:paraId="12ED062E" w14:textId="77777777">
        <w:trPr>
          <w:cantSplit/>
          <w:trHeight w:val="429"/>
        </w:trPr>
        <w:tc>
          <w:tcPr>
            <w:tcW w:w="4064" w:type="dxa"/>
            <w:tcBorders>
              <w:top w:val="single" w:sz="4" w:space="0" w:color="000000"/>
              <w:left w:val="single" w:sz="4" w:space="0" w:color="000000"/>
              <w:bottom w:val="single" w:sz="4" w:space="0" w:color="000000"/>
              <w:right w:val="single" w:sz="4" w:space="0" w:color="000000"/>
            </w:tcBorders>
          </w:tcPr>
          <w:p w14:paraId="72BF532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Reproductibilité des essais : un scénario peut être rejoué à l’identique et comparé.</w:t>
            </w:r>
          </w:p>
        </w:tc>
        <w:tc>
          <w:tcPr>
            <w:tcW w:w="4493" w:type="dxa"/>
            <w:tcBorders>
              <w:top w:val="single" w:sz="4" w:space="0" w:color="000000"/>
              <w:left w:val="single" w:sz="4" w:space="0" w:color="000000"/>
              <w:bottom w:val="single" w:sz="4" w:space="0" w:color="000000"/>
              <w:right w:val="single" w:sz="4" w:space="0" w:color="000000"/>
            </w:tcBorders>
          </w:tcPr>
          <w:p w14:paraId="30E66CE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Fausse assurance si le modèle est présenté comme la réalité plutôt que comme une représentation assortie d’une incertitude (RT4).</w:t>
            </w:r>
          </w:p>
        </w:tc>
      </w:tr>
      <w:tr w:rsidR="00F50D70" w:rsidRPr="00BE4F47" w14:paraId="0E0AED70" w14:textId="77777777">
        <w:trPr>
          <w:cantSplit/>
          <w:trHeight w:val="419"/>
        </w:trPr>
        <w:tc>
          <w:tcPr>
            <w:tcW w:w="4064" w:type="dxa"/>
            <w:tcBorders>
              <w:top w:val="single" w:sz="4" w:space="0" w:color="000000"/>
              <w:left w:val="single" w:sz="4" w:space="0" w:color="000000"/>
              <w:bottom w:val="single" w:sz="4" w:space="0" w:color="000000"/>
              <w:right w:val="single" w:sz="4" w:space="0" w:color="000000"/>
            </w:tcBorders>
          </w:tcPr>
          <w:p w14:paraId="2A12DCE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Détection précoce des dérives lentes, difficiles à percevoir sur des relevés instantanés.</w:t>
            </w:r>
          </w:p>
        </w:tc>
        <w:tc>
          <w:tcPr>
            <w:tcW w:w="4493" w:type="dxa"/>
            <w:tcBorders>
              <w:top w:val="single" w:sz="4" w:space="0" w:color="000000"/>
              <w:left w:val="single" w:sz="4" w:space="0" w:color="000000"/>
              <w:bottom w:val="single" w:sz="4" w:space="0" w:color="000000"/>
              <w:right w:val="single" w:sz="4" w:space="0" w:color="000000"/>
            </w:tcBorders>
          </w:tcPr>
          <w:p w14:paraId="30B0E9E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Banalisation des alarmes si le taux de fausses détections est élevé (RT6).</w:t>
            </w:r>
          </w:p>
        </w:tc>
      </w:tr>
      <w:tr w:rsidR="00F50D70" w:rsidRPr="00BE4F47" w14:paraId="2FF1E018" w14:textId="77777777">
        <w:trPr>
          <w:cantSplit/>
          <w:trHeight w:val="429"/>
        </w:trPr>
        <w:tc>
          <w:tcPr>
            <w:tcW w:w="4064" w:type="dxa"/>
            <w:tcBorders>
              <w:top w:val="single" w:sz="4" w:space="0" w:color="000000"/>
              <w:left w:val="single" w:sz="4" w:space="0" w:color="000000"/>
              <w:bottom w:val="single" w:sz="4" w:space="0" w:color="000000"/>
              <w:right w:val="single" w:sz="4" w:space="0" w:color="000000"/>
            </w:tcBorders>
          </w:tcPr>
          <w:p w14:paraId="544387F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Quantification de l’incertitude : une estimation est accompagnée de son degré de confiance (EX-F-07).</w:t>
            </w:r>
          </w:p>
        </w:tc>
        <w:tc>
          <w:tcPr>
            <w:tcW w:w="4493" w:type="dxa"/>
            <w:tcBorders>
              <w:top w:val="single" w:sz="4" w:space="0" w:color="000000"/>
              <w:left w:val="single" w:sz="4" w:space="0" w:color="000000"/>
              <w:bottom w:val="single" w:sz="4" w:space="0" w:color="000000"/>
              <w:right w:val="single" w:sz="4" w:space="0" w:color="000000"/>
            </w:tcBorders>
          </w:tcPr>
          <w:p w14:paraId="3DC454B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Surface d’attaque ajoutée par la chaîne d’acquisition, qui n’existait pas avant sa construction (RT7, RT8).</w:t>
            </w:r>
          </w:p>
        </w:tc>
      </w:tr>
      <w:tr w:rsidR="00F50D70" w:rsidRPr="00BE4F47" w14:paraId="47B5E56E" w14:textId="77777777">
        <w:trPr>
          <w:cantSplit/>
          <w:trHeight w:val="429"/>
        </w:trPr>
        <w:tc>
          <w:tcPr>
            <w:tcW w:w="4064" w:type="dxa"/>
            <w:tcBorders>
              <w:top w:val="single" w:sz="4" w:space="0" w:color="000000"/>
              <w:left w:val="single" w:sz="4" w:space="0" w:color="000000"/>
              <w:bottom w:val="single" w:sz="4" w:space="0" w:color="000000"/>
              <w:right w:val="single" w:sz="4" w:space="0" w:color="000000"/>
            </w:tcBorders>
          </w:tcPr>
          <w:p w14:paraId="6D2ED1B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Environnement d’apprentissage sans conséquence réelle pour la formation des intervenants.</w:t>
            </w:r>
          </w:p>
        </w:tc>
        <w:tc>
          <w:tcPr>
            <w:tcW w:w="4493" w:type="dxa"/>
            <w:tcBorders>
              <w:top w:val="single" w:sz="4" w:space="0" w:color="000000"/>
              <w:left w:val="single" w:sz="4" w:space="0" w:color="000000"/>
              <w:bottom w:val="single" w:sz="4" w:space="0" w:color="000000"/>
              <w:right w:val="single" w:sz="4" w:space="0" w:color="000000"/>
            </w:tcBorders>
          </w:tcPr>
          <w:p w14:paraId="3830EB0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Dérive du modèle dans le temps si celui-ci n’est pas entretenu ni revalidé (RT3, RT4).</w:t>
            </w:r>
          </w:p>
        </w:tc>
      </w:tr>
      <w:tr w:rsidR="00F50D70" w:rsidRPr="00BE4F47" w14:paraId="276F57A0" w14:textId="77777777">
        <w:trPr>
          <w:cantSplit/>
          <w:trHeight w:val="429"/>
        </w:trPr>
        <w:tc>
          <w:tcPr>
            <w:tcW w:w="4064" w:type="dxa"/>
            <w:tcBorders>
              <w:top w:val="single" w:sz="4" w:space="0" w:color="000000"/>
              <w:left w:val="single" w:sz="4" w:space="0" w:color="000000"/>
              <w:bottom w:val="single" w:sz="4" w:space="0" w:color="000000"/>
              <w:right w:val="single" w:sz="4" w:space="0" w:color="000000"/>
            </w:tcBorders>
          </w:tcPr>
          <w:p w14:paraId="282F7E0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Traçabilité : chaque acquisition et chaque changement d’état sont journalisés (EX-F-10).</w:t>
            </w:r>
          </w:p>
        </w:tc>
        <w:tc>
          <w:tcPr>
            <w:tcW w:w="4493" w:type="dxa"/>
            <w:tcBorders>
              <w:top w:val="single" w:sz="4" w:space="0" w:color="000000"/>
              <w:left w:val="single" w:sz="4" w:space="0" w:color="000000"/>
              <w:bottom w:val="single" w:sz="4" w:space="0" w:color="000000"/>
              <w:right w:val="single" w:sz="4" w:space="0" w:color="000000"/>
            </w:tcBorders>
          </w:tcPr>
          <w:p w14:paraId="4102E74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Coût de maintien du modèle et des compétences nécessaires pour l’interpréter.</w:t>
            </w:r>
          </w:p>
        </w:tc>
      </w:tr>
    </w:tbl>
    <w:p w14:paraId="1A552AE0"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511" w:name="_Toc241083076"/>
      <w:bookmarkStart w:id="512" w:name="_Toc241670241"/>
      <w:r w:rsidRPr="00BE4F47">
        <w:rPr>
          <w:rFonts w:ascii="Aptos" w:hAnsi="Aptos"/>
          <w:b/>
          <w:color w:val="1A1A19"/>
          <w:sz w:val="20"/>
          <w:szCs w:val="20"/>
        </w:rPr>
        <w:t xml:space="preserve">Le rôle de l’équipe. </w:t>
      </w:r>
      <w:r w:rsidRPr="00BE4F47">
        <w:rPr>
          <w:rFonts w:ascii="Aptos" w:hAnsi="Aptos"/>
          <w:color w:val="1A1A19"/>
          <w:sz w:val="20"/>
          <w:szCs w:val="20"/>
        </w:rPr>
        <w:t>La protection du public est la mission première du système professionnel québécois et la raison d’être de l’encadrement légal de la section 6. La question posée par le mandat est de savoir comment l’équipe exerce ce rôle.</w:t>
      </w:r>
      <w:bookmarkEnd w:id="511"/>
      <w:bookmarkEnd w:id="512"/>
    </w:p>
    <w:p w14:paraId="505A874D"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513" w:name="_Toc241083077"/>
      <w:bookmarkStart w:id="514" w:name="_Toc241670242"/>
      <w:r w:rsidRPr="00BE4F47">
        <w:rPr>
          <w:rFonts w:ascii="Aptos" w:hAnsi="Aptos"/>
          <w:color w:val="1A1A19"/>
          <w:sz w:val="20"/>
          <w:szCs w:val="20"/>
        </w:rPr>
        <w:t>L’équipe n’est pas encore composée d’ingénieurs. Le rôle s’exerce par trois pratiques concrètes :</w:t>
      </w:r>
      <w:bookmarkEnd w:id="513"/>
      <w:bookmarkEnd w:id="514"/>
    </w:p>
    <w:p w14:paraId="3C056A17" w14:textId="77777777" w:rsidR="00F50D70" w:rsidRPr="00BE4F47" w:rsidRDefault="00137D7F" w:rsidP="008E113B">
      <w:pPr>
        <w:spacing w:after="130" w:line="360" w:lineRule="auto"/>
        <w:ind w:left="360"/>
        <w:rPr>
          <w:rFonts w:ascii="Aptos" w:hAnsi="Aptos"/>
        </w:rPr>
      </w:pPr>
      <w:bookmarkStart w:id="515" w:name="_Toc241083078"/>
      <w:bookmarkStart w:id="516" w:name="_Toc241670243"/>
      <w:r w:rsidRPr="00BE4F47">
        <w:rPr>
          <w:rFonts w:ascii="Aptos" w:hAnsi="Aptos"/>
          <w:color w:val="1A1A19"/>
          <w:sz w:val="20"/>
          <w:szCs w:val="20"/>
        </w:rPr>
        <w:t>Ne pas surestimer ce que le modèle sait faire. Un prototype universitaire de 1 080 heures ne reproduit pas une centrale. Le rapport final devra énoncer le domaine de validité et les limites au-delà desquelles les résultats ne sont pas valides (EX-C-01).</w:t>
      </w:r>
      <w:bookmarkEnd w:id="515"/>
      <w:bookmarkEnd w:id="516"/>
    </w:p>
    <w:p w14:paraId="36C3DB62" w14:textId="77777777" w:rsidR="00F50D70" w:rsidRPr="00BE4F47" w:rsidRDefault="00137D7F" w:rsidP="008E113B">
      <w:pPr>
        <w:spacing w:after="130" w:line="360" w:lineRule="auto"/>
        <w:ind w:left="360"/>
        <w:rPr>
          <w:rFonts w:ascii="Aptos" w:hAnsi="Aptos"/>
        </w:rPr>
      </w:pPr>
      <w:bookmarkStart w:id="517" w:name="_Toc241083079"/>
      <w:bookmarkStart w:id="518" w:name="_Toc241670244"/>
      <w:r w:rsidRPr="00BE4F47">
        <w:rPr>
          <w:rFonts w:ascii="Aptos" w:hAnsi="Aptos"/>
          <w:color w:val="1A1A19"/>
          <w:sz w:val="20"/>
          <w:szCs w:val="20"/>
        </w:rPr>
        <w:t>Rendre l’incertitude visible plutôt que la dissimuler. Une erreur silencieuse ne se voit pas, contrairement à une panne. C’est la raison d’être des exigences EX-F-06 et EX-F-07, et de l’état D2 du GEMMA.</w:t>
      </w:r>
      <w:bookmarkEnd w:id="517"/>
      <w:bookmarkEnd w:id="518"/>
    </w:p>
    <w:p w14:paraId="12C40F14" w14:textId="77777777" w:rsidR="00F50D70" w:rsidRPr="00BE4F47" w:rsidRDefault="00137D7F" w:rsidP="008E113B">
      <w:pPr>
        <w:spacing w:after="130" w:line="360" w:lineRule="auto"/>
        <w:ind w:left="360"/>
        <w:rPr>
          <w:rFonts w:ascii="Aptos" w:hAnsi="Aptos"/>
        </w:rPr>
      </w:pPr>
      <w:bookmarkStart w:id="519" w:name="_Toc241083080"/>
      <w:bookmarkStart w:id="520" w:name="_Toc241670245"/>
      <w:r w:rsidRPr="00BE4F47">
        <w:rPr>
          <w:rFonts w:ascii="Aptos" w:hAnsi="Aptos"/>
          <w:color w:val="1A1A19"/>
          <w:sz w:val="20"/>
          <w:szCs w:val="20"/>
        </w:rPr>
        <w:t>Maintenir la décision chez l’humain. Le prototype n’émet aucune commande (EX-F-08). Le passage en fonctionnement dégradé exigera une confirmation explicite de l’opérateur et sera journalisé (EX-F-09, état D3 du GEMMA).</w:t>
      </w:r>
      <w:bookmarkEnd w:id="519"/>
      <w:bookmarkEnd w:id="520"/>
    </w:p>
    <w:p w14:paraId="068328E4" w14:textId="77777777" w:rsidR="00F50D70" w:rsidRPr="00BE4F47" w:rsidRDefault="00137D7F" w:rsidP="008E113B">
      <w:pPr>
        <w:spacing w:after="130" w:line="360" w:lineRule="auto"/>
        <w:ind w:left="360"/>
        <w:rPr>
          <w:rFonts w:ascii="Aptos" w:hAnsi="Aptos"/>
        </w:rPr>
      </w:pPr>
      <w:bookmarkStart w:id="521" w:name="_Toc241083081"/>
      <w:bookmarkStart w:id="522" w:name="_Toc241670246"/>
      <w:r w:rsidRPr="00BE4F47">
        <w:rPr>
          <w:rFonts w:ascii="Aptos" w:hAnsi="Aptos"/>
          <w:color w:val="1A1A19"/>
          <w:sz w:val="20"/>
          <w:szCs w:val="20"/>
        </w:rPr>
        <w:t>Ces trois pratiques se voient le mieux dans le traitement du risque RT5, la non-détection d’une anomalie réelle. Sa probabilité se réduit par les essais, sa gravité non. Elle ne descend de 5 à 4 que parce que le système ne décide pas seul.</w:t>
      </w:r>
      <w:bookmarkEnd w:id="521"/>
      <w:bookmarkEnd w:id="522"/>
    </w:p>
    <w:p w14:paraId="7A5890E6" w14:textId="77777777" w:rsidR="00F50D70" w:rsidRPr="00BE4F47" w:rsidRDefault="00137D7F" w:rsidP="008E113B">
      <w:pPr>
        <w:spacing w:after="130" w:line="360" w:lineRule="auto"/>
        <w:ind w:left="360"/>
        <w:rPr>
          <w:rFonts w:ascii="Aptos" w:hAnsi="Aptos"/>
        </w:rPr>
      </w:pPr>
      <w:bookmarkStart w:id="523" w:name="_Toc241083083"/>
      <w:bookmarkStart w:id="524" w:name="_Toc241670247"/>
      <w:r w:rsidRPr="00BE4F47">
        <w:rPr>
          <w:rFonts w:ascii="Aptos" w:hAnsi="Aptos"/>
          <w:b/>
          <w:color w:val="1A1A19"/>
          <w:sz w:val="20"/>
          <w:szCs w:val="20"/>
        </w:rPr>
        <w:t xml:space="preserve">L’arbitrage retenu. </w:t>
      </w:r>
      <w:r w:rsidRPr="00BE4F47">
        <w:rPr>
          <w:rFonts w:ascii="Aptos" w:hAnsi="Aptos"/>
          <w:color w:val="1A1A19"/>
          <w:sz w:val="20"/>
          <w:szCs w:val="20"/>
        </w:rPr>
        <w:t>Quatre orientations structurent cet arbitrage.</w:t>
      </w:r>
      <w:bookmarkEnd w:id="523"/>
      <w:bookmarkEnd w:id="524"/>
    </w:p>
    <w:p w14:paraId="68AED203" w14:textId="77777777" w:rsidR="00F50D70" w:rsidRPr="00BE4F47" w:rsidRDefault="00137D7F" w:rsidP="008E113B">
      <w:pPr>
        <w:pStyle w:val="Lgende"/>
        <w:keepNext/>
        <w:spacing w:line="360" w:lineRule="auto"/>
        <w:rPr>
          <w:rFonts w:ascii="Aptos" w:hAnsi="Aptos"/>
        </w:rPr>
      </w:pPr>
      <w:bookmarkStart w:id="525" w:name="_Toc241083084"/>
      <w:bookmarkStart w:id="526" w:name="_Toc241670248"/>
      <w:r w:rsidRPr="00BE4F47">
        <w:rPr>
          <w:rFonts w:ascii="Aptos" w:hAnsi="Aptos"/>
        </w:rPr>
        <w:t>Tableau 7-2. Orientations retenues et ce qu’elles visent</w:t>
      </w:r>
      <w:bookmarkEnd w:id="525"/>
      <w:bookmarkEnd w:id="526"/>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2611"/>
        <w:gridCol w:w="3040"/>
        <w:gridCol w:w="2906"/>
      </w:tblGrid>
      <w:tr w:rsidR="00F50D70" w:rsidRPr="00BE4F47" w14:paraId="60A08D4F" w14:textId="77777777">
        <w:trPr>
          <w:trHeight w:val="216"/>
          <w:tblHeader/>
        </w:trPr>
        <w:tc>
          <w:tcPr>
            <w:tcW w:w="2611" w:type="dxa"/>
            <w:tcBorders>
              <w:top w:val="single" w:sz="4" w:space="0" w:color="000000"/>
              <w:left w:val="single" w:sz="4" w:space="0" w:color="000000"/>
              <w:bottom w:val="single" w:sz="4" w:space="0" w:color="000000"/>
              <w:right w:val="single" w:sz="4" w:space="0" w:color="000000"/>
            </w:tcBorders>
            <w:shd w:val="clear" w:color="auto" w:fill="EFF4FB"/>
          </w:tcPr>
          <w:p w14:paraId="15BBAE3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Orientation</w:t>
            </w:r>
          </w:p>
        </w:tc>
        <w:tc>
          <w:tcPr>
            <w:tcW w:w="3040" w:type="dxa"/>
            <w:tcBorders>
              <w:top w:val="single" w:sz="4" w:space="0" w:color="000000"/>
              <w:left w:val="single" w:sz="4" w:space="0" w:color="000000"/>
              <w:bottom w:val="single" w:sz="4" w:space="0" w:color="000000"/>
              <w:right w:val="single" w:sz="4" w:space="0" w:color="000000"/>
            </w:tcBorders>
            <w:shd w:val="clear" w:color="auto" w:fill="EFF4FB"/>
          </w:tcPr>
          <w:p w14:paraId="5C17F1E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Ce qu’elle maximise</w:t>
            </w:r>
          </w:p>
        </w:tc>
        <w:tc>
          <w:tcPr>
            <w:tcW w:w="2906" w:type="dxa"/>
            <w:tcBorders>
              <w:top w:val="single" w:sz="4" w:space="0" w:color="000000"/>
              <w:left w:val="single" w:sz="4" w:space="0" w:color="000000"/>
              <w:bottom w:val="single" w:sz="4" w:space="0" w:color="000000"/>
              <w:right w:val="single" w:sz="4" w:space="0" w:color="000000"/>
            </w:tcBorders>
            <w:shd w:val="clear" w:color="auto" w:fill="EFF4FB"/>
          </w:tcPr>
          <w:p w14:paraId="1DA867B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Ce qu’elle minimise</w:t>
            </w:r>
          </w:p>
        </w:tc>
      </w:tr>
      <w:tr w:rsidR="00F50D70" w:rsidRPr="00BE4F47" w14:paraId="4AF21404" w14:textId="77777777">
        <w:trPr>
          <w:cantSplit/>
          <w:trHeight w:val="612"/>
        </w:trPr>
        <w:tc>
          <w:tcPr>
            <w:tcW w:w="2611" w:type="dxa"/>
            <w:tcBorders>
              <w:top w:val="single" w:sz="4" w:space="0" w:color="000000"/>
              <w:left w:val="single" w:sz="4" w:space="0" w:color="000000"/>
              <w:bottom w:val="single" w:sz="4" w:space="0" w:color="000000"/>
              <w:right w:val="single" w:sz="4" w:space="0" w:color="000000"/>
            </w:tcBorders>
          </w:tcPr>
          <w:p w14:paraId="0A59ECC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État D3 du GEMMA, fonctionnement dégradé autorisé sous surveillance renforcée et validation humaine.</w:t>
            </w:r>
          </w:p>
        </w:tc>
        <w:tc>
          <w:tcPr>
            <w:tcW w:w="3040" w:type="dxa"/>
            <w:tcBorders>
              <w:top w:val="single" w:sz="4" w:space="0" w:color="000000"/>
              <w:left w:val="single" w:sz="4" w:space="0" w:color="000000"/>
              <w:bottom w:val="single" w:sz="4" w:space="0" w:color="000000"/>
              <w:right w:val="single" w:sz="4" w:space="0" w:color="000000"/>
            </w:tcBorders>
          </w:tcPr>
          <w:p w14:paraId="36DCBF3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La disponibilité de l’outil : une donnée partiellement dégradée n’entraîne pas l’arrêt complet de la surveillance.</w:t>
            </w:r>
          </w:p>
        </w:tc>
        <w:tc>
          <w:tcPr>
            <w:tcW w:w="2906" w:type="dxa"/>
            <w:tcBorders>
              <w:top w:val="single" w:sz="4" w:space="0" w:color="000000"/>
              <w:left w:val="single" w:sz="4" w:space="0" w:color="000000"/>
              <w:bottom w:val="single" w:sz="4" w:space="0" w:color="000000"/>
              <w:right w:val="single" w:sz="4" w:space="0" w:color="000000"/>
            </w:tcBorders>
          </w:tcPr>
          <w:p w14:paraId="4DA1958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risque d’exploiter un diagnostic non fiable, puisque le passage exige une confirmation explicite (EX-F-09).</w:t>
            </w:r>
          </w:p>
        </w:tc>
      </w:tr>
      <w:tr w:rsidR="00F50D70" w:rsidRPr="00BE4F47" w14:paraId="6D03F76B" w14:textId="77777777">
        <w:trPr>
          <w:cantSplit/>
          <w:trHeight w:val="612"/>
        </w:trPr>
        <w:tc>
          <w:tcPr>
            <w:tcW w:w="2611" w:type="dxa"/>
            <w:tcBorders>
              <w:top w:val="single" w:sz="4" w:space="0" w:color="000000"/>
              <w:left w:val="single" w:sz="4" w:space="0" w:color="000000"/>
              <w:bottom w:val="single" w:sz="4" w:space="0" w:color="000000"/>
              <w:right w:val="single" w:sz="4" w:space="0" w:color="000000"/>
            </w:tcBorders>
          </w:tcPr>
          <w:p w14:paraId="43F6AB3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lastRenderedPageBreak/>
              <w:t>Signalement de l’incertitude plutôt qu’affichage d’un état normal par défaut (EX-F-06).</w:t>
            </w:r>
          </w:p>
        </w:tc>
        <w:tc>
          <w:tcPr>
            <w:tcW w:w="3040" w:type="dxa"/>
            <w:tcBorders>
              <w:top w:val="single" w:sz="4" w:space="0" w:color="000000"/>
              <w:left w:val="single" w:sz="4" w:space="0" w:color="000000"/>
              <w:bottom w:val="single" w:sz="4" w:space="0" w:color="000000"/>
              <w:right w:val="single" w:sz="4" w:space="0" w:color="000000"/>
            </w:tcBorders>
          </w:tcPr>
          <w:p w14:paraId="6913BEB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L’information utile réellement transmise à l’opérateur.</w:t>
            </w:r>
          </w:p>
        </w:tc>
        <w:tc>
          <w:tcPr>
            <w:tcW w:w="2906" w:type="dxa"/>
            <w:tcBorders>
              <w:top w:val="single" w:sz="4" w:space="0" w:color="000000"/>
              <w:left w:val="single" w:sz="4" w:space="0" w:color="000000"/>
              <w:bottom w:val="single" w:sz="4" w:space="0" w:color="000000"/>
              <w:right w:val="single" w:sz="4" w:space="0" w:color="000000"/>
            </w:tcBorders>
          </w:tcPr>
          <w:p w14:paraId="35893D5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biais d’automatisation et l’erreur silencieuse (RT10, RT5).</w:t>
            </w:r>
          </w:p>
        </w:tc>
      </w:tr>
      <w:tr w:rsidR="00F50D70" w:rsidRPr="00BE4F47" w14:paraId="5FEE6EB8" w14:textId="77777777">
        <w:trPr>
          <w:cantSplit/>
          <w:trHeight w:val="601"/>
        </w:trPr>
        <w:tc>
          <w:tcPr>
            <w:tcW w:w="2611" w:type="dxa"/>
            <w:tcBorders>
              <w:top w:val="single" w:sz="4" w:space="0" w:color="000000"/>
              <w:left w:val="single" w:sz="4" w:space="0" w:color="000000"/>
              <w:bottom w:val="single" w:sz="4" w:space="0" w:color="000000"/>
              <w:right w:val="single" w:sz="4" w:space="0" w:color="000000"/>
            </w:tcBorders>
          </w:tcPr>
          <w:p w14:paraId="4C37AD8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Interdiction de redémarrage direct depuis l’état D1, imposant le passage par D2, A5, A6 et A1.</w:t>
            </w:r>
          </w:p>
        </w:tc>
        <w:tc>
          <w:tcPr>
            <w:tcW w:w="3040" w:type="dxa"/>
            <w:tcBorders>
              <w:top w:val="single" w:sz="4" w:space="0" w:color="000000"/>
              <w:left w:val="single" w:sz="4" w:space="0" w:color="000000"/>
              <w:bottom w:val="single" w:sz="4" w:space="0" w:color="000000"/>
              <w:right w:val="single" w:sz="4" w:space="0" w:color="000000"/>
            </w:tcBorders>
          </w:tcPr>
          <w:p w14:paraId="0F08A5A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La maîtrise de la reprise après un événement.</w:t>
            </w:r>
          </w:p>
        </w:tc>
        <w:tc>
          <w:tcPr>
            <w:tcW w:w="2906" w:type="dxa"/>
            <w:tcBorders>
              <w:top w:val="single" w:sz="4" w:space="0" w:color="000000"/>
              <w:left w:val="single" w:sz="4" w:space="0" w:color="000000"/>
              <w:bottom w:val="single" w:sz="4" w:space="0" w:color="000000"/>
              <w:right w:val="single" w:sz="4" w:space="0" w:color="000000"/>
            </w:tcBorders>
          </w:tcPr>
          <w:p w14:paraId="59C7C57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redémarrage d’un système dont la cause de défaillance n’a pas été traitée.</w:t>
            </w:r>
          </w:p>
        </w:tc>
      </w:tr>
      <w:tr w:rsidR="00F50D70" w:rsidRPr="00BE4F47" w14:paraId="19404E6C" w14:textId="77777777">
        <w:trPr>
          <w:cantSplit/>
          <w:trHeight w:val="612"/>
        </w:trPr>
        <w:tc>
          <w:tcPr>
            <w:tcW w:w="2611" w:type="dxa"/>
            <w:tcBorders>
              <w:top w:val="single" w:sz="4" w:space="0" w:color="000000"/>
              <w:left w:val="single" w:sz="4" w:space="0" w:color="000000"/>
              <w:bottom w:val="single" w:sz="4" w:space="0" w:color="000000"/>
              <w:right w:val="single" w:sz="4" w:space="0" w:color="000000"/>
            </w:tcBorders>
          </w:tcPr>
          <w:p w14:paraId="591A6D8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Priorité de réduction du contenu ajustable avant toute réduction des activités de V&amp;V (RP2).</w:t>
            </w:r>
          </w:p>
        </w:tc>
        <w:tc>
          <w:tcPr>
            <w:tcW w:w="3040" w:type="dxa"/>
            <w:tcBorders>
              <w:top w:val="single" w:sz="4" w:space="0" w:color="000000"/>
              <w:left w:val="single" w:sz="4" w:space="0" w:color="000000"/>
              <w:bottom w:val="single" w:sz="4" w:space="0" w:color="000000"/>
              <w:right w:val="single" w:sz="4" w:space="0" w:color="000000"/>
            </w:tcBorders>
          </w:tcPr>
          <w:p w14:paraId="65E9727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La valeur démontrable du livrable à ressources constantes.</w:t>
            </w:r>
          </w:p>
        </w:tc>
        <w:tc>
          <w:tcPr>
            <w:tcW w:w="2906" w:type="dxa"/>
            <w:tcBorders>
              <w:top w:val="single" w:sz="4" w:space="0" w:color="000000"/>
              <w:left w:val="single" w:sz="4" w:space="0" w:color="000000"/>
              <w:bottom w:val="single" w:sz="4" w:space="0" w:color="000000"/>
              <w:right w:val="single" w:sz="4" w:space="0" w:color="000000"/>
            </w:tcBorders>
          </w:tcPr>
          <w:p w14:paraId="47DA356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Le risque de remettre un prototype dont la qualité n’a pas été vérifiée.</w:t>
            </w:r>
          </w:p>
        </w:tc>
      </w:tr>
    </w:tbl>
    <w:p w14:paraId="3F1FBA73"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527" w:name="_Toc241083085"/>
      <w:bookmarkStart w:id="528" w:name="_Toc241670249"/>
      <w:r w:rsidRPr="00BE4F47">
        <w:rPr>
          <w:rFonts w:ascii="Aptos" w:hAnsi="Aptos"/>
          <w:color w:val="1A1A19"/>
          <w:sz w:val="20"/>
          <w:szCs w:val="20"/>
        </w:rPr>
        <w:t>S’y ajoute une règle de suivi : les risques sont réévalués à chaque jalon et à chaque modification importante du périmètre, des exigences ou des hypothèses.</w:t>
      </w:r>
      <w:bookmarkEnd w:id="527"/>
      <w:bookmarkEnd w:id="528"/>
    </w:p>
    <w:p w14:paraId="2FEF389D" w14:textId="77777777" w:rsidR="00F50D70" w:rsidRPr="00B36301" w:rsidRDefault="00137D7F" w:rsidP="008E113B">
      <w:pPr>
        <w:pStyle w:val="Titre2"/>
        <w:spacing w:line="360" w:lineRule="auto"/>
      </w:pPr>
      <w:bookmarkStart w:id="529" w:name="__RefHeading___Toc240715264"/>
      <w:bookmarkStart w:id="530" w:name="_Toc241670250"/>
      <w:bookmarkEnd w:id="529"/>
      <w:r w:rsidRPr="00B36301">
        <w:t>Méthode d’analyse des risques</w:t>
      </w:r>
      <w:bookmarkEnd w:id="530"/>
    </w:p>
    <w:p w14:paraId="4C0CA9FA" w14:textId="77777777" w:rsidR="00F50D70" w:rsidRPr="00BE4F47" w:rsidRDefault="00137D7F" w:rsidP="008E113B">
      <w:pPr>
        <w:spacing w:after="130" w:line="360" w:lineRule="auto"/>
        <w:ind w:left="360"/>
        <w:rPr>
          <w:rFonts w:ascii="Aptos" w:hAnsi="Aptos"/>
        </w:rPr>
      </w:pPr>
      <w:bookmarkStart w:id="531" w:name="_Toc241083048"/>
      <w:bookmarkStart w:id="532" w:name="_Toc241670251"/>
      <w:r w:rsidRPr="00BE4F47">
        <w:rPr>
          <w:rFonts w:ascii="Aptos" w:hAnsi="Aptos"/>
          <w:color w:val="1A1A19"/>
          <w:sz w:val="20"/>
          <w:szCs w:val="20"/>
        </w:rPr>
        <w:t>La portée de l’analyse. L’analyse porte sur les risques du prototype universitaire, de son développement, de son modèle de référence, de sa chaîne de données et de son interface. Elle ne constitue pas une analyse probabiliste de sûreté de Gentilly-2, et les niveaux d’impact ne représentent pas les conséquences d’un accident nucléaire réel.</w:t>
      </w:r>
      <w:bookmarkEnd w:id="531"/>
      <w:bookmarkEnd w:id="532"/>
    </w:p>
    <w:p w14:paraId="61DC3D0F" w14:textId="77777777" w:rsidR="00F50D70" w:rsidRPr="00BE4F47" w:rsidRDefault="00137D7F" w:rsidP="008E113B">
      <w:pPr>
        <w:spacing w:after="130" w:line="360" w:lineRule="auto"/>
        <w:ind w:left="360"/>
        <w:rPr>
          <w:rFonts w:ascii="Aptos" w:hAnsi="Aptos"/>
        </w:rPr>
      </w:pPr>
      <w:bookmarkStart w:id="533" w:name="_Toc241083087"/>
      <w:bookmarkStart w:id="534" w:name="_Toc241670252"/>
      <w:r w:rsidRPr="00BE4F47">
        <w:rPr>
          <w:rFonts w:ascii="Aptos" w:hAnsi="Aptos"/>
          <w:color w:val="1A1A19"/>
          <w:sz w:val="20"/>
          <w:szCs w:val="20"/>
        </w:rPr>
        <w:t>Le cadre de référence. La démarche suit le processus de management du risque d’ISO 31000 [29], retenue au tableau 6-3 : identification, analyse, évaluation, traitement, puis surveillance et revue. Les quatre étapes demandées par le mandat, identification, évaluation, atténuation et tolérance, correspondent à ce processus.</w:t>
      </w:r>
      <w:bookmarkEnd w:id="533"/>
      <w:bookmarkEnd w:id="534"/>
    </w:p>
    <w:p w14:paraId="591F4B81" w14:textId="77777777" w:rsidR="00F50D70" w:rsidRPr="00BE4F47" w:rsidRDefault="00137D7F" w:rsidP="008E113B">
      <w:pPr>
        <w:spacing w:after="130" w:line="360" w:lineRule="auto"/>
        <w:ind w:left="360"/>
        <w:rPr>
          <w:rFonts w:ascii="Aptos" w:hAnsi="Aptos"/>
        </w:rPr>
      </w:pPr>
      <w:bookmarkStart w:id="535" w:name="_Toc241083088"/>
      <w:bookmarkStart w:id="536" w:name="_Toc241670253"/>
      <w:r w:rsidRPr="00BE4F47">
        <w:rPr>
          <w:rFonts w:ascii="Aptos" w:hAnsi="Aptos"/>
          <w:color w:val="1A1A19"/>
          <w:sz w:val="20"/>
          <w:szCs w:val="20"/>
        </w:rPr>
        <w:t>Deux registres sont distingués. Les risques de projet touchent l’échéancier, les ressources, les coûts et le périmètre. Les risques du produit concernent le fonctionnement, la fiabilité, les données, la cybersécurité et l’utilisation du jumeau numérique. Les deux familles n’ont ni les mêmes propriétaires, ni les mêmes moyens de traitement, ni les mêmes échéances.</w:t>
      </w:r>
      <w:bookmarkEnd w:id="535"/>
      <w:bookmarkEnd w:id="536"/>
    </w:p>
    <w:p w14:paraId="303BDFFD"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537" w:name="_Toc241083089"/>
      <w:bookmarkStart w:id="538" w:name="_Toc241670254"/>
      <w:r w:rsidRPr="00BE4F47">
        <w:rPr>
          <w:rFonts w:ascii="Aptos" w:hAnsi="Aptos"/>
          <w:b/>
          <w:color w:val="1A1A19"/>
          <w:sz w:val="20"/>
          <w:szCs w:val="20"/>
        </w:rPr>
        <w:t xml:space="preserve">Les méthodes d’identification. </w:t>
      </w:r>
      <w:r w:rsidRPr="00BE4F47">
        <w:rPr>
          <w:rFonts w:ascii="Aptos" w:hAnsi="Aptos"/>
          <w:color w:val="1A1A19"/>
          <w:sz w:val="20"/>
          <w:szCs w:val="20"/>
        </w:rPr>
        <w:t>Deux méthodes, parmi celles recensées par l’Ordre des ingénieurs du Québec [41], ont été employées :</w:t>
      </w:r>
      <w:bookmarkEnd w:id="537"/>
      <w:bookmarkEnd w:id="538"/>
    </w:p>
    <w:p w14:paraId="040CAD81" w14:textId="77777777" w:rsidR="00F50D70" w:rsidRPr="00BE4F47" w:rsidRDefault="00137D7F" w:rsidP="008E113B">
      <w:pPr>
        <w:numPr>
          <w:ilvl w:val="0"/>
          <w:numId w:val="20"/>
        </w:numPr>
        <w:spacing w:after="130" w:line="360" w:lineRule="auto"/>
        <w:ind w:left="720"/>
        <w:rPr>
          <w:rFonts w:ascii="Aptos" w:hAnsi="Aptos"/>
        </w:rPr>
      </w:pPr>
      <w:bookmarkStart w:id="539" w:name="_Toc241670255"/>
      <w:r w:rsidRPr="00BE4F47">
        <w:rPr>
          <w:rFonts w:ascii="Aptos" w:hAnsi="Aptos"/>
          <w:color w:val="1A1A19"/>
          <w:sz w:val="20"/>
          <w:szCs w:val="20"/>
        </w:rPr>
        <w:t>Analyse préliminaire des risques (APR). Balayage large conduit en séance d’équipe à partir du périmètre, des exigences et des hypothèses. Elle a produit les familles du RBS présenté en 7.4.</w:t>
      </w:r>
      <w:bookmarkEnd w:id="539"/>
    </w:p>
    <w:p w14:paraId="7568D100" w14:textId="77777777" w:rsidR="00F50D70" w:rsidRPr="00BE4F47" w:rsidRDefault="00137D7F" w:rsidP="008E113B">
      <w:pPr>
        <w:numPr>
          <w:ilvl w:val="0"/>
          <w:numId w:val="20"/>
        </w:numPr>
        <w:spacing w:after="130" w:line="360" w:lineRule="auto"/>
        <w:ind w:left="720"/>
        <w:rPr>
          <w:rFonts w:ascii="Aptos" w:hAnsi="Aptos"/>
        </w:rPr>
      </w:pPr>
      <w:bookmarkStart w:id="540" w:name="_Toc241670256"/>
      <w:r w:rsidRPr="00BE4F47">
        <w:rPr>
          <w:rFonts w:ascii="Aptos" w:hAnsi="Aptos"/>
          <w:color w:val="1A1A19"/>
          <w:sz w:val="20"/>
          <w:szCs w:val="20"/>
        </w:rPr>
        <w:t>Analyse des modes de défaillance, de leurs effets et de leur criticité (AMDEC), appliquée à la chaîne de détection. Pour chaque mode de défaillance identifié (capteur muet, dérive lente, donnée altérée, perte de communication), l’effet sur la décision de l’opérateur et la classe de risque correspondante ont été examinés. Elle a produit les risques RT1 à RT6.</w:t>
      </w:r>
      <w:bookmarkEnd w:id="540"/>
    </w:p>
    <w:p w14:paraId="5126F478" w14:textId="05827812" w:rsidR="00F50D70" w:rsidRPr="00BE4F47" w:rsidRDefault="00137D7F" w:rsidP="008E113B">
      <w:pPr>
        <w:spacing w:after="130" w:line="360" w:lineRule="auto"/>
        <w:ind w:left="360"/>
        <w:rPr>
          <w:rFonts w:ascii="Aptos" w:eastAsia="Calibri" w:hAnsi="Aptos" w:cs="Calibri"/>
          <w:color w:val="1A1A19"/>
          <w:sz w:val="20"/>
          <w:szCs w:val="20"/>
        </w:rPr>
      </w:pPr>
      <w:bookmarkStart w:id="541" w:name="_Toc241083090"/>
      <w:bookmarkStart w:id="542" w:name="_Toc241670257"/>
      <w:r w:rsidRPr="00BE4F47">
        <w:rPr>
          <w:rFonts w:ascii="Aptos" w:hAnsi="Aptos"/>
          <w:color w:val="1A1A19"/>
          <w:sz w:val="20"/>
          <w:szCs w:val="20"/>
        </w:rPr>
        <w:t xml:space="preserve">Les méthodes plus lourdes recensées par la même source, notamment l’étude de risques et d’exploitabilité (HAZOP) et l’analyse quantitative des risques, n’ont pas été employées : elles sont disproportionnées pour un prototype simulé et l’équipe ne dispose ni des données ni </w:t>
      </w:r>
      <w:r w:rsidR="007E5FC7" w:rsidRPr="00BE4F47">
        <w:rPr>
          <w:rFonts w:ascii="Aptos" w:hAnsi="Aptos"/>
          <w:color w:val="1A1A19"/>
          <w:sz w:val="20"/>
          <w:szCs w:val="20"/>
        </w:rPr>
        <w:t>du temps nécessaire</w:t>
      </w:r>
      <w:r w:rsidRPr="00BE4F47">
        <w:rPr>
          <w:rFonts w:ascii="Aptos" w:hAnsi="Aptos"/>
          <w:color w:val="1A1A19"/>
          <w:sz w:val="20"/>
          <w:szCs w:val="20"/>
        </w:rPr>
        <w:t>.</w:t>
      </w:r>
      <w:bookmarkEnd w:id="541"/>
      <w:bookmarkEnd w:id="542"/>
    </w:p>
    <w:p w14:paraId="0706E14A" w14:textId="77777777" w:rsidR="00F50D70" w:rsidRPr="00BE4F47" w:rsidRDefault="00137D7F" w:rsidP="008E113B">
      <w:pPr>
        <w:spacing w:after="130" w:line="360" w:lineRule="auto"/>
        <w:ind w:left="360"/>
        <w:rPr>
          <w:rFonts w:ascii="Aptos" w:hAnsi="Aptos"/>
        </w:rPr>
      </w:pPr>
      <w:bookmarkStart w:id="543" w:name="_Toc241083091"/>
      <w:bookmarkStart w:id="544" w:name="_Toc241670258"/>
      <w:r w:rsidRPr="00BE4F47">
        <w:rPr>
          <w:rFonts w:ascii="Aptos" w:hAnsi="Aptos"/>
          <w:b/>
          <w:color w:val="1A1A19"/>
          <w:sz w:val="20"/>
          <w:szCs w:val="20"/>
        </w:rPr>
        <w:lastRenderedPageBreak/>
        <w:t xml:space="preserve">Les échelles de cotation. </w:t>
      </w:r>
      <w:r w:rsidRPr="00BE4F47">
        <w:rPr>
          <w:rFonts w:ascii="Aptos" w:hAnsi="Aptos"/>
          <w:color w:val="1A1A19"/>
          <w:sz w:val="20"/>
          <w:szCs w:val="20"/>
        </w:rPr>
        <w:t>Les risques sont cotés selon l’échelle de la grille d’analyse de risque employée dans le cours. La gravité va de 1 à 5, la probabilité de A à E. Les définitions de probabilité de la grille sont exprimées pour la durée de vie d’une installation ; la dernière colonne en donne la lecture retenue pour un mandat d’un trimestre.</w:t>
      </w:r>
      <w:bookmarkEnd w:id="543"/>
      <w:bookmarkEnd w:id="544"/>
    </w:p>
    <w:p w14:paraId="2DFD7CF2" w14:textId="77777777" w:rsidR="00F50D70" w:rsidRPr="00BE4F47" w:rsidRDefault="00137D7F" w:rsidP="008E113B">
      <w:pPr>
        <w:pStyle w:val="Lgende"/>
        <w:keepNext/>
        <w:spacing w:line="360" w:lineRule="auto"/>
        <w:rPr>
          <w:rFonts w:ascii="Aptos" w:hAnsi="Aptos"/>
        </w:rPr>
      </w:pPr>
      <w:bookmarkStart w:id="545" w:name="_Toc241083092"/>
      <w:bookmarkStart w:id="546" w:name="_Toc241670259"/>
      <w:r w:rsidRPr="00BE4F47">
        <w:rPr>
          <w:rFonts w:ascii="Aptos" w:hAnsi="Aptos"/>
        </w:rPr>
        <w:t>Tableau 7-3. Échelles de gravité et de probabilité</w:t>
      </w:r>
      <w:bookmarkEnd w:id="545"/>
      <w:bookmarkEnd w:id="546"/>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917"/>
        <w:gridCol w:w="3667"/>
        <w:gridCol w:w="3973"/>
      </w:tblGrid>
      <w:tr w:rsidR="00F50D70" w:rsidRPr="00BE4F47" w14:paraId="4DF6A442" w14:textId="77777777">
        <w:trPr>
          <w:trHeight w:val="235"/>
          <w:tblHeader/>
        </w:trPr>
        <w:tc>
          <w:tcPr>
            <w:tcW w:w="917" w:type="dxa"/>
            <w:tcBorders>
              <w:top w:val="single" w:sz="4" w:space="0" w:color="000000"/>
              <w:left w:val="single" w:sz="4" w:space="0" w:color="000000"/>
              <w:bottom w:val="single" w:sz="4" w:space="0" w:color="000000"/>
              <w:right w:val="single" w:sz="4" w:space="0" w:color="000000"/>
            </w:tcBorders>
            <w:shd w:val="clear" w:color="auto" w:fill="EFF4FB"/>
          </w:tcPr>
          <w:p w14:paraId="70AF181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Niveau</w:t>
            </w:r>
          </w:p>
        </w:tc>
        <w:tc>
          <w:tcPr>
            <w:tcW w:w="3667" w:type="dxa"/>
            <w:tcBorders>
              <w:top w:val="single" w:sz="4" w:space="0" w:color="000000"/>
              <w:left w:val="single" w:sz="4" w:space="0" w:color="000000"/>
              <w:bottom w:val="single" w:sz="4" w:space="0" w:color="000000"/>
              <w:right w:val="single" w:sz="4" w:space="0" w:color="000000"/>
            </w:tcBorders>
            <w:shd w:val="clear" w:color="auto" w:fill="EFF4FB"/>
          </w:tcPr>
          <w:p w14:paraId="083B414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Gravité</w:t>
            </w:r>
          </w:p>
        </w:tc>
        <w:tc>
          <w:tcPr>
            <w:tcW w:w="3973" w:type="dxa"/>
            <w:tcBorders>
              <w:top w:val="single" w:sz="4" w:space="0" w:color="000000"/>
              <w:left w:val="single" w:sz="4" w:space="0" w:color="000000"/>
              <w:bottom w:val="single" w:sz="4" w:space="0" w:color="000000"/>
              <w:right w:val="single" w:sz="4" w:space="0" w:color="000000"/>
            </w:tcBorders>
            <w:shd w:val="clear" w:color="auto" w:fill="EFF4FB"/>
          </w:tcPr>
          <w:p w14:paraId="6445345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Probabilité</w:t>
            </w:r>
          </w:p>
        </w:tc>
      </w:tr>
      <w:tr w:rsidR="00F50D70" w:rsidRPr="00BE4F47" w14:paraId="4E0A4546" w14:textId="77777777">
        <w:trPr>
          <w:cantSplit/>
          <w:trHeight w:val="259"/>
        </w:trPr>
        <w:tc>
          <w:tcPr>
            <w:tcW w:w="917" w:type="dxa"/>
            <w:tcBorders>
              <w:top w:val="single" w:sz="4" w:space="0" w:color="000000"/>
              <w:left w:val="single" w:sz="4" w:space="0" w:color="000000"/>
              <w:bottom w:val="single" w:sz="4" w:space="0" w:color="000000"/>
              <w:right w:val="single" w:sz="4" w:space="0" w:color="000000"/>
            </w:tcBorders>
          </w:tcPr>
          <w:p w14:paraId="0A0854F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1 et A</w:t>
            </w:r>
          </w:p>
        </w:tc>
        <w:tc>
          <w:tcPr>
            <w:tcW w:w="3667" w:type="dxa"/>
            <w:tcBorders>
              <w:top w:val="single" w:sz="4" w:space="0" w:color="000000"/>
              <w:left w:val="single" w:sz="4" w:space="0" w:color="000000"/>
              <w:bottom w:val="single" w:sz="4" w:space="0" w:color="000000"/>
              <w:right w:val="single" w:sz="4" w:space="0" w:color="000000"/>
            </w:tcBorders>
          </w:tcPr>
          <w:p w14:paraId="7CB04B2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Négligeable. Aucun effet sur le livrable ni sur l’échéancier.</w:t>
            </w:r>
          </w:p>
        </w:tc>
        <w:tc>
          <w:tcPr>
            <w:tcW w:w="3973" w:type="dxa"/>
            <w:tcBorders>
              <w:top w:val="single" w:sz="4" w:space="0" w:color="000000"/>
              <w:left w:val="single" w:sz="4" w:space="0" w:color="000000"/>
              <w:bottom w:val="single" w:sz="4" w:space="0" w:color="000000"/>
              <w:right w:val="single" w:sz="4" w:space="0" w:color="000000"/>
            </w:tcBorders>
          </w:tcPr>
          <w:p w14:paraId="1240766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 presque certain. Plus de 50 %. Se produira sans mesure de traitement.</w:t>
            </w:r>
          </w:p>
        </w:tc>
      </w:tr>
      <w:tr w:rsidR="00F50D70" w:rsidRPr="00BE4F47" w14:paraId="7694788F" w14:textId="77777777">
        <w:trPr>
          <w:cantSplit/>
          <w:trHeight w:val="259"/>
        </w:trPr>
        <w:tc>
          <w:tcPr>
            <w:tcW w:w="917" w:type="dxa"/>
            <w:tcBorders>
              <w:top w:val="single" w:sz="4" w:space="0" w:color="000000"/>
              <w:left w:val="single" w:sz="4" w:space="0" w:color="000000"/>
              <w:bottom w:val="single" w:sz="4" w:space="0" w:color="000000"/>
              <w:right w:val="single" w:sz="4" w:space="0" w:color="000000"/>
            </w:tcBorders>
          </w:tcPr>
          <w:p w14:paraId="7B1066B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2 et B</w:t>
            </w:r>
          </w:p>
        </w:tc>
        <w:tc>
          <w:tcPr>
            <w:tcW w:w="3667" w:type="dxa"/>
            <w:tcBorders>
              <w:top w:val="single" w:sz="4" w:space="0" w:color="000000"/>
              <w:left w:val="single" w:sz="4" w:space="0" w:color="000000"/>
              <w:bottom w:val="single" w:sz="4" w:space="0" w:color="000000"/>
              <w:right w:val="single" w:sz="4" w:space="0" w:color="000000"/>
            </w:tcBorders>
          </w:tcPr>
          <w:p w14:paraId="3F40937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Faible. Effet absorbable sans modification du plan.</w:t>
            </w:r>
          </w:p>
        </w:tc>
        <w:tc>
          <w:tcPr>
            <w:tcW w:w="3973" w:type="dxa"/>
            <w:tcBorders>
              <w:top w:val="single" w:sz="4" w:space="0" w:color="000000"/>
              <w:left w:val="single" w:sz="4" w:space="0" w:color="000000"/>
              <w:bottom w:val="single" w:sz="4" w:space="0" w:color="000000"/>
              <w:right w:val="single" w:sz="4" w:space="0" w:color="000000"/>
            </w:tcBorders>
          </w:tcPr>
          <w:p w14:paraId="2B65AC6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B, probablement. De 25 à 50 %. Attendu au moins une fois durant le mandat.</w:t>
            </w:r>
          </w:p>
        </w:tc>
      </w:tr>
      <w:tr w:rsidR="00F50D70" w:rsidRPr="00BE4F47" w14:paraId="4059837A" w14:textId="77777777">
        <w:trPr>
          <w:cantSplit/>
          <w:trHeight w:val="259"/>
        </w:trPr>
        <w:tc>
          <w:tcPr>
            <w:tcW w:w="917" w:type="dxa"/>
            <w:tcBorders>
              <w:top w:val="single" w:sz="4" w:space="0" w:color="000000"/>
              <w:left w:val="single" w:sz="4" w:space="0" w:color="000000"/>
              <w:bottom w:val="single" w:sz="4" w:space="0" w:color="000000"/>
              <w:right w:val="single" w:sz="4" w:space="0" w:color="000000"/>
            </w:tcBorders>
          </w:tcPr>
          <w:p w14:paraId="38E1F12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3 et C</w:t>
            </w:r>
          </w:p>
        </w:tc>
        <w:tc>
          <w:tcPr>
            <w:tcW w:w="3667" w:type="dxa"/>
            <w:tcBorders>
              <w:top w:val="single" w:sz="4" w:space="0" w:color="000000"/>
              <w:left w:val="single" w:sz="4" w:space="0" w:color="000000"/>
              <w:bottom w:val="single" w:sz="4" w:space="0" w:color="000000"/>
              <w:right w:val="single" w:sz="4" w:space="0" w:color="000000"/>
            </w:tcBorders>
          </w:tcPr>
          <w:p w14:paraId="4EEDFC2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Sérieux. Retard ou reprise partielle d’une activité.</w:t>
            </w:r>
          </w:p>
        </w:tc>
        <w:tc>
          <w:tcPr>
            <w:tcW w:w="3973" w:type="dxa"/>
            <w:tcBorders>
              <w:top w:val="single" w:sz="4" w:space="0" w:color="000000"/>
              <w:left w:val="single" w:sz="4" w:space="0" w:color="000000"/>
              <w:bottom w:val="single" w:sz="4" w:space="0" w:color="000000"/>
              <w:right w:val="single" w:sz="4" w:space="0" w:color="000000"/>
            </w:tcBorders>
          </w:tcPr>
          <w:p w14:paraId="1AEE3AF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 possible. De 10 à 25 %. Plausible et déjà observé dans des projets comparables.</w:t>
            </w:r>
          </w:p>
        </w:tc>
      </w:tr>
      <w:tr w:rsidR="00F50D70" w:rsidRPr="00BE4F47" w14:paraId="78D05570" w14:textId="77777777">
        <w:trPr>
          <w:cantSplit/>
          <w:trHeight w:val="259"/>
        </w:trPr>
        <w:tc>
          <w:tcPr>
            <w:tcW w:w="917" w:type="dxa"/>
            <w:tcBorders>
              <w:top w:val="single" w:sz="4" w:space="0" w:color="000000"/>
              <w:left w:val="single" w:sz="4" w:space="0" w:color="000000"/>
              <w:bottom w:val="single" w:sz="4" w:space="0" w:color="000000"/>
              <w:right w:val="single" w:sz="4" w:space="0" w:color="000000"/>
            </w:tcBorders>
          </w:tcPr>
          <w:p w14:paraId="4515C66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4 et D</w:t>
            </w:r>
          </w:p>
        </w:tc>
        <w:tc>
          <w:tcPr>
            <w:tcW w:w="3667" w:type="dxa"/>
            <w:tcBorders>
              <w:top w:val="single" w:sz="4" w:space="0" w:color="000000"/>
              <w:left w:val="single" w:sz="4" w:space="0" w:color="000000"/>
              <w:bottom w:val="single" w:sz="4" w:space="0" w:color="000000"/>
              <w:right w:val="single" w:sz="4" w:space="0" w:color="000000"/>
            </w:tcBorders>
          </w:tcPr>
          <w:p w14:paraId="6F69F4A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Critique. Remise en cause d’un livrable ou d’un jalon.</w:t>
            </w:r>
          </w:p>
        </w:tc>
        <w:tc>
          <w:tcPr>
            <w:tcW w:w="3973" w:type="dxa"/>
            <w:tcBorders>
              <w:top w:val="single" w:sz="4" w:space="0" w:color="000000"/>
              <w:left w:val="single" w:sz="4" w:space="0" w:color="000000"/>
              <w:bottom w:val="single" w:sz="4" w:space="0" w:color="000000"/>
              <w:right w:val="single" w:sz="4" w:space="0" w:color="000000"/>
            </w:tcBorders>
          </w:tcPr>
          <w:p w14:paraId="4EDC69B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 improbable. De 1 à 10 %. Plausible mais sans indice actuel.</w:t>
            </w:r>
          </w:p>
        </w:tc>
      </w:tr>
      <w:tr w:rsidR="00F50D70" w:rsidRPr="00BE4F47" w14:paraId="2E03F6A0" w14:textId="77777777">
        <w:trPr>
          <w:cantSplit/>
          <w:trHeight w:val="259"/>
        </w:trPr>
        <w:tc>
          <w:tcPr>
            <w:tcW w:w="917" w:type="dxa"/>
            <w:tcBorders>
              <w:top w:val="single" w:sz="4" w:space="0" w:color="000000"/>
              <w:left w:val="single" w:sz="4" w:space="0" w:color="000000"/>
              <w:bottom w:val="single" w:sz="4" w:space="0" w:color="000000"/>
              <w:right w:val="single" w:sz="4" w:space="0" w:color="000000"/>
            </w:tcBorders>
          </w:tcPr>
          <w:p w14:paraId="6B6AA03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5 et E</w:t>
            </w:r>
          </w:p>
        </w:tc>
        <w:tc>
          <w:tcPr>
            <w:tcW w:w="3667" w:type="dxa"/>
            <w:tcBorders>
              <w:top w:val="single" w:sz="4" w:space="0" w:color="000000"/>
              <w:left w:val="single" w:sz="4" w:space="0" w:color="000000"/>
              <w:bottom w:val="single" w:sz="4" w:space="0" w:color="000000"/>
              <w:right w:val="single" w:sz="4" w:space="0" w:color="000000"/>
            </w:tcBorders>
          </w:tcPr>
          <w:p w14:paraId="7491925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Catastrophique. Remise en cause du mandat ou de la validité des résultats.</w:t>
            </w:r>
          </w:p>
        </w:tc>
        <w:tc>
          <w:tcPr>
            <w:tcW w:w="3973" w:type="dxa"/>
            <w:tcBorders>
              <w:top w:val="single" w:sz="4" w:space="0" w:color="000000"/>
              <w:left w:val="single" w:sz="4" w:space="0" w:color="000000"/>
              <w:bottom w:val="single" w:sz="4" w:space="0" w:color="000000"/>
              <w:right w:val="single" w:sz="4" w:space="0" w:color="000000"/>
            </w:tcBorders>
          </w:tcPr>
          <w:p w14:paraId="0FA7A8D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 très improbable. Moins de 1 %. Non anticipé dans le cadre du mandat.</w:t>
            </w:r>
          </w:p>
        </w:tc>
      </w:tr>
    </w:tbl>
    <w:p w14:paraId="69192167" w14:textId="77777777" w:rsidR="00F50D70" w:rsidRPr="00BE4F47" w:rsidRDefault="00137D7F" w:rsidP="008E113B">
      <w:pPr>
        <w:spacing w:before="200" w:after="130" w:line="360" w:lineRule="auto"/>
        <w:ind w:left="360"/>
        <w:rPr>
          <w:rFonts w:ascii="Aptos" w:hAnsi="Aptos"/>
        </w:rPr>
      </w:pPr>
      <w:bookmarkStart w:id="547" w:name="_Toc241083093"/>
      <w:bookmarkStart w:id="548" w:name="_Toc241670260"/>
      <w:r w:rsidRPr="00BE4F47">
        <w:rPr>
          <w:rFonts w:ascii="Aptos" w:hAnsi="Aptos"/>
          <w:color w:val="1A1A19"/>
          <w:sz w:val="20"/>
          <w:szCs w:val="20"/>
        </w:rPr>
        <w:t>La classe de risque se lit à l’intersection de la gravité et de la probabilité, selon la matrice de la grille. Elle remplace le produit des deux notes : deux risques de même produit n’appellent pas la même conduite selon que la gravité ou la probabilité domine.</w:t>
      </w:r>
      <w:bookmarkEnd w:id="547"/>
      <w:bookmarkEnd w:id="548"/>
    </w:p>
    <w:p w14:paraId="04235EFD" w14:textId="77777777" w:rsidR="00F50D70" w:rsidRPr="00BE4F47" w:rsidRDefault="00137D7F" w:rsidP="008E113B">
      <w:pPr>
        <w:pStyle w:val="Lgende"/>
        <w:keepNext/>
        <w:spacing w:line="360" w:lineRule="auto"/>
        <w:rPr>
          <w:rFonts w:ascii="Aptos" w:hAnsi="Aptos"/>
        </w:rPr>
      </w:pPr>
      <w:bookmarkStart w:id="549" w:name="_Toc241083094"/>
      <w:bookmarkStart w:id="550" w:name="_Toc241670261"/>
      <w:r w:rsidRPr="00BE4F47">
        <w:rPr>
          <w:rFonts w:ascii="Aptos" w:hAnsi="Aptos"/>
        </w:rPr>
        <w:t>Tableau 7-4. Classes de risque et conduite à tenir</w:t>
      </w:r>
      <w:bookmarkEnd w:id="549"/>
      <w:bookmarkEnd w:id="550"/>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815"/>
        <w:gridCol w:w="1528"/>
        <w:gridCol w:w="6214"/>
      </w:tblGrid>
      <w:tr w:rsidR="00F50D70" w:rsidRPr="00BE4F47" w14:paraId="56FAD87F" w14:textId="77777777" w:rsidTr="0036725C">
        <w:trPr>
          <w:trHeight w:val="234"/>
          <w:tblHeader/>
        </w:trPr>
        <w:tc>
          <w:tcPr>
            <w:tcW w:w="815" w:type="dxa"/>
            <w:tcBorders>
              <w:top w:val="single" w:sz="4" w:space="0" w:color="000000"/>
              <w:left w:val="single" w:sz="4" w:space="0" w:color="000000"/>
              <w:bottom w:val="single" w:sz="4" w:space="0" w:color="000000"/>
              <w:right w:val="single" w:sz="4" w:space="0" w:color="000000"/>
            </w:tcBorders>
            <w:shd w:val="clear" w:color="auto" w:fill="EFF4FB"/>
          </w:tcPr>
          <w:p w14:paraId="5BFFB8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Classe</w:t>
            </w:r>
          </w:p>
        </w:tc>
        <w:tc>
          <w:tcPr>
            <w:tcW w:w="1528" w:type="dxa"/>
            <w:tcBorders>
              <w:top w:val="single" w:sz="4" w:space="0" w:color="000000"/>
              <w:left w:val="single" w:sz="4" w:space="0" w:color="000000"/>
              <w:bottom w:val="single" w:sz="4" w:space="0" w:color="000000"/>
              <w:right w:val="single" w:sz="4" w:space="0" w:color="000000"/>
            </w:tcBorders>
            <w:shd w:val="clear" w:color="auto" w:fill="EFF4FB"/>
          </w:tcPr>
          <w:p w14:paraId="7C67F09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Couleur de la matrice</w:t>
            </w:r>
          </w:p>
        </w:tc>
        <w:tc>
          <w:tcPr>
            <w:tcW w:w="6214" w:type="dxa"/>
            <w:tcBorders>
              <w:top w:val="single" w:sz="4" w:space="0" w:color="000000"/>
              <w:left w:val="single" w:sz="4" w:space="0" w:color="000000"/>
              <w:bottom w:val="single" w:sz="4" w:space="0" w:color="000000"/>
              <w:right w:val="single" w:sz="4" w:space="0" w:color="000000"/>
            </w:tcBorders>
            <w:shd w:val="clear" w:color="auto" w:fill="EFF4FB"/>
          </w:tcPr>
          <w:p w14:paraId="3A868DC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Conduite à tenir</w:t>
            </w:r>
          </w:p>
        </w:tc>
      </w:tr>
      <w:tr w:rsidR="00F50D70" w:rsidRPr="00BE4F47" w14:paraId="2B786BD3" w14:textId="77777777" w:rsidTr="0036725C">
        <w:trPr>
          <w:cantSplit/>
          <w:trHeight w:val="257"/>
        </w:trPr>
        <w:tc>
          <w:tcPr>
            <w:tcW w:w="815" w:type="dxa"/>
            <w:tcBorders>
              <w:top w:val="single" w:sz="4" w:space="0" w:color="000000"/>
              <w:left w:val="single" w:sz="4" w:space="0" w:color="000000"/>
              <w:bottom w:val="single" w:sz="4" w:space="0" w:color="000000"/>
              <w:right w:val="single" w:sz="4" w:space="0" w:color="000000"/>
            </w:tcBorders>
          </w:tcPr>
          <w:p w14:paraId="705076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IV</w:t>
            </w:r>
          </w:p>
        </w:tc>
        <w:tc>
          <w:tcPr>
            <w:tcW w:w="1528" w:type="dxa"/>
            <w:tcBorders>
              <w:top w:val="single" w:sz="4" w:space="0" w:color="000000"/>
              <w:left w:val="single" w:sz="4" w:space="0" w:color="000000"/>
              <w:bottom w:val="single" w:sz="4" w:space="0" w:color="000000"/>
              <w:right w:val="single" w:sz="4" w:space="0" w:color="000000"/>
            </w:tcBorders>
          </w:tcPr>
          <w:p w14:paraId="59F10B7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Rouge</w:t>
            </w:r>
          </w:p>
        </w:tc>
        <w:tc>
          <w:tcPr>
            <w:tcW w:w="6214" w:type="dxa"/>
            <w:tcBorders>
              <w:top w:val="single" w:sz="4" w:space="0" w:color="000000"/>
              <w:left w:val="single" w:sz="4" w:space="0" w:color="000000"/>
              <w:bottom w:val="single" w:sz="4" w:space="0" w:color="000000"/>
              <w:right w:val="single" w:sz="4" w:space="0" w:color="000000"/>
            </w:tcBorders>
          </w:tcPr>
          <w:p w14:paraId="0F50D7E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 qui excède de façon significative les limites acceptables. Attention immédiate. Non acceptable en l’état à la fin du traitement.</w:t>
            </w:r>
          </w:p>
        </w:tc>
      </w:tr>
      <w:tr w:rsidR="00F50D70" w:rsidRPr="00BE4F47" w14:paraId="24646123" w14:textId="77777777" w:rsidTr="0036725C">
        <w:trPr>
          <w:cantSplit/>
          <w:trHeight w:val="257"/>
        </w:trPr>
        <w:tc>
          <w:tcPr>
            <w:tcW w:w="815" w:type="dxa"/>
            <w:tcBorders>
              <w:top w:val="single" w:sz="4" w:space="0" w:color="000000"/>
              <w:left w:val="single" w:sz="4" w:space="0" w:color="000000"/>
              <w:bottom w:val="single" w:sz="4" w:space="0" w:color="000000"/>
              <w:right w:val="single" w:sz="4" w:space="0" w:color="000000"/>
            </w:tcBorders>
          </w:tcPr>
          <w:p w14:paraId="45CD577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III</w:t>
            </w:r>
          </w:p>
        </w:tc>
        <w:tc>
          <w:tcPr>
            <w:tcW w:w="1528" w:type="dxa"/>
            <w:tcBorders>
              <w:top w:val="single" w:sz="4" w:space="0" w:color="000000"/>
              <w:left w:val="single" w:sz="4" w:space="0" w:color="000000"/>
              <w:bottom w:val="single" w:sz="4" w:space="0" w:color="000000"/>
              <w:right w:val="single" w:sz="4" w:space="0" w:color="000000"/>
            </w:tcBorders>
          </w:tcPr>
          <w:p w14:paraId="71A24E7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Orange</w:t>
            </w:r>
          </w:p>
        </w:tc>
        <w:tc>
          <w:tcPr>
            <w:tcW w:w="6214" w:type="dxa"/>
            <w:tcBorders>
              <w:top w:val="single" w:sz="4" w:space="0" w:color="000000"/>
              <w:left w:val="single" w:sz="4" w:space="0" w:color="000000"/>
              <w:bottom w:val="single" w:sz="4" w:space="0" w:color="000000"/>
              <w:right w:val="single" w:sz="4" w:space="0" w:color="000000"/>
            </w:tcBorders>
          </w:tcPr>
          <w:p w14:paraId="7AA844C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 qui excède les limites acceptables. Gestion proactive, mesure de traitement définie et mesure compensatoire nommée.</w:t>
            </w:r>
          </w:p>
        </w:tc>
      </w:tr>
      <w:tr w:rsidR="00F50D70" w:rsidRPr="00BE4F47" w14:paraId="68B56450" w14:textId="77777777" w:rsidTr="0036725C">
        <w:trPr>
          <w:cantSplit/>
          <w:trHeight w:val="257"/>
        </w:trPr>
        <w:tc>
          <w:tcPr>
            <w:tcW w:w="815" w:type="dxa"/>
            <w:tcBorders>
              <w:top w:val="single" w:sz="4" w:space="0" w:color="000000"/>
              <w:left w:val="single" w:sz="4" w:space="0" w:color="000000"/>
              <w:bottom w:val="single" w:sz="4" w:space="0" w:color="000000"/>
              <w:right w:val="single" w:sz="4" w:space="0" w:color="000000"/>
            </w:tcBorders>
          </w:tcPr>
          <w:p w14:paraId="39EF4E8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II</w:t>
            </w:r>
          </w:p>
        </w:tc>
        <w:tc>
          <w:tcPr>
            <w:tcW w:w="1528" w:type="dxa"/>
            <w:tcBorders>
              <w:top w:val="single" w:sz="4" w:space="0" w:color="000000"/>
              <w:left w:val="single" w:sz="4" w:space="0" w:color="000000"/>
              <w:bottom w:val="single" w:sz="4" w:space="0" w:color="000000"/>
              <w:right w:val="single" w:sz="4" w:space="0" w:color="000000"/>
            </w:tcBorders>
          </w:tcPr>
          <w:p w14:paraId="2CA3C66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Jaune</w:t>
            </w:r>
          </w:p>
        </w:tc>
        <w:tc>
          <w:tcPr>
            <w:tcW w:w="6214" w:type="dxa"/>
            <w:tcBorders>
              <w:top w:val="single" w:sz="4" w:space="0" w:color="000000"/>
              <w:left w:val="single" w:sz="4" w:space="0" w:color="000000"/>
              <w:bottom w:val="single" w:sz="4" w:space="0" w:color="000000"/>
              <w:right w:val="single" w:sz="4" w:space="0" w:color="000000"/>
            </w:tcBorders>
          </w:tcPr>
          <w:p w14:paraId="21FFADA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 requérant une surveillance périodique. Revue à chaque jalon.</w:t>
            </w:r>
          </w:p>
        </w:tc>
      </w:tr>
      <w:tr w:rsidR="00F50D70" w:rsidRPr="00BE4F47" w14:paraId="6B378548" w14:textId="77777777" w:rsidTr="0036725C">
        <w:trPr>
          <w:cantSplit/>
          <w:trHeight w:val="257"/>
        </w:trPr>
        <w:tc>
          <w:tcPr>
            <w:tcW w:w="815" w:type="dxa"/>
            <w:tcBorders>
              <w:top w:val="single" w:sz="4" w:space="0" w:color="000000"/>
              <w:left w:val="single" w:sz="4" w:space="0" w:color="000000"/>
              <w:bottom w:val="single" w:sz="4" w:space="0" w:color="000000"/>
              <w:right w:val="single" w:sz="4" w:space="0" w:color="000000"/>
            </w:tcBorders>
          </w:tcPr>
          <w:p w14:paraId="11D634F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I</w:t>
            </w:r>
          </w:p>
        </w:tc>
        <w:tc>
          <w:tcPr>
            <w:tcW w:w="1528" w:type="dxa"/>
            <w:tcBorders>
              <w:top w:val="single" w:sz="4" w:space="0" w:color="000000"/>
              <w:left w:val="single" w:sz="4" w:space="0" w:color="000000"/>
              <w:bottom w:val="single" w:sz="4" w:space="0" w:color="000000"/>
              <w:right w:val="single" w:sz="4" w:space="0" w:color="000000"/>
            </w:tcBorders>
          </w:tcPr>
          <w:p w14:paraId="61B9E04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Vert</w:t>
            </w:r>
          </w:p>
        </w:tc>
        <w:tc>
          <w:tcPr>
            <w:tcW w:w="6214" w:type="dxa"/>
            <w:tcBorders>
              <w:top w:val="single" w:sz="4" w:space="0" w:color="000000"/>
              <w:left w:val="single" w:sz="4" w:space="0" w:color="000000"/>
              <w:bottom w:val="single" w:sz="4" w:space="0" w:color="000000"/>
              <w:right w:val="single" w:sz="4" w:space="0" w:color="000000"/>
            </w:tcBorders>
          </w:tcPr>
          <w:p w14:paraId="32DD349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 n’exigeant pas d’action corrective. Suivi ordinaire.</w:t>
            </w:r>
          </w:p>
        </w:tc>
      </w:tr>
    </w:tbl>
    <w:p w14:paraId="4C0101BC" w14:textId="77777777" w:rsidR="00F50D70" w:rsidRPr="00BE4F47" w:rsidRDefault="00137D7F" w:rsidP="008E113B">
      <w:pPr>
        <w:spacing w:before="200" w:after="130" w:line="360" w:lineRule="auto"/>
        <w:ind w:left="360"/>
        <w:rPr>
          <w:rFonts w:ascii="Aptos" w:hAnsi="Aptos"/>
        </w:rPr>
      </w:pPr>
      <w:bookmarkStart w:id="551" w:name="_Toc241083095"/>
      <w:bookmarkStart w:id="552" w:name="_Toc241670262"/>
      <w:r w:rsidRPr="00BE4F47">
        <w:rPr>
          <w:rFonts w:ascii="Aptos" w:hAnsi="Aptos"/>
          <w:color w:val="1A1A19"/>
          <w:sz w:val="20"/>
          <w:szCs w:val="20"/>
        </w:rPr>
        <w:t>Cette cotation sert à prioriser. Un événement peu probable mais de gravité 5 appelle une mesure, là où un événement fréquent de gravité 1 n’en appelle pas.</w:t>
      </w:r>
      <w:bookmarkEnd w:id="551"/>
      <w:bookmarkEnd w:id="552"/>
    </w:p>
    <w:p w14:paraId="377B5D5F" w14:textId="77777777" w:rsidR="00F50D70" w:rsidRPr="00BE4F47" w:rsidRDefault="00137D7F" w:rsidP="008E113B">
      <w:pPr>
        <w:spacing w:after="130" w:line="360" w:lineRule="auto"/>
        <w:ind w:left="360"/>
        <w:rPr>
          <w:rFonts w:ascii="Aptos" w:hAnsi="Aptos"/>
        </w:rPr>
      </w:pPr>
      <w:bookmarkStart w:id="553" w:name="_Toc241083096"/>
      <w:bookmarkStart w:id="554" w:name="_Toc241670263"/>
      <w:r w:rsidRPr="00BE4F47">
        <w:rPr>
          <w:rFonts w:ascii="Aptos" w:hAnsi="Aptos"/>
          <w:b/>
          <w:color w:val="1A1A19"/>
          <w:sz w:val="20"/>
          <w:szCs w:val="20"/>
        </w:rPr>
        <w:t xml:space="preserve">Le traitement et la tolérance. </w:t>
      </w:r>
      <w:r w:rsidRPr="00BE4F47">
        <w:rPr>
          <w:rFonts w:ascii="Aptos" w:hAnsi="Aptos"/>
          <w:color w:val="1A1A19"/>
          <w:sz w:val="20"/>
          <w:szCs w:val="20"/>
        </w:rPr>
        <w:t>À chaque risque correspond une mesure de traitement, puis une nouvelle cotation après traitement, appelée cotation résiduelle. Le registre indique les deux, de sorte que l’effet de chaque mesure soit mesurable plutôt que supposé.</w:t>
      </w:r>
      <w:bookmarkEnd w:id="553"/>
      <w:bookmarkEnd w:id="554"/>
    </w:p>
    <w:p w14:paraId="12B9E8F2" w14:textId="77777777" w:rsidR="00F50D70" w:rsidRPr="00BE4F47" w:rsidRDefault="00137D7F" w:rsidP="008E113B">
      <w:pPr>
        <w:spacing w:after="130" w:line="360" w:lineRule="auto"/>
        <w:ind w:left="360"/>
        <w:rPr>
          <w:rFonts w:ascii="Aptos" w:hAnsi="Aptos"/>
        </w:rPr>
      </w:pPr>
      <w:bookmarkStart w:id="555" w:name="_Toc241083097"/>
      <w:bookmarkStart w:id="556" w:name="_Toc241670264"/>
      <w:r w:rsidRPr="00BE4F47">
        <w:rPr>
          <w:rFonts w:ascii="Aptos" w:hAnsi="Aptos"/>
          <w:color w:val="1A1A19"/>
          <w:sz w:val="20"/>
          <w:szCs w:val="20"/>
        </w:rPr>
        <w:t>Le seuil d’acceptation retenu est le suivant : aucun risque ne demeure en classe IV après traitement. Un risque de classe III est accepté à condition qu’une mesure compensatoire soit nommée et qu’un responsable en accepte le résidu par écrit. Les classes II et I sont acceptées sans condition, avec revue à chaque jalon.</w:t>
      </w:r>
      <w:bookmarkEnd w:id="555"/>
      <w:bookmarkEnd w:id="556"/>
    </w:p>
    <w:p w14:paraId="012A40D1" w14:textId="77777777" w:rsidR="00F50D70" w:rsidRPr="00B36301" w:rsidRDefault="00137D7F" w:rsidP="008E113B">
      <w:pPr>
        <w:pStyle w:val="Titre2"/>
        <w:spacing w:line="360" w:lineRule="auto"/>
      </w:pPr>
      <w:bookmarkStart w:id="557" w:name="__RefHeading___Toc240715278"/>
      <w:bookmarkStart w:id="558" w:name="_Toc241670265"/>
      <w:bookmarkEnd w:id="557"/>
      <w:r w:rsidRPr="00B36301">
        <w:lastRenderedPageBreak/>
        <w:t>Registres des risques et profil</w:t>
      </w:r>
      <w:bookmarkEnd w:id="558"/>
    </w:p>
    <w:p w14:paraId="4D054E8B"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559" w:name="_Toc241083099"/>
      <w:bookmarkStart w:id="560" w:name="_Toc241670266"/>
      <w:r w:rsidRPr="00BE4F47">
        <w:rPr>
          <w:rFonts w:ascii="Aptos" w:hAnsi="Aptos"/>
          <w:b/>
          <w:color w:val="1A1A19"/>
          <w:sz w:val="20"/>
          <w:szCs w:val="20"/>
        </w:rPr>
        <w:t xml:space="preserve">Les familles de risques. </w:t>
      </w:r>
      <w:r w:rsidRPr="00BE4F47">
        <w:rPr>
          <w:rFonts w:ascii="Aptos" w:hAnsi="Aptos"/>
          <w:color w:val="1A1A19"/>
          <w:sz w:val="20"/>
          <w:szCs w:val="20"/>
        </w:rPr>
        <w:t>La structure de découpage des risques les classe selon leur origine. Elle sert à vérifier qu’aucune famille n’a été oubliée lors de l’identification.</w:t>
      </w:r>
      <w:bookmarkEnd w:id="559"/>
      <w:bookmarkEnd w:id="560"/>
    </w:p>
    <w:p w14:paraId="5FA30250" w14:textId="77777777" w:rsidR="00F50D70" w:rsidRPr="00BE4F47" w:rsidRDefault="002A1CE1" w:rsidP="008E113B">
      <w:pPr>
        <w:keepNext/>
        <w:spacing w:line="360" w:lineRule="auto"/>
        <w:ind w:left="0"/>
        <w:rPr>
          <w:rFonts w:ascii="Aptos" w:hAnsi="Aptos"/>
        </w:rPr>
      </w:pPr>
      <w:bookmarkStart w:id="561" w:name="_Toc241083100"/>
      <w:bookmarkStart w:id="562" w:name="_Toc241670267"/>
      <w:r>
        <w:rPr>
          <w:rFonts w:ascii="Aptos" w:hAnsi="Aptos"/>
          <w:noProof/>
        </w:rPr>
        <w:drawing>
          <wp:inline distT="0" distB="0" distL="0" distR="0" wp14:anchorId="54198AC8" wp14:editId="2E6775C5">
            <wp:extent cx="4297680" cy="4139159"/>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pic:cNvPicPr>
                      <a:picLocks noChangeAspect="1" noChangeArrowheads="1"/>
                    </pic:cNvPicPr>
                  </pic:nvPicPr>
                  <pic:blipFill>
                    <a:blip r:embed="rId14" cstate="print">
                      <a:extLst>
                        <a:ext uri="{28A0092B-C50C-407E-A947-70E740481C1C}">
                          <a14:useLocalDpi xmlns:a14="http://schemas.microsoft.com/office/drawing/2010/main" val="0"/>
                        </a:ext>
                      </a:extLst>
                    </a:blip>
                    <a:srcRect l="-2" t="-5" r="-2" b="-5"/>
                    <a:stretch>
                      <a:fillRect/>
                    </a:stretch>
                  </pic:blipFill>
                  <pic:spPr bwMode="auto">
                    <a:xfrm>
                      <a:off x="0" y="0"/>
                      <a:ext cx="4297680" cy="4139159"/>
                    </a:xfrm>
                    <a:prstGeom prst="rect">
                      <a:avLst/>
                    </a:prstGeom>
                    <a:noFill/>
                    <a:ln>
                      <a:noFill/>
                    </a:ln>
                  </pic:spPr>
                </pic:pic>
              </a:graphicData>
            </a:graphic>
          </wp:inline>
        </w:drawing>
      </w:r>
      <w:bookmarkEnd w:id="561"/>
      <w:bookmarkEnd w:id="562"/>
    </w:p>
    <w:p w14:paraId="0B9C97E0" w14:textId="77777777" w:rsidR="00F50D70" w:rsidRPr="00BE4F47" w:rsidRDefault="00137D7F" w:rsidP="008E113B">
      <w:pPr>
        <w:pStyle w:val="Lgende"/>
        <w:spacing w:line="360" w:lineRule="auto"/>
        <w:rPr>
          <w:rFonts w:ascii="Aptos" w:hAnsi="Aptos"/>
        </w:rPr>
      </w:pPr>
      <w:bookmarkStart w:id="563" w:name="_Toc241083101"/>
      <w:bookmarkStart w:id="564" w:name="_Toc241670268"/>
      <w:r w:rsidRPr="00BE4F47">
        <w:rPr>
          <w:rFonts w:ascii="Aptos" w:hAnsi="Aptos"/>
        </w:rPr>
        <w:t>Figure 7-1. Arbre de découpage des risques du projet</w:t>
      </w:r>
      <w:bookmarkEnd w:id="563"/>
      <w:bookmarkEnd w:id="564"/>
    </w:p>
    <w:p w14:paraId="39AA5514" w14:textId="77777777" w:rsidR="00F50D70" w:rsidRPr="00BE4F47" w:rsidRDefault="00137D7F" w:rsidP="008E113B">
      <w:pPr>
        <w:pStyle w:val="Lgende"/>
        <w:keepNext/>
        <w:spacing w:line="360" w:lineRule="auto"/>
        <w:rPr>
          <w:rFonts w:ascii="Aptos" w:hAnsi="Aptos"/>
        </w:rPr>
      </w:pPr>
      <w:bookmarkStart w:id="565" w:name="_Toc241083102"/>
      <w:bookmarkStart w:id="566" w:name="_Toc241670269"/>
      <w:r w:rsidRPr="00BE4F47">
        <w:rPr>
          <w:rFonts w:ascii="Aptos" w:hAnsi="Aptos"/>
        </w:rPr>
        <w:t>Tableau 7-5. Structure de découpage des risques</w:t>
      </w:r>
      <w:bookmarkEnd w:id="565"/>
      <w:bookmarkEnd w:id="566"/>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1737"/>
        <w:gridCol w:w="2377"/>
        <w:gridCol w:w="2981"/>
        <w:gridCol w:w="1462"/>
      </w:tblGrid>
      <w:tr w:rsidR="00F50D70" w:rsidRPr="00BE4F47" w14:paraId="55B12B34" w14:textId="77777777">
        <w:trPr>
          <w:trHeight w:val="246"/>
          <w:tblHeader/>
        </w:trPr>
        <w:tc>
          <w:tcPr>
            <w:tcW w:w="1737" w:type="dxa"/>
            <w:tcBorders>
              <w:top w:val="single" w:sz="4" w:space="0" w:color="000000"/>
              <w:left w:val="single" w:sz="4" w:space="0" w:color="000000"/>
              <w:bottom w:val="single" w:sz="4" w:space="0" w:color="000000"/>
              <w:right w:val="single" w:sz="4" w:space="0" w:color="000000"/>
            </w:tcBorders>
            <w:shd w:val="clear" w:color="auto" w:fill="EFF4FB"/>
          </w:tcPr>
          <w:p w14:paraId="568EAA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Famille</w:t>
            </w:r>
          </w:p>
        </w:tc>
        <w:tc>
          <w:tcPr>
            <w:tcW w:w="2377" w:type="dxa"/>
            <w:tcBorders>
              <w:top w:val="single" w:sz="4" w:space="0" w:color="000000"/>
              <w:left w:val="single" w:sz="4" w:space="0" w:color="000000"/>
              <w:bottom w:val="single" w:sz="4" w:space="0" w:color="000000"/>
              <w:right w:val="single" w:sz="4" w:space="0" w:color="000000"/>
            </w:tcBorders>
            <w:shd w:val="clear" w:color="auto" w:fill="EFF4FB"/>
          </w:tcPr>
          <w:p w14:paraId="3A41C99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Catégorie</w:t>
            </w:r>
          </w:p>
        </w:tc>
        <w:tc>
          <w:tcPr>
            <w:tcW w:w="2981" w:type="dxa"/>
            <w:tcBorders>
              <w:top w:val="single" w:sz="4" w:space="0" w:color="000000"/>
              <w:left w:val="single" w:sz="4" w:space="0" w:color="000000"/>
              <w:bottom w:val="single" w:sz="4" w:space="0" w:color="000000"/>
              <w:right w:val="single" w:sz="4" w:space="0" w:color="000000"/>
            </w:tcBorders>
            <w:shd w:val="clear" w:color="auto" w:fill="EFF4FB"/>
          </w:tcPr>
          <w:p w14:paraId="08E00D2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Exemples de risques</w:t>
            </w:r>
          </w:p>
        </w:tc>
        <w:tc>
          <w:tcPr>
            <w:tcW w:w="1462" w:type="dxa"/>
            <w:tcBorders>
              <w:top w:val="single" w:sz="4" w:space="0" w:color="000000"/>
              <w:left w:val="single" w:sz="4" w:space="0" w:color="000000"/>
              <w:bottom w:val="single" w:sz="4" w:space="0" w:color="000000"/>
              <w:right w:val="single" w:sz="4" w:space="0" w:color="000000"/>
            </w:tcBorders>
            <w:shd w:val="clear" w:color="auto" w:fill="EFF4FB"/>
          </w:tcPr>
          <w:p w14:paraId="1665AD2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Identifiants</w:t>
            </w:r>
          </w:p>
        </w:tc>
      </w:tr>
      <w:tr w:rsidR="00F50D70" w:rsidRPr="00BE4F47" w14:paraId="7B48E3D3" w14:textId="77777777">
        <w:trPr>
          <w:cantSplit/>
          <w:trHeight w:val="461"/>
        </w:trPr>
        <w:tc>
          <w:tcPr>
            <w:tcW w:w="1737" w:type="dxa"/>
            <w:tcBorders>
              <w:top w:val="single" w:sz="4" w:space="0" w:color="000000"/>
              <w:left w:val="single" w:sz="4" w:space="0" w:color="000000"/>
              <w:bottom w:val="single" w:sz="4" w:space="0" w:color="000000"/>
              <w:right w:val="single" w:sz="4" w:space="0" w:color="000000"/>
            </w:tcBorders>
          </w:tcPr>
          <w:p w14:paraId="08D348E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Risques de projet</w:t>
            </w:r>
          </w:p>
        </w:tc>
        <w:tc>
          <w:tcPr>
            <w:tcW w:w="2377" w:type="dxa"/>
            <w:tcBorders>
              <w:top w:val="single" w:sz="4" w:space="0" w:color="000000"/>
              <w:left w:val="single" w:sz="4" w:space="0" w:color="000000"/>
              <w:bottom w:val="single" w:sz="4" w:space="0" w:color="000000"/>
              <w:right w:val="single" w:sz="4" w:space="0" w:color="000000"/>
            </w:tcBorders>
          </w:tcPr>
          <w:p w14:paraId="2CA085A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Échéancier et ressources</w:t>
            </w:r>
          </w:p>
        </w:tc>
        <w:tc>
          <w:tcPr>
            <w:tcW w:w="2981" w:type="dxa"/>
            <w:tcBorders>
              <w:top w:val="single" w:sz="4" w:space="0" w:color="000000"/>
              <w:left w:val="single" w:sz="4" w:space="0" w:color="000000"/>
              <w:bottom w:val="single" w:sz="4" w:space="0" w:color="000000"/>
              <w:right w:val="single" w:sz="4" w:space="0" w:color="000000"/>
            </w:tcBorders>
          </w:tcPr>
          <w:p w14:paraId="2535542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Retard de développement ou d’essais ; dépassement de l’enveloppe de 1 080 h ; absentéisme ou indisponibilité prolongée d’un membre</w:t>
            </w:r>
          </w:p>
        </w:tc>
        <w:tc>
          <w:tcPr>
            <w:tcW w:w="1462" w:type="dxa"/>
            <w:tcBorders>
              <w:top w:val="single" w:sz="4" w:space="0" w:color="000000"/>
              <w:left w:val="single" w:sz="4" w:space="0" w:color="000000"/>
              <w:bottom w:val="single" w:sz="4" w:space="0" w:color="000000"/>
              <w:right w:val="single" w:sz="4" w:space="0" w:color="000000"/>
            </w:tcBorders>
          </w:tcPr>
          <w:p w14:paraId="09EA443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RP1, RP2, RP4</w:t>
            </w:r>
          </w:p>
        </w:tc>
      </w:tr>
      <w:tr w:rsidR="00F50D70" w:rsidRPr="00BE4F47" w14:paraId="7350DBFD" w14:textId="77777777">
        <w:trPr>
          <w:cantSplit/>
          <w:trHeight w:val="461"/>
        </w:trPr>
        <w:tc>
          <w:tcPr>
            <w:tcW w:w="1737" w:type="dxa"/>
            <w:tcBorders>
              <w:top w:val="single" w:sz="4" w:space="0" w:color="000000"/>
              <w:left w:val="single" w:sz="4" w:space="0" w:color="000000"/>
              <w:bottom w:val="single" w:sz="4" w:space="0" w:color="000000"/>
              <w:right w:val="single" w:sz="4" w:space="0" w:color="000000"/>
            </w:tcBorders>
          </w:tcPr>
          <w:p w14:paraId="365905A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Risques de projet</w:t>
            </w:r>
          </w:p>
        </w:tc>
        <w:tc>
          <w:tcPr>
            <w:tcW w:w="2377" w:type="dxa"/>
            <w:tcBorders>
              <w:top w:val="single" w:sz="4" w:space="0" w:color="000000"/>
              <w:left w:val="single" w:sz="4" w:space="0" w:color="000000"/>
              <w:bottom w:val="single" w:sz="4" w:space="0" w:color="000000"/>
              <w:right w:val="single" w:sz="4" w:space="0" w:color="000000"/>
            </w:tcBorders>
          </w:tcPr>
          <w:p w14:paraId="103B603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Périmètre</w:t>
            </w:r>
          </w:p>
        </w:tc>
        <w:tc>
          <w:tcPr>
            <w:tcW w:w="2981" w:type="dxa"/>
            <w:tcBorders>
              <w:top w:val="single" w:sz="4" w:space="0" w:color="000000"/>
              <w:left w:val="single" w:sz="4" w:space="0" w:color="000000"/>
              <w:bottom w:val="single" w:sz="4" w:space="0" w:color="000000"/>
              <w:right w:val="single" w:sz="4" w:space="0" w:color="000000"/>
            </w:tcBorders>
          </w:tcPr>
          <w:p w14:paraId="50E7EC4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Modification tardive du mandat ; ajout d’un banc thermohydraulique physique</w:t>
            </w:r>
          </w:p>
        </w:tc>
        <w:tc>
          <w:tcPr>
            <w:tcW w:w="1462" w:type="dxa"/>
            <w:tcBorders>
              <w:top w:val="single" w:sz="4" w:space="0" w:color="000000"/>
              <w:left w:val="single" w:sz="4" w:space="0" w:color="000000"/>
              <w:bottom w:val="single" w:sz="4" w:space="0" w:color="000000"/>
              <w:right w:val="single" w:sz="4" w:space="0" w:color="000000"/>
            </w:tcBorders>
          </w:tcPr>
          <w:p w14:paraId="6C617E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RP3</w:t>
            </w:r>
          </w:p>
        </w:tc>
      </w:tr>
      <w:tr w:rsidR="00F50D70" w:rsidRPr="00BE4F47" w14:paraId="1080E076" w14:textId="77777777">
        <w:trPr>
          <w:cantSplit/>
          <w:trHeight w:val="461"/>
        </w:trPr>
        <w:tc>
          <w:tcPr>
            <w:tcW w:w="1737" w:type="dxa"/>
            <w:tcBorders>
              <w:top w:val="single" w:sz="4" w:space="0" w:color="000000"/>
              <w:left w:val="single" w:sz="4" w:space="0" w:color="000000"/>
              <w:bottom w:val="single" w:sz="4" w:space="0" w:color="000000"/>
              <w:right w:val="single" w:sz="4" w:space="0" w:color="000000"/>
            </w:tcBorders>
          </w:tcPr>
          <w:p w14:paraId="0014685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Risques du produit</w:t>
            </w:r>
          </w:p>
        </w:tc>
        <w:tc>
          <w:tcPr>
            <w:tcW w:w="2377" w:type="dxa"/>
            <w:tcBorders>
              <w:top w:val="single" w:sz="4" w:space="0" w:color="000000"/>
              <w:left w:val="single" w:sz="4" w:space="0" w:color="000000"/>
              <w:bottom w:val="single" w:sz="4" w:space="0" w:color="000000"/>
              <w:right w:val="single" w:sz="4" w:space="0" w:color="000000"/>
            </w:tcBorders>
          </w:tcPr>
          <w:p w14:paraId="29F33C4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Données et acquisition</w:t>
            </w:r>
          </w:p>
        </w:tc>
        <w:tc>
          <w:tcPr>
            <w:tcW w:w="2981" w:type="dxa"/>
            <w:tcBorders>
              <w:top w:val="single" w:sz="4" w:space="0" w:color="000000"/>
              <w:left w:val="single" w:sz="4" w:space="0" w:color="000000"/>
              <w:bottom w:val="single" w:sz="4" w:space="0" w:color="000000"/>
              <w:right w:val="single" w:sz="4" w:space="0" w:color="000000"/>
            </w:tcBorders>
          </w:tcPr>
          <w:p w14:paraId="735B460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Mesure erronée ; donnée indisponible ; désynchronisation</w:t>
            </w:r>
          </w:p>
        </w:tc>
        <w:tc>
          <w:tcPr>
            <w:tcW w:w="1462" w:type="dxa"/>
            <w:tcBorders>
              <w:top w:val="single" w:sz="4" w:space="0" w:color="000000"/>
              <w:left w:val="single" w:sz="4" w:space="0" w:color="000000"/>
              <w:bottom w:val="single" w:sz="4" w:space="0" w:color="000000"/>
              <w:right w:val="single" w:sz="4" w:space="0" w:color="000000"/>
            </w:tcBorders>
          </w:tcPr>
          <w:p w14:paraId="0F998B4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RT1, RT2, RT3</w:t>
            </w:r>
          </w:p>
        </w:tc>
      </w:tr>
      <w:tr w:rsidR="00F50D70" w:rsidRPr="00BE4F47" w14:paraId="60368A28" w14:textId="77777777">
        <w:trPr>
          <w:cantSplit/>
          <w:trHeight w:val="461"/>
        </w:trPr>
        <w:tc>
          <w:tcPr>
            <w:tcW w:w="1737" w:type="dxa"/>
            <w:tcBorders>
              <w:top w:val="single" w:sz="4" w:space="0" w:color="000000"/>
              <w:left w:val="single" w:sz="4" w:space="0" w:color="000000"/>
              <w:bottom w:val="single" w:sz="4" w:space="0" w:color="000000"/>
              <w:right w:val="single" w:sz="4" w:space="0" w:color="000000"/>
            </w:tcBorders>
          </w:tcPr>
          <w:p w14:paraId="3B2FD52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Risques du produit</w:t>
            </w:r>
          </w:p>
        </w:tc>
        <w:tc>
          <w:tcPr>
            <w:tcW w:w="2377" w:type="dxa"/>
            <w:tcBorders>
              <w:top w:val="single" w:sz="4" w:space="0" w:color="000000"/>
              <w:left w:val="single" w:sz="4" w:space="0" w:color="000000"/>
              <w:bottom w:val="single" w:sz="4" w:space="0" w:color="000000"/>
              <w:right w:val="single" w:sz="4" w:space="0" w:color="000000"/>
            </w:tcBorders>
          </w:tcPr>
          <w:p w14:paraId="3510FB2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Modélisation et diagnostic</w:t>
            </w:r>
          </w:p>
        </w:tc>
        <w:tc>
          <w:tcPr>
            <w:tcW w:w="2981" w:type="dxa"/>
            <w:tcBorders>
              <w:top w:val="single" w:sz="4" w:space="0" w:color="000000"/>
              <w:left w:val="single" w:sz="4" w:space="0" w:color="000000"/>
              <w:bottom w:val="single" w:sz="4" w:space="0" w:color="000000"/>
              <w:right w:val="single" w:sz="4" w:space="0" w:color="000000"/>
            </w:tcBorders>
          </w:tcPr>
          <w:p w14:paraId="6780EE8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Modèle insuffisamment représentatif ; faux négatif ; faux positif</w:t>
            </w:r>
          </w:p>
        </w:tc>
        <w:tc>
          <w:tcPr>
            <w:tcW w:w="1462" w:type="dxa"/>
            <w:tcBorders>
              <w:top w:val="single" w:sz="4" w:space="0" w:color="000000"/>
              <w:left w:val="single" w:sz="4" w:space="0" w:color="000000"/>
              <w:bottom w:val="single" w:sz="4" w:space="0" w:color="000000"/>
              <w:right w:val="single" w:sz="4" w:space="0" w:color="000000"/>
            </w:tcBorders>
          </w:tcPr>
          <w:p w14:paraId="584B6A3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RT4, RT5, RT6</w:t>
            </w:r>
          </w:p>
        </w:tc>
      </w:tr>
      <w:tr w:rsidR="00F50D70" w:rsidRPr="00BE4F47" w14:paraId="4C1DF4F9" w14:textId="77777777">
        <w:trPr>
          <w:cantSplit/>
          <w:trHeight w:val="256"/>
        </w:trPr>
        <w:tc>
          <w:tcPr>
            <w:tcW w:w="1737" w:type="dxa"/>
            <w:tcBorders>
              <w:top w:val="single" w:sz="4" w:space="0" w:color="000000"/>
              <w:left w:val="single" w:sz="4" w:space="0" w:color="000000"/>
              <w:bottom w:val="single" w:sz="4" w:space="0" w:color="000000"/>
              <w:right w:val="single" w:sz="4" w:space="0" w:color="000000"/>
            </w:tcBorders>
          </w:tcPr>
          <w:p w14:paraId="275F19F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Risques du produit</w:t>
            </w:r>
          </w:p>
        </w:tc>
        <w:tc>
          <w:tcPr>
            <w:tcW w:w="2377" w:type="dxa"/>
            <w:tcBorders>
              <w:top w:val="single" w:sz="4" w:space="0" w:color="000000"/>
              <w:left w:val="single" w:sz="4" w:space="0" w:color="000000"/>
              <w:bottom w:val="single" w:sz="4" w:space="0" w:color="000000"/>
              <w:right w:val="single" w:sz="4" w:space="0" w:color="000000"/>
            </w:tcBorders>
          </w:tcPr>
          <w:p w14:paraId="0674E99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Cybersécurité</w:t>
            </w:r>
          </w:p>
        </w:tc>
        <w:tc>
          <w:tcPr>
            <w:tcW w:w="2981" w:type="dxa"/>
            <w:tcBorders>
              <w:top w:val="single" w:sz="4" w:space="0" w:color="000000"/>
              <w:left w:val="single" w:sz="4" w:space="0" w:color="000000"/>
              <w:bottom w:val="single" w:sz="4" w:space="0" w:color="000000"/>
              <w:right w:val="single" w:sz="4" w:space="0" w:color="000000"/>
            </w:tcBorders>
          </w:tcPr>
          <w:p w14:paraId="4E32D25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Accès non autorisé ; altération des données</w:t>
            </w:r>
          </w:p>
        </w:tc>
        <w:tc>
          <w:tcPr>
            <w:tcW w:w="1462" w:type="dxa"/>
            <w:tcBorders>
              <w:top w:val="single" w:sz="4" w:space="0" w:color="000000"/>
              <w:left w:val="single" w:sz="4" w:space="0" w:color="000000"/>
              <w:bottom w:val="single" w:sz="4" w:space="0" w:color="000000"/>
              <w:right w:val="single" w:sz="4" w:space="0" w:color="000000"/>
            </w:tcBorders>
          </w:tcPr>
          <w:p w14:paraId="0EBB8D0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RT7, RT8</w:t>
            </w:r>
          </w:p>
        </w:tc>
      </w:tr>
      <w:tr w:rsidR="00F50D70" w:rsidRPr="00BE4F47" w14:paraId="18CF0DB0" w14:textId="77777777">
        <w:trPr>
          <w:cantSplit/>
          <w:trHeight w:val="266"/>
        </w:trPr>
        <w:tc>
          <w:tcPr>
            <w:tcW w:w="1737" w:type="dxa"/>
            <w:tcBorders>
              <w:top w:val="single" w:sz="4" w:space="0" w:color="000000"/>
              <w:left w:val="single" w:sz="4" w:space="0" w:color="000000"/>
              <w:bottom w:val="single" w:sz="4" w:space="0" w:color="000000"/>
              <w:right w:val="single" w:sz="4" w:space="0" w:color="000000"/>
            </w:tcBorders>
          </w:tcPr>
          <w:p w14:paraId="344BCD7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Risques du produit</w:t>
            </w:r>
          </w:p>
        </w:tc>
        <w:tc>
          <w:tcPr>
            <w:tcW w:w="2377" w:type="dxa"/>
            <w:tcBorders>
              <w:top w:val="single" w:sz="4" w:space="0" w:color="000000"/>
              <w:left w:val="single" w:sz="4" w:space="0" w:color="000000"/>
              <w:bottom w:val="single" w:sz="4" w:space="0" w:color="000000"/>
              <w:right w:val="single" w:sz="4" w:space="0" w:color="000000"/>
            </w:tcBorders>
          </w:tcPr>
          <w:p w14:paraId="5B166CB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Disponibilité</w:t>
            </w:r>
          </w:p>
        </w:tc>
        <w:tc>
          <w:tcPr>
            <w:tcW w:w="2981" w:type="dxa"/>
            <w:tcBorders>
              <w:top w:val="single" w:sz="4" w:space="0" w:color="000000"/>
              <w:left w:val="single" w:sz="4" w:space="0" w:color="000000"/>
              <w:bottom w:val="single" w:sz="4" w:space="0" w:color="000000"/>
              <w:right w:val="single" w:sz="4" w:space="0" w:color="000000"/>
            </w:tcBorders>
          </w:tcPr>
          <w:p w14:paraId="065515C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Indisponibilité du prototype</w:t>
            </w:r>
          </w:p>
        </w:tc>
        <w:tc>
          <w:tcPr>
            <w:tcW w:w="1462" w:type="dxa"/>
            <w:tcBorders>
              <w:top w:val="single" w:sz="4" w:space="0" w:color="000000"/>
              <w:left w:val="single" w:sz="4" w:space="0" w:color="000000"/>
              <w:bottom w:val="single" w:sz="4" w:space="0" w:color="000000"/>
              <w:right w:val="single" w:sz="4" w:space="0" w:color="000000"/>
            </w:tcBorders>
          </w:tcPr>
          <w:p w14:paraId="093030D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RT9</w:t>
            </w:r>
          </w:p>
        </w:tc>
      </w:tr>
      <w:tr w:rsidR="00F50D70" w:rsidRPr="00BE4F47" w14:paraId="3171668F" w14:textId="77777777">
        <w:trPr>
          <w:cantSplit/>
          <w:trHeight w:val="256"/>
        </w:trPr>
        <w:tc>
          <w:tcPr>
            <w:tcW w:w="1737" w:type="dxa"/>
            <w:tcBorders>
              <w:top w:val="single" w:sz="4" w:space="0" w:color="000000"/>
              <w:left w:val="single" w:sz="4" w:space="0" w:color="000000"/>
              <w:bottom w:val="single" w:sz="4" w:space="0" w:color="000000"/>
              <w:right w:val="single" w:sz="4" w:space="0" w:color="000000"/>
            </w:tcBorders>
          </w:tcPr>
          <w:p w14:paraId="5A4CE16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Risques du produit</w:t>
            </w:r>
          </w:p>
        </w:tc>
        <w:tc>
          <w:tcPr>
            <w:tcW w:w="2377" w:type="dxa"/>
            <w:tcBorders>
              <w:top w:val="single" w:sz="4" w:space="0" w:color="000000"/>
              <w:left w:val="single" w:sz="4" w:space="0" w:color="000000"/>
              <w:bottom w:val="single" w:sz="4" w:space="0" w:color="000000"/>
              <w:right w:val="single" w:sz="4" w:space="0" w:color="000000"/>
            </w:tcBorders>
          </w:tcPr>
          <w:p w14:paraId="526FAB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Facteurs humains</w:t>
            </w:r>
          </w:p>
        </w:tc>
        <w:tc>
          <w:tcPr>
            <w:tcW w:w="2981" w:type="dxa"/>
            <w:tcBorders>
              <w:top w:val="single" w:sz="4" w:space="0" w:color="000000"/>
              <w:left w:val="single" w:sz="4" w:space="0" w:color="000000"/>
              <w:bottom w:val="single" w:sz="4" w:space="0" w:color="000000"/>
              <w:right w:val="single" w:sz="4" w:space="0" w:color="000000"/>
            </w:tcBorders>
          </w:tcPr>
          <w:p w14:paraId="21251F7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Confiance excessive de l’opérateur</w:t>
            </w:r>
          </w:p>
        </w:tc>
        <w:tc>
          <w:tcPr>
            <w:tcW w:w="1462" w:type="dxa"/>
            <w:tcBorders>
              <w:top w:val="single" w:sz="4" w:space="0" w:color="000000"/>
              <w:left w:val="single" w:sz="4" w:space="0" w:color="000000"/>
              <w:bottom w:val="single" w:sz="4" w:space="0" w:color="000000"/>
              <w:right w:val="single" w:sz="4" w:space="0" w:color="000000"/>
            </w:tcBorders>
          </w:tcPr>
          <w:p w14:paraId="2835C27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RT10</w:t>
            </w:r>
          </w:p>
        </w:tc>
      </w:tr>
    </w:tbl>
    <w:p w14:paraId="3D76CA92"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567" w:name="_Toc241083104"/>
      <w:bookmarkStart w:id="568" w:name="_Toc241670270"/>
      <w:r w:rsidRPr="00BE4F47">
        <w:rPr>
          <w:rFonts w:ascii="Aptos" w:hAnsi="Aptos"/>
          <w:color w:val="1A1A19"/>
          <w:sz w:val="20"/>
          <w:szCs w:val="20"/>
        </w:rPr>
        <w:lastRenderedPageBreak/>
        <w:t>Évaluation datée du 18 septembre 2026. À réviser à chaque jalon. Les colonnes « Avant » et « Après » donnent la gravité, la probabilité et la classe de risque, avant puis après traitement.</w:t>
      </w:r>
      <w:bookmarkEnd w:id="567"/>
      <w:bookmarkEnd w:id="568"/>
    </w:p>
    <w:p w14:paraId="11461A7C" w14:textId="77777777" w:rsidR="00F50D70" w:rsidRPr="00BE4F47" w:rsidRDefault="00137D7F" w:rsidP="008E113B">
      <w:pPr>
        <w:pStyle w:val="Lgende"/>
        <w:keepNext/>
        <w:spacing w:line="360" w:lineRule="auto"/>
        <w:rPr>
          <w:rFonts w:ascii="Aptos" w:hAnsi="Aptos"/>
        </w:rPr>
      </w:pPr>
      <w:bookmarkStart w:id="569" w:name="_Toc241083105"/>
      <w:bookmarkStart w:id="570" w:name="_Toc241670271"/>
      <w:r w:rsidRPr="00BE4F47">
        <w:rPr>
          <w:rFonts w:ascii="Aptos" w:hAnsi="Aptos"/>
        </w:rPr>
        <w:t>Tableau 7-6. Registre des risques de projet</w:t>
      </w:r>
      <w:bookmarkEnd w:id="569"/>
      <w:bookmarkEnd w:id="570"/>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652"/>
        <w:gridCol w:w="2608"/>
        <w:gridCol w:w="774"/>
        <w:gridCol w:w="2608"/>
        <w:gridCol w:w="774"/>
        <w:gridCol w:w="1141"/>
      </w:tblGrid>
      <w:tr w:rsidR="00F50D70" w:rsidRPr="00BE4F47" w14:paraId="7F245D52" w14:textId="77777777">
        <w:trPr>
          <w:tblHeader/>
        </w:trPr>
        <w:tc>
          <w:tcPr>
            <w:tcW w:w="652" w:type="dxa"/>
            <w:tcBorders>
              <w:top w:val="single" w:sz="4" w:space="0" w:color="000000"/>
              <w:left w:val="single" w:sz="4" w:space="0" w:color="000000"/>
              <w:bottom w:val="single" w:sz="4" w:space="0" w:color="000000"/>
              <w:right w:val="single" w:sz="4" w:space="0" w:color="000000"/>
            </w:tcBorders>
            <w:shd w:val="clear" w:color="auto" w:fill="EFF4FB"/>
          </w:tcPr>
          <w:p w14:paraId="4972B98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Repère</w:t>
            </w:r>
          </w:p>
        </w:tc>
        <w:tc>
          <w:tcPr>
            <w:tcW w:w="2608" w:type="dxa"/>
            <w:tcBorders>
              <w:top w:val="single" w:sz="4" w:space="0" w:color="000000"/>
              <w:left w:val="single" w:sz="4" w:space="0" w:color="000000"/>
              <w:bottom w:val="single" w:sz="4" w:space="0" w:color="000000"/>
              <w:right w:val="single" w:sz="4" w:space="0" w:color="000000"/>
            </w:tcBorders>
            <w:shd w:val="clear" w:color="auto" w:fill="EFF4FB"/>
          </w:tcPr>
          <w:p w14:paraId="51451A0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Risque et justification de la cotation</w:t>
            </w:r>
          </w:p>
        </w:tc>
        <w:tc>
          <w:tcPr>
            <w:tcW w:w="774" w:type="dxa"/>
            <w:tcBorders>
              <w:top w:val="single" w:sz="4" w:space="0" w:color="000000"/>
              <w:left w:val="single" w:sz="4" w:space="0" w:color="000000"/>
              <w:bottom w:val="single" w:sz="4" w:space="0" w:color="000000"/>
              <w:right w:val="single" w:sz="4" w:space="0" w:color="000000"/>
            </w:tcBorders>
            <w:shd w:val="clear" w:color="auto" w:fill="EFF4FB"/>
          </w:tcPr>
          <w:p w14:paraId="63048D8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Avant</w:t>
            </w:r>
          </w:p>
        </w:tc>
        <w:tc>
          <w:tcPr>
            <w:tcW w:w="2608" w:type="dxa"/>
            <w:tcBorders>
              <w:top w:val="single" w:sz="4" w:space="0" w:color="000000"/>
              <w:left w:val="single" w:sz="4" w:space="0" w:color="000000"/>
              <w:bottom w:val="single" w:sz="4" w:space="0" w:color="000000"/>
              <w:right w:val="single" w:sz="4" w:space="0" w:color="000000"/>
            </w:tcBorders>
            <w:shd w:val="clear" w:color="auto" w:fill="EFF4FB"/>
          </w:tcPr>
          <w:p w14:paraId="40B57D9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Traitement et mesure compensatoire</w:t>
            </w:r>
          </w:p>
        </w:tc>
        <w:tc>
          <w:tcPr>
            <w:tcW w:w="774" w:type="dxa"/>
            <w:tcBorders>
              <w:top w:val="single" w:sz="4" w:space="0" w:color="000000"/>
              <w:left w:val="single" w:sz="4" w:space="0" w:color="000000"/>
              <w:bottom w:val="single" w:sz="4" w:space="0" w:color="000000"/>
              <w:right w:val="single" w:sz="4" w:space="0" w:color="000000"/>
            </w:tcBorders>
            <w:shd w:val="clear" w:color="auto" w:fill="EFF4FB"/>
          </w:tcPr>
          <w:p w14:paraId="0D9F904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Après</w:t>
            </w:r>
          </w:p>
        </w:tc>
        <w:tc>
          <w:tcPr>
            <w:tcW w:w="1141" w:type="dxa"/>
            <w:tcBorders>
              <w:top w:val="single" w:sz="4" w:space="0" w:color="000000"/>
              <w:left w:val="single" w:sz="4" w:space="0" w:color="000000"/>
              <w:bottom w:val="single" w:sz="4" w:space="0" w:color="000000"/>
              <w:right w:val="single" w:sz="4" w:space="0" w:color="000000"/>
            </w:tcBorders>
            <w:shd w:val="clear" w:color="auto" w:fill="EFF4FB"/>
          </w:tcPr>
          <w:p w14:paraId="3D6FA54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Resp.</w:t>
            </w:r>
          </w:p>
        </w:tc>
      </w:tr>
      <w:tr w:rsidR="00F50D70" w:rsidRPr="00BE4F47" w14:paraId="4ED006A9"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311D0C6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1.1</w:t>
            </w:r>
          </w:p>
        </w:tc>
        <w:tc>
          <w:tcPr>
            <w:tcW w:w="2608" w:type="dxa"/>
            <w:tcBorders>
              <w:top w:val="single" w:sz="4" w:space="0" w:color="000000"/>
              <w:left w:val="single" w:sz="4" w:space="0" w:color="000000"/>
              <w:bottom w:val="single" w:sz="4" w:space="0" w:color="000000"/>
              <w:right w:val="single" w:sz="4" w:space="0" w:color="000000"/>
            </w:tcBorders>
          </w:tcPr>
          <w:p w14:paraId="4271776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RP1. Retard dans le développement, l’intégration ou les essais. Justification : mandat de 1 080 h réparti sur huit personnes menant six cours en parallèle ; un glissement partiel est plausible et observé dans des projets comparables.</w:t>
            </w:r>
          </w:p>
        </w:tc>
        <w:tc>
          <w:tcPr>
            <w:tcW w:w="774" w:type="dxa"/>
            <w:tcBorders>
              <w:top w:val="single" w:sz="4" w:space="0" w:color="000000"/>
              <w:left w:val="single" w:sz="4" w:space="0" w:color="000000"/>
              <w:bottom w:val="single" w:sz="4" w:space="0" w:color="000000"/>
              <w:right w:val="single" w:sz="4" w:space="0" w:color="000000"/>
            </w:tcBorders>
          </w:tcPr>
          <w:p w14:paraId="15FE75C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G3 · PC</w:t>
            </w:r>
          </w:p>
          <w:p w14:paraId="5DF9E29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III</w:t>
            </w:r>
          </w:p>
        </w:tc>
        <w:tc>
          <w:tcPr>
            <w:tcW w:w="2608" w:type="dxa"/>
            <w:tcBorders>
              <w:top w:val="single" w:sz="4" w:space="0" w:color="000000"/>
              <w:left w:val="single" w:sz="4" w:space="0" w:color="000000"/>
              <w:bottom w:val="single" w:sz="4" w:space="0" w:color="000000"/>
              <w:right w:val="single" w:sz="4" w:space="0" w:color="000000"/>
            </w:tcBorders>
          </w:tcPr>
          <w:p w14:paraId="567749C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Jalons intermédiaires J0 à J5, suivi de l’avancement et priorisation des fonctions essentielles. Réserve de cinq jours conservée pour absorber un glissement des phases P3 ou P4.</w:t>
            </w:r>
          </w:p>
        </w:tc>
        <w:tc>
          <w:tcPr>
            <w:tcW w:w="774" w:type="dxa"/>
            <w:tcBorders>
              <w:top w:val="single" w:sz="4" w:space="0" w:color="000000"/>
              <w:left w:val="single" w:sz="4" w:space="0" w:color="000000"/>
              <w:bottom w:val="single" w:sz="4" w:space="0" w:color="000000"/>
              <w:right w:val="single" w:sz="4" w:space="0" w:color="000000"/>
            </w:tcBorders>
          </w:tcPr>
          <w:p w14:paraId="3956E9C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G3 · PD</w:t>
            </w:r>
          </w:p>
          <w:p w14:paraId="5652785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w:t>
            </w:r>
          </w:p>
        </w:tc>
        <w:tc>
          <w:tcPr>
            <w:tcW w:w="1141" w:type="dxa"/>
            <w:tcBorders>
              <w:top w:val="single" w:sz="4" w:space="0" w:color="000000"/>
              <w:left w:val="single" w:sz="4" w:space="0" w:color="000000"/>
              <w:bottom w:val="single" w:sz="4" w:space="0" w:color="000000"/>
              <w:right w:val="single" w:sz="4" w:space="0" w:color="000000"/>
            </w:tcBorders>
          </w:tcPr>
          <w:p w14:paraId="34E06D2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Chargé de projet.</w:t>
            </w:r>
          </w:p>
          <w:p w14:paraId="20C8B4E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suivi aux jalons.</w:t>
            </w:r>
          </w:p>
        </w:tc>
      </w:tr>
      <w:tr w:rsidR="00F50D70" w:rsidRPr="00BE4F47" w14:paraId="1BA5C618"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1D9C62F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1.2</w:t>
            </w:r>
          </w:p>
        </w:tc>
        <w:tc>
          <w:tcPr>
            <w:tcW w:w="2608" w:type="dxa"/>
            <w:tcBorders>
              <w:top w:val="single" w:sz="4" w:space="0" w:color="000000"/>
              <w:left w:val="single" w:sz="4" w:space="0" w:color="000000"/>
              <w:bottom w:val="single" w:sz="4" w:space="0" w:color="000000"/>
              <w:right w:val="single" w:sz="4" w:space="0" w:color="000000"/>
            </w:tcBorders>
          </w:tcPr>
          <w:p w14:paraId="138CF12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RP2. Dépassement de l’enveloppe de 1 080 heures. Justification : l’enveloppe est une contrainte de mandat et non une estimation ; la gravité est critique car le dépassement remet en cause un livrable, sans remettre en cause le mandat.</w:t>
            </w:r>
          </w:p>
        </w:tc>
        <w:tc>
          <w:tcPr>
            <w:tcW w:w="774" w:type="dxa"/>
            <w:tcBorders>
              <w:top w:val="single" w:sz="4" w:space="0" w:color="000000"/>
              <w:left w:val="single" w:sz="4" w:space="0" w:color="000000"/>
              <w:bottom w:val="single" w:sz="4" w:space="0" w:color="000000"/>
              <w:right w:val="single" w:sz="4" w:space="0" w:color="000000"/>
            </w:tcBorders>
          </w:tcPr>
          <w:p w14:paraId="210C15B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G4 · PC</w:t>
            </w:r>
          </w:p>
          <w:p w14:paraId="67AA28A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IV</w:t>
            </w:r>
          </w:p>
        </w:tc>
        <w:tc>
          <w:tcPr>
            <w:tcW w:w="2608" w:type="dxa"/>
            <w:tcBorders>
              <w:top w:val="single" w:sz="4" w:space="0" w:color="000000"/>
              <w:left w:val="single" w:sz="4" w:space="0" w:color="000000"/>
              <w:bottom w:val="single" w:sz="4" w:space="0" w:color="000000"/>
              <w:right w:val="single" w:sz="4" w:space="0" w:color="000000"/>
            </w:tcBorders>
          </w:tcPr>
          <w:p w14:paraId="05E695B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Suivi périodique des heures consommées par lot. Réduction du contenu ajustable avant toute réduction des activités de vérification et de validation. Mesure compensatoire : liste du contenu ajustable arrêtée au jalon J1.</w:t>
            </w:r>
          </w:p>
        </w:tc>
        <w:tc>
          <w:tcPr>
            <w:tcW w:w="774" w:type="dxa"/>
            <w:tcBorders>
              <w:top w:val="single" w:sz="4" w:space="0" w:color="000000"/>
              <w:left w:val="single" w:sz="4" w:space="0" w:color="000000"/>
              <w:bottom w:val="single" w:sz="4" w:space="0" w:color="000000"/>
              <w:right w:val="single" w:sz="4" w:space="0" w:color="000000"/>
            </w:tcBorders>
          </w:tcPr>
          <w:p w14:paraId="7A0966E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G3 · PD</w:t>
            </w:r>
          </w:p>
          <w:p w14:paraId="55BE010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w:t>
            </w:r>
          </w:p>
        </w:tc>
        <w:tc>
          <w:tcPr>
            <w:tcW w:w="1141" w:type="dxa"/>
            <w:tcBorders>
              <w:top w:val="single" w:sz="4" w:space="0" w:color="000000"/>
              <w:left w:val="single" w:sz="4" w:space="0" w:color="000000"/>
              <w:bottom w:val="single" w:sz="4" w:space="0" w:color="000000"/>
              <w:right w:val="single" w:sz="4" w:space="0" w:color="000000"/>
            </w:tcBorders>
          </w:tcPr>
          <w:p w14:paraId="7539C06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Chargé de projet.</w:t>
            </w:r>
          </w:p>
          <w:p w14:paraId="43973A5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suivi périodique.</w:t>
            </w:r>
          </w:p>
        </w:tc>
      </w:tr>
      <w:tr w:rsidR="00F50D70" w:rsidRPr="00BE4F47" w14:paraId="2E9C7C2E"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41AD39D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1.3</w:t>
            </w:r>
          </w:p>
        </w:tc>
        <w:tc>
          <w:tcPr>
            <w:tcW w:w="2608" w:type="dxa"/>
            <w:tcBorders>
              <w:top w:val="single" w:sz="4" w:space="0" w:color="000000"/>
              <w:left w:val="single" w:sz="4" w:space="0" w:color="000000"/>
              <w:bottom w:val="single" w:sz="4" w:space="0" w:color="000000"/>
              <w:right w:val="single" w:sz="4" w:space="0" w:color="000000"/>
            </w:tcBorders>
          </w:tcPr>
          <w:p w14:paraId="2D90027C" w14:textId="65CEA1BD"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 xml:space="preserve">RP4. Absentéisme ou indisponibilité prolongée d’un membre. Justification : huit membres portent chacun un lot ; l’arrêt prolongé d’un seul retire de 8 à 13 % de la capacité et laisse une section sans rédacteur, sur un trimestre de </w:t>
            </w:r>
            <w:r w:rsidR="007E5FC7" w:rsidRPr="00BE4F47">
              <w:rPr>
                <w:rFonts w:ascii="Aptos" w:eastAsia="Calibri" w:hAnsi="Aptos" w:cs="Calibri"/>
                <w:color w:val="1A1A19"/>
                <w:sz w:val="16"/>
                <w:szCs w:val="16"/>
                <w:lang w:val="fr-FR"/>
              </w:rPr>
              <w:t>quatorze semaines menées</w:t>
            </w:r>
            <w:r w:rsidRPr="00BE4F47">
              <w:rPr>
                <w:rFonts w:ascii="Aptos" w:eastAsia="Calibri" w:hAnsi="Aptos" w:cs="Calibri"/>
                <w:color w:val="1A1A19"/>
                <w:sz w:val="16"/>
                <w:szCs w:val="16"/>
                <w:lang w:val="fr-FR"/>
              </w:rPr>
              <w:t xml:space="preserve"> en parallèle de cinq autres cours.</w:t>
            </w:r>
          </w:p>
        </w:tc>
        <w:tc>
          <w:tcPr>
            <w:tcW w:w="774" w:type="dxa"/>
            <w:tcBorders>
              <w:top w:val="single" w:sz="4" w:space="0" w:color="000000"/>
              <w:left w:val="single" w:sz="4" w:space="0" w:color="000000"/>
              <w:bottom w:val="single" w:sz="4" w:space="0" w:color="000000"/>
              <w:right w:val="single" w:sz="4" w:space="0" w:color="000000"/>
            </w:tcBorders>
          </w:tcPr>
          <w:p w14:paraId="08BC16A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G4 · PC</w:t>
            </w:r>
          </w:p>
          <w:p w14:paraId="32BEDD9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IV</w:t>
            </w:r>
          </w:p>
        </w:tc>
        <w:tc>
          <w:tcPr>
            <w:tcW w:w="2608" w:type="dxa"/>
            <w:tcBorders>
              <w:top w:val="single" w:sz="4" w:space="0" w:color="000000"/>
              <w:left w:val="single" w:sz="4" w:space="0" w:color="000000"/>
              <w:bottom w:val="single" w:sz="4" w:space="0" w:color="000000"/>
              <w:right w:val="single" w:sz="4" w:space="0" w:color="000000"/>
            </w:tcBorders>
          </w:tcPr>
          <w:p w14:paraId="5F46BAA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Binôme de secours désigné pour chaque lot, de sorte qu’aucun lot ne repose sur une seule personne. Documentation au dépôt permettant la reprise par un tiers, selon la section 4. Réallocation de la charge à partir du tableau des lots. Mesure compensatoire : la relecture croisée fait qu’au moins deux membres connaissent chaque section.</w:t>
            </w:r>
          </w:p>
        </w:tc>
        <w:tc>
          <w:tcPr>
            <w:tcW w:w="774" w:type="dxa"/>
            <w:tcBorders>
              <w:top w:val="single" w:sz="4" w:space="0" w:color="000000"/>
              <w:left w:val="single" w:sz="4" w:space="0" w:color="000000"/>
              <w:bottom w:val="single" w:sz="4" w:space="0" w:color="000000"/>
              <w:right w:val="single" w:sz="4" w:space="0" w:color="000000"/>
            </w:tcBorders>
          </w:tcPr>
          <w:p w14:paraId="37743EC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G2 · PC</w:t>
            </w:r>
          </w:p>
          <w:p w14:paraId="0198965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w:t>
            </w:r>
          </w:p>
        </w:tc>
        <w:tc>
          <w:tcPr>
            <w:tcW w:w="1141" w:type="dxa"/>
            <w:tcBorders>
              <w:top w:val="single" w:sz="4" w:space="0" w:color="000000"/>
              <w:left w:val="single" w:sz="4" w:space="0" w:color="000000"/>
              <w:bottom w:val="single" w:sz="4" w:space="0" w:color="000000"/>
              <w:right w:val="single" w:sz="4" w:space="0" w:color="000000"/>
            </w:tcBorders>
          </w:tcPr>
          <w:p w14:paraId="55CD00E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Chargé de projet.</w:t>
            </w:r>
          </w:p>
          <w:p w14:paraId="34A810E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Binômes désignés à J1.</w:t>
            </w:r>
          </w:p>
        </w:tc>
      </w:tr>
      <w:tr w:rsidR="00F50D70" w:rsidRPr="00BE4F47" w14:paraId="7E8FF9DF"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4454AE8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2.1</w:t>
            </w:r>
          </w:p>
        </w:tc>
        <w:tc>
          <w:tcPr>
            <w:tcW w:w="2608" w:type="dxa"/>
            <w:tcBorders>
              <w:top w:val="single" w:sz="4" w:space="0" w:color="000000"/>
              <w:left w:val="single" w:sz="4" w:space="0" w:color="000000"/>
              <w:bottom w:val="single" w:sz="4" w:space="0" w:color="000000"/>
              <w:right w:val="single" w:sz="4" w:space="0" w:color="000000"/>
            </w:tcBorders>
          </w:tcPr>
          <w:p w14:paraId="7FB8454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RP3. Modification tardive du périmètre exigeant un banc thermohydraulique physique. Justification : probabilité faible car l’hypothèse d’un environnement simulé est posée au mandat ; gravité maximale car un tel ajout invaliderait la planification, le budget et l’échéancier.</w:t>
            </w:r>
          </w:p>
        </w:tc>
        <w:tc>
          <w:tcPr>
            <w:tcW w:w="774" w:type="dxa"/>
            <w:tcBorders>
              <w:top w:val="single" w:sz="4" w:space="0" w:color="000000"/>
              <w:left w:val="single" w:sz="4" w:space="0" w:color="000000"/>
              <w:bottom w:val="single" w:sz="4" w:space="0" w:color="000000"/>
              <w:right w:val="single" w:sz="4" w:space="0" w:color="000000"/>
            </w:tcBorders>
          </w:tcPr>
          <w:p w14:paraId="5B45FB7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G5 · PD</w:t>
            </w:r>
          </w:p>
          <w:p w14:paraId="26CD2C9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IV</w:t>
            </w:r>
          </w:p>
        </w:tc>
        <w:tc>
          <w:tcPr>
            <w:tcW w:w="2608" w:type="dxa"/>
            <w:tcBorders>
              <w:top w:val="single" w:sz="4" w:space="0" w:color="000000"/>
              <w:left w:val="single" w:sz="4" w:space="0" w:color="000000"/>
              <w:bottom w:val="single" w:sz="4" w:space="0" w:color="000000"/>
              <w:right w:val="single" w:sz="4" w:space="0" w:color="000000"/>
            </w:tcBorders>
          </w:tcPr>
          <w:p w14:paraId="2834A2A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Maintien explicite de l’hypothèse d’un environnement simulé (EX-C-02). Réévaluation immédiate de la portée, des ressources et du budget si elle devient invalide. Mesure compensatoire : point de décision formel au jalon J1.</w:t>
            </w:r>
          </w:p>
        </w:tc>
        <w:tc>
          <w:tcPr>
            <w:tcW w:w="774" w:type="dxa"/>
            <w:tcBorders>
              <w:top w:val="single" w:sz="4" w:space="0" w:color="000000"/>
              <w:left w:val="single" w:sz="4" w:space="0" w:color="000000"/>
              <w:bottom w:val="single" w:sz="4" w:space="0" w:color="000000"/>
              <w:right w:val="single" w:sz="4" w:space="0" w:color="000000"/>
            </w:tcBorders>
          </w:tcPr>
          <w:p w14:paraId="0651B06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G5 · PE</w:t>
            </w:r>
          </w:p>
          <w:p w14:paraId="06E9F67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III</w:t>
            </w:r>
          </w:p>
        </w:tc>
        <w:tc>
          <w:tcPr>
            <w:tcW w:w="1141" w:type="dxa"/>
            <w:tcBorders>
              <w:top w:val="single" w:sz="4" w:space="0" w:color="000000"/>
              <w:left w:val="single" w:sz="4" w:space="0" w:color="000000"/>
              <w:bottom w:val="single" w:sz="4" w:space="0" w:color="000000"/>
              <w:right w:val="single" w:sz="4" w:space="0" w:color="000000"/>
            </w:tcBorders>
          </w:tcPr>
          <w:p w14:paraId="58A0841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Chargé de projet.</w:t>
            </w:r>
          </w:p>
          <w:p w14:paraId="20F8A99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sous condition de revue du périmètre.</w:t>
            </w:r>
          </w:p>
        </w:tc>
      </w:tr>
    </w:tbl>
    <w:p w14:paraId="2A1485C6" w14:textId="77777777" w:rsidR="00F50D70" w:rsidRPr="00BE4F47" w:rsidRDefault="00137D7F" w:rsidP="008E113B">
      <w:pPr>
        <w:spacing w:before="200" w:after="130" w:line="360" w:lineRule="auto"/>
        <w:ind w:left="360"/>
        <w:rPr>
          <w:rFonts w:ascii="Aptos" w:hAnsi="Aptos"/>
        </w:rPr>
      </w:pPr>
      <w:bookmarkStart w:id="571" w:name="_Toc241083107"/>
      <w:bookmarkStart w:id="572" w:name="_Toc241670272"/>
      <w:r w:rsidRPr="00BE4F47">
        <w:rPr>
          <w:rFonts w:ascii="Aptos" w:hAnsi="Aptos"/>
          <w:color w:val="1A1A19"/>
          <w:sz w:val="20"/>
          <w:szCs w:val="20"/>
        </w:rPr>
        <w:t>Évaluation datée du 18 septembre 2026. Les renvois entre parenthèses désignent les exigences du registre des exigences et les états du GEMMA.</w:t>
      </w:r>
      <w:bookmarkEnd w:id="571"/>
      <w:bookmarkEnd w:id="572"/>
    </w:p>
    <w:p w14:paraId="705CB486" w14:textId="77777777" w:rsidR="00F50D70" w:rsidRPr="00BE4F47" w:rsidRDefault="00137D7F" w:rsidP="008E113B">
      <w:pPr>
        <w:pStyle w:val="Lgende"/>
        <w:keepNext/>
        <w:spacing w:line="360" w:lineRule="auto"/>
        <w:rPr>
          <w:rFonts w:ascii="Aptos" w:hAnsi="Aptos"/>
        </w:rPr>
      </w:pPr>
      <w:bookmarkStart w:id="573" w:name="_Toc241083108"/>
      <w:bookmarkStart w:id="574" w:name="_Toc241670273"/>
      <w:r w:rsidRPr="00BE4F47">
        <w:rPr>
          <w:rFonts w:ascii="Aptos" w:hAnsi="Aptos"/>
        </w:rPr>
        <w:t>Tableau 7-7. Registre des risques du produit</w:t>
      </w:r>
      <w:bookmarkEnd w:id="573"/>
      <w:bookmarkEnd w:id="574"/>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652"/>
        <w:gridCol w:w="2608"/>
        <w:gridCol w:w="774"/>
        <w:gridCol w:w="2608"/>
        <w:gridCol w:w="774"/>
        <w:gridCol w:w="1141"/>
      </w:tblGrid>
      <w:tr w:rsidR="00F50D70" w:rsidRPr="00BE4F47" w14:paraId="5F05A882" w14:textId="77777777">
        <w:trPr>
          <w:tblHeader/>
        </w:trPr>
        <w:tc>
          <w:tcPr>
            <w:tcW w:w="652" w:type="dxa"/>
            <w:tcBorders>
              <w:top w:val="single" w:sz="4" w:space="0" w:color="000000"/>
              <w:left w:val="single" w:sz="4" w:space="0" w:color="000000"/>
              <w:bottom w:val="single" w:sz="4" w:space="0" w:color="000000"/>
              <w:right w:val="single" w:sz="4" w:space="0" w:color="000000"/>
            </w:tcBorders>
            <w:shd w:val="clear" w:color="auto" w:fill="EFF4FB"/>
          </w:tcPr>
          <w:p w14:paraId="2F86705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Repère</w:t>
            </w:r>
          </w:p>
        </w:tc>
        <w:tc>
          <w:tcPr>
            <w:tcW w:w="2608" w:type="dxa"/>
            <w:tcBorders>
              <w:top w:val="single" w:sz="4" w:space="0" w:color="000000"/>
              <w:left w:val="single" w:sz="4" w:space="0" w:color="000000"/>
              <w:bottom w:val="single" w:sz="4" w:space="0" w:color="000000"/>
              <w:right w:val="single" w:sz="4" w:space="0" w:color="000000"/>
            </w:tcBorders>
            <w:shd w:val="clear" w:color="auto" w:fill="EFF4FB"/>
          </w:tcPr>
          <w:p w14:paraId="5390969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Risque et justification de la cotation</w:t>
            </w:r>
          </w:p>
        </w:tc>
        <w:tc>
          <w:tcPr>
            <w:tcW w:w="774" w:type="dxa"/>
            <w:tcBorders>
              <w:top w:val="single" w:sz="4" w:space="0" w:color="000000"/>
              <w:left w:val="single" w:sz="4" w:space="0" w:color="000000"/>
              <w:bottom w:val="single" w:sz="4" w:space="0" w:color="000000"/>
              <w:right w:val="single" w:sz="4" w:space="0" w:color="000000"/>
            </w:tcBorders>
            <w:shd w:val="clear" w:color="auto" w:fill="EFF4FB"/>
          </w:tcPr>
          <w:p w14:paraId="6CEE08A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Avant</w:t>
            </w:r>
          </w:p>
        </w:tc>
        <w:tc>
          <w:tcPr>
            <w:tcW w:w="2608" w:type="dxa"/>
            <w:tcBorders>
              <w:top w:val="single" w:sz="4" w:space="0" w:color="000000"/>
              <w:left w:val="single" w:sz="4" w:space="0" w:color="000000"/>
              <w:bottom w:val="single" w:sz="4" w:space="0" w:color="000000"/>
              <w:right w:val="single" w:sz="4" w:space="0" w:color="000000"/>
            </w:tcBorders>
            <w:shd w:val="clear" w:color="auto" w:fill="EFF4FB"/>
          </w:tcPr>
          <w:p w14:paraId="02CEDAC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Traitement et mesure compensatoire</w:t>
            </w:r>
          </w:p>
        </w:tc>
        <w:tc>
          <w:tcPr>
            <w:tcW w:w="774" w:type="dxa"/>
            <w:tcBorders>
              <w:top w:val="single" w:sz="4" w:space="0" w:color="000000"/>
              <w:left w:val="single" w:sz="4" w:space="0" w:color="000000"/>
              <w:bottom w:val="single" w:sz="4" w:space="0" w:color="000000"/>
              <w:right w:val="single" w:sz="4" w:space="0" w:color="000000"/>
            </w:tcBorders>
            <w:shd w:val="clear" w:color="auto" w:fill="EFF4FB"/>
          </w:tcPr>
          <w:p w14:paraId="54AC556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Après</w:t>
            </w:r>
          </w:p>
        </w:tc>
        <w:tc>
          <w:tcPr>
            <w:tcW w:w="1141" w:type="dxa"/>
            <w:tcBorders>
              <w:top w:val="single" w:sz="4" w:space="0" w:color="000000"/>
              <w:left w:val="single" w:sz="4" w:space="0" w:color="000000"/>
              <w:bottom w:val="single" w:sz="4" w:space="0" w:color="000000"/>
              <w:right w:val="single" w:sz="4" w:space="0" w:color="000000"/>
            </w:tcBorders>
            <w:shd w:val="clear" w:color="auto" w:fill="EFF4FB"/>
          </w:tcPr>
          <w:p w14:paraId="7255C22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Resp.</w:t>
            </w:r>
          </w:p>
        </w:tc>
      </w:tr>
      <w:tr w:rsidR="00F50D70" w:rsidRPr="00BE4F47" w14:paraId="20DE413F"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771E5D5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3.1</w:t>
            </w:r>
          </w:p>
        </w:tc>
        <w:tc>
          <w:tcPr>
            <w:tcW w:w="2608" w:type="dxa"/>
            <w:tcBorders>
              <w:top w:val="single" w:sz="4" w:space="0" w:color="000000"/>
              <w:left w:val="single" w:sz="4" w:space="0" w:color="000000"/>
              <w:bottom w:val="single" w:sz="4" w:space="0" w:color="000000"/>
              <w:right w:val="single" w:sz="4" w:space="0" w:color="000000"/>
            </w:tcBorders>
          </w:tcPr>
          <w:p w14:paraId="62F0A65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RT1. Mesure erronée de température, de pression ou de débit. Justification : une dérive de capteur est le mode de défaillance le plus courant d’une chaîne d’acquisition, et une mesure fausse non détectée fausse tout le diagnostic.</w:t>
            </w:r>
          </w:p>
        </w:tc>
        <w:tc>
          <w:tcPr>
            <w:tcW w:w="774" w:type="dxa"/>
            <w:tcBorders>
              <w:top w:val="single" w:sz="4" w:space="0" w:color="000000"/>
              <w:left w:val="single" w:sz="4" w:space="0" w:color="000000"/>
              <w:bottom w:val="single" w:sz="4" w:space="0" w:color="000000"/>
              <w:right w:val="single" w:sz="4" w:space="0" w:color="000000"/>
            </w:tcBorders>
          </w:tcPr>
          <w:p w14:paraId="4529D3E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G5 · PC</w:t>
            </w:r>
          </w:p>
          <w:p w14:paraId="70B4557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IV</w:t>
            </w:r>
          </w:p>
        </w:tc>
        <w:tc>
          <w:tcPr>
            <w:tcW w:w="2608" w:type="dxa"/>
            <w:tcBorders>
              <w:top w:val="single" w:sz="4" w:space="0" w:color="000000"/>
              <w:left w:val="single" w:sz="4" w:space="0" w:color="000000"/>
              <w:bottom w:val="single" w:sz="4" w:space="0" w:color="000000"/>
              <w:right w:val="single" w:sz="4" w:space="0" w:color="000000"/>
            </w:tcBorders>
          </w:tcPr>
          <w:p w14:paraId="514051D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Validation des entrées, plages admissibles et contrôle de cohérence entre capteurs (EX-Q-04). Une mesure détectée comme invalide est rejetée et journalisée, elle ne se propage pas au modèle.</w:t>
            </w:r>
          </w:p>
        </w:tc>
        <w:tc>
          <w:tcPr>
            <w:tcW w:w="774" w:type="dxa"/>
            <w:tcBorders>
              <w:top w:val="single" w:sz="4" w:space="0" w:color="000000"/>
              <w:left w:val="single" w:sz="4" w:space="0" w:color="000000"/>
              <w:bottom w:val="single" w:sz="4" w:space="0" w:color="000000"/>
              <w:right w:val="single" w:sz="4" w:space="0" w:color="000000"/>
            </w:tcBorders>
          </w:tcPr>
          <w:p w14:paraId="2B9045D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G3 · PC</w:t>
            </w:r>
          </w:p>
          <w:p w14:paraId="58D47E2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III</w:t>
            </w:r>
          </w:p>
        </w:tc>
        <w:tc>
          <w:tcPr>
            <w:tcW w:w="1141" w:type="dxa"/>
            <w:tcBorders>
              <w:top w:val="single" w:sz="4" w:space="0" w:color="000000"/>
              <w:left w:val="single" w:sz="4" w:space="0" w:color="000000"/>
              <w:bottom w:val="single" w:sz="4" w:space="0" w:color="000000"/>
              <w:right w:val="single" w:sz="4" w:space="0" w:color="000000"/>
            </w:tcBorders>
          </w:tcPr>
          <w:p w14:paraId="6AF7B23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Lot L6.</w:t>
            </w:r>
          </w:p>
          <w:p w14:paraId="3B7C0BD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suivi aux jalons.</w:t>
            </w:r>
          </w:p>
        </w:tc>
      </w:tr>
      <w:tr w:rsidR="00F50D70" w:rsidRPr="00BE4F47" w14:paraId="2AE72F12"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0979CC1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lastRenderedPageBreak/>
              <w:t>3.2</w:t>
            </w:r>
          </w:p>
        </w:tc>
        <w:tc>
          <w:tcPr>
            <w:tcW w:w="2608" w:type="dxa"/>
            <w:tcBorders>
              <w:top w:val="single" w:sz="4" w:space="0" w:color="000000"/>
              <w:left w:val="single" w:sz="4" w:space="0" w:color="000000"/>
              <w:bottom w:val="single" w:sz="4" w:space="0" w:color="000000"/>
              <w:right w:val="single" w:sz="4" w:space="0" w:color="000000"/>
            </w:tcBorders>
          </w:tcPr>
          <w:p w14:paraId="2096EBF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RT2. Perte ou indisponibilité d’une donnée. Justification : événement attendu au moins une fois en campagne d’essais ; la gravité chute fortement une fois la détection en place, puisque le système déclare l’état incertain au lieu de conclure.</w:t>
            </w:r>
          </w:p>
        </w:tc>
        <w:tc>
          <w:tcPr>
            <w:tcW w:w="774" w:type="dxa"/>
            <w:tcBorders>
              <w:top w:val="single" w:sz="4" w:space="0" w:color="000000"/>
              <w:left w:val="single" w:sz="4" w:space="0" w:color="000000"/>
              <w:bottom w:val="single" w:sz="4" w:space="0" w:color="000000"/>
              <w:right w:val="single" w:sz="4" w:space="0" w:color="000000"/>
            </w:tcBorders>
          </w:tcPr>
          <w:p w14:paraId="58E72E4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G4 · PC</w:t>
            </w:r>
          </w:p>
          <w:p w14:paraId="37E6776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IV</w:t>
            </w:r>
          </w:p>
        </w:tc>
        <w:tc>
          <w:tcPr>
            <w:tcW w:w="2608" w:type="dxa"/>
            <w:tcBorders>
              <w:top w:val="single" w:sz="4" w:space="0" w:color="000000"/>
              <w:left w:val="single" w:sz="4" w:space="0" w:color="000000"/>
              <w:bottom w:val="single" w:sz="4" w:space="0" w:color="000000"/>
              <w:right w:val="single" w:sz="4" w:space="0" w:color="000000"/>
            </w:tcBorders>
          </w:tcPr>
          <w:p w14:paraId="1F7FE46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Détection des données manquantes au-delà de N cycles et affichage de l’état « incertain » (EX-F-06, état D2 du GEMMA).</w:t>
            </w:r>
          </w:p>
        </w:tc>
        <w:tc>
          <w:tcPr>
            <w:tcW w:w="774" w:type="dxa"/>
            <w:tcBorders>
              <w:top w:val="single" w:sz="4" w:space="0" w:color="000000"/>
              <w:left w:val="single" w:sz="4" w:space="0" w:color="000000"/>
              <w:bottom w:val="single" w:sz="4" w:space="0" w:color="000000"/>
              <w:right w:val="single" w:sz="4" w:space="0" w:color="000000"/>
            </w:tcBorders>
          </w:tcPr>
          <w:p w14:paraId="0869A3B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G2 · PC</w:t>
            </w:r>
          </w:p>
          <w:p w14:paraId="57BAD06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w:t>
            </w:r>
          </w:p>
        </w:tc>
        <w:tc>
          <w:tcPr>
            <w:tcW w:w="1141" w:type="dxa"/>
            <w:tcBorders>
              <w:top w:val="single" w:sz="4" w:space="0" w:color="000000"/>
              <w:left w:val="single" w:sz="4" w:space="0" w:color="000000"/>
              <w:bottom w:val="single" w:sz="4" w:space="0" w:color="000000"/>
              <w:right w:val="single" w:sz="4" w:space="0" w:color="000000"/>
            </w:tcBorders>
          </w:tcPr>
          <w:p w14:paraId="34DA550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Lot L7.</w:t>
            </w:r>
          </w:p>
          <w:p w14:paraId="36FD350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suivi aux jalons.</w:t>
            </w:r>
          </w:p>
        </w:tc>
      </w:tr>
      <w:tr w:rsidR="00F50D70" w:rsidRPr="00BE4F47" w14:paraId="2B3BCE27"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020598D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3.3</w:t>
            </w:r>
          </w:p>
        </w:tc>
        <w:tc>
          <w:tcPr>
            <w:tcW w:w="2608" w:type="dxa"/>
            <w:tcBorders>
              <w:top w:val="single" w:sz="4" w:space="0" w:color="000000"/>
              <w:left w:val="single" w:sz="4" w:space="0" w:color="000000"/>
              <w:bottom w:val="single" w:sz="4" w:space="0" w:color="000000"/>
              <w:right w:val="single" w:sz="4" w:space="0" w:color="000000"/>
            </w:tcBorders>
          </w:tcPr>
          <w:p w14:paraId="2BC6092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RT3. Désynchronisation entre le modèle de référence et le jumeau. Justification : risque propre aux systèmes comparant deux flux ; détectable par horodatage, donc probabilité réductible.</w:t>
            </w:r>
          </w:p>
        </w:tc>
        <w:tc>
          <w:tcPr>
            <w:tcW w:w="774" w:type="dxa"/>
            <w:tcBorders>
              <w:top w:val="single" w:sz="4" w:space="0" w:color="000000"/>
              <w:left w:val="single" w:sz="4" w:space="0" w:color="000000"/>
              <w:bottom w:val="single" w:sz="4" w:space="0" w:color="000000"/>
              <w:right w:val="single" w:sz="4" w:space="0" w:color="000000"/>
            </w:tcBorders>
          </w:tcPr>
          <w:p w14:paraId="675A508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G4 · PC</w:t>
            </w:r>
          </w:p>
          <w:p w14:paraId="0ED0F5D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IV</w:t>
            </w:r>
          </w:p>
        </w:tc>
        <w:tc>
          <w:tcPr>
            <w:tcW w:w="2608" w:type="dxa"/>
            <w:tcBorders>
              <w:top w:val="single" w:sz="4" w:space="0" w:color="000000"/>
              <w:left w:val="single" w:sz="4" w:space="0" w:color="000000"/>
              <w:bottom w:val="single" w:sz="4" w:space="0" w:color="000000"/>
              <w:right w:val="single" w:sz="4" w:space="0" w:color="000000"/>
            </w:tcBorders>
          </w:tcPr>
          <w:p w14:paraId="0174BB1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Horodatage de chaque acquisition, contrôle de synchronisation et surveillance de l’écart temporel (EX-F-10).</w:t>
            </w:r>
          </w:p>
        </w:tc>
        <w:tc>
          <w:tcPr>
            <w:tcW w:w="774" w:type="dxa"/>
            <w:tcBorders>
              <w:top w:val="single" w:sz="4" w:space="0" w:color="000000"/>
              <w:left w:val="single" w:sz="4" w:space="0" w:color="000000"/>
              <w:bottom w:val="single" w:sz="4" w:space="0" w:color="000000"/>
              <w:right w:val="single" w:sz="4" w:space="0" w:color="000000"/>
            </w:tcBorders>
          </w:tcPr>
          <w:p w14:paraId="7639FD6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G3 · PD</w:t>
            </w:r>
          </w:p>
          <w:p w14:paraId="29BA498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w:t>
            </w:r>
          </w:p>
        </w:tc>
        <w:tc>
          <w:tcPr>
            <w:tcW w:w="1141" w:type="dxa"/>
            <w:tcBorders>
              <w:top w:val="single" w:sz="4" w:space="0" w:color="000000"/>
              <w:left w:val="single" w:sz="4" w:space="0" w:color="000000"/>
              <w:bottom w:val="single" w:sz="4" w:space="0" w:color="000000"/>
              <w:right w:val="single" w:sz="4" w:space="0" w:color="000000"/>
            </w:tcBorders>
          </w:tcPr>
          <w:p w14:paraId="6AA3BCF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Lot L6.</w:t>
            </w:r>
          </w:p>
          <w:p w14:paraId="2694884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suivi aux jalons.</w:t>
            </w:r>
          </w:p>
        </w:tc>
      </w:tr>
      <w:tr w:rsidR="00F50D70" w:rsidRPr="00BE4F47" w14:paraId="5C1537E2"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30606BE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4.1</w:t>
            </w:r>
          </w:p>
        </w:tc>
        <w:tc>
          <w:tcPr>
            <w:tcW w:w="2608" w:type="dxa"/>
            <w:tcBorders>
              <w:top w:val="single" w:sz="4" w:space="0" w:color="000000"/>
              <w:left w:val="single" w:sz="4" w:space="0" w:color="000000"/>
              <w:bottom w:val="single" w:sz="4" w:space="0" w:color="000000"/>
              <w:right w:val="single" w:sz="4" w:space="0" w:color="000000"/>
            </w:tcBorders>
          </w:tcPr>
          <w:p w14:paraId="7E1896E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RT4. Modèle thermohydraulique insuffisamment représentatif. Justification : un modèle 0D et 1D à paramètres concentrés est par construction une approximation ; la gravité reste critique après traitement car elle conditionne la validité des résultats.</w:t>
            </w:r>
          </w:p>
        </w:tc>
        <w:tc>
          <w:tcPr>
            <w:tcW w:w="774" w:type="dxa"/>
            <w:tcBorders>
              <w:top w:val="single" w:sz="4" w:space="0" w:color="000000"/>
              <w:left w:val="single" w:sz="4" w:space="0" w:color="000000"/>
              <w:bottom w:val="single" w:sz="4" w:space="0" w:color="000000"/>
              <w:right w:val="single" w:sz="4" w:space="0" w:color="000000"/>
            </w:tcBorders>
          </w:tcPr>
          <w:p w14:paraId="1061B37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G5 · PC</w:t>
            </w:r>
          </w:p>
          <w:p w14:paraId="0F2DF7C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IV</w:t>
            </w:r>
          </w:p>
        </w:tc>
        <w:tc>
          <w:tcPr>
            <w:tcW w:w="2608" w:type="dxa"/>
            <w:tcBorders>
              <w:top w:val="single" w:sz="4" w:space="0" w:color="000000"/>
              <w:left w:val="single" w:sz="4" w:space="0" w:color="000000"/>
              <w:bottom w:val="single" w:sz="4" w:space="0" w:color="000000"/>
              <w:right w:val="single" w:sz="4" w:space="0" w:color="000000"/>
            </w:tcBorders>
          </w:tcPr>
          <w:p w14:paraId="71866AB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Vérification et validation, comparaison au modèle de référence et quantification de l’incertitude de validation selon ASME V&amp;V 20. Mesure compensatoire : domaine de validité documenté au rapport final (EX-C-01).</w:t>
            </w:r>
          </w:p>
        </w:tc>
        <w:tc>
          <w:tcPr>
            <w:tcW w:w="774" w:type="dxa"/>
            <w:tcBorders>
              <w:top w:val="single" w:sz="4" w:space="0" w:color="000000"/>
              <w:left w:val="single" w:sz="4" w:space="0" w:color="000000"/>
              <w:bottom w:val="single" w:sz="4" w:space="0" w:color="000000"/>
              <w:right w:val="single" w:sz="4" w:space="0" w:color="000000"/>
            </w:tcBorders>
          </w:tcPr>
          <w:p w14:paraId="4CB828B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G4 · PD</w:t>
            </w:r>
          </w:p>
          <w:p w14:paraId="4FFF170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III</w:t>
            </w:r>
          </w:p>
        </w:tc>
        <w:tc>
          <w:tcPr>
            <w:tcW w:w="1141" w:type="dxa"/>
            <w:tcBorders>
              <w:top w:val="single" w:sz="4" w:space="0" w:color="000000"/>
              <w:left w:val="single" w:sz="4" w:space="0" w:color="000000"/>
              <w:bottom w:val="single" w:sz="4" w:space="0" w:color="000000"/>
              <w:right w:val="single" w:sz="4" w:space="0" w:color="000000"/>
            </w:tcBorders>
          </w:tcPr>
          <w:p w14:paraId="0822340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Lot L4.</w:t>
            </w:r>
          </w:p>
          <w:p w14:paraId="23324F3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sous condition de documenter le domaine de validité.</w:t>
            </w:r>
          </w:p>
        </w:tc>
      </w:tr>
      <w:tr w:rsidR="00F50D70" w:rsidRPr="00BE4F47" w14:paraId="0E88C415"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350DC99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4.2</w:t>
            </w:r>
          </w:p>
        </w:tc>
        <w:tc>
          <w:tcPr>
            <w:tcW w:w="2608" w:type="dxa"/>
            <w:tcBorders>
              <w:top w:val="single" w:sz="4" w:space="0" w:color="000000"/>
              <w:left w:val="single" w:sz="4" w:space="0" w:color="000000"/>
              <w:bottom w:val="single" w:sz="4" w:space="0" w:color="000000"/>
              <w:right w:val="single" w:sz="4" w:space="0" w:color="000000"/>
            </w:tcBorders>
          </w:tcPr>
          <w:p w14:paraId="6CFAB22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RT5. Non-détection d’une anomalie réelle, soit un faux négatif. Justification : c’est la fonction même du prototype qui est en défaut. La probabilité est réductible par les essais. La gravité résiduelle descend de 5 à 4 parce que le système ne décide pas seul : la décision demeure celle de l’opérateur et le niveau de confiance est affiché, de sorte qu’un faux négatif ne se propage pas directement à une décision.</w:t>
            </w:r>
          </w:p>
        </w:tc>
        <w:tc>
          <w:tcPr>
            <w:tcW w:w="774" w:type="dxa"/>
            <w:tcBorders>
              <w:top w:val="single" w:sz="4" w:space="0" w:color="000000"/>
              <w:left w:val="single" w:sz="4" w:space="0" w:color="000000"/>
              <w:bottom w:val="single" w:sz="4" w:space="0" w:color="000000"/>
              <w:right w:val="single" w:sz="4" w:space="0" w:color="000000"/>
            </w:tcBorders>
          </w:tcPr>
          <w:p w14:paraId="6891E41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G5 · PC</w:t>
            </w:r>
          </w:p>
          <w:p w14:paraId="3FE79F9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IV</w:t>
            </w:r>
          </w:p>
        </w:tc>
        <w:tc>
          <w:tcPr>
            <w:tcW w:w="2608" w:type="dxa"/>
            <w:tcBorders>
              <w:top w:val="single" w:sz="4" w:space="0" w:color="000000"/>
              <w:left w:val="single" w:sz="4" w:space="0" w:color="000000"/>
              <w:bottom w:val="single" w:sz="4" w:space="0" w:color="000000"/>
              <w:right w:val="single" w:sz="4" w:space="0" w:color="000000"/>
            </w:tcBorders>
          </w:tcPr>
          <w:p w14:paraId="33E34DC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Campagne d’essais avec injection d’anomalies (état F6 du GEMMA), validation des seuils et analyse humaine. Mesure compensatoire : décision maintenue chez l’opérateur (EX-F-08) et affichage systématique du niveau de confiance (EX-F-07).</w:t>
            </w:r>
          </w:p>
        </w:tc>
        <w:tc>
          <w:tcPr>
            <w:tcW w:w="774" w:type="dxa"/>
            <w:tcBorders>
              <w:top w:val="single" w:sz="4" w:space="0" w:color="000000"/>
              <w:left w:val="single" w:sz="4" w:space="0" w:color="000000"/>
              <w:bottom w:val="single" w:sz="4" w:space="0" w:color="000000"/>
              <w:right w:val="single" w:sz="4" w:space="0" w:color="000000"/>
            </w:tcBorders>
          </w:tcPr>
          <w:p w14:paraId="322AF1C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G4 · PD</w:t>
            </w:r>
          </w:p>
          <w:p w14:paraId="348950A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III</w:t>
            </w:r>
          </w:p>
        </w:tc>
        <w:tc>
          <w:tcPr>
            <w:tcW w:w="1141" w:type="dxa"/>
            <w:tcBorders>
              <w:top w:val="single" w:sz="4" w:space="0" w:color="000000"/>
              <w:left w:val="single" w:sz="4" w:space="0" w:color="000000"/>
              <w:bottom w:val="single" w:sz="4" w:space="0" w:color="000000"/>
              <w:right w:val="single" w:sz="4" w:space="0" w:color="000000"/>
            </w:tcBorders>
          </w:tcPr>
          <w:p w14:paraId="12E7105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Chargé de projet.</w:t>
            </w:r>
          </w:p>
          <w:p w14:paraId="4569FFD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sous condition du maintien de la décision humaine.</w:t>
            </w:r>
          </w:p>
        </w:tc>
      </w:tr>
      <w:tr w:rsidR="00F50D70" w:rsidRPr="00BE4F47" w14:paraId="7A12EE67"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2FD71F7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4.3</w:t>
            </w:r>
          </w:p>
        </w:tc>
        <w:tc>
          <w:tcPr>
            <w:tcW w:w="2608" w:type="dxa"/>
            <w:tcBorders>
              <w:top w:val="single" w:sz="4" w:space="0" w:color="000000"/>
              <w:left w:val="single" w:sz="4" w:space="0" w:color="000000"/>
              <w:bottom w:val="single" w:sz="4" w:space="0" w:color="000000"/>
              <w:right w:val="single" w:sz="4" w:space="0" w:color="000000"/>
            </w:tcBorders>
          </w:tcPr>
          <w:p w14:paraId="6ADED6C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RT6. Détection incorrecte d’une anomalie, soit un faux positif. Justification : plus fréquent qu’un faux négatif mais moins grave ; le coût est l’usure de la confiance de l’opérateur, non la perte d’information.</w:t>
            </w:r>
          </w:p>
        </w:tc>
        <w:tc>
          <w:tcPr>
            <w:tcW w:w="774" w:type="dxa"/>
            <w:tcBorders>
              <w:top w:val="single" w:sz="4" w:space="0" w:color="000000"/>
              <w:left w:val="single" w:sz="4" w:space="0" w:color="000000"/>
              <w:bottom w:val="single" w:sz="4" w:space="0" w:color="000000"/>
              <w:right w:val="single" w:sz="4" w:space="0" w:color="000000"/>
            </w:tcBorders>
          </w:tcPr>
          <w:p w14:paraId="01E31D4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G3 · PC</w:t>
            </w:r>
          </w:p>
          <w:p w14:paraId="00E756F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III</w:t>
            </w:r>
          </w:p>
        </w:tc>
        <w:tc>
          <w:tcPr>
            <w:tcW w:w="2608" w:type="dxa"/>
            <w:tcBorders>
              <w:top w:val="single" w:sz="4" w:space="0" w:color="000000"/>
              <w:left w:val="single" w:sz="4" w:space="0" w:color="000000"/>
              <w:bottom w:val="single" w:sz="4" w:space="0" w:color="000000"/>
              <w:right w:val="single" w:sz="4" w:space="0" w:color="000000"/>
            </w:tcBorders>
          </w:tcPr>
          <w:p w14:paraId="45FFBBE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Validation des seuils et présentation des variables ayant contribué à la détection (EX-F-05), permettant à l’opérateur d’écarter rapidement une fausse alerte.</w:t>
            </w:r>
          </w:p>
        </w:tc>
        <w:tc>
          <w:tcPr>
            <w:tcW w:w="774" w:type="dxa"/>
            <w:tcBorders>
              <w:top w:val="single" w:sz="4" w:space="0" w:color="000000"/>
              <w:left w:val="single" w:sz="4" w:space="0" w:color="000000"/>
              <w:bottom w:val="single" w:sz="4" w:space="0" w:color="000000"/>
              <w:right w:val="single" w:sz="4" w:space="0" w:color="000000"/>
            </w:tcBorders>
          </w:tcPr>
          <w:p w14:paraId="7ED7DDD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G2 · PD</w:t>
            </w:r>
          </w:p>
          <w:p w14:paraId="3A6704F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w:t>
            </w:r>
          </w:p>
        </w:tc>
        <w:tc>
          <w:tcPr>
            <w:tcW w:w="1141" w:type="dxa"/>
            <w:tcBorders>
              <w:top w:val="single" w:sz="4" w:space="0" w:color="000000"/>
              <w:left w:val="single" w:sz="4" w:space="0" w:color="000000"/>
              <w:bottom w:val="single" w:sz="4" w:space="0" w:color="000000"/>
              <w:right w:val="single" w:sz="4" w:space="0" w:color="000000"/>
            </w:tcBorders>
          </w:tcPr>
          <w:p w14:paraId="1D36022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Lot L7.</w:t>
            </w:r>
          </w:p>
          <w:p w14:paraId="3BFD28C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sans condition.</w:t>
            </w:r>
          </w:p>
        </w:tc>
      </w:tr>
      <w:tr w:rsidR="00F50D70" w:rsidRPr="00BE4F47" w14:paraId="2469480D"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4350CC8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5.1</w:t>
            </w:r>
          </w:p>
        </w:tc>
        <w:tc>
          <w:tcPr>
            <w:tcW w:w="2608" w:type="dxa"/>
            <w:tcBorders>
              <w:top w:val="single" w:sz="4" w:space="0" w:color="000000"/>
              <w:left w:val="single" w:sz="4" w:space="0" w:color="000000"/>
              <w:bottom w:val="single" w:sz="4" w:space="0" w:color="000000"/>
              <w:right w:val="single" w:sz="4" w:space="0" w:color="000000"/>
            </w:tcBorders>
          </w:tcPr>
          <w:p w14:paraId="0DC2E1C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RT7. Accès non autorisé au prototype. Justification : gravité révisée de 5 à 3. Le prototype est entièrement simulé, ne contient aucune donnée réelle et ne commande aucun équipement ; la conséquence est la perte d’un travail universitaire, non une atteinte à une installation.</w:t>
            </w:r>
          </w:p>
        </w:tc>
        <w:tc>
          <w:tcPr>
            <w:tcW w:w="774" w:type="dxa"/>
            <w:tcBorders>
              <w:top w:val="single" w:sz="4" w:space="0" w:color="000000"/>
              <w:left w:val="single" w:sz="4" w:space="0" w:color="000000"/>
              <w:bottom w:val="single" w:sz="4" w:space="0" w:color="000000"/>
              <w:right w:val="single" w:sz="4" w:space="0" w:color="000000"/>
            </w:tcBorders>
          </w:tcPr>
          <w:p w14:paraId="085BA85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G3 · PD</w:t>
            </w:r>
          </w:p>
          <w:p w14:paraId="3F55FBC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w:t>
            </w:r>
          </w:p>
        </w:tc>
        <w:tc>
          <w:tcPr>
            <w:tcW w:w="2608" w:type="dxa"/>
            <w:tcBorders>
              <w:top w:val="single" w:sz="4" w:space="0" w:color="000000"/>
              <w:left w:val="single" w:sz="4" w:space="0" w:color="000000"/>
              <w:bottom w:val="single" w:sz="4" w:space="0" w:color="000000"/>
              <w:right w:val="single" w:sz="4" w:space="0" w:color="000000"/>
            </w:tcBorders>
          </w:tcPr>
          <w:p w14:paraId="60A8E9E4" w14:textId="230F5B5D"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 xml:space="preserve">Contrôle d’accès fondé sur les rôles, moindre privilège et authentification </w:t>
            </w:r>
            <w:r w:rsidR="007E5FC7" w:rsidRPr="00BE4F47">
              <w:rPr>
                <w:rFonts w:ascii="Aptos" w:eastAsia="Calibri" w:hAnsi="Aptos" w:cs="Calibri"/>
                <w:color w:val="1A1A19"/>
                <w:sz w:val="16"/>
                <w:szCs w:val="16"/>
                <w:lang w:val="fr-FR"/>
              </w:rPr>
              <w:t>multi facteur</w:t>
            </w:r>
            <w:r w:rsidRPr="00BE4F47">
              <w:rPr>
                <w:rFonts w:ascii="Aptos" w:eastAsia="Calibri" w:hAnsi="Aptos" w:cs="Calibri"/>
                <w:color w:val="1A1A19"/>
                <w:sz w:val="16"/>
                <w:szCs w:val="16"/>
                <w:lang w:val="fr-FR"/>
              </w:rPr>
              <w:t xml:space="preserve"> lorsque l’environnement le permet.</w:t>
            </w:r>
          </w:p>
        </w:tc>
        <w:tc>
          <w:tcPr>
            <w:tcW w:w="774" w:type="dxa"/>
            <w:tcBorders>
              <w:top w:val="single" w:sz="4" w:space="0" w:color="000000"/>
              <w:left w:val="single" w:sz="4" w:space="0" w:color="000000"/>
              <w:bottom w:val="single" w:sz="4" w:space="0" w:color="000000"/>
              <w:right w:val="single" w:sz="4" w:space="0" w:color="000000"/>
            </w:tcBorders>
          </w:tcPr>
          <w:p w14:paraId="4B21BF8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G3 · PE</w:t>
            </w:r>
          </w:p>
          <w:p w14:paraId="68BE310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w:t>
            </w:r>
          </w:p>
        </w:tc>
        <w:tc>
          <w:tcPr>
            <w:tcW w:w="1141" w:type="dxa"/>
            <w:tcBorders>
              <w:top w:val="single" w:sz="4" w:space="0" w:color="000000"/>
              <w:left w:val="single" w:sz="4" w:space="0" w:color="000000"/>
              <w:bottom w:val="single" w:sz="4" w:space="0" w:color="000000"/>
              <w:right w:val="single" w:sz="4" w:space="0" w:color="000000"/>
            </w:tcBorders>
          </w:tcPr>
          <w:p w14:paraId="636BCB3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Lot L5.</w:t>
            </w:r>
          </w:p>
          <w:p w14:paraId="395F9F2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sans condition.</w:t>
            </w:r>
          </w:p>
        </w:tc>
      </w:tr>
      <w:tr w:rsidR="00F50D70" w:rsidRPr="00BE4F47" w14:paraId="37DC3FE5"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75FDECF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5.2</w:t>
            </w:r>
          </w:p>
        </w:tc>
        <w:tc>
          <w:tcPr>
            <w:tcW w:w="2608" w:type="dxa"/>
            <w:tcBorders>
              <w:top w:val="single" w:sz="4" w:space="0" w:color="000000"/>
              <w:left w:val="single" w:sz="4" w:space="0" w:color="000000"/>
              <w:bottom w:val="single" w:sz="4" w:space="0" w:color="000000"/>
              <w:right w:val="single" w:sz="4" w:space="0" w:color="000000"/>
            </w:tcBorders>
          </w:tcPr>
          <w:p w14:paraId="2979B70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RT8. Altération volontaire ou accidentelle des données. Justification : gravité révisée de 5 à 4. Plus grave qu’un simple accès, car une donnée altérée non détectée invalide les résultats d’essais et donc la validation du prototype.</w:t>
            </w:r>
          </w:p>
        </w:tc>
        <w:tc>
          <w:tcPr>
            <w:tcW w:w="774" w:type="dxa"/>
            <w:tcBorders>
              <w:top w:val="single" w:sz="4" w:space="0" w:color="000000"/>
              <w:left w:val="single" w:sz="4" w:space="0" w:color="000000"/>
              <w:bottom w:val="single" w:sz="4" w:space="0" w:color="000000"/>
              <w:right w:val="single" w:sz="4" w:space="0" w:color="000000"/>
            </w:tcBorders>
          </w:tcPr>
          <w:p w14:paraId="3D701B0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G4 · PD</w:t>
            </w:r>
          </w:p>
          <w:p w14:paraId="10CABDC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III</w:t>
            </w:r>
          </w:p>
        </w:tc>
        <w:tc>
          <w:tcPr>
            <w:tcW w:w="2608" w:type="dxa"/>
            <w:tcBorders>
              <w:top w:val="single" w:sz="4" w:space="0" w:color="000000"/>
              <w:left w:val="single" w:sz="4" w:space="0" w:color="000000"/>
              <w:bottom w:val="single" w:sz="4" w:space="0" w:color="000000"/>
              <w:right w:val="single" w:sz="4" w:space="0" w:color="000000"/>
            </w:tcBorders>
          </w:tcPr>
          <w:p w14:paraId="4CE059E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Contrôles d’intégrité, journalisation horodatée et restriction des accès en écriture (EX-Q-04, EX-F-10).</w:t>
            </w:r>
          </w:p>
        </w:tc>
        <w:tc>
          <w:tcPr>
            <w:tcW w:w="774" w:type="dxa"/>
            <w:tcBorders>
              <w:top w:val="single" w:sz="4" w:space="0" w:color="000000"/>
              <w:left w:val="single" w:sz="4" w:space="0" w:color="000000"/>
              <w:bottom w:val="single" w:sz="4" w:space="0" w:color="000000"/>
              <w:right w:val="single" w:sz="4" w:space="0" w:color="000000"/>
            </w:tcBorders>
          </w:tcPr>
          <w:p w14:paraId="55E508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G4 · PE</w:t>
            </w:r>
          </w:p>
          <w:p w14:paraId="4E95F21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III</w:t>
            </w:r>
          </w:p>
        </w:tc>
        <w:tc>
          <w:tcPr>
            <w:tcW w:w="1141" w:type="dxa"/>
            <w:tcBorders>
              <w:top w:val="single" w:sz="4" w:space="0" w:color="000000"/>
              <w:left w:val="single" w:sz="4" w:space="0" w:color="000000"/>
              <w:bottom w:val="single" w:sz="4" w:space="0" w:color="000000"/>
              <w:right w:val="single" w:sz="4" w:space="0" w:color="000000"/>
            </w:tcBorders>
          </w:tcPr>
          <w:p w14:paraId="6974B6E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Lot L5.</w:t>
            </w:r>
          </w:p>
          <w:p w14:paraId="3D99299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Surveillance à chaque jalon.</w:t>
            </w:r>
          </w:p>
        </w:tc>
      </w:tr>
      <w:tr w:rsidR="00F50D70" w:rsidRPr="00BE4F47" w14:paraId="499FD069"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178C121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lastRenderedPageBreak/>
              <w:t>6.1</w:t>
            </w:r>
          </w:p>
        </w:tc>
        <w:tc>
          <w:tcPr>
            <w:tcW w:w="2608" w:type="dxa"/>
            <w:tcBorders>
              <w:top w:val="single" w:sz="4" w:space="0" w:color="000000"/>
              <w:left w:val="single" w:sz="4" w:space="0" w:color="000000"/>
              <w:bottom w:val="single" w:sz="4" w:space="0" w:color="000000"/>
              <w:right w:val="single" w:sz="4" w:space="0" w:color="000000"/>
            </w:tcBorders>
          </w:tcPr>
          <w:p w14:paraId="739E539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RT9. Indisponibilité du prototype. Justification : gravité révisée de 4 à 3. Le coût d’une indisponibilité est un retard de travaux, absorbable par la réserve de l’échéancier.</w:t>
            </w:r>
          </w:p>
        </w:tc>
        <w:tc>
          <w:tcPr>
            <w:tcW w:w="774" w:type="dxa"/>
            <w:tcBorders>
              <w:top w:val="single" w:sz="4" w:space="0" w:color="000000"/>
              <w:left w:val="single" w:sz="4" w:space="0" w:color="000000"/>
              <w:bottom w:val="single" w:sz="4" w:space="0" w:color="000000"/>
              <w:right w:val="single" w:sz="4" w:space="0" w:color="000000"/>
            </w:tcBorders>
          </w:tcPr>
          <w:p w14:paraId="1BF9CF4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G3 · PD</w:t>
            </w:r>
          </w:p>
          <w:p w14:paraId="5990ACC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w:t>
            </w:r>
          </w:p>
        </w:tc>
        <w:tc>
          <w:tcPr>
            <w:tcW w:w="2608" w:type="dxa"/>
            <w:tcBorders>
              <w:top w:val="single" w:sz="4" w:space="0" w:color="000000"/>
              <w:left w:val="single" w:sz="4" w:space="0" w:color="000000"/>
              <w:bottom w:val="single" w:sz="4" w:space="0" w:color="000000"/>
              <w:right w:val="single" w:sz="4" w:space="0" w:color="000000"/>
            </w:tcBorders>
          </w:tcPr>
          <w:p w14:paraId="1E41490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Sauvegarde régulière, procédure de récupération et surveillance de l’environnement d’essai. Restauration à blanc planifiée avant le jalon J2.</w:t>
            </w:r>
          </w:p>
        </w:tc>
        <w:tc>
          <w:tcPr>
            <w:tcW w:w="774" w:type="dxa"/>
            <w:tcBorders>
              <w:top w:val="single" w:sz="4" w:space="0" w:color="000000"/>
              <w:left w:val="single" w:sz="4" w:space="0" w:color="000000"/>
              <w:bottom w:val="single" w:sz="4" w:space="0" w:color="000000"/>
              <w:right w:val="single" w:sz="4" w:space="0" w:color="000000"/>
            </w:tcBorders>
          </w:tcPr>
          <w:p w14:paraId="499B594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G2 · PD</w:t>
            </w:r>
          </w:p>
          <w:p w14:paraId="67BBBF9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w:t>
            </w:r>
          </w:p>
        </w:tc>
        <w:tc>
          <w:tcPr>
            <w:tcW w:w="1141" w:type="dxa"/>
            <w:tcBorders>
              <w:top w:val="single" w:sz="4" w:space="0" w:color="000000"/>
              <w:left w:val="single" w:sz="4" w:space="0" w:color="000000"/>
              <w:bottom w:val="single" w:sz="4" w:space="0" w:color="000000"/>
              <w:right w:val="single" w:sz="4" w:space="0" w:color="000000"/>
            </w:tcBorders>
          </w:tcPr>
          <w:p w14:paraId="28B11D4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Lot L6.</w:t>
            </w:r>
          </w:p>
          <w:p w14:paraId="2DBD137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sans condition.</w:t>
            </w:r>
          </w:p>
        </w:tc>
      </w:tr>
      <w:tr w:rsidR="00F50D70" w:rsidRPr="00BE4F47" w14:paraId="06D11039" w14:textId="77777777">
        <w:trPr>
          <w:cantSplit/>
        </w:trPr>
        <w:tc>
          <w:tcPr>
            <w:tcW w:w="652" w:type="dxa"/>
            <w:tcBorders>
              <w:top w:val="single" w:sz="4" w:space="0" w:color="000000"/>
              <w:left w:val="single" w:sz="4" w:space="0" w:color="000000"/>
              <w:bottom w:val="single" w:sz="4" w:space="0" w:color="000000"/>
              <w:right w:val="single" w:sz="4" w:space="0" w:color="000000"/>
            </w:tcBorders>
          </w:tcPr>
          <w:p w14:paraId="130B176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7.1</w:t>
            </w:r>
          </w:p>
        </w:tc>
        <w:tc>
          <w:tcPr>
            <w:tcW w:w="2608" w:type="dxa"/>
            <w:tcBorders>
              <w:top w:val="single" w:sz="4" w:space="0" w:color="000000"/>
              <w:left w:val="single" w:sz="4" w:space="0" w:color="000000"/>
              <w:bottom w:val="single" w:sz="4" w:space="0" w:color="000000"/>
              <w:right w:val="single" w:sz="4" w:space="0" w:color="000000"/>
            </w:tcBorders>
          </w:tcPr>
          <w:p w14:paraId="2B8C7F7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RT10. Confiance excessive de l’opérateur envers le diagnostic, soit un biais d’automatisation. Justification : risque comportemental, peu réductible par des moyens techniques seuls ; la gravité demeure critique après traitement.</w:t>
            </w:r>
          </w:p>
        </w:tc>
        <w:tc>
          <w:tcPr>
            <w:tcW w:w="774" w:type="dxa"/>
            <w:tcBorders>
              <w:top w:val="single" w:sz="4" w:space="0" w:color="000000"/>
              <w:left w:val="single" w:sz="4" w:space="0" w:color="000000"/>
              <w:bottom w:val="single" w:sz="4" w:space="0" w:color="000000"/>
              <w:right w:val="single" w:sz="4" w:space="0" w:color="000000"/>
            </w:tcBorders>
          </w:tcPr>
          <w:p w14:paraId="4801C30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G5 · PC</w:t>
            </w:r>
          </w:p>
          <w:p w14:paraId="06A4C1F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IV</w:t>
            </w:r>
          </w:p>
        </w:tc>
        <w:tc>
          <w:tcPr>
            <w:tcW w:w="2608" w:type="dxa"/>
            <w:tcBorders>
              <w:top w:val="single" w:sz="4" w:space="0" w:color="000000"/>
              <w:left w:val="single" w:sz="4" w:space="0" w:color="000000"/>
              <w:bottom w:val="single" w:sz="4" w:space="0" w:color="000000"/>
              <w:right w:val="single" w:sz="4" w:space="0" w:color="000000"/>
            </w:tcBorders>
          </w:tcPr>
          <w:p w14:paraId="79B2A87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Affichage du niveau de confiance (EX-F-07), explication du diagnostic par les variables contributives (EX-F-05) et maintien de la décision humaine (EX-F-08). Mesure compensatoire : essai d’utilisabilité avec un opérateur n’ayant pas participé au développement (EX-Q-03).</w:t>
            </w:r>
          </w:p>
        </w:tc>
        <w:tc>
          <w:tcPr>
            <w:tcW w:w="774" w:type="dxa"/>
            <w:tcBorders>
              <w:top w:val="single" w:sz="4" w:space="0" w:color="000000"/>
              <w:left w:val="single" w:sz="4" w:space="0" w:color="000000"/>
              <w:bottom w:val="single" w:sz="4" w:space="0" w:color="000000"/>
              <w:right w:val="single" w:sz="4" w:space="0" w:color="000000"/>
            </w:tcBorders>
          </w:tcPr>
          <w:p w14:paraId="55F6388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G4 · PD</w:t>
            </w:r>
          </w:p>
          <w:p w14:paraId="61E41FC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III</w:t>
            </w:r>
          </w:p>
        </w:tc>
        <w:tc>
          <w:tcPr>
            <w:tcW w:w="1141" w:type="dxa"/>
            <w:tcBorders>
              <w:top w:val="single" w:sz="4" w:space="0" w:color="000000"/>
              <w:left w:val="single" w:sz="4" w:space="0" w:color="000000"/>
              <w:bottom w:val="single" w:sz="4" w:space="0" w:color="000000"/>
              <w:right w:val="single" w:sz="4" w:space="0" w:color="000000"/>
            </w:tcBorders>
          </w:tcPr>
          <w:p w14:paraId="07A536F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Lot L8.</w:t>
            </w:r>
          </w:p>
          <w:p w14:paraId="6839A73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Accepté sous condition de l’essai d’utilisabilité.</w:t>
            </w:r>
          </w:p>
        </w:tc>
      </w:tr>
    </w:tbl>
    <w:p w14:paraId="4A7ABB29" w14:textId="57F7B40D" w:rsidR="00246F82" w:rsidRDefault="005A1D5D">
      <w:pPr>
        <w:keepNext/>
        <w:spacing w:before="200" w:after="130" w:line="360" w:lineRule="auto"/>
        <w:ind w:left="360"/>
        <w:rPr>
          <w:rFonts w:ascii="Aptos" w:hAnsi="Aptos"/>
        </w:rPr>
      </w:pPr>
      <w:bookmarkStart w:id="575" w:name="_Toc241670274"/>
      <w:r>
        <w:rPr>
          <w:rFonts w:ascii="Aptos" w:hAnsi="Aptos"/>
          <w:b/>
          <w:color w:val="1A1A19"/>
          <w:sz w:val="20"/>
          <w:szCs w:val="20"/>
        </w:rPr>
        <w:t xml:space="preserve">Le profil avant et après traitement. </w:t>
      </w:r>
      <w:r>
        <w:rPr>
          <w:noProof/>
        </w:rPr>
        <w:drawing>
          <wp:anchor distT="0" distB="0" distL="114300" distR="114300" simplePos="0" relativeHeight="251659264" behindDoc="0" locked="0" layoutInCell="1" allowOverlap="1" wp14:anchorId="6F4F278A" wp14:editId="54C334E8">
            <wp:simplePos x="0" y="0"/>
            <wp:positionH relativeFrom="column">
              <wp:posOffset>337185</wp:posOffset>
            </wp:positionH>
            <wp:positionV relativeFrom="paragraph">
              <wp:posOffset>777240</wp:posOffset>
            </wp:positionV>
            <wp:extent cx="5577840" cy="2163817"/>
            <wp:effectExtent l="0" t="0" r="3810" b="8255"/>
            <wp:wrapTopAndBottom/>
            <wp:docPr id="1266838011" name="Picture 126683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_risque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7840" cy="2163817"/>
                    </a:xfrm>
                    <a:prstGeom prst="rect">
                      <a:avLst/>
                    </a:prstGeom>
                  </pic:spPr>
                </pic:pic>
              </a:graphicData>
            </a:graphic>
          </wp:anchor>
        </w:drawing>
      </w:r>
      <w:r>
        <w:rPr>
          <w:rFonts w:ascii="Aptos" w:hAnsi="Aptos"/>
          <w:color w:val="1A1A19"/>
          <w:sz w:val="20"/>
          <w:szCs w:val="20"/>
        </w:rPr>
        <w:t>Les quatorze risques des deux registres ont été portés dans la grille d’analyse de risque du cours. Le profil ci-dessous place chacun dans la matrice, avant puis après traitement. Le premier chiffre est le secteur d’analyse, le second le rang du risque dans ce secteur.</w:t>
      </w:r>
      <w:bookmarkEnd w:id="575"/>
    </w:p>
    <w:p w14:paraId="5D1283C5" w14:textId="77777777" w:rsidR="00246F82" w:rsidRDefault="00137D7F">
      <w:pPr>
        <w:pStyle w:val="Lgende"/>
      </w:pPr>
      <w:bookmarkStart w:id="576" w:name="_Toc241670275"/>
      <w:r>
        <w:t>Figure 7-2. Profil de risque avant et après mitigation, grille d’analyse de risque</w:t>
      </w:r>
      <w:bookmarkEnd w:id="576"/>
    </w:p>
    <w:p w14:paraId="2A560E4F" w14:textId="77777777" w:rsidR="00246F82" w:rsidRDefault="00137D7F">
      <w:pPr>
        <w:spacing w:after="130" w:line="360" w:lineRule="auto"/>
        <w:ind w:left="360"/>
        <w:rPr>
          <w:rFonts w:ascii="Aptos" w:hAnsi="Aptos"/>
        </w:rPr>
      </w:pPr>
      <w:bookmarkStart w:id="577" w:name="_Toc241670276"/>
      <w:r>
        <w:rPr>
          <w:rFonts w:ascii="Aptos" w:hAnsi="Aptos"/>
          <w:color w:val="1A1A19"/>
          <w:sz w:val="20"/>
          <w:szCs w:val="20"/>
        </w:rPr>
        <w:t>Trois résultats se lisent directement sur ce profil :</w:t>
      </w:r>
      <w:bookmarkEnd w:id="577"/>
    </w:p>
    <w:p w14:paraId="426FBC33" w14:textId="77777777" w:rsidR="00246F82" w:rsidRDefault="00137D7F">
      <w:pPr>
        <w:spacing w:after="130" w:line="360" w:lineRule="auto"/>
        <w:ind w:left="360"/>
        <w:rPr>
          <w:rFonts w:ascii="Aptos" w:hAnsi="Aptos"/>
        </w:rPr>
      </w:pPr>
      <w:bookmarkStart w:id="578" w:name="_Toc241670277"/>
      <w:r>
        <w:rPr>
          <w:rFonts w:ascii="Aptos" w:hAnsi="Aptos"/>
          <w:color w:val="1A1A19"/>
          <w:sz w:val="20"/>
          <w:szCs w:val="20"/>
        </w:rPr>
        <w:t>Aucun risque ne demeure en classe IV après traitement. C’est le seuil d’acceptation fixé plus haut, et il est atteint. Les neuf risques initialement en classe IV se répartissent après traitement entre les classes III et II.</w:t>
      </w:r>
      <w:bookmarkEnd w:id="578"/>
    </w:p>
    <w:p w14:paraId="5393BFA7" w14:textId="77777777" w:rsidR="00246F82" w:rsidRDefault="00137D7F">
      <w:pPr>
        <w:spacing w:after="130" w:line="360" w:lineRule="auto"/>
        <w:ind w:left="360"/>
        <w:rPr>
          <w:rFonts w:ascii="Aptos" w:hAnsi="Aptos"/>
        </w:rPr>
      </w:pPr>
      <w:bookmarkStart w:id="579" w:name="_Toc241670278"/>
      <w:r>
        <w:rPr>
          <w:rFonts w:ascii="Aptos" w:hAnsi="Aptos"/>
          <w:color w:val="1A1A19"/>
          <w:sz w:val="20"/>
          <w:szCs w:val="20"/>
        </w:rPr>
        <w:t>Six risques demeurent en classe III et exigent donc une mesure compensatoire nommée et une acceptation écrite : 2.1 la modification du périmètre (RP3), 3.1 la mesure erronée (RT1), 4.1 la représentativité du modèle (RT4), 4.2 le faux négatif (RT5), 5.2 l’altération des données (RT8) et 7.1 le biais d’automatisation (RT10). Chacun porte sa mesure compensatoire au registre.</w:t>
      </w:r>
      <w:bookmarkEnd w:id="579"/>
    </w:p>
    <w:p w14:paraId="662C3C50" w14:textId="77777777" w:rsidR="00246F82" w:rsidRDefault="00137D7F">
      <w:pPr>
        <w:spacing w:after="130" w:line="360" w:lineRule="auto"/>
        <w:ind w:left="360"/>
        <w:rPr>
          <w:rFonts w:ascii="Aptos" w:hAnsi="Aptos"/>
        </w:rPr>
      </w:pPr>
      <w:bookmarkStart w:id="580" w:name="_Toc241670279"/>
      <w:r>
        <w:rPr>
          <w:rFonts w:ascii="Aptos" w:hAnsi="Aptos"/>
          <w:color w:val="1A1A19"/>
          <w:sz w:val="20"/>
          <w:szCs w:val="20"/>
        </w:rPr>
        <w:t>Le traitement agit sur les deux axes. Six risques voient baisser à la fois leur gravité et leur probabilité, quatre seulement leur gravité et quatre seulement leur probabilité. Ce qui maintient un risque en classe III, c’est une gravité qui reste à 4 ou à 5, ou une probabilité qui ne descend pas. C’est attendu pour un outil d’aide à la décision, dont la gravité tient à l’usage qui en est fait.</w:t>
      </w:r>
      <w:bookmarkEnd w:id="580"/>
    </w:p>
    <w:p w14:paraId="4A12B050" w14:textId="77777777" w:rsidR="00F50D70" w:rsidRPr="00B36301" w:rsidRDefault="00137D7F" w:rsidP="008E113B">
      <w:pPr>
        <w:pStyle w:val="Titre2"/>
        <w:spacing w:line="360" w:lineRule="auto"/>
      </w:pPr>
      <w:bookmarkStart w:id="581" w:name="__RefHeading___Toc240715285"/>
      <w:bookmarkStart w:id="582" w:name="_Toc241670280"/>
      <w:bookmarkEnd w:id="581"/>
      <w:r w:rsidRPr="00B36301">
        <w:lastRenderedPageBreak/>
        <w:t>Matrice de couverture des contraintes du mandat</w:t>
      </w:r>
      <w:bookmarkEnd w:id="582"/>
    </w:p>
    <w:p w14:paraId="4A02D271"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583" w:name="_Toc241083110"/>
      <w:bookmarkStart w:id="584" w:name="_Toc241670281"/>
      <w:r w:rsidRPr="00BE4F47">
        <w:rPr>
          <w:rFonts w:ascii="Aptos" w:hAnsi="Aptos"/>
          <w:color w:val="1A1A19"/>
          <w:sz w:val="20"/>
          <w:szCs w:val="20"/>
        </w:rPr>
        <w:t>La matrice relie chaque contrainte du mandat aux moyens prévus pour la prendre en charge, aux risques correspondants et au moyen de vérification. Elle sert à vérifier qu’aucune contrainte n’est restée sans traitement.</w:t>
      </w:r>
      <w:bookmarkEnd w:id="583"/>
      <w:bookmarkEnd w:id="584"/>
    </w:p>
    <w:p w14:paraId="3E8FF668" w14:textId="77777777" w:rsidR="00F50D70" w:rsidRPr="00BE4F47" w:rsidRDefault="00137D7F" w:rsidP="008E113B">
      <w:pPr>
        <w:pStyle w:val="Lgende"/>
        <w:keepNext/>
        <w:spacing w:line="360" w:lineRule="auto"/>
        <w:rPr>
          <w:rFonts w:ascii="Aptos" w:hAnsi="Aptos"/>
        </w:rPr>
      </w:pPr>
      <w:bookmarkStart w:id="585" w:name="_Toc241083111"/>
      <w:bookmarkStart w:id="586" w:name="_Toc241670282"/>
      <w:r w:rsidRPr="00BE4F47">
        <w:rPr>
          <w:rFonts w:ascii="Aptos" w:hAnsi="Aptos"/>
        </w:rPr>
        <w:t>Tableau 7-8. Matrice de couverture des contraintes du mandat</w:t>
      </w:r>
      <w:bookmarkEnd w:id="585"/>
      <w:bookmarkEnd w:id="586"/>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1900"/>
        <w:gridCol w:w="2100"/>
        <w:gridCol w:w="1300"/>
        <w:gridCol w:w="1200"/>
        <w:gridCol w:w="2057"/>
      </w:tblGrid>
      <w:tr w:rsidR="00F50D70" w:rsidRPr="00BE4F47" w14:paraId="18CE0092"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EFF4FB"/>
          </w:tcPr>
          <w:p w14:paraId="33ECD55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Contrainte du mandat</w:t>
            </w:r>
          </w:p>
        </w:tc>
        <w:tc>
          <w:tcPr>
            <w:tcW w:w="2100" w:type="dxa"/>
            <w:tcBorders>
              <w:top w:val="single" w:sz="4" w:space="0" w:color="000000"/>
              <w:left w:val="single" w:sz="4" w:space="0" w:color="000000"/>
              <w:bottom w:val="single" w:sz="4" w:space="0" w:color="000000"/>
              <w:right w:val="single" w:sz="4" w:space="0" w:color="000000"/>
            </w:tcBorders>
            <w:shd w:val="clear" w:color="auto" w:fill="EFF4FB"/>
          </w:tcPr>
          <w:p w14:paraId="1FC1311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Prise en compte</w:t>
            </w:r>
          </w:p>
        </w:tc>
        <w:tc>
          <w:tcPr>
            <w:tcW w:w="1300" w:type="dxa"/>
            <w:tcBorders>
              <w:top w:val="single" w:sz="4" w:space="0" w:color="000000"/>
              <w:left w:val="single" w:sz="4" w:space="0" w:color="000000"/>
              <w:bottom w:val="single" w:sz="4" w:space="0" w:color="000000"/>
              <w:right w:val="single" w:sz="4" w:space="0" w:color="000000"/>
            </w:tcBorders>
            <w:shd w:val="clear" w:color="auto" w:fill="EFF4FB"/>
          </w:tcPr>
          <w:p w14:paraId="5185FC7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Exigence</w:t>
            </w:r>
          </w:p>
        </w:tc>
        <w:tc>
          <w:tcPr>
            <w:tcW w:w="1200" w:type="dxa"/>
            <w:tcBorders>
              <w:top w:val="single" w:sz="4" w:space="0" w:color="000000"/>
              <w:left w:val="single" w:sz="4" w:space="0" w:color="000000"/>
              <w:bottom w:val="single" w:sz="4" w:space="0" w:color="000000"/>
              <w:right w:val="single" w:sz="4" w:space="0" w:color="000000"/>
            </w:tcBorders>
            <w:shd w:val="clear" w:color="auto" w:fill="EFF4FB"/>
          </w:tcPr>
          <w:p w14:paraId="1C32BC9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Risque associé</w:t>
            </w:r>
          </w:p>
        </w:tc>
        <w:tc>
          <w:tcPr>
            <w:tcW w:w="2057" w:type="dxa"/>
            <w:tcBorders>
              <w:top w:val="single" w:sz="4" w:space="0" w:color="000000"/>
              <w:left w:val="single" w:sz="4" w:space="0" w:color="000000"/>
              <w:bottom w:val="single" w:sz="4" w:space="0" w:color="000000"/>
              <w:right w:val="single" w:sz="4" w:space="0" w:color="000000"/>
            </w:tcBorders>
            <w:shd w:val="clear" w:color="auto" w:fill="EFF4FB"/>
          </w:tcPr>
          <w:p w14:paraId="6179CD8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Moyen de vérification</w:t>
            </w:r>
          </w:p>
        </w:tc>
      </w:tr>
      <w:tr w:rsidR="00F50D70" w:rsidRPr="00BE4F47" w14:paraId="76D3BFE1"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31F89CA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Prototype limité à une boucle thermohydraulique simplifiée</w:t>
            </w:r>
          </w:p>
        </w:tc>
        <w:tc>
          <w:tcPr>
            <w:tcW w:w="2100" w:type="dxa"/>
            <w:tcBorders>
              <w:top w:val="single" w:sz="4" w:space="0" w:color="000000"/>
              <w:left w:val="single" w:sz="4" w:space="0" w:color="000000"/>
              <w:bottom w:val="single" w:sz="4" w:space="0" w:color="000000"/>
              <w:right w:val="single" w:sz="4" w:space="0" w:color="000000"/>
            </w:tcBorders>
          </w:tcPr>
          <w:p w14:paraId="299FAF8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Périmètre limité à la température, la pression et le débit</w:t>
            </w:r>
          </w:p>
        </w:tc>
        <w:tc>
          <w:tcPr>
            <w:tcW w:w="1300" w:type="dxa"/>
            <w:tcBorders>
              <w:top w:val="single" w:sz="4" w:space="0" w:color="000000"/>
              <w:left w:val="single" w:sz="4" w:space="0" w:color="000000"/>
              <w:bottom w:val="single" w:sz="4" w:space="0" w:color="000000"/>
              <w:right w:val="single" w:sz="4" w:space="0" w:color="000000"/>
            </w:tcBorders>
          </w:tcPr>
          <w:p w14:paraId="6E1DB29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EX-F-01</w:t>
            </w:r>
          </w:p>
        </w:tc>
        <w:tc>
          <w:tcPr>
            <w:tcW w:w="1200" w:type="dxa"/>
            <w:tcBorders>
              <w:top w:val="single" w:sz="4" w:space="0" w:color="000000"/>
              <w:left w:val="single" w:sz="4" w:space="0" w:color="000000"/>
              <w:bottom w:val="single" w:sz="4" w:space="0" w:color="000000"/>
              <w:right w:val="single" w:sz="4" w:space="0" w:color="000000"/>
            </w:tcBorders>
          </w:tcPr>
          <w:p w14:paraId="0459684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RP3</w:t>
            </w:r>
          </w:p>
        </w:tc>
        <w:tc>
          <w:tcPr>
            <w:tcW w:w="2057" w:type="dxa"/>
            <w:tcBorders>
              <w:top w:val="single" w:sz="4" w:space="0" w:color="000000"/>
              <w:left w:val="single" w:sz="4" w:space="0" w:color="000000"/>
              <w:bottom w:val="single" w:sz="4" w:space="0" w:color="000000"/>
              <w:right w:val="single" w:sz="4" w:space="0" w:color="000000"/>
            </w:tcBorders>
          </w:tcPr>
          <w:p w14:paraId="75025DC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Revue des exigences et de l’architecture</w:t>
            </w:r>
          </w:p>
        </w:tc>
      </w:tr>
      <w:tr w:rsidR="00F50D70" w:rsidRPr="00BE4F47" w14:paraId="59F53A4D"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347503D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Environnement numérique simulé</w:t>
            </w:r>
          </w:p>
        </w:tc>
        <w:tc>
          <w:tcPr>
            <w:tcW w:w="2100" w:type="dxa"/>
            <w:tcBorders>
              <w:top w:val="single" w:sz="4" w:space="0" w:color="000000"/>
              <w:left w:val="single" w:sz="4" w:space="0" w:color="000000"/>
              <w:bottom w:val="single" w:sz="4" w:space="0" w:color="000000"/>
              <w:right w:val="single" w:sz="4" w:space="0" w:color="000000"/>
            </w:tcBorders>
          </w:tcPr>
          <w:p w14:paraId="0822092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Emploi d’un modèle de référence numérique</w:t>
            </w:r>
          </w:p>
        </w:tc>
        <w:tc>
          <w:tcPr>
            <w:tcW w:w="1300" w:type="dxa"/>
            <w:tcBorders>
              <w:top w:val="single" w:sz="4" w:space="0" w:color="000000"/>
              <w:left w:val="single" w:sz="4" w:space="0" w:color="000000"/>
              <w:bottom w:val="single" w:sz="4" w:space="0" w:color="000000"/>
              <w:right w:val="single" w:sz="4" w:space="0" w:color="000000"/>
            </w:tcBorders>
          </w:tcPr>
          <w:p w14:paraId="1CC51AA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EX-C-02</w:t>
            </w:r>
          </w:p>
        </w:tc>
        <w:tc>
          <w:tcPr>
            <w:tcW w:w="1200" w:type="dxa"/>
            <w:tcBorders>
              <w:top w:val="single" w:sz="4" w:space="0" w:color="000000"/>
              <w:left w:val="single" w:sz="4" w:space="0" w:color="000000"/>
              <w:bottom w:val="single" w:sz="4" w:space="0" w:color="000000"/>
              <w:right w:val="single" w:sz="4" w:space="0" w:color="000000"/>
            </w:tcBorders>
          </w:tcPr>
          <w:p w14:paraId="509BF5B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RP3</w:t>
            </w:r>
          </w:p>
        </w:tc>
        <w:tc>
          <w:tcPr>
            <w:tcW w:w="2057" w:type="dxa"/>
            <w:tcBorders>
              <w:top w:val="single" w:sz="4" w:space="0" w:color="000000"/>
              <w:left w:val="single" w:sz="4" w:space="0" w:color="000000"/>
              <w:bottom w:val="single" w:sz="4" w:space="0" w:color="000000"/>
              <w:right w:val="single" w:sz="4" w:space="0" w:color="000000"/>
            </w:tcBorders>
          </w:tcPr>
          <w:p w14:paraId="0A2F770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Revue de conception</w:t>
            </w:r>
          </w:p>
        </w:tc>
      </w:tr>
      <w:tr w:rsidR="00F50D70" w:rsidRPr="00BE4F47" w14:paraId="21EB0E79"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2FCA8D1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Absence de banc thermohydraulique physique</w:t>
            </w:r>
          </w:p>
        </w:tc>
        <w:tc>
          <w:tcPr>
            <w:tcW w:w="2100" w:type="dxa"/>
            <w:tcBorders>
              <w:top w:val="single" w:sz="4" w:space="0" w:color="000000"/>
              <w:left w:val="single" w:sz="4" w:space="0" w:color="000000"/>
              <w:bottom w:val="single" w:sz="4" w:space="0" w:color="000000"/>
              <w:right w:val="single" w:sz="4" w:space="0" w:color="000000"/>
            </w:tcBorders>
          </w:tcPr>
          <w:p w14:paraId="0894760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Aucun achat ni développement de banc prévu</w:t>
            </w:r>
          </w:p>
        </w:tc>
        <w:tc>
          <w:tcPr>
            <w:tcW w:w="1300" w:type="dxa"/>
            <w:tcBorders>
              <w:top w:val="single" w:sz="4" w:space="0" w:color="000000"/>
              <w:left w:val="single" w:sz="4" w:space="0" w:color="000000"/>
              <w:bottom w:val="single" w:sz="4" w:space="0" w:color="000000"/>
              <w:right w:val="single" w:sz="4" w:space="0" w:color="000000"/>
            </w:tcBorders>
          </w:tcPr>
          <w:p w14:paraId="4280412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EX-C-02</w:t>
            </w:r>
          </w:p>
        </w:tc>
        <w:tc>
          <w:tcPr>
            <w:tcW w:w="1200" w:type="dxa"/>
            <w:tcBorders>
              <w:top w:val="single" w:sz="4" w:space="0" w:color="000000"/>
              <w:left w:val="single" w:sz="4" w:space="0" w:color="000000"/>
              <w:bottom w:val="single" w:sz="4" w:space="0" w:color="000000"/>
              <w:right w:val="single" w:sz="4" w:space="0" w:color="000000"/>
            </w:tcBorders>
          </w:tcPr>
          <w:p w14:paraId="4D5177B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RP3</w:t>
            </w:r>
          </w:p>
        </w:tc>
        <w:tc>
          <w:tcPr>
            <w:tcW w:w="2057" w:type="dxa"/>
            <w:tcBorders>
              <w:top w:val="single" w:sz="4" w:space="0" w:color="000000"/>
              <w:left w:val="single" w:sz="4" w:space="0" w:color="000000"/>
              <w:bottom w:val="single" w:sz="4" w:space="0" w:color="000000"/>
              <w:right w:val="single" w:sz="4" w:space="0" w:color="000000"/>
            </w:tcBorders>
          </w:tcPr>
          <w:p w14:paraId="496AD14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Revue du périmètre au jalon J1</w:t>
            </w:r>
          </w:p>
        </w:tc>
      </w:tr>
      <w:tr w:rsidR="00F50D70" w:rsidRPr="00BE4F47" w14:paraId="62EAD415"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5196F99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Enveloppe maximale de 1 080 h</w:t>
            </w:r>
          </w:p>
        </w:tc>
        <w:tc>
          <w:tcPr>
            <w:tcW w:w="2100" w:type="dxa"/>
            <w:tcBorders>
              <w:top w:val="single" w:sz="4" w:space="0" w:color="000000"/>
              <w:left w:val="single" w:sz="4" w:space="0" w:color="000000"/>
              <w:bottom w:val="single" w:sz="4" w:space="0" w:color="000000"/>
              <w:right w:val="single" w:sz="4" w:space="0" w:color="000000"/>
            </w:tcBorders>
          </w:tcPr>
          <w:p w14:paraId="27F21A8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Planification et suivi des heures par lot</w:t>
            </w:r>
          </w:p>
        </w:tc>
        <w:tc>
          <w:tcPr>
            <w:tcW w:w="1300" w:type="dxa"/>
            <w:tcBorders>
              <w:top w:val="single" w:sz="4" w:space="0" w:color="000000"/>
              <w:left w:val="single" w:sz="4" w:space="0" w:color="000000"/>
              <w:bottom w:val="single" w:sz="4" w:space="0" w:color="000000"/>
              <w:right w:val="single" w:sz="4" w:space="0" w:color="000000"/>
            </w:tcBorders>
          </w:tcPr>
          <w:p w14:paraId="0DF1875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s.o.</w:t>
            </w:r>
          </w:p>
        </w:tc>
        <w:tc>
          <w:tcPr>
            <w:tcW w:w="1200" w:type="dxa"/>
            <w:tcBorders>
              <w:top w:val="single" w:sz="4" w:space="0" w:color="000000"/>
              <w:left w:val="single" w:sz="4" w:space="0" w:color="000000"/>
              <w:bottom w:val="single" w:sz="4" w:space="0" w:color="000000"/>
              <w:right w:val="single" w:sz="4" w:space="0" w:color="000000"/>
            </w:tcBorders>
          </w:tcPr>
          <w:p w14:paraId="05E2C31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RP2</w:t>
            </w:r>
          </w:p>
        </w:tc>
        <w:tc>
          <w:tcPr>
            <w:tcW w:w="2057" w:type="dxa"/>
            <w:tcBorders>
              <w:top w:val="single" w:sz="4" w:space="0" w:color="000000"/>
              <w:left w:val="single" w:sz="4" w:space="0" w:color="000000"/>
              <w:bottom w:val="single" w:sz="4" w:space="0" w:color="000000"/>
              <w:right w:val="single" w:sz="4" w:space="0" w:color="000000"/>
            </w:tcBorders>
          </w:tcPr>
          <w:p w14:paraId="67632E0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Suivi périodique de la consommation</w:t>
            </w:r>
          </w:p>
        </w:tc>
      </w:tr>
      <w:tr w:rsidR="00F50D70" w:rsidRPr="00BE4F47" w14:paraId="0BCF705D"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65D7134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Maintien des activités de V&amp;V</w:t>
            </w:r>
          </w:p>
        </w:tc>
        <w:tc>
          <w:tcPr>
            <w:tcW w:w="2100" w:type="dxa"/>
            <w:tcBorders>
              <w:top w:val="single" w:sz="4" w:space="0" w:color="000000"/>
              <w:left w:val="single" w:sz="4" w:space="0" w:color="000000"/>
              <w:bottom w:val="single" w:sz="4" w:space="0" w:color="000000"/>
              <w:right w:val="single" w:sz="4" w:space="0" w:color="000000"/>
            </w:tcBorders>
          </w:tcPr>
          <w:p w14:paraId="070B68F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Réduction prioritaire du contenu ajustable si les ressources deviennent insuffisantes</w:t>
            </w:r>
          </w:p>
        </w:tc>
        <w:tc>
          <w:tcPr>
            <w:tcW w:w="1300" w:type="dxa"/>
            <w:tcBorders>
              <w:top w:val="single" w:sz="4" w:space="0" w:color="000000"/>
              <w:left w:val="single" w:sz="4" w:space="0" w:color="000000"/>
              <w:bottom w:val="single" w:sz="4" w:space="0" w:color="000000"/>
              <w:right w:val="single" w:sz="4" w:space="0" w:color="000000"/>
            </w:tcBorders>
          </w:tcPr>
          <w:p w14:paraId="5BC7250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s.o.</w:t>
            </w:r>
          </w:p>
        </w:tc>
        <w:tc>
          <w:tcPr>
            <w:tcW w:w="1200" w:type="dxa"/>
            <w:tcBorders>
              <w:top w:val="single" w:sz="4" w:space="0" w:color="000000"/>
              <w:left w:val="single" w:sz="4" w:space="0" w:color="000000"/>
              <w:bottom w:val="single" w:sz="4" w:space="0" w:color="000000"/>
              <w:right w:val="single" w:sz="4" w:space="0" w:color="000000"/>
            </w:tcBorders>
          </w:tcPr>
          <w:p w14:paraId="01E427B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RP1, RP2</w:t>
            </w:r>
          </w:p>
        </w:tc>
        <w:tc>
          <w:tcPr>
            <w:tcW w:w="2057" w:type="dxa"/>
            <w:tcBorders>
              <w:top w:val="single" w:sz="4" w:space="0" w:color="000000"/>
              <w:left w:val="single" w:sz="4" w:space="0" w:color="000000"/>
              <w:bottom w:val="single" w:sz="4" w:space="0" w:color="000000"/>
              <w:right w:val="single" w:sz="4" w:space="0" w:color="000000"/>
            </w:tcBorders>
          </w:tcPr>
          <w:p w14:paraId="28D4EE8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Plan et rapport de V&amp;V</w:t>
            </w:r>
          </w:p>
        </w:tc>
      </w:tr>
      <w:tr w:rsidR="00F50D70" w:rsidRPr="00BE4F47" w14:paraId="5349BDEA"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3016568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Surveillance de la température, de la pression et du débit</w:t>
            </w:r>
          </w:p>
        </w:tc>
        <w:tc>
          <w:tcPr>
            <w:tcW w:w="2100" w:type="dxa"/>
            <w:tcBorders>
              <w:top w:val="single" w:sz="4" w:space="0" w:color="000000"/>
              <w:left w:val="single" w:sz="4" w:space="0" w:color="000000"/>
              <w:bottom w:val="single" w:sz="4" w:space="0" w:color="000000"/>
              <w:right w:val="single" w:sz="4" w:space="0" w:color="000000"/>
            </w:tcBorders>
          </w:tcPr>
          <w:p w14:paraId="64037D5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Variables intégrées au modèle et aux scénarios d’essais</w:t>
            </w:r>
          </w:p>
        </w:tc>
        <w:tc>
          <w:tcPr>
            <w:tcW w:w="1300" w:type="dxa"/>
            <w:tcBorders>
              <w:top w:val="single" w:sz="4" w:space="0" w:color="000000"/>
              <w:left w:val="single" w:sz="4" w:space="0" w:color="000000"/>
              <w:bottom w:val="single" w:sz="4" w:space="0" w:color="000000"/>
              <w:right w:val="single" w:sz="4" w:space="0" w:color="000000"/>
            </w:tcBorders>
          </w:tcPr>
          <w:p w14:paraId="74EB96A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EX-F-01, EX-F-03</w:t>
            </w:r>
          </w:p>
        </w:tc>
        <w:tc>
          <w:tcPr>
            <w:tcW w:w="1200" w:type="dxa"/>
            <w:tcBorders>
              <w:top w:val="single" w:sz="4" w:space="0" w:color="000000"/>
              <w:left w:val="single" w:sz="4" w:space="0" w:color="000000"/>
              <w:bottom w:val="single" w:sz="4" w:space="0" w:color="000000"/>
              <w:right w:val="single" w:sz="4" w:space="0" w:color="000000"/>
            </w:tcBorders>
          </w:tcPr>
          <w:p w14:paraId="0CFFFCD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RT1 à RT3</w:t>
            </w:r>
          </w:p>
        </w:tc>
        <w:tc>
          <w:tcPr>
            <w:tcW w:w="2057" w:type="dxa"/>
            <w:tcBorders>
              <w:top w:val="single" w:sz="4" w:space="0" w:color="000000"/>
              <w:left w:val="single" w:sz="4" w:space="0" w:color="000000"/>
              <w:bottom w:val="single" w:sz="4" w:space="0" w:color="000000"/>
              <w:right w:val="single" w:sz="4" w:space="0" w:color="000000"/>
            </w:tcBorders>
          </w:tcPr>
          <w:p w14:paraId="539341A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Campagne d’essais</w:t>
            </w:r>
          </w:p>
        </w:tc>
      </w:tr>
      <w:tr w:rsidR="00F50D70" w:rsidRPr="00BE4F47" w14:paraId="30A008E3"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4F07A09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Détection des anomalies</w:t>
            </w:r>
          </w:p>
        </w:tc>
        <w:tc>
          <w:tcPr>
            <w:tcW w:w="2100" w:type="dxa"/>
            <w:tcBorders>
              <w:top w:val="single" w:sz="4" w:space="0" w:color="000000"/>
              <w:left w:val="single" w:sz="4" w:space="0" w:color="000000"/>
              <w:bottom w:val="single" w:sz="4" w:space="0" w:color="000000"/>
              <w:right w:val="single" w:sz="4" w:space="0" w:color="000000"/>
            </w:tcBorders>
          </w:tcPr>
          <w:p w14:paraId="72A8678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Comparaison entre comportement observé et comportement attendu</w:t>
            </w:r>
          </w:p>
        </w:tc>
        <w:tc>
          <w:tcPr>
            <w:tcW w:w="1300" w:type="dxa"/>
            <w:tcBorders>
              <w:top w:val="single" w:sz="4" w:space="0" w:color="000000"/>
              <w:left w:val="single" w:sz="4" w:space="0" w:color="000000"/>
              <w:bottom w:val="single" w:sz="4" w:space="0" w:color="000000"/>
              <w:right w:val="single" w:sz="4" w:space="0" w:color="000000"/>
            </w:tcBorders>
          </w:tcPr>
          <w:p w14:paraId="419828A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EX-F-03, EX-F-05</w:t>
            </w:r>
          </w:p>
        </w:tc>
        <w:tc>
          <w:tcPr>
            <w:tcW w:w="1200" w:type="dxa"/>
            <w:tcBorders>
              <w:top w:val="single" w:sz="4" w:space="0" w:color="000000"/>
              <w:left w:val="single" w:sz="4" w:space="0" w:color="000000"/>
              <w:bottom w:val="single" w:sz="4" w:space="0" w:color="000000"/>
              <w:right w:val="single" w:sz="4" w:space="0" w:color="000000"/>
            </w:tcBorders>
          </w:tcPr>
          <w:p w14:paraId="055CE96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RT4 à RT6</w:t>
            </w:r>
          </w:p>
        </w:tc>
        <w:tc>
          <w:tcPr>
            <w:tcW w:w="2057" w:type="dxa"/>
            <w:tcBorders>
              <w:top w:val="single" w:sz="4" w:space="0" w:color="000000"/>
              <w:left w:val="single" w:sz="4" w:space="0" w:color="000000"/>
              <w:bottom w:val="single" w:sz="4" w:space="0" w:color="000000"/>
              <w:right w:val="single" w:sz="4" w:space="0" w:color="000000"/>
            </w:tcBorders>
          </w:tcPr>
          <w:p w14:paraId="5872367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Essais en conditions normales et anormales</w:t>
            </w:r>
          </w:p>
        </w:tc>
      </w:tr>
      <w:tr w:rsidR="00F50D70" w:rsidRPr="00BE4F47" w14:paraId="08B02273"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0681B2E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Gestion des données incorrectes ou indisponibles</w:t>
            </w:r>
          </w:p>
        </w:tc>
        <w:tc>
          <w:tcPr>
            <w:tcW w:w="2100" w:type="dxa"/>
            <w:tcBorders>
              <w:top w:val="single" w:sz="4" w:space="0" w:color="000000"/>
              <w:left w:val="single" w:sz="4" w:space="0" w:color="000000"/>
              <w:bottom w:val="single" w:sz="4" w:space="0" w:color="000000"/>
              <w:right w:val="single" w:sz="4" w:space="0" w:color="000000"/>
            </w:tcBorders>
          </w:tcPr>
          <w:p w14:paraId="38B8F18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Détection des incohérences et signalement de l’incertitude</w:t>
            </w:r>
          </w:p>
        </w:tc>
        <w:tc>
          <w:tcPr>
            <w:tcW w:w="1300" w:type="dxa"/>
            <w:tcBorders>
              <w:top w:val="single" w:sz="4" w:space="0" w:color="000000"/>
              <w:left w:val="single" w:sz="4" w:space="0" w:color="000000"/>
              <w:bottom w:val="single" w:sz="4" w:space="0" w:color="000000"/>
              <w:right w:val="single" w:sz="4" w:space="0" w:color="000000"/>
            </w:tcBorders>
          </w:tcPr>
          <w:p w14:paraId="2A15B47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EX-F-06</w:t>
            </w:r>
          </w:p>
        </w:tc>
        <w:tc>
          <w:tcPr>
            <w:tcW w:w="1200" w:type="dxa"/>
            <w:tcBorders>
              <w:top w:val="single" w:sz="4" w:space="0" w:color="000000"/>
              <w:left w:val="single" w:sz="4" w:space="0" w:color="000000"/>
              <w:bottom w:val="single" w:sz="4" w:space="0" w:color="000000"/>
              <w:right w:val="single" w:sz="4" w:space="0" w:color="000000"/>
            </w:tcBorders>
          </w:tcPr>
          <w:p w14:paraId="1DB7E69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RT1, RT2</w:t>
            </w:r>
          </w:p>
        </w:tc>
        <w:tc>
          <w:tcPr>
            <w:tcW w:w="2057" w:type="dxa"/>
            <w:tcBorders>
              <w:top w:val="single" w:sz="4" w:space="0" w:color="000000"/>
              <w:left w:val="single" w:sz="4" w:space="0" w:color="000000"/>
              <w:bottom w:val="single" w:sz="4" w:space="0" w:color="000000"/>
              <w:right w:val="single" w:sz="4" w:space="0" w:color="000000"/>
            </w:tcBorders>
          </w:tcPr>
          <w:p w14:paraId="3316B1C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Injection de données erronées ou manquantes</w:t>
            </w:r>
          </w:p>
        </w:tc>
      </w:tr>
      <w:tr w:rsidR="00F50D70" w:rsidRPr="00BE4F47" w14:paraId="77A16173"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68265DD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Cybersécurité du prototype</w:t>
            </w:r>
          </w:p>
        </w:tc>
        <w:tc>
          <w:tcPr>
            <w:tcW w:w="2100" w:type="dxa"/>
            <w:tcBorders>
              <w:top w:val="single" w:sz="4" w:space="0" w:color="000000"/>
              <w:left w:val="single" w:sz="4" w:space="0" w:color="000000"/>
              <w:bottom w:val="single" w:sz="4" w:space="0" w:color="000000"/>
              <w:right w:val="single" w:sz="4" w:space="0" w:color="000000"/>
            </w:tcBorders>
          </w:tcPr>
          <w:p w14:paraId="22EB90B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Contrôle d’accès, intégrité, journalisation et moindre privilège</w:t>
            </w:r>
          </w:p>
        </w:tc>
        <w:tc>
          <w:tcPr>
            <w:tcW w:w="1300" w:type="dxa"/>
            <w:tcBorders>
              <w:top w:val="single" w:sz="4" w:space="0" w:color="000000"/>
              <w:left w:val="single" w:sz="4" w:space="0" w:color="000000"/>
              <w:bottom w:val="single" w:sz="4" w:space="0" w:color="000000"/>
              <w:right w:val="single" w:sz="4" w:space="0" w:color="000000"/>
            </w:tcBorders>
          </w:tcPr>
          <w:p w14:paraId="421BCDD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EX-Q-04</w:t>
            </w:r>
          </w:p>
        </w:tc>
        <w:tc>
          <w:tcPr>
            <w:tcW w:w="1200" w:type="dxa"/>
            <w:tcBorders>
              <w:top w:val="single" w:sz="4" w:space="0" w:color="000000"/>
              <w:left w:val="single" w:sz="4" w:space="0" w:color="000000"/>
              <w:bottom w:val="single" w:sz="4" w:space="0" w:color="000000"/>
              <w:right w:val="single" w:sz="4" w:space="0" w:color="000000"/>
            </w:tcBorders>
          </w:tcPr>
          <w:p w14:paraId="3FB499A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RT7, RT8</w:t>
            </w:r>
          </w:p>
        </w:tc>
        <w:tc>
          <w:tcPr>
            <w:tcW w:w="2057" w:type="dxa"/>
            <w:tcBorders>
              <w:top w:val="single" w:sz="4" w:space="0" w:color="000000"/>
              <w:left w:val="single" w:sz="4" w:space="0" w:color="000000"/>
              <w:bottom w:val="single" w:sz="4" w:space="0" w:color="000000"/>
              <w:right w:val="single" w:sz="4" w:space="0" w:color="000000"/>
            </w:tcBorders>
          </w:tcPr>
          <w:p w14:paraId="0E769E3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Revue et essais de sécurité</w:t>
            </w:r>
          </w:p>
        </w:tc>
      </w:tr>
      <w:tr w:rsidR="00F50D70" w:rsidRPr="00BE4F47" w14:paraId="171446FF"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05246A1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Résilience et disponibilité</w:t>
            </w:r>
          </w:p>
        </w:tc>
        <w:tc>
          <w:tcPr>
            <w:tcW w:w="2100" w:type="dxa"/>
            <w:tcBorders>
              <w:top w:val="single" w:sz="4" w:space="0" w:color="000000"/>
              <w:left w:val="single" w:sz="4" w:space="0" w:color="000000"/>
              <w:bottom w:val="single" w:sz="4" w:space="0" w:color="000000"/>
              <w:right w:val="single" w:sz="4" w:space="0" w:color="000000"/>
            </w:tcBorders>
          </w:tcPr>
          <w:p w14:paraId="6106009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Sauvegarde, récupération et surveillance</w:t>
            </w:r>
          </w:p>
        </w:tc>
        <w:tc>
          <w:tcPr>
            <w:tcW w:w="1300" w:type="dxa"/>
            <w:tcBorders>
              <w:top w:val="single" w:sz="4" w:space="0" w:color="000000"/>
              <w:left w:val="single" w:sz="4" w:space="0" w:color="000000"/>
              <w:bottom w:val="single" w:sz="4" w:space="0" w:color="000000"/>
              <w:right w:val="single" w:sz="4" w:space="0" w:color="000000"/>
            </w:tcBorders>
          </w:tcPr>
          <w:p w14:paraId="3E5188B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EX-Q-02</w:t>
            </w:r>
          </w:p>
        </w:tc>
        <w:tc>
          <w:tcPr>
            <w:tcW w:w="1200" w:type="dxa"/>
            <w:tcBorders>
              <w:top w:val="single" w:sz="4" w:space="0" w:color="000000"/>
              <w:left w:val="single" w:sz="4" w:space="0" w:color="000000"/>
              <w:bottom w:val="single" w:sz="4" w:space="0" w:color="000000"/>
              <w:right w:val="single" w:sz="4" w:space="0" w:color="000000"/>
            </w:tcBorders>
          </w:tcPr>
          <w:p w14:paraId="58F6582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RT9</w:t>
            </w:r>
          </w:p>
        </w:tc>
        <w:tc>
          <w:tcPr>
            <w:tcW w:w="2057" w:type="dxa"/>
            <w:tcBorders>
              <w:top w:val="single" w:sz="4" w:space="0" w:color="000000"/>
              <w:left w:val="single" w:sz="4" w:space="0" w:color="000000"/>
              <w:bottom w:val="single" w:sz="4" w:space="0" w:color="000000"/>
              <w:right w:val="single" w:sz="4" w:space="0" w:color="000000"/>
            </w:tcBorders>
          </w:tcPr>
          <w:p w14:paraId="7DA0A62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Essais de défaillance et de récupération</w:t>
            </w:r>
          </w:p>
        </w:tc>
      </w:tr>
      <w:tr w:rsidR="00F50D70" w:rsidRPr="00BE4F47" w14:paraId="6A742DCD"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7FF46A1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Interface d’aide à la décision compréhensible</w:t>
            </w:r>
          </w:p>
        </w:tc>
        <w:tc>
          <w:tcPr>
            <w:tcW w:w="2100" w:type="dxa"/>
            <w:tcBorders>
              <w:top w:val="single" w:sz="4" w:space="0" w:color="000000"/>
              <w:left w:val="single" w:sz="4" w:space="0" w:color="000000"/>
              <w:bottom w:val="single" w:sz="4" w:space="0" w:color="000000"/>
              <w:right w:val="single" w:sz="4" w:space="0" w:color="000000"/>
            </w:tcBorders>
          </w:tcPr>
          <w:p w14:paraId="5E97032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Présentation des variables contributives et du niveau de confiance</w:t>
            </w:r>
          </w:p>
        </w:tc>
        <w:tc>
          <w:tcPr>
            <w:tcW w:w="1300" w:type="dxa"/>
            <w:tcBorders>
              <w:top w:val="single" w:sz="4" w:space="0" w:color="000000"/>
              <w:left w:val="single" w:sz="4" w:space="0" w:color="000000"/>
              <w:bottom w:val="single" w:sz="4" w:space="0" w:color="000000"/>
              <w:right w:val="single" w:sz="4" w:space="0" w:color="000000"/>
            </w:tcBorders>
          </w:tcPr>
          <w:p w14:paraId="62616A8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EX-F-04, EX-F-05, EX-F-07</w:t>
            </w:r>
          </w:p>
        </w:tc>
        <w:tc>
          <w:tcPr>
            <w:tcW w:w="1200" w:type="dxa"/>
            <w:tcBorders>
              <w:top w:val="single" w:sz="4" w:space="0" w:color="000000"/>
              <w:left w:val="single" w:sz="4" w:space="0" w:color="000000"/>
              <w:bottom w:val="single" w:sz="4" w:space="0" w:color="000000"/>
              <w:right w:val="single" w:sz="4" w:space="0" w:color="000000"/>
            </w:tcBorders>
          </w:tcPr>
          <w:p w14:paraId="4E418C9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RT10</w:t>
            </w:r>
          </w:p>
        </w:tc>
        <w:tc>
          <w:tcPr>
            <w:tcW w:w="2057" w:type="dxa"/>
            <w:tcBorders>
              <w:top w:val="single" w:sz="4" w:space="0" w:color="000000"/>
              <w:left w:val="single" w:sz="4" w:space="0" w:color="000000"/>
              <w:bottom w:val="single" w:sz="4" w:space="0" w:color="000000"/>
              <w:right w:val="single" w:sz="4" w:space="0" w:color="000000"/>
            </w:tcBorders>
          </w:tcPr>
          <w:p w14:paraId="43BAA5B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Essai d’utilisabilité (EX-Q-03)</w:t>
            </w:r>
          </w:p>
        </w:tc>
      </w:tr>
      <w:tr w:rsidR="00F50D70" w:rsidRPr="00BE4F47" w14:paraId="046DBBA4"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060E06E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Décision finale sous responsabilité humaine</w:t>
            </w:r>
          </w:p>
        </w:tc>
        <w:tc>
          <w:tcPr>
            <w:tcW w:w="2100" w:type="dxa"/>
            <w:tcBorders>
              <w:top w:val="single" w:sz="4" w:space="0" w:color="000000"/>
              <w:left w:val="single" w:sz="4" w:space="0" w:color="000000"/>
              <w:bottom w:val="single" w:sz="4" w:space="0" w:color="000000"/>
              <w:right w:val="single" w:sz="4" w:space="0" w:color="000000"/>
            </w:tcBorders>
          </w:tcPr>
          <w:p w14:paraId="632AFE2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Aucune commande automatique ; confirmation explicite pour le mode dégradé</w:t>
            </w:r>
          </w:p>
        </w:tc>
        <w:tc>
          <w:tcPr>
            <w:tcW w:w="1300" w:type="dxa"/>
            <w:tcBorders>
              <w:top w:val="single" w:sz="4" w:space="0" w:color="000000"/>
              <w:left w:val="single" w:sz="4" w:space="0" w:color="000000"/>
              <w:bottom w:val="single" w:sz="4" w:space="0" w:color="000000"/>
              <w:right w:val="single" w:sz="4" w:space="0" w:color="000000"/>
            </w:tcBorders>
          </w:tcPr>
          <w:p w14:paraId="0364967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EX-F-08, EX-F-09</w:t>
            </w:r>
          </w:p>
        </w:tc>
        <w:tc>
          <w:tcPr>
            <w:tcW w:w="1200" w:type="dxa"/>
            <w:tcBorders>
              <w:top w:val="single" w:sz="4" w:space="0" w:color="000000"/>
              <w:left w:val="single" w:sz="4" w:space="0" w:color="000000"/>
              <w:bottom w:val="single" w:sz="4" w:space="0" w:color="000000"/>
              <w:right w:val="single" w:sz="4" w:space="0" w:color="000000"/>
            </w:tcBorders>
          </w:tcPr>
          <w:p w14:paraId="44EC9EC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RT5, RT10</w:t>
            </w:r>
          </w:p>
        </w:tc>
        <w:tc>
          <w:tcPr>
            <w:tcW w:w="2057" w:type="dxa"/>
            <w:tcBorders>
              <w:top w:val="single" w:sz="4" w:space="0" w:color="000000"/>
              <w:left w:val="single" w:sz="4" w:space="0" w:color="000000"/>
              <w:bottom w:val="single" w:sz="4" w:space="0" w:color="000000"/>
              <w:right w:val="single" w:sz="4" w:space="0" w:color="000000"/>
            </w:tcBorders>
          </w:tcPr>
          <w:p w14:paraId="449432C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Revue de code et inspection des sorties</w:t>
            </w:r>
          </w:p>
        </w:tc>
      </w:tr>
      <w:tr w:rsidR="00F50D70" w:rsidRPr="00BE4F47" w14:paraId="212B0065"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00C43BE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Traçabilité des événements</w:t>
            </w:r>
          </w:p>
        </w:tc>
        <w:tc>
          <w:tcPr>
            <w:tcW w:w="2100" w:type="dxa"/>
            <w:tcBorders>
              <w:top w:val="single" w:sz="4" w:space="0" w:color="000000"/>
              <w:left w:val="single" w:sz="4" w:space="0" w:color="000000"/>
              <w:bottom w:val="single" w:sz="4" w:space="0" w:color="000000"/>
              <w:right w:val="single" w:sz="4" w:space="0" w:color="000000"/>
            </w:tcBorders>
          </w:tcPr>
          <w:p w14:paraId="033ABEA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Journalisation horodatée des événements significatifs</w:t>
            </w:r>
          </w:p>
        </w:tc>
        <w:tc>
          <w:tcPr>
            <w:tcW w:w="1300" w:type="dxa"/>
            <w:tcBorders>
              <w:top w:val="single" w:sz="4" w:space="0" w:color="000000"/>
              <w:left w:val="single" w:sz="4" w:space="0" w:color="000000"/>
              <w:bottom w:val="single" w:sz="4" w:space="0" w:color="000000"/>
              <w:right w:val="single" w:sz="4" w:space="0" w:color="000000"/>
            </w:tcBorders>
          </w:tcPr>
          <w:p w14:paraId="7FB1975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EX-F-10</w:t>
            </w:r>
          </w:p>
        </w:tc>
        <w:tc>
          <w:tcPr>
            <w:tcW w:w="1200" w:type="dxa"/>
            <w:tcBorders>
              <w:top w:val="single" w:sz="4" w:space="0" w:color="000000"/>
              <w:left w:val="single" w:sz="4" w:space="0" w:color="000000"/>
              <w:bottom w:val="single" w:sz="4" w:space="0" w:color="000000"/>
              <w:right w:val="single" w:sz="4" w:space="0" w:color="000000"/>
            </w:tcBorders>
          </w:tcPr>
          <w:p w14:paraId="5B07B53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RT7, RT8</w:t>
            </w:r>
          </w:p>
        </w:tc>
        <w:tc>
          <w:tcPr>
            <w:tcW w:w="2057" w:type="dxa"/>
            <w:tcBorders>
              <w:top w:val="single" w:sz="4" w:space="0" w:color="000000"/>
              <w:left w:val="single" w:sz="4" w:space="0" w:color="000000"/>
              <w:bottom w:val="single" w:sz="4" w:space="0" w:color="000000"/>
              <w:right w:val="single" w:sz="4" w:space="0" w:color="000000"/>
            </w:tcBorders>
          </w:tcPr>
          <w:p w14:paraId="51BED62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Inspection des journaux lors des essais</w:t>
            </w:r>
          </w:p>
        </w:tc>
      </w:tr>
      <w:tr w:rsidR="00F50D70" w:rsidRPr="00BE4F47" w14:paraId="26360215"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09BAF53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Risques santé, sécurité et publics</w:t>
            </w:r>
          </w:p>
        </w:tc>
        <w:tc>
          <w:tcPr>
            <w:tcW w:w="2100" w:type="dxa"/>
            <w:tcBorders>
              <w:top w:val="single" w:sz="4" w:space="0" w:color="000000"/>
              <w:left w:val="single" w:sz="4" w:space="0" w:color="000000"/>
              <w:bottom w:val="single" w:sz="4" w:space="0" w:color="000000"/>
              <w:right w:val="single" w:sz="4" w:space="0" w:color="000000"/>
            </w:tcBorders>
          </w:tcPr>
          <w:p w14:paraId="645D0BC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Analyse de la chaîne menant du dysfonctionnement à la décision humaine</w:t>
            </w:r>
          </w:p>
        </w:tc>
        <w:tc>
          <w:tcPr>
            <w:tcW w:w="1300" w:type="dxa"/>
            <w:tcBorders>
              <w:top w:val="single" w:sz="4" w:space="0" w:color="000000"/>
              <w:left w:val="single" w:sz="4" w:space="0" w:color="000000"/>
              <w:bottom w:val="single" w:sz="4" w:space="0" w:color="000000"/>
              <w:right w:val="single" w:sz="4" w:space="0" w:color="000000"/>
            </w:tcBorders>
          </w:tcPr>
          <w:p w14:paraId="6098B25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EX-C-03</w:t>
            </w:r>
          </w:p>
        </w:tc>
        <w:tc>
          <w:tcPr>
            <w:tcW w:w="1200" w:type="dxa"/>
            <w:tcBorders>
              <w:top w:val="single" w:sz="4" w:space="0" w:color="000000"/>
              <w:left w:val="single" w:sz="4" w:space="0" w:color="000000"/>
              <w:bottom w:val="single" w:sz="4" w:space="0" w:color="000000"/>
              <w:right w:val="single" w:sz="4" w:space="0" w:color="000000"/>
            </w:tcBorders>
          </w:tcPr>
          <w:p w14:paraId="5CFFB66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RT5</w:t>
            </w:r>
          </w:p>
        </w:tc>
        <w:tc>
          <w:tcPr>
            <w:tcW w:w="2057" w:type="dxa"/>
            <w:tcBorders>
              <w:top w:val="single" w:sz="4" w:space="0" w:color="000000"/>
              <w:left w:val="single" w:sz="4" w:space="0" w:color="000000"/>
              <w:bottom w:val="single" w:sz="4" w:space="0" w:color="000000"/>
              <w:right w:val="single" w:sz="4" w:space="0" w:color="000000"/>
            </w:tcBorders>
          </w:tcPr>
          <w:p w14:paraId="5904BF9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Revue de la section 7.1 au jalon J5</w:t>
            </w:r>
          </w:p>
        </w:tc>
      </w:tr>
      <w:tr w:rsidR="00F50D70" w:rsidRPr="00BE4F47" w14:paraId="716C5832" w14:textId="77777777">
        <w:trPr>
          <w:cantSplit/>
        </w:trPr>
        <w:tc>
          <w:tcPr>
            <w:tcW w:w="1900" w:type="dxa"/>
            <w:tcBorders>
              <w:top w:val="single" w:sz="4" w:space="0" w:color="000000"/>
              <w:left w:val="single" w:sz="4" w:space="0" w:color="000000"/>
              <w:bottom w:val="single" w:sz="4" w:space="0" w:color="000000"/>
              <w:right w:val="single" w:sz="4" w:space="0" w:color="000000"/>
            </w:tcBorders>
          </w:tcPr>
          <w:p w14:paraId="00FAA26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lastRenderedPageBreak/>
              <w:t>Cadre législatif et normatif</w:t>
            </w:r>
          </w:p>
        </w:tc>
        <w:tc>
          <w:tcPr>
            <w:tcW w:w="2100" w:type="dxa"/>
            <w:tcBorders>
              <w:top w:val="single" w:sz="4" w:space="0" w:color="000000"/>
              <w:left w:val="single" w:sz="4" w:space="0" w:color="000000"/>
              <w:bottom w:val="single" w:sz="4" w:space="0" w:color="000000"/>
              <w:right w:val="single" w:sz="4" w:space="0" w:color="000000"/>
            </w:tcBorders>
          </w:tcPr>
          <w:p w14:paraId="2A34AA1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Rattachement aux lois, règlements et normes retenus</w:t>
            </w:r>
          </w:p>
        </w:tc>
        <w:tc>
          <w:tcPr>
            <w:tcW w:w="1300" w:type="dxa"/>
            <w:tcBorders>
              <w:top w:val="single" w:sz="4" w:space="0" w:color="000000"/>
              <w:left w:val="single" w:sz="4" w:space="0" w:color="000000"/>
              <w:bottom w:val="single" w:sz="4" w:space="0" w:color="000000"/>
              <w:right w:val="single" w:sz="4" w:space="0" w:color="000000"/>
            </w:tcBorders>
          </w:tcPr>
          <w:p w14:paraId="416E5DC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EX-C-01</w:t>
            </w:r>
          </w:p>
        </w:tc>
        <w:tc>
          <w:tcPr>
            <w:tcW w:w="1200" w:type="dxa"/>
            <w:tcBorders>
              <w:top w:val="single" w:sz="4" w:space="0" w:color="000000"/>
              <w:left w:val="single" w:sz="4" w:space="0" w:color="000000"/>
              <w:bottom w:val="single" w:sz="4" w:space="0" w:color="000000"/>
              <w:right w:val="single" w:sz="4" w:space="0" w:color="000000"/>
            </w:tcBorders>
          </w:tcPr>
          <w:p w14:paraId="421027F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RT4</w:t>
            </w:r>
          </w:p>
        </w:tc>
        <w:tc>
          <w:tcPr>
            <w:tcW w:w="2057" w:type="dxa"/>
            <w:tcBorders>
              <w:top w:val="single" w:sz="4" w:space="0" w:color="000000"/>
              <w:left w:val="single" w:sz="4" w:space="0" w:color="000000"/>
              <w:bottom w:val="single" w:sz="4" w:space="0" w:color="000000"/>
              <w:right w:val="single" w:sz="4" w:space="0" w:color="000000"/>
            </w:tcBorders>
          </w:tcPr>
          <w:p w14:paraId="00DB202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Revue croisée avec la section des normes</w:t>
            </w:r>
          </w:p>
        </w:tc>
      </w:tr>
    </w:tbl>
    <w:p w14:paraId="2AAC6684" w14:textId="77777777" w:rsidR="00F50D70" w:rsidRPr="00B36301" w:rsidRDefault="00137D7F" w:rsidP="008E113B">
      <w:pPr>
        <w:pStyle w:val="Titre1"/>
        <w:spacing w:line="360" w:lineRule="auto"/>
      </w:pPr>
      <w:bookmarkStart w:id="587" w:name="_Toc241670283"/>
      <w:r w:rsidRPr="00B36301">
        <w:t>Estimation des ressources nécessaires au projet</w:t>
      </w:r>
      <w:bookmarkEnd w:id="587"/>
    </w:p>
    <w:p w14:paraId="32E58DB3" w14:textId="77777777" w:rsidR="00F50D70" w:rsidRPr="00BE4F47" w:rsidRDefault="00137D7F" w:rsidP="008E113B">
      <w:pPr>
        <w:spacing w:before="200" w:after="130" w:line="360" w:lineRule="auto"/>
        <w:ind w:left="360"/>
        <w:rPr>
          <w:rFonts w:ascii="Aptos" w:hAnsi="Aptos"/>
        </w:rPr>
      </w:pPr>
      <w:bookmarkStart w:id="588" w:name="_Toc241083113"/>
      <w:bookmarkStart w:id="589" w:name="_Toc241670284"/>
      <w:r w:rsidRPr="00BE4F47">
        <w:rPr>
          <w:rFonts w:ascii="Aptos" w:hAnsi="Aptos"/>
          <w:color w:val="1A1A19"/>
          <w:sz w:val="20"/>
          <w:szCs w:val="20"/>
        </w:rPr>
        <w:t>Les sections précédentes ont défini le travail, son cadre et ses risques. Celle-ci le convertit en ressources. Elle fixe les hypothèses de l’estimation, découpe l’effort en neuf lots de travail, puis recense les ressources matérielles, logicielles et normatives nécessaires.</w:t>
      </w:r>
      <w:bookmarkEnd w:id="588"/>
      <w:bookmarkEnd w:id="589"/>
    </w:p>
    <w:p w14:paraId="2B79EB43" w14:textId="77777777" w:rsidR="00F50D70" w:rsidRPr="00B36301" w:rsidRDefault="00137D7F" w:rsidP="008E113B">
      <w:pPr>
        <w:pStyle w:val="Titre2"/>
        <w:spacing w:line="360" w:lineRule="auto"/>
      </w:pPr>
      <w:bookmarkStart w:id="590" w:name="_Toc241670285"/>
      <w:r w:rsidRPr="00B36301">
        <w:t>Méthode d’estimation et classe de l’estimation</w:t>
      </w:r>
      <w:bookmarkEnd w:id="590"/>
    </w:p>
    <w:p w14:paraId="7F433E01"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591" w:name="_Toc241083115"/>
      <w:bookmarkStart w:id="592" w:name="_Toc241670286"/>
      <w:r w:rsidRPr="00BE4F47">
        <w:rPr>
          <w:rFonts w:ascii="Aptos" w:hAnsi="Aptos"/>
          <w:color w:val="1A1A19"/>
          <w:sz w:val="20"/>
          <w:szCs w:val="20"/>
        </w:rPr>
        <w:t>L’estimation est ascendante. L’effort est évalué lot de travail par lot de travail, à partir de la structure de découpage du projet. Le total est ensuite rapproché de l’enveloppe imposée au mandat.</w:t>
      </w:r>
      <w:bookmarkEnd w:id="591"/>
      <w:bookmarkEnd w:id="592"/>
    </w:p>
    <w:p w14:paraId="51AEB64E"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593" w:name="_Toc241083116"/>
      <w:bookmarkStart w:id="594" w:name="_Toc241670287"/>
      <w:r w:rsidRPr="00BE4F47">
        <w:rPr>
          <w:rFonts w:ascii="Aptos" w:hAnsi="Aptos"/>
          <w:color w:val="1A1A19"/>
          <w:sz w:val="20"/>
          <w:szCs w:val="20"/>
        </w:rPr>
        <w:t>Cette enveloppe est une contrainte du mandat. Elle n’est pas un objectif à atteindre. Elle vaut 135 heures par membre.</w:t>
      </w:r>
      <w:bookmarkEnd w:id="593"/>
      <w:bookmarkEnd w:id="594"/>
    </w:p>
    <w:p w14:paraId="3694B79C" w14:textId="77777777" w:rsidR="00F50D70" w:rsidRPr="00BE4F47" w:rsidRDefault="00137D7F" w:rsidP="008E113B">
      <w:pPr>
        <w:spacing w:after="130" w:line="360" w:lineRule="auto"/>
        <w:ind w:left="360"/>
        <w:rPr>
          <w:rFonts w:ascii="Aptos" w:hAnsi="Aptos"/>
        </w:rPr>
      </w:pPr>
      <w:bookmarkStart w:id="595" w:name="_Toc241083117"/>
      <w:bookmarkStart w:id="596" w:name="_Toc241670288"/>
      <w:r w:rsidRPr="00BE4F47">
        <w:rPr>
          <w:rFonts w:ascii="Aptos" w:hAnsi="Aptos"/>
          <w:color w:val="1A1A19"/>
          <w:sz w:val="20"/>
          <w:szCs w:val="20"/>
        </w:rPr>
        <w:t>Au stade du plan de projet, le contenu technique n’est défini qu’à quelques pour cent. Selon la classification de l’AACE International, l’estimation appartient donc à la classe 5 : niveau de définition de 0 à 2 %, exactitude de −20 % à −50 % du côté bas et de +30 % à +100 % du côté haut [44]. Les chiffres ci-dessous servent à cadrer le mandat et à préparer le bordereau de prix. Ils n’engagent pas l’équipe sur un montant final.</w:t>
      </w:r>
      <w:bookmarkEnd w:id="595"/>
      <w:bookmarkEnd w:id="596"/>
    </w:p>
    <w:p w14:paraId="0254BD62"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597" w:name="_Toc241083118"/>
      <w:bookmarkStart w:id="598" w:name="_Toc241670289"/>
      <w:r w:rsidRPr="00BE4F47">
        <w:rPr>
          <w:rFonts w:ascii="Aptos" w:hAnsi="Aptos"/>
          <w:color w:val="1A1A19"/>
          <w:sz w:val="20"/>
          <w:szCs w:val="20"/>
        </w:rPr>
        <w:t>L’estimation devra être reclassée en classe 4 après l’approbation du registre des exigences, au jalon J1 de la section 10.</w:t>
      </w:r>
      <w:bookmarkEnd w:id="597"/>
      <w:bookmarkEnd w:id="598"/>
    </w:p>
    <w:p w14:paraId="07F206B0"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599" w:name="_Toc241083119"/>
      <w:bookmarkStart w:id="600" w:name="_Toc241670290"/>
      <w:r w:rsidRPr="00BE4F47">
        <w:rPr>
          <w:rFonts w:ascii="Aptos" w:hAnsi="Aptos"/>
          <w:color w:val="1A1A19"/>
          <w:sz w:val="20"/>
          <w:szCs w:val="20"/>
        </w:rPr>
        <w:t>L’estimation repose sur les hypothèses de la section 8.2. Chacune a un effet direct sur le résultat. Elles doivent être présentées au client et au conseiller. Si l’une d’elles est infirmée, la présente section et le registre des risques de la section 7 sont révisés.</w:t>
      </w:r>
      <w:bookmarkEnd w:id="599"/>
      <w:bookmarkEnd w:id="600"/>
    </w:p>
    <w:p w14:paraId="6AF73640" w14:textId="77777777" w:rsidR="00F50D70" w:rsidRPr="00B36301" w:rsidRDefault="00137D7F" w:rsidP="008E113B">
      <w:pPr>
        <w:pStyle w:val="Titre2"/>
        <w:spacing w:line="360" w:lineRule="auto"/>
      </w:pPr>
      <w:bookmarkStart w:id="601" w:name="_Toc241670291"/>
      <w:r w:rsidRPr="00B36301">
        <w:t>Registre des hypothèses</w:t>
      </w:r>
      <w:bookmarkEnd w:id="601"/>
    </w:p>
    <w:p w14:paraId="28E91B72"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602" w:name="_Toc241083121"/>
      <w:bookmarkStart w:id="603" w:name="_Toc241670292"/>
      <w:r w:rsidRPr="00BE4F47">
        <w:rPr>
          <w:rFonts w:ascii="Aptos" w:hAnsi="Aptos"/>
          <w:color w:val="1A1A19"/>
          <w:sz w:val="20"/>
          <w:szCs w:val="20"/>
        </w:rPr>
        <w:t>C’est le registre unique du plan de projet. Les autres sections y renvoient et n’en définissent pas d’autre. Chaque hypothèse porte l’effet de son infirmation et le risque de la section 7 qui la surveille.</w:t>
      </w:r>
      <w:bookmarkEnd w:id="602"/>
      <w:bookmarkEnd w:id="603"/>
    </w:p>
    <w:p w14:paraId="11CEA5D4" w14:textId="77777777" w:rsidR="00F50D70" w:rsidRPr="00BE4F47" w:rsidRDefault="00137D7F" w:rsidP="008E113B">
      <w:pPr>
        <w:pStyle w:val="Lgende"/>
        <w:keepNext/>
        <w:spacing w:line="360" w:lineRule="auto"/>
        <w:rPr>
          <w:rFonts w:ascii="Aptos" w:hAnsi="Aptos"/>
        </w:rPr>
      </w:pPr>
      <w:bookmarkStart w:id="604" w:name="_Toc241083122"/>
      <w:bookmarkStart w:id="605" w:name="_Toc241670293"/>
      <w:r w:rsidRPr="00BE4F47">
        <w:rPr>
          <w:rFonts w:ascii="Aptos" w:hAnsi="Aptos"/>
        </w:rPr>
        <w:t>Tableau 8-1. Registre des hypothèses de l’estimation</w:t>
      </w:r>
      <w:bookmarkEnd w:id="604"/>
      <w:bookmarkEnd w:id="605"/>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567"/>
        <w:gridCol w:w="3291"/>
        <w:gridCol w:w="3236"/>
        <w:gridCol w:w="1463"/>
      </w:tblGrid>
      <w:tr w:rsidR="00F50D70" w:rsidRPr="00BE4F47" w14:paraId="4C6E9FAE" w14:textId="77777777">
        <w:trPr>
          <w:tblHeader/>
        </w:trPr>
        <w:tc>
          <w:tcPr>
            <w:tcW w:w="567" w:type="dxa"/>
            <w:tcBorders>
              <w:top w:val="single" w:sz="4" w:space="0" w:color="000000"/>
              <w:left w:val="single" w:sz="4" w:space="0" w:color="000000"/>
              <w:bottom w:val="single" w:sz="4" w:space="0" w:color="000000"/>
              <w:right w:val="single" w:sz="4" w:space="0" w:color="000000"/>
            </w:tcBorders>
            <w:shd w:val="clear" w:color="auto" w:fill="EFF4FB"/>
          </w:tcPr>
          <w:p w14:paraId="3FBC7F7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Réf.</w:t>
            </w:r>
          </w:p>
        </w:tc>
        <w:tc>
          <w:tcPr>
            <w:tcW w:w="3291" w:type="dxa"/>
            <w:tcBorders>
              <w:top w:val="single" w:sz="4" w:space="0" w:color="000000"/>
              <w:left w:val="single" w:sz="4" w:space="0" w:color="000000"/>
              <w:bottom w:val="single" w:sz="4" w:space="0" w:color="000000"/>
              <w:right w:val="single" w:sz="4" w:space="0" w:color="000000"/>
            </w:tcBorders>
            <w:shd w:val="clear" w:color="auto" w:fill="EFF4FB"/>
          </w:tcPr>
          <w:p w14:paraId="3D72128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Hypothèse</w:t>
            </w:r>
          </w:p>
        </w:tc>
        <w:tc>
          <w:tcPr>
            <w:tcW w:w="3236" w:type="dxa"/>
            <w:tcBorders>
              <w:top w:val="single" w:sz="4" w:space="0" w:color="000000"/>
              <w:left w:val="single" w:sz="4" w:space="0" w:color="000000"/>
              <w:bottom w:val="single" w:sz="4" w:space="0" w:color="000000"/>
              <w:right w:val="single" w:sz="4" w:space="0" w:color="000000"/>
            </w:tcBorders>
            <w:shd w:val="clear" w:color="auto" w:fill="EFF4FB"/>
          </w:tcPr>
          <w:p w14:paraId="5C3E98C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Effet si elle est infirmée</w:t>
            </w:r>
          </w:p>
        </w:tc>
        <w:tc>
          <w:tcPr>
            <w:tcW w:w="1463" w:type="dxa"/>
            <w:tcBorders>
              <w:top w:val="single" w:sz="4" w:space="0" w:color="000000"/>
              <w:left w:val="single" w:sz="4" w:space="0" w:color="000000"/>
              <w:bottom w:val="single" w:sz="4" w:space="0" w:color="000000"/>
              <w:right w:val="single" w:sz="4" w:space="0" w:color="000000"/>
            </w:tcBorders>
            <w:shd w:val="clear" w:color="auto" w:fill="EFF4FB"/>
          </w:tcPr>
          <w:p w14:paraId="6877867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Risque associé</w:t>
            </w:r>
          </w:p>
        </w:tc>
      </w:tr>
      <w:tr w:rsidR="00F50D70" w:rsidRPr="00BE4F47" w14:paraId="6B3BAE7E"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4AF0BA3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H-01</w:t>
            </w:r>
          </w:p>
        </w:tc>
        <w:tc>
          <w:tcPr>
            <w:tcW w:w="3291" w:type="dxa"/>
            <w:tcBorders>
              <w:top w:val="single" w:sz="4" w:space="0" w:color="000000"/>
              <w:left w:val="single" w:sz="4" w:space="0" w:color="000000"/>
              <w:bottom w:val="single" w:sz="4" w:space="0" w:color="000000"/>
              <w:right w:val="single" w:sz="4" w:space="0" w:color="000000"/>
            </w:tcBorders>
          </w:tcPr>
          <w:p w14:paraId="1025A2C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L’équipe compte 8 membres. Chaque membre consacre 135 heures au mandat, soit 1 080 heures au total. Ces 135 heures couvrent l’ensemble de l’effort porté au mandat, y compris les ateliers et la formation continue.</w:t>
            </w:r>
          </w:p>
        </w:tc>
        <w:tc>
          <w:tcPr>
            <w:tcW w:w="3236" w:type="dxa"/>
            <w:tcBorders>
              <w:top w:val="single" w:sz="4" w:space="0" w:color="000000"/>
              <w:left w:val="single" w:sz="4" w:space="0" w:color="000000"/>
              <w:bottom w:val="single" w:sz="4" w:space="0" w:color="000000"/>
              <w:right w:val="single" w:sz="4" w:space="0" w:color="000000"/>
            </w:tcBorders>
          </w:tcPr>
          <w:p w14:paraId="0EE3A13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Toute l’estimation est proportionnelle à ce nombre.</w:t>
            </w:r>
          </w:p>
        </w:tc>
        <w:tc>
          <w:tcPr>
            <w:tcW w:w="1463" w:type="dxa"/>
            <w:tcBorders>
              <w:top w:val="single" w:sz="4" w:space="0" w:color="000000"/>
              <w:left w:val="single" w:sz="4" w:space="0" w:color="000000"/>
              <w:bottom w:val="single" w:sz="4" w:space="0" w:color="000000"/>
              <w:right w:val="single" w:sz="4" w:space="0" w:color="000000"/>
            </w:tcBorders>
          </w:tcPr>
          <w:p w14:paraId="4DAC6F6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RP2</w:t>
            </w:r>
          </w:p>
        </w:tc>
      </w:tr>
      <w:tr w:rsidR="00F50D70" w:rsidRPr="00BE4F47" w14:paraId="2F1EADFA"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6BA2085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lastRenderedPageBreak/>
              <w:t>H-02</w:t>
            </w:r>
          </w:p>
        </w:tc>
        <w:tc>
          <w:tcPr>
            <w:tcW w:w="3291" w:type="dxa"/>
            <w:tcBorders>
              <w:top w:val="single" w:sz="4" w:space="0" w:color="000000"/>
              <w:left w:val="single" w:sz="4" w:space="0" w:color="000000"/>
              <w:bottom w:val="single" w:sz="4" w:space="0" w:color="000000"/>
              <w:right w:val="single" w:sz="4" w:space="0" w:color="000000"/>
            </w:tcBorders>
          </w:tcPr>
          <w:p w14:paraId="4225DEA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Aucune boucle thermohydraulique physique n’est mise à la disposition de l’équipe. Le système de référence auquel le jumeau numérique est comparé est un second modèle numérique, de fidélité supérieure et développé indépendamment. Ce second modèle joue le rôle de banc d’essai.</w:t>
            </w:r>
          </w:p>
        </w:tc>
        <w:tc>
          <w:tcPr>
            <w:tcW w:w="3236" w:type="dxa"/>
            <w:tcBorders>
              <w:top w:val="single" w:sz="4" w:space="0" w:color="000000"/>
              <w:left w:val="single" w:sz="4" w:space="0" w:color="000000"/>
              <w:bottom w:val="single" w:sz="4" w:space="0" w:color="000000"/>
              <w:right w:val="single" w:sz="4" w:space="0" w:color="000000"/>
            </w:tcBorders>
          </w:tcPr>
          <w:p w14:paraId="41DC3ED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Majeur. Un banc physique ferait basculer le projet dans une autre classe de budget, avec achat, instrumentation et sécurité. L’enveloppe de 1 080 heures deviendrait intenable.</w:t>
            </w:r>
          </w:p>
        </w:tc>
        <w:tc>
          <w:tcPr>
            <w:tcW w:w="1463" w:type="dxa"/>
            <w:tcBorders>
              <w:top w:val="single" w:sz="4" w:space="0" w:color="000000"/>
              <w:left w:val="single" w:sz="4" w:space="0" w:color="000000"/>
              <w:bottom w:val="single" w:sz="4" w:space="0" w:color="000000"/>
              <w:right w:val="single" w:sz="4" w:space="0" w:color="000000"/>
            </w:tcBorders>
          </w:tcPr>
          <w:p w14:paraId="39633CC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RP3</w:t>
            </w:r>
          </w:p>
        </w:tc>
      </w:tr>
      <w:tr w:rsidR="00F50D70" w:rsidRPr="00BE4F47" w14:paraId="5D1602E7"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47051EF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H-03</w:t>
            </w:r>
          </w:p>
        </w:tc>
        <w:tc>
          <w:tcPr>
            <w:tcW w:w="3291" w:type="dxa"/>
            <w:tcBorders>
              <w:top w:val="single" w:sz="4" w:space="0" w:color="000000"/>
              <w:left w:val="single" w:sz="4" w:space="0" w:color="000000"/>
              <w:bottom w:val="single" w:sz="4" w:space="0" w:color="000000"/>
              <w:right w:val="single" w:sz="4" w:space="0" w:color="000000"/>
            </w:tcBorders>
          </w:tcPr>
          <w:p w14:paraId="2A80FC9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Aucune donnée d’exploitation réelle de Gentilly-2 n’est accessible. Les jeux de données d’essai sont synthétiques. Ils sont générés par le modèle de référence, puis bruités et dégradés pour reproduire les défauts de capteurs étudiés.</w:t>
            </w:r>
          </w:p>
        </w:tc>
        <w:tc>
          <w:tcPr>
            <w:tcW w:w="3236" w:type="dxa"/>
            <w:tcBorders>
              <w:top w:val="single" w:sz="4" w:space="0" w:color="000000"/>
              <w:left w:val="single" w:sz="4" w:space="0" w:color="000000"/>
              <w:bottom w:val="single" w:sz="4" w:space="0" w:color="000000"/>
              <w:right w:val="single" w:sz="4" w:space="0" w:color="000000"/>
            </w:tcBorders>
          </w:tcPr>
          <w:p w14:paraId="3165E13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La campagne d’essais et la portée des conclusions devraient être redéfinies.</w:t>
            </w:r>
          </w:p>
        </w:tc>
        <w:tc>
          <w:tcPr>
            <w:tcW w:w="1463" w:type="dxa"/>
            <w:tcBorders>
              <w:top w:val="single" w:sz="4" w:space="0" w:color="000000"/>
              <w:left w:val="single" w:sz="4" w:space="0" w:color="000000"/>
              <w:bottom w:val="single" w:sz="4" w:space="0" w:color="000000"/>
              <w:right w:val="single" w:sz="4" w:space="0" w:color="000000"/>
            </w:tcBorders>
          </w:tcPr>
          <w:p w14:paraId="2C7D46E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RT4</w:t>
            </w:r>
          </w:p>
        </w:tc>
      </w:tr>
      <w:tr w:rsidR="00F50D70" w:rsidRPr="00BE4F47" w14:paraId="0E9BCC37"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307A42D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H-04</w:t>
            </w:r>
          </w:p>
        </w:tc>
        <w:tc>
          <w:tcPr>
            <w:tcW w:w="3291" w:type="dxa"/>
            <w:tcBorders>
              <w:top w:val="single" w:sz="4" w:space="0" w:color="000000"/>
              <w:left w:val="single" w:sz="4" w:space="0" w:color="000000"/>
              <w:bottom w:val="single" w:sz="4" w:space="0" w:color="000000"/>
              <w:right w:val="single" w:sz="4" w:space="0" w:color="000000"/>
            </w:tcBorders>
          </w:tcPr>
          <w:p w14:paraId="5D6313A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Le prototype vise un niveau de maturité technologique TRL 3 à 4. La modélisation est de type 0D/1D à paramètres concentrés, en écoulement monophasique. La thermohydraulique diphasique et la mécanique des fluides numérique tridimensionnelle sont exclues.</w:t>
            </w:r>
          </w:p>
        </w:tc>
        <w:tc>
          <w:tcPr>
            <w:tcW w:w="3236" w:type="dxa"/>
            <w:tcBorders>
              <w:top w:val="single" w:sz="4" w:space="0" w:color="000000"/>
              <w:left w:val="single" w:sz="4" w:space="0" w:color="000000"/>
              <w:bottom w:val="single" w:sz="4" w:space="0" w:color="000000"/>
              <w:right w:val="single" w:sz="4" w:space="0" w:color="000000"/>
            </w:tcBorders>
          </w:tcPr>
          <w:p w14:paraId="3CF6274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Un modèle diphasique ou tridimensionnel multiplierait l’effort de modélisation et de validation.</w:t>
            </w:r>
          </w:p>
        </w:tc>
        <w:tc>
          <w:tcPr>
            <w:tcW w:w="1463" w:type="dxa"/>
            <w:tcBorders>
              <w:top w:val="single" w:sz="4" w:space="0" w:color="000000"/>
              <w:left w:val="single" w:sz="4" w:space="0" w:color="000000"/>
              <w:bottom w:val="single" w:sz="4" w:space="0" w:color="000000"/>
              <w:right w:val="single" w:sz="4" w:space="0" w:color="000000"/>
            </w:tcBorders>
          </w:tcPr>
          <w:p w14:paraId="4A4D329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RT4</w:t>
            </w:r>
          </w:p>
        </w:tc>
      </w:tr>
      <w:tr w:rsidR="00F50D70" w:rsidRPr="00BE4F47" w14:paraId="7DEBECCB"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09F6144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H-05</w:t>
            </w:r>
          </w:p>
        </w:tc>
        <w:tc>
          <w:tcPr>
            <w:tcW w:w="3291" w:type="dxa"/>
            <w:tcBorders>
              <w:top w:val="single" w:sz="4" w:space="0" w:color="000000"/>
              <w:left w:val="single" w:sz="4" w:space="0" w:color="000000"/>
              <w:bottom w:val="single" w:sz="4" w:space="0" w:color="000000"/>
              <w:right w:val="single" w:sz="4" w:space="0" w:color="000000"/>
            </w:tcBorders>
          </w:tcPr>
          <w:p w14:paraId="4074A76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Les logiciels utilisés sont libres ou couverts par les licences académiques de l’UQAC. Le coût de licence imputé au mandat est donc nul. Ce point doit être déclaré au client, car un déploiement industriel ne bénéficierait pas de cet avantage.</w:t>
            </w:r>
          </w:p>
        </w:tc>
        <w:tc>
          <w:tcPr>
            <w:tcW w:w="3236" w:type="dxa"/>
            <w:tcBorders>
              <w:top w:val="single" w:sz="4" w:space="0" w:color="000000"/>
              <w:left w:val="single" w:sz="4" w:space="0" w:color="000000"/>
              <w:bottom w:val="single" w:sz="4" w:space="0" w:color="000000"/>
              <w:right w:val="single" w:sz="4" w:space="0" w:color="000000"/>
            </w:tcBorders>
          </w:tcPr>
          <w:p w14:paraId="564722C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Ajout de coûts de licence au bordereau de la section 9.</w:t>
            </w:r>
          </w:p>
        </w:tc>
        <w:tc>
          <w:tcPr>
            <w:tcW w:w="1463" w:type="dxa"/>
            <w:tcBorders>
              <w:top w:val="single" w:sz="4" w:space="0" w:color="000000"/>
              <w:left w:val="single" w:sz="4" w:space="0" w:color="000000"/>
              <w:bottom w:val="single" w:sz="4" w:space="0" w:color="000000"/>
              <w:right w:val="single" w:sz="4" w:space="0" w:color="000000"/>
            </w:tcBorders>
          </w:tcPr>
          <w:p w14:paraId="020E695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RP2</w:t>
            </w:r>
          </w:p>
        </w:tc>
      </w:tr>
      <w:tr w:rsidR="00F50D70" w:rsidRPr="00BE4F47" w14:paraId="0FAD3C52"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5EE81EC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H-06</w:t>
            </w:r>
          </w:p>
        </w:tc>
        <w:tc>
          <w:tcPr>
            <w:tcW w:w="3291" w:type="dxa"/>
            <w:tcBorders>
              <w:top w:val="single" w:sz="4" w:space="0" w:color="000000"/>
              <w:left w:val="single" w:sz="4" w:space="0" w:color="000000"/>
              <w:bottom w:val="single" w:sz="4" w:space="0" w:color="000000"/>
              <w:right w:val="single" w:sz="4" w:space="0" w:color="000000"/>
            </w:tcBorders>
          </w:tcPr>
          <w:p w14:paraId="09F2CDB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Les locaux, le réseau et la puissance de calcul nécessaires sont fournis par l’UQAC.</w:t>
            </w:r>
          </w:p>
        </w:tc>
        <w:tc>
          <w:tcPr>
            <w:tcW w:w="3236" w:type="dxa"/>
            <w:tcBorders>
              <w:top w:val="single" w:sz="4" w:space="0" w:color="000000"/>
              <w:left w:val="single" w:sz="4" w:space="0" w:color="000000"/>
              <w:bottom w:val="single" w:sz="4" w:space="0" w:color="000000"/>
              <w:right w:val="single" w:sz="4" w:space="0" w:color="000000"/>
            </w:tcBorders>
          </w:tcPr>
          <w:p w14:paraId="42CB534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Ajout d’un poste d’infrastructure infonuagique.</w:t>
            </w:r>
          </w:p>
        </w:tc>
        <w:tc>
          <w:tcPr>
            <w:tcW w:w="1463" w:type="dxa"/>
            <w:tcBorders>
              <w:top w:val="single" w:sz="4" w:space="0" w:color="000000"/>
              <w:left w:val="single" w:sz="4" w:space="0" w:color="000000"/>
              <w:bottom w:val="single" w:sz="4" w:space="0" w:color="000000"/>
              <w:right w:val="single" w:sz="4" w:space="0" w:color="000000"/>
            </w:tcBorders>
          </w:tcPr>
          <w:p w14:paraId="0D479F0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RP2</w:t>
            </w:r>
          </w:p>
        </w:tc>
      </w:tr>
      <w:tr w:rsidR="00F50D70" w:rsidRPr="00BE4F47" w14:paraId="468B4043"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03EFC8A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H-07</w:t>
            </w:r>
          </w:p>
        </w:tc>
        <w:tc>
          <w:tcPr>
            <w:tcW w:w="3291" w:type="dxa"/>
            <w:tcBorders>
              <w:top w:val="single" w:sz="4" w:space="0" w:color="000000"/>
              <w:left w:val="single" w:sz="4" w:space="0" w:color="000000"/>
              <w:bottom w:val="single" w:sz="4" w:space="0" w:color="000000"/>
              <w:right w:val="single" w:sz="4" w:space="0" w:color="000000"/>
            </w:tcBorders>
          </w:tcPr>
          <w:p w14:paraId="20F2086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L’accès aux normes CSA, ISO, IEC et ASME se fait par l’abonnement institutionnel de la bibliothèque de l’UQAC.</w:t>
            </w:r>
          </w:p>
        </w:tc>
        <w:tc>
          <w:tcPr>
            <w:tcW w:w="3236" w:type="dxa"/>
            <w:tcBorders>
              <w:top w:val="single" w:sz="4" w:space="0" w:color="000000"/>
              <w:left w:val="single" w:sz="4" w:space="0" w:color="000000"/>
              <w:bottom w:val="single" w:sz="4" w:space="0" w:color="000000"/>
              <w:right w:val="single" w:sz="4" w:space="0" w:color="000000"/>
            </w:tcBorders>
          </w:tcPr>
          <w:p w14:paraId="0039782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Achat unitaire des normes, soit plusieurs centaines de dollars à porter au budget. Les normes non consultées en texte intégral devraient alors être déclarées comme telles à la section 6.</w:t>
            </w:r>
          </w:p>
        </w:tc>
        <w:tc>
          <w:tcPr>
            <w:tcW w:w="1463" w:type="dxa"/>
            <w:tcBorders>
              <w:top w:val="single" w:sz="4" w:space="0" w:color="000000"/>
              <w:left w:val="single" w:sz="4" w:space="0" w:color="000000"/>
              <w:bottom w:val="single" w:sz="4" w:space="0" w:color="000000"/>
              <w:right w:val="single" w:sz="4" w:space="0" w:color="000000"/>
            </w:tcBorders>
          </w:tcPr>
          <w:p w14:paraId="37C2C84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RP2</w:t>
            </w:r>
          </w:p>
        </w:tc>
      </w:tr>
      <w:tr w:rsidR="00F50D70" w:rsidRPr="00BE4F47" w14:paraId="10631DED"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672D301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H-08</w:t>
            </w:r>
          </w:p>
        </w:tc>
        <w:tc>
          <w:tcPr>
            <w:tcW w:w="3291" w:type="dxa"/>
            <w:tcBorders>
              <w:top w:val="single" w:sz="4" w:space="0" w:color="000000"/>
              <w:left w:val="single" w:sz="4" w:space="0" w:color="000000"/>
              <w:bottom w:val="single" w:sz="4" w:space="0" w:color="000000"/>
              <w:right w:val="single" w:sz="4" w:space="0" w:color="000000"/>
            </w:tcBorders>
          </w:tcPr>
          <w:p w14:paraId="4B9AD5D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Le temps du conseiller et du coordonnateur n’est pas facturable au mandat, conformément aux règles du cours.</w:t>
            </w:r>
          </w:p>
        </w:tc>
        <w:tc>
          <w:tcPr>
            <w:tcW w:w="3236" w:type="dxa"/>
            <w:tcBorders>
              <w:top w:val="single" w:sz="4" w:space="0" w:color="000000"/>
              <w:left w:val="single" w:sz="4" w:space="0" w:color="000000"/>
              <w:bottom w:val="single" w:sz="4" w:space="0" w:color="000000"/>
              <w:right w:val="single" w:sz="4" w:space="0" w:color="000000"/>
            </w:tcBorders>
          </w:tcPr>
          <w:p w14:paraId="0E09AF9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Sans effet sur les heures. À rappeler dans les limites du mandat.</w:t>
            </w:r>
          </w:p>
        </w:tc>
        <w:tc>
          <w:tcPr>
            <w:tcW w:w="1463" w:type="dxa"/>
            <w:tcBorders>
              <w:top w:val="single" w:sz="4" w:space="0" w:color="000000"/>
              <w:left w:val="single" w:sz="4" w:space="0" w:color="000000"/>
              <w:bottom w:val="single" w:sz="4" w:space="0" w:color="000000"/>
              <w:right w:val="single" w:sz="4" w:space="0" w:color="000000"/>
            </w:tcBorders>
          </w:tcPr>
          <w:p w14:paraId="24A2B0B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s.o.</w:t>
            </w:r>
          </w:p>
        </w:tc>
      </w:tr>
      <w:tr w:rsidR="00F50D70" w:rsidRPr="00BE4F47" w14:paraId="10A24EBB"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457FC9B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H-09</w:t>
            </w:r>
          </w:p>
        </w:tc>
        <w:tc>
          <w:tcPr>
            <w:tcW w:w="3291" w:type="dxa"/>
            <w:tcBorders>
              <w:top w:val="single" w:sz="4" w:space="0" w:color="000000"/>
              <w:left w:val="single" w:sz="4" w:space="0" w:color="000000"/>
              <w:bottom w:val="single" w:sz="4" w:space="0" w:color="000000"/>
              <w:right w:val="single" w:sz="4" w:space="0" w:color="000000"/>
            </w:tcBorders>
          </w:tcPr>
          <w:p w14:paraId="526A494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La température, la pression et le débit suffisent à caractériser l’état de la boucle pour les scénarios étudiés (exigence EX-F-01).</w:t>
            </w:r>
          </w:p>
        </w:tc>
        <w:tc>
          <w:tcPr>
            <w:tcW w:w="3236" w:type="dxa"/>
            <w:tcBorders>
              <w:top w:val="single" w:sz="4" w:space="0" w:color="000000"/>
              <w:left w:val="single" w:sz="4" w:space="0" w:color="000000"/>
              <w:bottom w:val="single" w:sz="4" w:space="0" w:color="000000"/>
              <w:right w:val="single" w:sz="4" w:space="0" w:color="000000"/>
            </w:tcBorders>
          </w:tcPr>
          <w:p w14:paraId="528ABDF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La détection manquerait certains modes de défaillance. Une quatrième variable imposerait une reprise du modèle et de la chaîne d’acquisition.</w:t>
            </w:r>
          </w:p>
        </w:tc>
        <w:tc>
          <w:tcPr>
            <w:tcW w:w="1463" w:type="dxa"/>
            <w:tcBorders>
              <w:top w:val="single" w:sz="4" w:space="0" w:color="000000"/>
              <w:left w:val="single" w:sz="4" w:space="0" w:color="000000"/>
              <w:bottom w:val="single" w:sz="4" w:space="0" w:color="000000"/>
              <w:right w:val="single" w:sz="4" w:space="0" w:color="000000"/>
            </w:tcBorders>
          </w:tcPr>
          <w:p w14:paraId="2FA60F3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RT1, RT5</w:t>
            </w:r>
          </w:p>
        </w:tc>
      </w:tr>
      <w:tr w:rsidR="00F50D70" w:rsidRPr="00BE4F47" w14:paraId="7E271673"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3DB313A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H-10</w:t>
            </w:r>
          </w:p>
        </w:tc>
        <w:tc>
          <w:tcPr>
            <w:tcW w:w="3291" w:type="dxa"/>
            <w:tcBorders>
              <w:top w:val="single" w:sz="4" w:space="0" w:color="000000"/>
              <w:left w:val="single" w:sz="4" w:space="0" w:color="000000"/>
              <w:bottom w:val="single" w:sz="4" w:space="0" w:color="000000"/>
              <w:right w:val="single" w:sz="4" w:space="0" w:color="000000"/>
            </w:tcBorders>
          </w:tcPr>
          <w:p w14:paraId="1A06D97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Les seuils de dérive et les critères de criticité sont fixés par l’analyse de risques et par les essais, et non posés a priori.</w:t>
            </w:r>
          </w:p>
        </w:tc>
        <w:tc>
          <w:tcPr>
            <w:tcW w:w="3236" w:type="dxa"/>
            <w:tcBorders>
              <w:top w:val="single" w:sz="4" w:space="0" w:color="000000"/>
              <w:left w:val="single" w:sz="4" w:space="0" w:color="000000"/>
              <w:bottom w:val="single" w:sz="4" w:space="0" w:color="000000"/>
              <w:right w:val="single" w:sz="4" w:space="0" w:color="000000"/>
            </w:tcBorders>
          </w:tcPr>
          <w:p w14:paraId="13D0BF1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Les critères d’alarme resteraient arbitraires. La décision est à prendre au jalon J2, avec sa justification consignée.</w:t>
            </w:r>
          </w:p>
        </w:tc>
        <w:tc>
          <w:tcPr>
            <w:tcW w:w="1463" w:type="dxa"/>
            <w:tcBorders>
              <w:top w:val="single" w:sz="4" w:space="0" w:color="000000"/>
              <w:left w:val="single" w:sz="4" w:space="0" w:color="000000"/>
              <w:bottom w:val="single" w:sz="4" w:space="0" w:color="000000"/>
              <w:right w:val="single" w:sz="4" w:space="0" w:color="000000"/>
            </w:tcBorders>
          </w:tcPr>
          <w:p w14:paraId="4A3F6C3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RT5, RT6</w:t>
            </w:r>
          </w:p>
        </w:tc>
      </w:tr>
    </w:tbl>
    <w:p w14:paraId="4400A261" w14:textId="77777777" w:rsidR="00F50D70" w:rsidRPr="00B36301" w:rsidRDefault="00137D7F" w:rsidP="008E113B">
      <w:pPr>
        <w:pStyle w:val="Titre2"/>
        <w:spacing w:line="360" w:lineRule="auto"/>
      </w:pPr>
      <w:bookmarkStart w:id="606" w:name="_Toc241670294"/>
      <w:r w:rsidRPr="00B36301">
        <w:t>Ressources humaines</w:t>
      </w:r>
      <w:bookmarkEnd w:id="606"/>
    </w:p>
    <w:p w14:paraId="3E1EA1D4"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607" w:name="_Toc241083125"/>
      <w:bookmarkStart w:id="608" w:name="_Toc241670295"/>
      <w:r w:rsidRPr="00BE4F47">
        <w:rPr>
          <w:rFonts w:ascii="Aptos" w:hAnsi="Aptos"/>
          <w:b/>
          <w:color w:val="1A1A19"/>
          <w:sz w:val="20"/>
          <w:szCs w:val="20"/>
        </w:rPr>
        <w:t xml:space="preserve">La répartition par lot de travail. </w:t>
      </w:r>
      <w:r w:rsidRPr="00BE4F47">
        <w:rPr>
          <w:rFonts w:ascii="Aptos" w:hAnsi="Aptos"/>
          <w:color w:val="1A1A19"/>
          <w:sz w:val="20"/>
          <w:szCs w:val="20"/>
        </w:rPr>
        <w:t>Les 1 080 heures d’ingénierie sont réparties entre neuf lots de travail. Ce tableau est la définition de référence des lots L1 à L9. Les sections 1, 5 et 7 y renvoient pour rattacher leurs exigences, leurs sources et leurs risques.</w:t>
      </w:r>
      <w:bookmarkEnd w:id="607"/>
      <w:bookmarkEnd w:id="608"/>
    </w:p>
    <w:p w14:paraId="38330A3F"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609" w:name="_Toc241083126"/>
      <w:bookmarkStart w:id="610" w:name="_Toc241670296"/>
      <w:r w:rsidRPr="00BE4F47">
        <w:rPr>
          <w:rFonts w:ascii="Aptos" w:hAnsi="Aptos"/>
          <w:color w:val="1A1A19"/>
          <w:sz w:val="20"/>
          <w:szCs w:val="20"/>
        </w:rPr>
        <w:t>La répartition suit une priorité. Le modèle de référence, le noyau de simulation et la campagne d’essais reçoivent 42 % de l’effort : ce sont les trois lots qui portent la valeur du livrable. L’interface d’aide à la décision en reçoit 8 %.</w:t>
      </w:r>
      <w:bookmarkEnd w:id="609"/>
      <w:bookmarkEnd w:id="610"/>
    </w:p>
    <w:p w14:paraId="191CF0A0" w14:textId="77777777" w:rsidR="00F50D70" w:rsidRPr="00BE4F47" w:rsidRDefault="00137D7F" w:rsidP="008E113B">
      <w:pPr>
        <w:pStyle w:val="Lgende"/>
        <w:keepNext/>
        <w:spacing w:line="360" w:lineRule="auto"/>
        <w:rPr>
          <w:rFonts w:ascii="Aptos" w:hAnsi="Aptos"/>
        </w:rPr>
      </w:pPr>
      <w:bookmarkStart w:id="611" w:name="_Toc241083127"/>
      <w:bookmarkStart w:id="612" w:name="_Toc241670297"/>
      <w:r w:rsidRPr="00BE4F47">
        <w:rPr>
          <w:rFonts w:ascii="Aptos" w:hAnsi="Aptos"/>
        </w:rPr>
        <w:lastRenderedPageBreak/>
        <w:t>Tableau 8-2. Répartition de l’effort par lot de travail</w:t>
      </w:r>
      <w:bookmarkEnd w:id="611"/>
      <w:bookmarkEnd w:id="612"/>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567"/>
        <w:gridCol w:w="3017"/>
        <w:gridCol w:w="823"/>
        <w:gridCol w:w="640"/>
        <w:gridCol w:w="3510"/>
      </w:tblGrid>
      <w:tr w:rsidR="00F50D70" w:rsidRPr="00BE4F47" w14:paraId="54D92E50" w14:textId="77777777">
        <w:trPr>
          <w:tblHeader/>
        </w:trPr>
        <w:tc>
          <w:tcPr>
            <w:tcW w:w="567" w:type="dxa"/>
            <w:tcBorders>
              <w:top w:val="single" w:sz="4" w:space="0" w:color="000000"/>
              <w:left w:val="single" w:sz="4" w:space="0" w:color="000000"/>
              <w:bottom w:val="single" w:sz="4" w:space="0" w:color="000000"/>
              <w:right w:val="single" w:sz="4" w:space="0" w:color="000000"/>
            </w:tcBorders>
            <w:shd w:val="clear" w:color="auto" w:fill="EFF4FB"/>
          </w:tcPr>
          <w:p w14:paraId="0647E68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Lot</w:t>
            </w:r>
          </w:p>
        </w:tc>
        <w:tc>
          <w:tcPr>
            <w:tcW w:w="3017" w:type="dxa"/>
            <w:tcBorders>
              <w:top w:val="single" w:sz="4" w:space="0" w:color="000000"/>
              <w:left w:val="single" w:sz="4" w:space="0" w:color="000000"/>
              <w:bottom w:val="single" w:sz="4" w:space="0" w:color="000000"/>
              <w:right w:val="single" w:sz="4" w:space="0" w:color="000000"/>
            </w:tcBorders>
            <w:shd w:val="clear" w:color="auto" w:fill="EFF4FB"/>
          </w:tcPr>
          <w:p w14:paraId="0F633F3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Intitulé</w:t>
            </w:r>
          </w:p>
        </w:tc>
        <w:tc>
          <w:tcPr>
            <w:tcW w:w="823" w:type="dxa"/>
            <w:tcBorders>
              <w:top w:val="single" w:sz="4" w:space="0" w:color="000000"/>
              <w:left w:val="single" w:sz="4" w:space="0" w:color="000000"/>
              <w:bottom w:val="single" w:sz="4" w:space="0" w:color="000000"/>
              <w:right w:val="single" w:sz="4" w:space="0" w:color="000000"/>
            </w:tcBorders>
            <w:shd w:val="clear" w:color="auto" w:fill="EFF4FB"/>
          </w:tcPr>
          <w:p w14:paraId="6D7D75C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Effort</w:t>
            </w:r>
          </w:p>
        </w:tc>
        <w:tc>
          <w:tcPr>
            <w:tcW w:w="640" w:type="dxa"/>
            <w:tcBorders>
              <w:top w:val="single" w:sz="4" w:space="0" w:color="000000"/>
              <w:left w:val="single" w:sz="4" w:space="0" w:color="000000"/>
              <w:bottom w:val="single" w:sz="4" w:space="0" w:color="000000"/>
              <w:right w:val="single" w:sz="4" w:space="0" w:color="000000"/>
            </w:tcBorders>
            <w:shd w:val="clear" w:color="auto" w:fill="EFF4FB"/>
          </w:tcPr>
          <w:p w14:paraId="011C27B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Part</w:t>
            </w:r>
          </w:p>
        </w:tc>
        <w:tc>
          <w:tcPr>
            <w:tcW w:w="3510" w:type="dxa"/>
            <w:tcBorders>
              <w:top w:val="single" w:sz="4" w:space="0" w:color="000000"/>
              <w:left w:val="single" w:sz="4" w:space="0" w:color="000000"/>
              <w:bottom w:val="single" w:sz="4" w:space="0" w:color="000000"/>
              <w:right w:val="single" w:sz="4" w:space="0" w:color="000000"/>
            </w:tcBorders>
            <w:shd w:val="clear" w:color="auto" w:fill="EFF4FB"/>
          </w:tcPr>
          <w:p w14:paraId="302D4C6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Compétences dominantes</w:t>
            </w:r>
          </w:p>
        </w:tc>
      </w:tr>
      <w:tr w:rsidR="00F50D70" w:rsidRPr="00BE4F47" w14:paraId="0180D601"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2AD2940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L1</w:t>
            </w:r>
          </w:p>
        </w:tc>
        <w:tc>
          <w:tcPr>
            <w:tcW w:w="3017" w:type="dxa"/>
            <w:tcBorders>
              <w:top w:val="single" w:sz="4" w:space="0" w:color="000000"/>
              <w:left w:val="single" w:sz="4" w:space="0" w:color="000000"/>
              <w:bottom w:val="single" w:sz="4" w:space="0" w:color="000000"/>
              <w:right w:val="single" w:sz="4" w:space="0" w:color="000000"/>
            </w:tcBorders>
          </w:tcPr>
          <w:p w14:paraId="6B86CF4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Gestion de projet, assurance qualité et documentation</w:t>
            </w:r>
          </w:p>
        </w:tc>
        <w:tc>
          <w:tcPr>
            <w:tcW w:w="823" w:type="dxa"/>
            <w:tcBorders>
              <w:top w:val="single" w:sz="4" w:space="0" w:color="000000"/>
              <w:left w:val="single" w:sz="4" w:space="0" w:color="000000"/>
              <w:bottom w:val="single" w:sz="4" w:space="0" w:color="000000"/>
              <w:right w:val="single" w:sz="4" w:space="0" w:color="000000"/>
            </w:tcBorders>
          </w:tcPr>
          <w:p w14:paraId="2DCAA9B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108 h</w:t>
            </w:r>
          </w:p>
        </w:tc>
        <w:tc>
          <w:tcPr>
            <w:tcW w:w="640" w:type="dxa"/>
            <w:tcBorders>
              <w:top w:val="single" w:sz="4" w:space="0" w:color="000000"/>
              <w:left w:val="single" w:sz="4" w:space="0" w:color="000000"/>
              <w:bottom w:val="single" w:sz="4" w:space="0" w:color="000000"/>
              <w:right w:val="single" w:sz="4" w:space="0" w:color="000000"/>
            </w:tcBorders>
          </w:tcPr>
          <w:p w14:paraId="52DE947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10 %</w:t>
            </w:r>
          </w:p>
        </w:tc>
        <w:tc>
          <w:tcPr>
            <w:tcW w:w="3510" w:type="dxa"/>
            <w:tcBorders>
              <w:top w:val="single" w:sz="4" w:space="0" w:color="000000"/>
              <w:left w:val="single" w:sz="4" w:space="0" w:color="000000"/>
              <w:bottom w:val="single" w:sz="4" w:space="0" w:color="000000"/>
              <w:right w:val="single" w:sz="4" w:space="0" w:color="000000"/>
            </w:tcBorders>
          </w:tcPr>
          <w:p w14:paraId="3FF3A80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Gestion, rédaction technique</w:t>
            </w:r>
          </w:p>
        </w:tc>
      </w:tr>
      <w:tr w:rsidR="00F50D70" w:rsidRPr="00BE4F47" w14:paraId="33681CF0"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469E9B3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L2</w:t>
            </w:r>
          </w:p>
        </w:tc>
        <w:tc>
          <w:tcPr>
            <w:tcW w:w="3017" w:type="dxa"/>
            <w:tcBorders>
              <w:top w:val="single" w:sz="4" w:space="0" w:color="000000"/>
              <w:left w:val="single" w:sz="4" w:space="0" w:color="000000"/>
              <w:bottom w:val="single" w:sz="4" w:space="0" w:color="000000"/>
              <w:right w:val="single" w:sz="4" w:space="0" w:color="000000"/>
            </w:tcBorders>
          </w:tcPr>
          <w:p w14:paraId="4DB53EF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Ingénierie des exigences et analyse fonctionnelle</w:t>
            </w:r>
          </w:p>
        </w:tc>
        <w:tc>
          <w:tcPr>
            <w:tcW w:w="823" w:type="dxa"/>
            <w:tcBorders>
              <w:top w:val="single" w:sz="4" w:space="0" w:color="000000"/>
              <w:left w:val="single" w:sz="4" w:space="0" w:color="000000"/>
              <w:bottom w:val="single" w:sz="4" w:space="0" w:color="000000"/>
              <w:right w:val="single" w:sz="4" w:space="0" w:color="000000"/>
            </w:tcBorders>
          </w:tcPr>
          <w:p w14:paraId="3D3D283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108 h</w:t>
            </w:r>
          </w:p>
        </w:tc>
        <w:tc>
          <w:tcPr>
            <w:tcW w:w="640" w:type="dxa"/>
            <w:tcBorders>
              <w:top w:val="single" w:sz="4" w:space="0" w:color="000000"/>
              <w:left w:val="single" w:sz="4" w:space="0" w:color="000000"/>
              <w:bottom w:val="single" w:sz="4" w:space="0" w:color="000000"/>
              <w:right w:val="single" w:sz="4" w:space="0" w:color="000000"/>
            </w:tcBorders>
          </w:tcPr>
          <w:p w14:paraId="6E3D102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10 %</w:t>
            </w:r>
          </w:p>
        </w:tc>
        <w:tc>
          <w:tcPr>
            <w:tcW w:w="3510" w:type="dxa"/>
            <w:tcBorders>
              <w:top w:val="single" w:sz="4" w:space="0" w:color="000000"/>
              <w:left w:val="single" w:sz="4" w:space="0" w:color="000000"/>
              <w:bottom w:val="single" w:sz="4" w:space="0" w:color="000000"/>
              <w:right w:val="single" w:sz="4" w:space="0" w:color="000000"/>
            </w:tcBorders>
          </w:tcPr>
          <w:p w14:paraId="37A0EB1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Analyse, modélisation SysML et UML</w:t>
            </w:r>
          </w:p>
        </w:tc>
      </w:tr>
      <w:tr w:rsidR="00F50D70" w:rsidRPr="00BE4F47" w14:paraId="0A10CA99"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3C2AEA8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L3</w:t>
            </w:r>
          </w:p>
        </w:tc>
        <w:tc>
          <w:tcPr>
            <w:tcW w:w="3017" w:type="dxa"/>
            <w:tcBorders>
              <w:top w:val="single" w:sz="4" w:space="0" w:color="000000"/>
              <w:left w:val="single" w:sz="4" w:space="0" w:color="000000"/>
              <w:bottom w:val="single" w:sz="4" w:space="0" w:color="000000"/>
              <w:right w:val="single" w:sz="4" w:space="0" w:color="000000"/>
            </w:tcBorders>
          </w:tcPr>
          <w:p w14:paraId="5573C72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État de l’art, normes, codes et cadre réglementaire</w:t>
            </w:r>
          </w:p>
        </w:tc>
        <w:tc>
          <w:tcPr>
            <w:tcW w:w="823" w:type="dxa"/>
            <w:tcBorders>
              <w:top w:val="single" w:sz="4" w:space="0" w:color="000000"/>
              <w:left w:val="single" w:sz="4" w:space="0" w:color="000000"/>
              <w:bottom w:val="single" w:sz="4" w:space="0" w:color="000000"/>
              <w:right w:val="single" w:sz="4" w:space="0" w:color="000000"/>
            </w:tcBorders>
          </w:tcPr>
          <w:p w14:paraId="55AC376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86 h</w:t>
            </w:r>
          </w:p>
        </w:tc>
        <w:tc>
          <w:tcPr>
            <w:tcW w:w="640" w:type="dxa"/>
            <w:tcBorders>
              <w:top w:val="single" w:sz="4" w:space="0" w:color="000000"/>
              <w:left w:val="single" w:sz="4" w:space="0" w:color="000000"/>
              <w:bottom w:val="single" w:sz="4" w:space="0" w:color="000000"/>
              <w:right w:val="single" w:sz="4" w:space="0" w:color="000000"/>
            </w:tcBorders>
          </w:tcPr>
          <w:p w14:paraId="4AD542A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8 %</w:t>
            </w:r>
          </w:p>
        </w:tc>
        <w:tc>
          <w:tcPr>
            <w:tcW w:w="3510" w:type="dxa"/>
            <w:tcBorders>
              <w:top w:val="single" w:sz="4" w:space="0" w:color="000000"/>
              <w:left w:val="single" w:sz="4" w:space="0" w:color="000000"/>
              <w:bottom w:val="single" w:sz="4" w:space="0" w:color="000000"/>
              <w:right w:val="single" w:sz="4" w:space="0" w:color="000000"/>
            </w:tcBorders>
          </w:tcPr>
          <w:p w14:paraId="726AE64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Recherche documentaire, veille normative</w:t>
            </w:r>
          </w:p>
        </w:tc>
      </w:tr>
      <w:tr w:rsidR="00F50D70" w:rsidRPr="00BE4F47" w14:paraId="1A2587E8"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413907D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L4</w:t>
            </w:r>
          </w:p>
        </w:tc>
        <w:tc>
          <w:tcPr>
            <w:tcW w:w="3017" w:type="dxa"/>
            <w:tcBorders>
              <w:top w:val="single" w:sz="4" w:space="0" w:color="000000"/>
              <w:left w:val="single" w:sz="4" w:space="0" w:color="000000"/>
              <w:bottom w:val="single" w:sz="4" w:space="0" w:color="000000"/>
              <w:right w:val="single" w:sz="4" w:space="0" w:color="000000"/>
            </w:tcBorders>
          </w:tcPr>
          <w:p w14:paraId="43EF1FD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Modélisation de la boucle et modèle de référence</w:t>
            </w:r>
          </w:p>
        </w:tc>
        <w:tc>
          <w:tcPr>
            <w:tcW w:w="823" w:type="dxa"/>
            <w:tcBorders>
              <w:top w:val="single" w:sz="4" w:space="0" w:color="000000"/>
              <w:left w:val="single" w:sz="4" w:space="0" w:color="000000"/>
              <w:bottom w:val="single" w:sz="4" w:space="0" w:color="000000"/>
              <w:right w:val="single" w:sz="4" w:space="0" w:color="000000"/>
            </w:tcBorders>
          </w:tcPr>
          <w:p w14:paraId="47A57FA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162 h</w:t>
            </w:r>
          </w:p>
        </w:tc>
        <w:tc>
          <w:tcPr>
            <w:tcW w:w="640" w:type="dxa"/>
            <w:tcBorders>
              <w:top w:val="single" w:sz="4" w:space="0" w:color="000000"/>
              <w:left w:val="single" w:sz="4" w:space="0" w:color="000000"/>
              <w:bottom w:val="single" w:sz="4" w:space="0" w:color="000000"/>
              <w:right w:val="single" w:sz="4" w:space="0" w:color="000000"/>
            </w:tcBorders>
          </w:tcPr>
          <w:p w14:paraId="331F0FD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15 %</w:t>
            </w:r>
          </w:p>
        </w:tc>
        <w:tc>
          <w:tcPr>
            <w:tcW w:w="3510" w:type="dxa"/>
            <w:tcBorders>
              <w:top w:val="single" w:sz="4" w:space="0" w:color="000000"/>
              <w:left w:val="single" w:sz="4" w:space="0" w:color="000000"/>
              <w:bottom w:val="single" w:sz="4" w:space="0" w:color="000000"/>
              <w:right w:val="single" w:sz="4" w:space="0" w:color="000000"/>
            </w:tcBorders>
          </w:tcPr>
          <w:p w14:paraId="49B0AE8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Thermodynamique, mécanique des fluides, Modelica</w:t>
            </w:r>
          </w:p>
        </w:tc>
      </w:tr>
      <w:tr w:rsidR="00F50D70" w:rsidRPr="00BE4F47" w14:paraId="57DA2FB7"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2CDB8E9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L5</w:t>
            </w:r>
          </w:p>
        </w:tc>
        <w:tc>
          <w:tcPr>
            <w:tcW w:w="3017" w:type="dxa"/>
            <w:tcBorders>
              <w:top w:val="single" w:sz="4" w:space="0" w:color="000000"/>
              <w:left w:val="single" w:sz="4" w:space="0" w:color="000000"/>
              <w:bottom w:val="single" w:sz="4" w:space="0" w:color="000000"/>
              <w:right w:val="single" w:sz="4" w:space="0" w:color="000000"/>
            </w:tcBorders>
          </w:tcPr>
          <w:p w14:paraId="7DFA49B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Architecture logicielle et cybersécurité</w:t>
            </w:r>
          </w:p>
        </w:tc>
        <w:tc>
          <w:tcPr>
            <w:tcW w:w="823" w:type="dxa"/>
            <w:tcBorders>
              <w:top w:val="single" w:sz="4" w:space="0" w:color="000000"/>
              <w:left w:val="single" w:sz="4" w:space="0" w:color="000000"/>
              <w:bottom w:val="single" w:sz="4" w:space="0" w:color="000000"/>
              <w:right w:val="single" w:sz="4" w:space="0" w:color="000000"/>
            </w:tcBorders>
          </w:tcPr>
          <w:p w14:paraId="05EACBE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130 h</w:t>
            </w:r>
          </w:p>
        </w:tc>
        <w:tc>
          <w:tcPr>
            <w:tcW w:w="640" w:type="dxa"/>
            <w:tcBorders>
              <w:top w:val="single" w:sz="4" w:space="0" w:color="000000"/>
              <w:left w:val="single" w:sz="4" w:space="0" w:color="000000"/>
              <w:bottom w:val="single" w:sz="4" w:space="0" w:color="000000"/>
              <w:right w:val="single" w:sz="4" w:space="0" w:color="000000"/>
            </w:tcBorders>
          </w:tcPr>
          <w:p w14:paraId="1B9DD98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12 %</w:t>
            </w:r>
          </w:p>
        </w:tc>
        <w:tc>
          <w:tcPr>
            <w:tcW w:w="3510" w:type="dxa"/>
            <w:tcBorders>
              <w:top w:val="single" w:sz="4" w:space="0" w:color="000000"/>
              <w:left w:val="single" w:sz="4" w:space="0" w:color="000000"/>
              <w:bottom w:val="single" w:sz="4" w:space="0" w:color="000000"/>
              <w:right w:val="single" w:sz="4" w:space="0" w:color="000000"/>
            </w:tcBorders>
          </w:tcPr>
          <w:p w14:paraId="11ADE94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Architecture, réseaux, sécurité des systèmes industriels</w:t>
            </w:r>
          </w:p>
        </w:tc>
      </w:tr>
      <w:tr w:rsidR="00F50D70" w:rsidRPr="00BE4F47" w14:paraId="2DBD9551"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686555C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L6</w:t>
            </w:r>
          </w:p>
        </w:tc>
        <w:tc>
          <w:tcPr>
            <w:tcW w:w="3017" w:type="dxa"/>
            <w:tcBorders>
              <w:top w:val="single" w:sz="4" w:space="0" w:color="000000"/>
              <w:left w:val="single" w:sz="4" w:space="0" w:color="000000"/>
              <w:bottom w:val="single" w:sz="4" w:space="0" w:color="000000"/>
              <w:right w:val="single" w:sz="4" w:space="0" w:color="000000"/>
            </w:tcBorders>
          </w:tcPr>
          <w:p w14:paraId="1299568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Noyau de simulation et chaîne d’acquisition des données</w:t>
            </w:r>
          </w:p>
        </w:tc>
        <w:tc>
          <w:tcPr>
            <w:tcW w:w="823" w:type="dxa"/>
            <w:tcBorders>
              <w:top w:val="single" w:sz="4" w:space="0" w:color="000000"/>
              <w:left w:val="single" w:sz="4" w:space="0" w:color="000000"/>
              <w:bottom w:val="single" w:sz="4" w:space="0" w:color="000000"/>
              <w:right w:val="single" w:sz="4" w:space="0" w:color="000000"/>
            </w:tcBorders>
          </w:tcPr>
          <w:p w14:paraId="1F99C76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162 h</w:t>
            </w:r>
          </w:p>
        </w:tc>
        <w:tc>
          <w:tcPr>
            <w:tcW w:w="640" w:type="dxa"/>
            <w:tcBorders>
              <w:top w:val="single" w:sz="4" w:space="0" w:color="000000"/>
              <w:left w:val="single" w:sz="4" w:space="0" w:color="000000"/>
              <w:bottom w:val="single" w:sz="4" w:space="0" w:color="000000"/>
              <w:right w:val="single" w:sz="4" w:space="0" w:color="000000"/>
            </w:tcBorders>
          </w:tcPr>
          <w:p w14:paraId="698350A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15 %</w:t>
            </w:r>
          </w:p>
        </w:tc>
        <w:tc>
          <w:tcPr>
            <w:tcW w:w="3510" w:type="dxa"/>
            <w:tcBorders>
              <w:top w:val="single" w:sz="4" w:space="0" w:color="000000"/>
              <w:left w:val="single" w:sz="4" w:space="0" w:color="000000"/>
              <w:bottom w:val="single" w:sz="4" w:space="0" w:color="000000"/>
              <w:right w:val="single" w:sz="4" w:space="0" w:color="000000"/>
            </w:tcBorders>
          </w:tcPr>
          <w:p w14:paraId="6DBAAE4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Génie logiciel, traitement du signal</w:t>
            </w:r>
          </w:p>
        </w:tc>
      </w:tr>
      <w:tr w:rsidR="00F50D70" w:rsidRPr="00BE4F47" w14:paraId="48E94732"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5D161A1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L7</w:t>
            </w:r>
          </w:p>
        </w:tc>
        <w:tc>
          <w:tcPr>
            <w:tcW w:w="3017" w:type="dxa"/>
            <w:tcBorders>
              <w:top w:val="single" w:sz="4" w:space="0" w:color="000000"/>
              <w:left w:val="single" w:sz="4" w:space="0" w:color="000000"/>
              <w:bottom w:val="single" w:sz="4" w:space="0" w:color="000000"/>
              <w:right w:val="single" w:sz="4" w:space="0" w:color="000000"/>
            </w:tcBorders>
          </w:tcPr>
          <w:p w14:paraId="33F2EF9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Détection d’anomalies et quantification de l’incertitude</w:t>
            </w:r>
          </w:p>
        </w:tc>
        <w:tc>
          <w:tcPr>
            <w:tcW w:w="823" w:type="dxa"/>
            <w:tcBorders>
              <w:top w:val="single" w:sz="4" w:space="0" w:color="000000"/>
              <w:left w:val="single" w:sz="4" w:space="0" w:color="000000"/>
              <w:bottom w:val="single" w:sz="4" w:space="0" w:color="000000"/>
              <w:right w:val="single" w:sz="4" w:space="0" w:color="000000"/>
            </w:tcBorders>
          </w:tcPr>
          <w:p w14:paraId="09DF5A6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108 h</w:t>
            </w:r>
          </w:p>
        </w:tc>
        <w:tc>
          <w:tcPr>
            <w:tcW w:w="640" w:type="dxa"/>
            <w:tcBorders>
              <w:top w:val="single" w:sz="4" w:space="0" w:color="000000"/>
              <w:left w:val="single" w:sz="4" w:space="0" w:color="000000"/>
              <w:bottom w:val="single" w:sz="4" w:space="0" w:color="000000"/>
              <w:right w:val="single" w:sz="4" w:space="0" w:color="000000"/>
            </w:tcBorders>
          </w:tcPr>
          <w:p w14:paraId="589B679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10 %</w:t>
            </w:r>
          </w:p>
        </w:tc>
        <w:tc>
          <w:tcPr>
            <w:tcW w:w="3510" w:type="dxa"/>
            <w:tcBorders>
              <w:top w:val="single" w:sz="4" w:space="0" w:color="000000"/>
              <w:left w:val="single" w:sz="4" w:space="0" w:color="000000"/>
              <w:bottom w:val="single" w:sz="4" w:space="0" w:color="000000"/>
              <w:right w:val="single" w:sz="4" w:space="0" w:color="000000"/>
            </w:tcBorders>
          </w:tcPr>
          <w:p w14:paraId="5CE1438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Statistique, apprentissage automatique</w:t>
            </w:r>
          </w:p>
        </w:tc>
      </w:tr>
      <w:tr w:rsidR="00F50D70" w:rsidRPr="00BE4F47" w14:paraId="08D8356A"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385D343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L8</w:t>
            </w:r>
          </w:p>
        </w:tc>
        <w:tc>
          <w:tcPr>
            <w:tcW w:w="3017" w:type="dxa"/>
            <w:tcBorders>
              <w:top w:val="single" w:sz="4" w:space="0" w:color="000000"/>
              <w:left w:val="single" w:sz="4" w:space="0" w:color="000000"/>
              <w:bottom w:val="single" w:sz="4" w:space="0" w:color="000000"/>
              <w:right w:val="single" w:sz="4" w:space="0" w:color="000000"/>
            </w:tcBorders>
          </w:tcPr>
          <w:p w14:paraId="6AA9D14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Interface d’aide à la décision</w:t>
            </w:r>
          </w:p>
        </w:tc>
        <w:tc>
          <w:tcPr>
            <w:tcW w:w="823" w:type="dxa"/>
            <w:tcBorders>
              <w:top w:val="single" w:sz="4" w:space="0" w:color="000000"/>
              <w:left w:val="single" w:sz="4" w:space="0" w:color="000000"/>
              <w:bottom w:val="single" w:sz="4" w:space="0" w:color="000000"/>
              <w:right w:val="single" w:sz="4" w:space="0" w:color="000000"/>
            </w:tcBorders>
          </w:tcPr>
          <w:p w14:paraId="0FCEE88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86 h</w:t>
            </w:r>
          </w:p>
        </w:tc>
        <w:tc>
          <w:tcPr>
            <w:tcW w:w="640" w:type="dxa"/>
            <w:tcBorders>
              <w:top w:val="single" w:sz="4" w:space="0" w:color="000000"/>
              <w:left w:val="single" w:sz="4" w:space="0" w:color="000000"/>
              <w:bottom w:val="single" w:sz="4" w:space="0" w:color="000000"/>
              <w:right w:val="single" w:sz="4" w:space="0" w:color="000000"/>
            </w:tcBorders>
          </w:tcPr>
          <w:p w14:paraId="0FBAC14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8 %</w:t>
            </w:r>
          </w:p>
        </w:tc>
        <w:tc>
          <w:tcPr>
            <w:tcW w:w="3510" w:type="dxa"/>
            <w:tcBorders>
              <w:top w:val="single" w:sz="4" w:space="0" w:color="000000"/>
              <w:left w:val="single" w:sz="4" w:space="0" w:color="000000"/>
              <w:bottom w:val="single" w:sz="4" w:space="0" w:color="000000"/>
              <w:right w:val="single" w:sz="4" w:space="0" w:color="000000"/>
            </w:tcBorders>
          </w:tcPr>
          <w:p w14:paraId="0A94C86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Interface homme-machine, facteurs humains</w:t>
            </w:r>
          </w:p>
        </w:tc>
      </w:tr>
      <w:tr w:rsidR="00F50D70" w:rsidRPr="00BE4F47" w14:paraId="681C7477"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6985E6D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L9</w:t>
            </w:r>
          </w:p>
        </w:tc>
        <w:tc>
          <w:tcPr>
            <w:tcW w:w="3017" w:type="dxa"/>
            <w:tcBorders>
              <w:top w:val="single" w:sz="4" w:space="0" w:color="000000"/>
              <w:left w:val="single" w:sz="4" w:space="0" w:color="000000"/>
              <w:bottom w:val="single" w:sz="4" w:space="0" w:color="000000"/>
              <w:right w:val="single" w:sz="4" w:space="0" w:color="000000"/>
            </w:tcBorders>
          </w:tcPr>
          <w:p w14:paraId="50F6B7C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Intégration, vérification, validation et campagne d’essais</w:t>
            </w:r>
          </w:p>
        </w:tc>
        <w:tc>
          <w:tcPr>
            <w:tcW w:w="823" w:type="dxa"/>
            <w:tcBorders>
              <w:top w:val="single" w:sz="4" w:space="0" w:color="000000"/>
              <w:left w:val="single" w:sz="4" w:space="0" w:color="000000"/>
              <w:bottom w:val="single" w:sz="4" w:space="0" w:color="000000"/>
              <w:right w:val="single" w:sz="4" w:space="0" w:color="000000"/>
            </w:tcBorders>
          </w:tcPr>
          <w:p w14:paraId="23F6158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130 h</w:t>
            </w:r>
          </w:p>
        </w:tc>
        <w:tc>
          <w:tcPr>
            <w:tcW w:w="640" w:type="dxa"/>
            <w:tcBorders>
              <w:top w:val="single" w:sz="4" w:space="0" w:color="000000"/>
              <w:left w:val="single" w:sz="4" w:space="0" w:color="000000"/>
              <w:bottom w:val="single" w:sz="4" w:space="0" w:color="000000"/>
              <w:right w:val="single" w:sz="4" w:space="0" w:color="000000"/>
            </w:tcBorders>
          </w:tcPr>
          <w:p w14:paraId="32A5B98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12 %</w:t>
            </w:r>
          </w:p>
        </w:tc>
        <w:tc>
          <w:tcPr>
            <w:tcW w:w="3510" w:type="dxa"/>
            <w:tcBorders>
              <w:top w:val="single" w:sz="4" w:space="0" w:color="000000"/>
              <w:left w:val="single" w:sz="4" w:space="0" w:color="000000"/>
              <w:bottom w:val="single" w:sz="4" w:space="0" w:color="000000"/>
              <w:right w:val="single" w:sz="4" w:space="0" w:color="000000"/>
            </w:tcBorders>
          </w:tcPr>
          <w:p w14:paraId="1ACA90A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V&amp;V, plan d’expérience</w:t>
            </w:r>
          </w:p>
        </w:tc>
      </w:tr>
      <w:tr w:rsidR="00F50D70" w:rsidRPr="00BE4F47" w14:paraId="1C0C311C" w14:textId="77777777">
        <w:trPr>
          <w:cantSplit/>
        </w:trPr>
        <w:tc>
          <w:tcPr>
            <w:tcW w:w="567" w:type="dxa"/>
            <w:tcBorders>
              <w:top w:val="single" w:sz="4" w:space="0" w:color="000000"/>
              <w:left w:val="single" w:sz="4" w:space="0" w:color="000000"/>
              <w:bottom w:val="single" w:sz="4" w:space="0" w:color="000000"/>
              <w:right w:val="single" w:sz="4" w:space="0" w:color="000000"/>
            </w:tcBorders>
          </w:tcPr>
          <w:p w14:paraId="26ACE79A" w14:textId="77777777" w:rsidR="00F50D70" w:rsidRPr="00BE4F47" w:rsidRDefault="00F50D70" w:rsidP="008E113B">
            <w:pPr>
              <w:snapToGrid w:val="0"/>
              <w:spacing w:before="20" w:after="20"/>
              <w:ind w:left="0"/>
              <w:jc w:val="left"/>
              <w:outlineLvl w:val="9"/>
              <w:rPr>
                <w:rFonts w:ascii="Aptos" w:eastAsia="Calibri" w:hAnsi="Aptos" w:cs="Calibri"/>
                <w:color w:val="1A1A19"/>
                <w:sz w:val="20"/>
                <w:szCs w:val="20"/>
                <w:lang w:val="fr-FR"/>
              </w:rPr>
            </w:pPr>
          </w:p>
        </w:tc>
        <w:tc>
          <w:tcPr>
            <w:tcW w:w="3017" w:type="dxa"/>
            <w:tcBorders>
              <w:top w:val="single" w:sz="4" w:space="0" w:color="000000"/>
              <w:left w:val="single" w:sz="4" w:space="0" w:color="000000"/>
              <w:bottom w:val="single" w:sz="4" w:space="0" w:color="000000"/>
              <w:right w:val="single" w:sz="4" w:space="0" w:color="000000"/>
            </w:tcBorders>
          </w:tcPr>
          <w:p w14:paraId="523DC7C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Total</w:t>
            </w:r>
          </w:p>
        </w:tc>
        <w:tc>
          <w:tcPr>
            <w:tcW w:w="823" w:type="dxa"/>
            <w:tcBorders>
              <w:top w:val="single" w:sz="4" w:space="0" w:color="000000"/>
              <w:left w:val="single" w:sz="4" w:space="0" w:color="000000"/>
              <w:bottom w:val="single" w:sz="4" w:space="0" w:color="000000"/>
              <w:right w:val="single" w:sz="4" w:space="0" w:color="000000"/>
            </w:tcBorders>
          </w:tcPr>
          <w:p w14:paraId="2725E60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1 080 h</w:t>
            </w:r>
          </w:p>
        </w:tc>
        <w:tc>
          <w:tcPr>
            <w:tcW w:w="640" w:type="dxa"/>
            <w:tcBorders>
              <w:top w:val="single" w:sz="4" w:space="0" w:color="000000"/>
              <w:left w:val="single" w:sz="4" w:space="0" w:color="000000"/>
              <w:bottom w:val="single" w:sz="4" w:space="0" w:color="000000"/>
              <w:right w:val="single" w:sz="4" w:space="0" w:color="000000"/>
            </w:tcBorders>
          </w:tcPr>
          <w:p w14:paraId="73F7428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100 %</w:t>
            </w:r>
          </w:p>
        </w:tc>
        <w:tc>
          <w:tcPr>
            <w:tcW w:w="3510" w:type="dxa"/>
            <w:tcBorders>
              <w:top w:val="single" w:sz="4" w:space="0" w:color="000000"/>
              <w:left w:val="single" w:sz="4" w:space="0" w:color="000000"/>
              <w:bottom w:val="single" w:sz="4" w:space="0" w:color="000000"/>
              <w:right w:val="single" w:sz="4" w:space="0" w:color="000000"/>
            </w:tcBorders>
          </w:tcPr>
          <w:p w14:paraId="6FBF617F" w14:textId="77777777" w:rsidR="00F50D70" w:rsidRPr="00BE4F47" w:rsidRDefault="00F50D70" w:rsidP="008E113B">
            <w:pPr>
              <w:snapToGrid w:val="0"/>
              <w:spacing w:before="20" w:after="20"/>
              <w:ind w:left="0"/>
              <w:jc w:val="left"/>
              <w:outlineLvl w:val="9"/>
              <w:rPr>
                <w:rFonts w:ascii="Aptos" w:eastAsia="Calibri" w:hAnsi="Aptos" w:cs="Calibri"/>
                <w:color w:val="1A1A19"/>
                <w:sz w:val="20"/>
                <w:szCs w:val="20"/>
                <w:lang w:val="fr-FR"/>
              </w:rPr>
            </w:pPr>
          </w:p>
        </w:tc>
      </w:tr>
    </w:tbl>
    <w:p w14:paraId="0B506A94" w14:textId="77777777" w:rsidR="00F50D70" w:rsidRPr="00B36301" w:rsidRDefault="00137D7F" w:rsidP="008E113B">
      <w:pPr>
        <w:pStyle w:val="Titre2"/>
        <w:spacing w:line="360" w:lineRule="auto"/>
      </w:pPr>
      <w:bookmarkStart w:id="613" w:name="_Toc241670298"/>
      <w:r w:rsidRPr="00B36301">
        <w:t>Ressources matérielles et d’infrastructure</w:t>
      </w:r>
      <w:bookmarkEnd w:id="613"/>
    </w:p>
    <w:p w14:paraId="27156172"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614" w:name="_Toc241083129"/>
      <w:bookmarkStart w:id="615" w:name="_Toc241670299"/>
      <w:r w:rsidRPr="00BE4F47">
        <w:rPr>
          <w:rFonts w:ascii="Aptos" w:hAnsi="Aptos"/>
          <w:color w:val="1A1A19"/>
          <w:sz w:val="20"/>
          <w:szCs w:val="20"/>
        </w:rPr>
        <w:t>Le projet est de nature logicielle. Il ne nécessite aucun achat d’équipement. Les ressources matérielles sont soit apportées par l’équipe, soit fournies par l’établissement.</w:t>
      </w:r>
      <w:bookmarkEnd w:id="614"/>
      <w:bookmarkEnd w:id="615"/>
    </w:p>
    <w:p w14:paraId="7A48164C" w14:textId="77777777" w:rsidR="00F50D70" w:rsidRPr="00BE4F47" w:rsidRDefault="00137D7F" w:rsidP="008E113B">
      <w:pPr>
        <w:pStyle w:val="Lgende"/>
        <w:keepNext/>
        <w:spacing w:line="360" w:lineRule="auto"/>
        <w:rPr>
          <w:rFonts w:ascii="Aptos" w:hAnsi="Aptos"/>
        </w:rPr>
      </w:pPr>
      <w:bookmarkStart w:id="616" w:name="_Toc241083130"/>
      <w:bookmarkStart w:id="617" w:name="_Toc241670300"/>
      <w:r w:rsidRPr="00BE4F47">
        <w:rPr>
          <w:rFonts w:ascii="Aptos" w:hAnsi="Aptos"/>
        </w:rPr>
        <w:t>Tableau 8-3. Ressources matérielles et d’infrastructure</w:t>
      </w:r>
      <w:bookmarkEnd w:id="616"/>
      <w:bookmarkEnd w:id="617"/>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3746"/>
        <w:gridCol w:w="696"/>
        <w:gridCol w:w="2103"/>
        <w:gridCol w:w="2012"/>
      </w:tblGrid>
      <w:tr w:rsidR="00F50D70" w:rsidRPr="00BE4F47" w14:paraId="4E1C65CC" w14:textId="77777777">
        <w:trPr>
          <w:tblHeader/>
        </w:trPr>
        <w:tc>
          <w:tcPr>
            <w:tcW w:w="3746" w:type="dxa"/>
            <w:tcBorders>
              <w:top w:val="single" w:sz="4" w:space="0" w:color="000000"/>
              <w:left w:val="single" w:sz="4" w:space="0" w:color="000000"/>
              <w:bottom w:val="single" w:sz="4" w:space="0" w:color="000000"/>
              <w:right w:val="single" w:sz="4" w:space="0" w:color="000000"/>
            </w:tcBorders>
            <w:shd w:val="clear" w:color="auto" w:fill="EFF4FB"/>
          </w:tcPr>
          <w:p w14:paraId="3A8C512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Ressource</w:t>
            </w:r>
          </w:p>
        </w:tc>
        <w:tc>
          <w:tcPr>
            <w:tcW w:w="696" w:type="dxa"/>
            <w:tcBorders>
              <w:top w:val="single" w:sz="4" w:space="0" w:color="000000"/>
              <w:left w:val="single" w:sz="4" w:space="0" w:color="000000"/>
              <w:bottom w:val="single" w:sz="4" w:space="0" w:color="000000"/>
              <w:right w:val="single" w:sz="4" w:space="0" w:color="000000"/>
            </w:tcBorders>
            <w:shd w:val="clear" w:color="auto" w:fill="EFF4FB"/>
          </w:tcPr>
          <w:p w14:paraId="3413170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Qté</w:t>
            </w:r>
          </w:p>
        </w:tc>
        <w:tc>
          <w:tcPr>
            <w:tcW w:w="2103" w:type="dxa"/>
            <w:tcBorders>
              <w:top w:val="single" w:sz="4" w:space="0" w:color="000000"/>
              <w:left w:val="single" w:sz="4" w:space="0" w:color="000000"/>
              <w:bottom w:val="single" w:sz="4" w:space="0" w:color="000000"/>
              <w:right w:val="single" w:sz="4" w:space="0" w:color="000000"/>
            </w:tcBorders>
            <w:shd w:val="clear" w:color="auto" w:fill="EFF4FB"/>
          </w:tcPr>
          <w:p w14:paraId="5B66F55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Provenance</w:t>
            </w:r>
          </w:p>
        </w:tc>
        <w:tc>
          <w:tcPr>
            <w:tcW w:w="2012" w:type="dxa"/>
            <w:tcBorders>
              <w:top w:val="single" w:sz="4" w:space="0" w:color="000000"/>
              <w:left w:val="single" w:sz="4" w:space="0" w:color="000000"/>
              <w:bottom w:val="single" w:sz="4" w:space="0" w:color="000000"/>
              <w:right w:val="single" w:sz="4" w:space="0" w:color="000000"/>
            </w:tcBorders>
            <w:shd w:val="clear" w:color="auto" w:fill="EFF4FB"/>
          </w:tcPr>
          <w:p w14:paraId="17DE818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Coût imputé au mandat</w:t>
            </w:r>
          </w:p>
        </w:tc>
      </w:tr>
      <w:tr w:rsidR="00F50D70" w:rsidRPr="00BE4F47" w14:paraId="7E6F2B7E" w14:textId="77777777">
        <w:trPr>
          <w:cantSplit/>
        </w:trPr>
        <w:tc>
          <w:tcPr>
            <w:tcW w:w="3746" w:type="dxa"/>
            <w:tcBorders>
              <w:top w:val="single" w:sz="4" w:space="0" w:color="000000"/>
              <w:left w:val="single" w:sz="4" w:space="0" w:color="000000"/>
              <w:bottom w:val="single" w:sz="4" w:space="0" w:color="000000"/>
              <w:right w:val="single" w:sz="4" w:space="0" w:color="000000"/>
            </w:tcBorders>
          </w:tcPr>
          <w:p w14:paraId="327A14B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Postes de travail des membres</w:t>
            </w:r>
          </w:p>
        </w:tc>
        <w:tc>
          <w:tcPr>
            <w:tcW w:w="696" w:type="dxa"/>
            <w:tcBorders>
              <w:top w:val="single" w:sz="4" w:space="0" w:color="000000"/>
              <w:left w:val="single" w:sz="4" w:space="0" w:color="000000"/>
              <w:bottom w:val="single" w:sz="4" w:space="0" w:color="000000"/>
              <w:right w:val="single" w:sz="4" w:space="0" w:color="000000"/>
            </w:tcBorders>
          </w:tcPr>
          <w:p w14:paraId="1079362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8</w:t>
            </w:r>
          </w:p>
        </w:tc>
        <w:tc>
          <w:tcPr>
            <w:tcW w:w="2103" w:type="dxa"/>
            <w:tcBorders>
              <w:top w:val="single" w:sz="4" w:space="0" w:color="000000"/>
              <w:left w:val="single" w:sz="4" w:space="0" w:color="000000"/>
              <w:bottom w:val="single" w:sz="4" w:space="0" w:color="000000"/>
              <w:right w:val="single" w:sz="4" w:space="0" w:color="000000"/>
            </w:tcBorders>
          </w:tcPr>
          <w:p w14:paraId="15202EB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Apport de l’équipe</w:t>
            </w:r>
          </w:p>
        </w:tc>
        <w:tc>
          <w:tcPr>
            <w:tcW w:w="2012" w:type="dxa"/>
            <w:tcBorders>
              <w:top w:val="single" w:sz="4" w:space="0" w:color="000000"/>
              <w:left w:val="single" w:sz="4" w:space="0" w:color="000000"/>
              <w:bottom w:val="single" w:sz="4" w:space="0" w:color="000000"/>
              <w:right w:val="single" w:sz="4" w:space="0" w:color="000000"/>
            </w:tcBorders>
          </w:tcPr>
          <w:p w14:paraId="0EAC2E0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Nul, amortissement à déclarer</w:t>
            </w:r>
          </w:p>
        </w:tc>
      </w:tr>
      <w:tr w:rsidR="00F50D70" w:rsidRPr="00BE4F47" w14:paraId="7C2DE308" w14:textId="77777777">
        <w:trPr>
          <w:cantSplit/>
        </w:trPr>
        <w:tc>
          <w:tcPr>
            <w:tcW w:w="3746" w:type="dxa"/>
            <w:tcBorders>
              <w:top w:val="single" w:sz="4" w:space="0" w:color="000000"/>
              <w:left w:val="single" w:sz="4" w:space="0" w:color="000000"/>
              <w:bottom w:val="single" w:sz="4" w:space="0" w:color="000000"/>
              <w:right w:val="single" w:sz="4" w:space="0" w:color="000000"/>
            </w:tcBorders>
          </w:tcPr>
          <w:p w14:paraId="09E4764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Station de calcul pour les simulations longues</w:t>
            </w:r>
          </w:p>
        </w:tc>
        <w:tc>
          <w:tcPr>
            <w:tcW w:w="696" w:type="dxa"/>
            <w:tcBorders>
              <w:top w:val="single" w:sz="4" w:space="0" w:color="000000"/>
              <w:left w:val="single" w:sz="4" w:space="0" w:color="000000"/>
              <w:bottom w:val="single" w:sz="4" w:space="0" w:color="000000"/>
              <w:right w:val="single" w:sz="4" w:space="0" w:color="000000"/>
            </w:tcBorders>
          </w:tcPr>
          <w:p w14:paraId="1C99BAF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w:t>
            </w:r>
          </w:p>
        </w:tc>
        <w:tc>
          <w:tcPr>
            <w:tcW w:w="2103" w:type="dxa"/>
            <w:tcBorders>
              <w:top w:val="single" w:sz="4" w:space="0" w:color="000000"/>
              <w:left w:val="single" w:sz="4" w:space="0" w:color="000000"/>
              <w:bottom w:val="single" w:sz="4" w:space="0" w:color="000000"/>
              <w:right w:val="single" w:sz="4" w:space="0" w:color="000000"/>
            </w:tcBorders>
          </w:tcPr>
          <w:p w14:paraId="50A73CC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Laboratoire de l’UQAC (H-06)</w:t>
            </w:r>
          </w:p>
        </w:tc>
        <w:tc>
          <w:tcPr>
            <w:tcW w:w="2012" w:type="dxa"/>
            <w:tcBorders>
              <w:top w:val="single" w:sz="4" w:space="0" w:color="000000"/>
              <w:left w:val="single" w:sz="4" w:space="0" w:color="000000"/>
              <w:bottom w:val="single" w:sz="4" w:space="0" w:color="000000"/>
              <w:right w:val="single" w:sz="4" w:space="0" w:color="000000"/>
            </w:tcBorders>
          </w:tcPr>
          <w:p w14:paraId="3AD4437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Nul</w:t>
            </w:r>
          </w:p>
        </w:tc>
      </w:tr>
      <w:tr w:rsidR="00F50D70" w:rsidRPr="00BE4F47" w14:paraId="1B08D6F8" w14:textId="77777777">
        <w:trPr>
          <w:cantSplit/>
        </w:trPr>
        <w:tc>
          <w:tcPr>
            <w:tcW w:w="3746" w:type="dxa"/>
            <w:tcBorders>
              <w:top w:val="single" w:sz="4" w:space="0" w:color="000000"/>
              <w:left w:val="single" w:sz="4" w:space="0" w:color="000000"/>
              <w:bottom w:val="single" w:sz="4" w:space="0" w:color="000000"/>
              <w:right w:val="single" w:sz="4" w:space="0" w:color="000000"/>
            </w:tcBorders>
          </w:tcPr>
          <w:p w14:paraId="076B94D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Environnement de virtualisation pour l’essai de segmentation réseau : deux machines virtuelles et un pare-feu logiciel</w:t>
            </w:r>
          </w:p>
        </w:tc>
        <w:tc>
          <w:tcPr>
            <w:tcW w:w="696" w:type="dxa"/>
            <w:tcBorders>
              <w:top w:val="single" w:sz="4" w:space="0" w:color="000000"/>
              <w:left w:val="single" w:sz="4" w:space="0" w:color="000000"/>
              <w:bottom w:val="single" w:sz="4" w:space="0" w:color="000000"/>
              <w:right w:val="single" w:sz="4" w:space="0" w:color="000000"/>
            </w:tcBorders>
          </w:tcPr>
          <w:p w14:paraId="45396AA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w:t>
            </w:r>
          </w:p>
        </w:tc>
        <w:tc>
          <w:tcPr>
            <w:tcW w:w="2103" w:type="dxa"/>
            <w:tcBorders>
              <w:top w:val="single" w:sz="4" w:space="0" w:color="000000"/>
              <w:left w:val="single" w:sz="4" w:space="0" w:color="000000"/>
              <w:bottom w:val="single" w:sz="4" w:space="0" w:color="000000"/>
              <w:right w:val="single" w:sz="4" w:space="0" w:color="000000"/>
            </w:tcBorders>
          </w:tcPr>
          <w:p w14:paraId="46BD2FC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Poste existant</w:t>
            </w:r>
          </w:p>
        </w:tc>
        <w:tc>
          <w:tcPr>
            <w:tcW w:w="2012" w:type="dxa"/>
            <w:tcBorders>
              <w:top w:val="single" w:sz="4" w:space="0" w:color="000000"/>
              <w:left w:val="single" w:sz="4" w:space="0" w:color="000000"/>
              <w:bottom w:val="single" w:sz="4" w:space="0" w:color="000000"/>
              <w:right w:val="single" w:sz="4" w:space="0" w:color="000000"/>
            </w:tcBorders>
          </w:tcPr>
          <w:p w14:paraId="62DEDE7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Nul</w:t>
            </w:r>
          </w:p>
        </w:tc>
      </w:tr>
      <w:tr w:rsidR="00F50D70" w:rsidRPr="00BE4F47" w14:paraId="2B6B1321" w14:textId="77777777">
        <w:trPr>
          <w:cantSplit/>
        </w:trPr>
        <w:tc>
          <w:tcPr>
            <w:tcW w:w="3746" w:type="dxa"/>
            <w:tcBorders>
              <w:top w:val="single" w:sz="4" w:space="0" w:color="000000"/>
              <w:left w:val="single" w:sz="4" w:space="0" w:color="000000"/>
              <w:bottom w:val="single" w:sz="4" w:space="0" w:color="000000"/>
              <w:right w:val="single" w:sz="4" w:space="0" w:color="000000"/>
            </w:tcBorders>
          </w:tcPr>
          <w:p w14:paraId="3D2B9ED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Dépôt de code versionné et sauvegarde hors poste</w:t>
            </w:r>
          </w:p>
        </w:tc>
        <w:tc>
          <w:tcPr>
            <w:tcW w:w="696" w:type="dxa"/>
            <w:tcBorders>
              <w:top w:val="single" w:sz="4" w:space="0" w:color="000000"/>
              <w:left w:val="single" w:sz="4" w:space="0" w:color="000000"/>
              <w:bottom w:val="single" w:sz="4" w:space="0" w:color="000000"/>
              <w:right w:val="single" w:sz="4" w:space="0" w:color="000000"/>
            </w:tcBorders>
          </w:tcPr>
          <w:p w14:paraId="4D7A7C0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w:t>
            </w:r>
          </w:p>
        </w:tc>
        <w:tc>
          <w:tcPr>
            <w:tcW w:w="2103" w:type="dxa"/>
            <w:tcBorders>
              <w:top w:val="single" w:sz="4" w:space="0" w:color="000000"/>
              <w:left w:val="single" w:sz="4" w:space="0" w:color="000000"/>
              <w:bottom w:val="single" w:sz="4" w:space="0" w:color="000000"/>
              <w:right w:val="single" w:sz="4" w:space="0" w:color="000000"/>
            </w:tcBorders>
          </w:tcPr>
          <w:p w14:paraId="6EF4AFB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Service institutionnel</w:t>
            </w:r>
          </w:p>
        </w:tc>
        <w:tc>
          <w:tcPr>
            <w:tcW w:w="2012" w:type="dxa"/>
            <w:tcBorders>
              <w:top w:val="single" w:sz="4" w:space="0" w:color="000000"/>
              <w:left w:val="single" w:sz="4" w:space="0" w:color="000000"/>
              <w:bottom w:val="single" w:sz="4" w:space="0" w:color="000000"/>
              <w:right w:val="single" w:sz="4" w:space="0" w:color="000000"/>
            </w:tcBorders>
          </w:tcPr>
          <w:p w14:paraId="3C051E6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Nul</w:t>
            </w:r>
          </w:p>
        </w:tc>
      </w:tr>
      <w:tr w:rsidR="00F50D70" w:rsidRPr="00BE4F47" w14:paraId="79551FE1" w14:textId="77777777">
        <w:trPr>
          <w:cantSplit/>
        </w:trPr>
        <w:tc>
          <w:tcPr>
            <w:tcW w:w="3746" w:type="dxa"/>
            <w:tcBorders>
              <w:top w:val="single" w:sz="4" w:space="0" w:color="000000"/>
              <w:left w:val="single" w:sz="4" w:space="0" w:color="000000"/>
              <w:bottom w:val="single" w:sz="4" w:space="0" w:color="000000"/>
              <w:right w:val="single" w:sz="4" w:space="0" w:color="000000"/>
            </w:tcBorders>
          </w:tcPr>
          <w:p w14:paraId="45C9B30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Local de réunion et salle de laboratoire</w:t>
            </w:r>
          </w:p>
        </w:tc>
        <w:tc>
          <w:tcPr>
            <w:tcW w:w="696" w:type="dxa"/>
            <w:tcBorders>
              <w:top w:val="single" w:sz="4" w:space="0" w:color="000000"/>
              <w:left w:val="single" w:sz="4" w:space="0" w:color="000000"/>
              <w:bottom w:val="single" w:sz="4" w:space="0" w:color="000000"/>
              <w:right w:val="single" w:sz="4" w:space="0" w:color="000000"/>
            </w:tcBorders>
          </w:tcPr>
          <w:p w14:paraId="65E6E04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s.o.</w:t>
            </w:r>
          </w:p>
        </w:tc>
        <w:tc>
          <w:tcPr>
            <w:tcW w:w="2103" w:type="dxa"/>
            <w:tcBorders>
              <w:top w:val="single" w:sz="4" w:space="0" w:color="000000"/>
              <w:left w:val="single" w:sz="4" w:space="0" w:color="000000"/>
              <w:bottom w:val="single" w:sz="4" w:space="0" w:color="000000"/>
              <w:right w:val="single" w:sz="4" w:space="0" w:color="000000"/>
            </w:tcBorders>
          </w:tcPr>
          <w:p w14:paraId="6537B6F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UQAC</w:t>
            </w:r>
          </w:p>
        </w:tc>
        <w:tc>
          <w:tcPr>
            <w:tcW w:w="2012" w:type="dxa"/>
            <w:tcBorders>
              <w:top w:val="single" w:sz="4" w:space="0" w:color="000000"/>
              <w:left w:val="single" w:sz="4" w:space="0" w:color="000000"/>
              <w:bottom w:val="single" w:sz="4" w:space="0" w:color="000000"/>
              <w:right w:val="single" w:sz="4" w:space="0" w:color="000000"/>
            </w:tcBorders>
          </w:tcPr>
          <w:p w14:paraId="25744A5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Nul</w:t>
            </w:r>
          </w:p>
        </w:tc>
      </w:tr>
    </w:tbl>
    <w:p w14:paraId="2733FF7D" w14:textId="77777777" w:rsidR="00F50D70" w:rsidRPr="00B36301" w:rsidRDefault="00137D7F" w:rsidP="008E113B">
      <w:pPr>
        <w:pStyle w:val="Titre2"/>
        <w:spacing w:line="360" w:lineRule="auto"/>
      </w:pPr>
      <w:bookmarkStart w:id="618" w:name="_Toc241670301"/>
      <w:r w:rsidRPr="00B36301">
        <w:t>Ressources logicielles et décisions d’outillage</w:t>
      </w:r>
      <w:bookmarkEnd w:id="618"/>
    </w:p>
    <w:p w14:paraId="0FD8370A" w14:textId="77777777" w:rsidR="00F50D70" w:rsidRPr="00BE4F47" w:rsidRDefault="00137D7F" w:rsidP="008E113B">
      <w:pPr>
        <w:spacing w:before="200" w:after="130" w:line="360" w:lineRule="auto"/>
        <w:ind w:left="360"/>
        <w:outlineLvl w:val="9"/>
        <w:rPr>
          <w:rFonts w:ascii="Aptos" w:eastAsia="Calibri" w:hAnsi="Aptos" w:cs="Calibri"/>
          <w:color w:val="1A1A19"/>
          <w:sz w:val="20"/>
          <w:szCs w:val="20"/>
          <w:lang w:val="fr-FR"/>
        </w:rPr>
      </w:pPr>
      <w:r w:rsidRPr="00BE4F47">
        <w:rPr>
          <w:rFonts w:ascii="Aptos" w:hAnsi="Aptos"/>
          <w:color w:val="1A1A19"/>
          <w:sz w:val="20"/>
          <w:szCs w:val="20"/>
        </w:rPr>
        <w:t>Les outils sont choisis pour trois raisons : ils sont libres ou déjà licenciés ; ils reposent sur des formalismes normalisés plutôt que sur des solutions propriétaires ; ils permettent de reproduire les résultats, ce qu’exige EX-F-02.</w:t>
      </w:r>
    </w:p>
    <w:p w14:paraId="74C43BD1" w14:textId="77777777" w:rsidR="00F50D70" w:rsidRPr="00BE4F47" w:rsidRDefault="00137D7F" w:rsidP="008E113B">
      <w:pPr>
        <w:spacing w:after="130" w:line="360" w:lineRule="auto"/>
        <w:ind w:left="360"/>
        <w:rPr>
          <w:rFonts w:ascii="Aptos" w:eastAsia="Calibri" w:hAnsi="Aptos" w:cs="Calibri"/>
          <w:color w:val="1A1A19"/>
          <w:sz w:val="20"/>
          <w:szCs w:val="20"/>
          <w:lang w:val="fr-FR"/>
        </w:rPr>
      </w:pPr>
      <w:bookmarkStart w:id="619" w:name="_Toc241083132"/>
      <w:bookmarkStart w:id="620" w:name="_Toc241670302"/>
      <w:r w:rsidRPr="00BE4F47">
        <w:rPr>
          <w:rFonts w:ascii="Aptos" w:hAnsi="Aptos"/>
          <w:color w:val="1A1A19"/>
          <w:sz w:val="20"/>
          <w:szCs w:val="20"/>
        </w:rPr>
        <w:lastRenderedPageBreak/>
        <w:t>Les outils listés ci-dessous sont arrêtés dans la présente section. La revue de l’état de l’art de la section 5 constate l’état des pratiques et renvoie ici. Toute modification ultérieure passe par une tâche marquée « changement » au dépôt, selon la section 4.4.</w:t>
      </w:r>
      <w:bookmarkEnd w:id="619"/>
      <w:bookmarkEnd w:id="620"/>
    </w:p>
    <w:p w14:paraId="21211EED" w14:textId="77777777" w:rsidR="00F50D70" w:rsidRPr="00BE4F47" w:rsidRDefault="00137D7F" w:rsidP="008E113B">
      <w:pPr>
        <w:pStyle w:val="Lgende"/>
        <w:keepNext/>
        <w:spacing w:line="360" w:lineRule="auto"/>
        <w:rPr>
          <w:rFonts w:ascii="Aptos" w:hAnsi="Aptos"/>
        </w:rPr>
      </w:pPr>
      <w:bookmarkStart w:id="621" w:name="_Toc241083133"/>
      <w:bookmarkStart w:id="622" w:name="_Toc241670303"/>
      <w:r w:rsidRPr="00BE4F47">
        <w:rPr>
          <w:rFonts w:ascii="Aptos" w:hAnsi="Aptos"/>
        </w:rPr>
        <w:t>Tableau 8-4. Ressources logicielles et décisions d’outillage</w:t>
      </w:r>
      <w:bookmarkEnd w:id="621"/>
      <w:bookmarkEnd w:id="622"/>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2011"/>
        <w:gridCol w:w="2560"/>
        <w:gridCol w:w="3986"/>
      </w:tblGrid>
      <w:tr w:rsidR="00F50D70" w:rsidRPr="00BE4F47" w14:paraId="3F747CC4" w14:textId="77777777">
        <w:trPr>
          <w:tblHeader/>
        </w:trPr>
        <w:tc>
          <w:tcPr>
            <w:tcW w:w="2011" w:type="dxa"/>
            <w:tcBorders>
              <w:top w:val="single" w:sz="4" w:space="0" w:color="000000"/>
              <w:left w:val="single" w:sz="4" w:space="0" w:color="000000"/>
              <w:bottom w:val="single" w:sz="4" w:space="0" w:color="000000"/>
              <w:right w:val="single" w:sz="4" w:space="0" w:color="000000"/>
            </w:tcBorders>
            <w:shd w:val="clear" w:color="auto" w:fill="EFF4FB"/>
          </w:tcPr>
          <w:p w14:paraId="0EAC372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Fonction</w:t>
            </w:r>
          </w:p>
        </w:tc>
        <w:tc>
          <w:tcPr>
            <w:tcW w:w="2560" w:type="dxa"/>
            <w:tcBorders>
              <w:top w:val="single" w:sz="4" w:space="0" w:color="000000"/>
              <w:left w:val="single" w:sz="4" w:space="0" w:color="000000"/>
              <w:bottom w:val="single" w:sz="4" w:space="0" w:color="000000"/>
              <w:right w:val="single" w:sz="4" w:space="0" w:color="000000"/>
            </w:tcBorders>
            <w:shd w:val="clear" w:color="auto" w:fill="EFF4FB"/>
          </w:tcPr>
          <w:p w14:paraId="7FCB95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Outil retenu</w:t>
            </w:r>
          </w:p>
        </w:tc>
        <w:tc>
          <w:tcPr>
            <w:tcW w:w="3986" w:type="dxa"/>
            <w:tcBorders>
              <w:top w:val="single" w:sz="4" w:space="0" w:color="000000"/>
              <w:left w:val="single" w:sz="4" w:space="0" w:color="000000"/>
              <w:bottom w:val="single" w:sz="4" w:space="0" w:color="000000"/>
              <w:right w:val="single" w:sz="4" w:space="0" w:color="000000"/>
            </w:tcBorders>
            <w:shd w:val="clear" w:color="auto" w:fill="EFF4FB"/>
          </w:tcPr>
          <w:p w14:paraId="4045590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Justification</w:t>
            </w:r>
          </w:p>
        </w:tc>
      </w:tr>
      <w:tr w:rsidR="00F50D70" w:rsidRPr="00BE4F47" w14:paraId="08D4DCDB" w14:textId="77777777">
        <w:trPr>
          <w:cantSplit/>
        </w:trPr>
        <w:tc>
          <w:tcPr>
            <w:tcW w:w="2011" w:type="dxa"/>
            <w:tcBorders>
              <w:top w:val="single" w:sz="4" w:space="0" w:color="000000"/>
              <w:left w:val="single" w:sz="4" w:space="0" w:color="000000"/>
              <w:bottom w:val="single" w:sz="4" w:space="0" w:color="000000"/>
              <w:right w:val="single" w:sz="4" w:space="0" w:color="000000"/>
            </w:tcBorders>
          </w:tcPr>
          <w:p w14:paraId="72E3394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Modélisation de la boucle thermohydraulique</w:t>
            </w:r>
          </w:p>
        </w:tc>
        <w:tc>
          <w:tcPr>
            <w:tcW w:w="2560" w:type="dxa"/>
            <w:tcBorders>
              <w:top w:val="single" w:sz="4" w:space="0" w:color="000000"/>
              <w:left w:val="single" w:sz="4" w:space="0" w:color="000000"/>
              <w:bottom w:val="single" w:sz="4" w:space="0" w:color="000000"/>
              <w:right w:val="single" w:sz="4" w:space="0" w:color="000000"/>
            </w:tcBorders>
          </w:tcPr>
          <w:p w14:paraId="12193CF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OpenModelica avec les bibliothèques Modelica.Fluid ou ThermoPower. Variante : MATLAB, Simulink et Simscape Fluids sous licence académique</w:t>
            </w:r>
          </w:p>
        </w:tc>
        <w:tc>
          <w:tcPr>
            <w:tcW w:w="3986" w:type="dxa"/>
            <w:tcBorders>
              <w:top w:val="single" w:sz="4" w:space="0" w:color="000000"/>
              <w:left w:val="single" w:sz="4" w:space="0" w:color="000000"/>
              <w:bottom w:val="single" w:sz="4" w:space="0" w:color="000000"/>
              <w:right w:val="single" w:sz="4" w:space="0" w:color="000000"/>
            </w:tcBorders>
          </w:tcPr>
          <w:p w14:paraId="6D44F0C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Modelica est un langage de modélisation normalisé à équations acausales, conçu pour les réseaux fluidiques et thermiques. Il permet d’exprimer directement les bilans de masse et d’énergie. Cet emploi satisfait l’article 2 (1°) de la Loi sur les ingénieurs [19].</w:t>
            </w:r>
          </w:p>
        </w:tc>
      </w:tr>
      <w:tr w:rsidR="00F50D70" w:rsidRPr="00BE4F47" w14:paraId="712C725C" w14:textId="77777777">
        <w:trPr>
          <w:cantSplit/>
        </w:trPr>
        <w:tc>
          <w:tcPr>
            <w:tcW w:w="2011" w:type="dxa"/>
            <w:tcBorders>
              <w:top w:val="single" w:sz="4" w:space="0" w:color="000000"/>
              <w:left w:val="single" w:sz="4" w:space="0" w:color="000000"/>
              <w:bottom w:val="single" w:sz="4" w:space="0" w:color="000000"/>
              <w:right w:val="single" w:sz="4" w:space="0" w:color="000000"/>
            </w:tcBorders>
          </w:tcPr>
          <w:p w14:paraId="69296EA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Noyau du jumeau, traitement et détection</w:t>
            </w:r>
          </w:p>
        </w:tc>
        <w:tc>
          <w:tcPr>
            <w:tcW w:w="2560" w:type="dxa"/>
            <w:tcBorders>
              <w:top w:val="single" w:sz="4" w:space="0" w:color="000000"/>
              <w:left w:val="single" w:sz="4" w:space="0" w:color="000000"/>
              <w:bottom w:val="single" w:sz="4" w:space="0" w:color="000000"/>
              <w:right w:val="single" w:sz="4" w:space="0" w:color="000000"/>
            </w:tcBorders>
          </w:tcPr>
          <w:p w14:paraId="75863C1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Python 3 avec NumPy, SciPy, pandas et scikit-learn</w:t>
            </w:r>
          </w:p>
        </w:tc>
        <w:tc>
          <w:tcPr>
            <w:tcW w:w="3986" w:type="dxa"/>
            <w:tcBorders>
              <w:top w:val="single" w:sz="4" w:space="0" w:color="000000"/>
              <w:left w:val="single" w:sz="4" w:space="0" w:color="000000"/>
              <w:bottom w:val="single" w:sz="4" w:space="0" w:color="000000"/>
              <w:right w:val="single" w:sz="4" w:space="0" w:color="000000"/>
            </w:tcBorders>
          </w:tcPr>
          <w:p w14:paraId="39BBB57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Écosystème mature, licences permissives, résultats reproductibles. Lots L6 et L7.</w:t>
            </w:r>
          </w:p>
        </w:tc>
      </w:tr>
      <w:tr w:rsidR="00F50D70" w:rsidRPr="00BE4F47" w14:paraId="5E6373F9" w14:textId="77777777">
        <w:trPr>
          <w:cantSplit/>
        </w:trPr>
        <w:tc>
          <w:tcPr>
            <w:tcW w:w="2011" w:type="dxa"/>
            <w:tcBorders>
              <w:top w:val="single" w:sz="4" w:space="0" w:color="000000"/>
              <w:left w:val="single" w:sz="4" w:space="0" w:color="000000"/>
              <w:bottom w:val="single" w:sz="4" w:space="0" w:color="000000"/>
              <w:right w:val="single" w:sz="4" w:space="0" w:color="000000"/>
            </w:tcBorders>
          </w:tcPr>
          <w:p w14:paraId="512C2A1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Interface d’échange de données</w:t>
            </w:r>
          </w:p>
        </w:tc>
        <w:tc>
          <w:tcPr>
            <w:tcW w:w="2560" w:type="dxa"/>
            <w:tcBorders>
              <w:top w:val="single" w:sz="4" w:space="0" w:color="000000"/>
              <w:left w:val="single" w:sz="4" w:space="0" w:color="000000"/>
              <w:bottom w:val="single" w:sz="4" w:space="0" w:color="000000"/>
              <w:right w:val="single" w:sz="4" w:space="0" w:color="000000"/>
            </w:tcBorders>
          </w:tcPr>
          <w:p w14:paraId="2658433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OPC UA (IEC 62541 [45]) ou MQTT</w:t>
            </w:r>
          </w:p>
        </w:tc>
        <w:tc>
          <w:tcPr>
            <w:tcW w:w="3986" w:type="dxa"/>
            <w:tcBorders>
              <w:top w:val="single" w:sz="4" w:space="0" w:color="000000"/>
              <w:left w:val="single" w:sz="4" w:space="0" w:color="000000"/>
              <w:bottom w:val="single" w:sz="4" w:space="0" w:color="000000"/>
              <w:right w:val="single" w:sz="4" w:space="0" w:color="000000"/>
            </w:tcBorders>
          </w:tcPr>
          <w:p w14:paraId="2317AD6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OPC UA est la norme d’interopérabilité de l’instrumentation industrielle. Une interface normalisée facilite la séparation stricte exigée entre le jumeau et les fonctions de commande (exigence EX-F-08).</w:t>
            </w:r>
          </w:p>
        </w:tc>
      </w:tr>
      <w:tr w:rsidR="00F50D70" w:rsidRPr="00BE4F47" w14:paraId="59B8004C" w14:textId="77777777">
        <w:trPr>
          <w:cantSplit/>
        </w:trPr>
        <w:tc>
          <w:tcPr>
            <w:tcW w:w="2011" w:type="dxa"/>
            <w:tcBorders>
              <w:top w:val="single" w:sz="4" w:space="0" w:color="000000"/>
              <w:left w:val="single" w:sz="4" w:space="0" w:color="000000"/>
              <w:bottom w:val="single" w:sz="4" w:space="0" w:color="000000"/>
              <w:right w:val="single" w:sz="4" w:space="0" w:color="000000"/>
            </w:tcBorders>
          </w:tcPr>
          <w:p w14:paraId="2864FC7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Historisation des mesures et des états</w:t>
            </w:r>
          </w:p>
        </w:tc>
        <w:tc>
          <w:tcPr>
            <w:tcW w:w="2560" w:type="dxa"/>
            <w:tcBorders>
              <w:top w:val="single" w:sz="4" w:space="0" w:color="000000"/>
              <w:left w:val="single" w:sz="4" w:space="0" w:color="000000"/>
              <w:bottom w:val="single" w:sz="4" w:space="0" w:color="000000"/>
              <w:right w:val="single" w:sz="4" w:space="0" w:color="000000"/>
            </w:tcBorders>
          </w:tcPr>
          <w:p w14:paraId="45360F0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InfluxDB ou SQLite</w:t>
            </w:r>
          </w:p>
        </w:tc>
        <w:tc>
          <w:tcPr>
            <w:tcW w:w="3986" w:type="dxa"/>
            <w:tcBorders>
              <w:top w:val="single" w:sz="4" w:space="0" w:color="000000"/>
              <w:left w:val="single" w:sz="4" w:space="0" w:color="000000"/>
              <w:bottom w:val="single" w:sz="4" w:space="0" w:color="000000"/>
              <w:right w:val="single" w:sz="4" w:space="0" w:color="000000"/>
            </w:tcBorders>
          </w:tcPr>
          <w:p w14:paraId="45EABF4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Traçabilité horodatée des essais, exigée par EX-F-10 et par la V&amp;V.</w:t>
            </w:r>
          </w:p>
        </w:tc>
      </w:tr>
      <w:tr w:rsidR="00F50D70" w:rsidRPr="00BE4F47" w14:paraId="52CE292F" w14:textId="77777777">
        <w:trPr>
          <w:cantSplit/>
        </w:trPr>
        <w:tc>
          <w:tcPr>
            <w:tcW w:w="2011" w:type="dxa"/>
            <w:tcBorders>
              <w:top w:val="single" w:sz="4" w:space="0" w:color="000000"/>
              <w:left w:val="single" w:sz="4" w:space="0" w:color="000000"/>
              <w:bottom w:val="single" w:sz="4" w:space="0" w:color="000000"/>
              <w:right w:val="single" w:sz="4" w:space="0" w:color="000000"/>
            </w:tcBorders>
          </w:tcPr>
          <w:p w14:paraId="02F03BB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Interface d’aide à la décision</w:t>
            </w:r>
          </w:p>
        </w:tc>
        <w:tc>
          <w:tcPr>
            <w:tcW w:w="2560" w:type="dxa"/>
            <w:tcBorders>
              <w:top w:val="single" w:sz="4" w:space="0" w:color="000000"/>
              <w:left w:val="single" w:sz="4" w:space="0" w:color="000000"/>
              <w:bottom w:val="single" w:sz="4" w:space="0" w:color="000000"/>
              <w:right w:val="single" w:sz="4" w:space="0" w:color="000000"/>
            </w:tcBorders>
          </w:tcPr>
          <w:p w14:paraId="5530196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Plotly Dash ou Grafana</w:t>
            </w:r>
          </w:p>
        </w:tc>
        <w:tc>
          <w:tcPr>
            <w:tcW w:w="3986" w:type="dxa"/>
            <w:tcBorders>
              <w:top w:val="single" w:sz="4" w:space="0" w:color="000000"/>
              <w:left w:val="single" w:sz="4" w:space="0" w:color="000000"/>
              <w:bottom w:val="single" w:sz="4" w:space="0" w:color="000000"/>
              <w:right w:val="single" w:sz="4" w:space="0" w:color="000000"/>
            </w:tcBorders>
          </w:tcPr>
          <w:p w14:paraId="314C2FA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Permet d’afficher l’état estimé, les variables contributives et l’indice de confiance sans développer une interface complète. Exigences EX-F-04, EX-F-05 et EX-F-07.</w:t>
            </w:r>
          </w:p>
        </w:tc>
      </w:tr>
      <w:tr w:rsidR="00F50D70" w:rsidRPr="00BE4F47" w14:paraId="139571E5" w14:textId="77777777">
        <w:trPr>
          <w:cantSplit/>
        </w:trPr>
        <w:tc>
          <w:tcPr>
            <w:tcW w:w="2011" w:type="dxa"/>
            <w:tcBorders>
              <w:top w:val="single" w:sz="4" w:space="0" w:color="000000"/>
              <w:left w:val="single" w:sz="4" w:space="0" w:color="000000"/>
              <w:bottom w:val="single" w:sz="4" w:space="0" w:color="000000"/>
              <w:right w:val="single" w:sz="4" w:space="0" w:color="000000"/>
            </w:tcBorders>
          </w:tcPr>
          <w:p w14:paraId="4A0EDD6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Gestion de configuration</w:t>
            </w:r>
          </w:p>
        </w:tc>
        <w:tc>
          <w:tcPr>
            <w:tcW w:w="2560" w:type="dxa"/>
            <w:tcBorders>
              <w:top w:val="single" w:sz="4" w:space="0" w:color="000000"/>
              <w:left w:val="single" w:sz="4" w:space="0" w:color="000000"/>
              <w:bottom w:val="single" w:sz="4" w:space="0" w:color="000000"/>
              <w:right w:val="single" w:sz="4" w:space="0" w:color="000000"/>
            </w:tcBorders>
          </w:tcPr>
          <w:p w14:paraId="3750460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Git avec dépôt distant</w:t>
            </w:r>
          </w:p>
        </w:tc>
        <w:tc>
          <w:tcPr>
            <w:tcW w:w="3986" w:type="dxa"/>
            <w:tcBorders>
              <w:top w:val="single" w:sz="4" w:space="0" w:color="000000"/>
              <w:left w:val="single" w:sz="4" w:space="0" w:color="000000"/>
              <w:bottom w:val="single" w:sz="4" w:space="0" w:color="000000"/>
              <w:right w:val="single" w:sz="4" w:space="0" w:color="000000"/>
            </w:tcBorders>
          </w:tcPr>
          <w:p w14:paraId="1D9C632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Chaque résultat d’essai doit être rattachable à une version précise du modèle. Sans cela, la validation n’est pas reproductible. Cet outil est la base de la stratégie de contrôle des versions de la section 4.</w:t>
            </w:r>
          </w:p>
        </w:tc>
      </w:tr>
      <w:tr w:rsidR="00F50D70" w:rsidRPr="00BE4F47" w14:paraId="286193AF" w14:textId="77777777">
        <w:trPr>
          <w:cantSplit/>
        </w:trPr>
        <w:tc>
          <w:tcPr>
            <w:tcW w:w="2011" w:type="dxa"/>
            <w:tcBorders>
              <w:top w:val="single" w:sz="4" w:space="0" w:color="000000"/>
              <w:left w:val="single" w:sz="4" w:space="0" w:color="000000"/>
              <w:bottom w:val="single" w:sz="4" w:space="0" w:color="000000"/>
              <w:right w:val="single" w:sz="4" w:space="0" w:color="000000"/>
            </w:tcBorders>
          </w:tcPr>
          <w:p w14:paraId="673F08A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Reproductibilité de l’environnement</w:t>
            </w:r>
          </w:p>
        </w:tc>
        <w:tc>
          <w:tcPr>
            <w:tcW w:w="2560" w:type="dxa"/>
            <w:tcBorders>
              <w:top w:val="single" w:sz="4" w:space="0" w:color="000000"/>
              <w:left w:val="single" w:sz="4" w:space="0" w:color="000000"/>
              <w:bottom w:val="single" w:sz="4" w:space="0" w:color="000000"/>
              <w:right w:val="single" w:sz="4" w:space="0" w:color="000000"/>
            </w:tcBorders>
          </w:tcPr>
          <w:p w14:paraId="783CAE4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Docker</w:t>
            </w:r>
          </w:p>
        </w:tc>
        <w:tc>
          <w:tcPr>
            <w:tcW w:w="3986" w:type="dxa"/>
            <w:tcBorders>
              <w:top w:val="single" w:sz="4" w:space="0" w:color="000000"/>
              <w:left w:val="single" w:sz="4" w:space="0" w:color="000000"/>
              <w:bottom w:val="single" w:sz="4" w:space="0" w:color="000000"/>
              <w:right w:val="single" w:sz="4" w:space="0" w:color="000000"/>
            </w:tcBorders>
          </w:tcPr>
          <w:p w14:paraId="4AF8084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Fige les versions des bibliothèques. Un essai rejoué six semaines plus tard doit donner le même résultat. Contribue à l’exigence EX-Q-05.</w:t>
            </w:r>
          </w:p>
        </w:tc>
      </w:tr>
      <w:tr w:rsidR="00F50D70" w:rsidRPr="00BE4F47" w14:paraId="58582E07" w14:textId="77777777">
        <w:trPr>
          <w:cantSplit/>
        </w:trPr>
        <w:tc>
          <w:tcPr>
            <w:tcW w:w="2011" w:type="dxa"/>
            <w:tcBorders>
              <w:top w:val="single" w:sz="4" w:space="0" w:color="000000"/>
              <w:left w:val="single" w:sz="4" w:space="0" w:color="000000"/>
              <w:bottom w:val="single" w:sz="4" w:space="0" w:color="000000"/>
              <w:right w:val="single" w:sz="4" w:space="0" w:color="000000"/>
            </w:tcBorders>
          </w:tcPr>
          <w:p w14:paraId="426B73E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Suivi de projet et valeur acquise</w:t>
            </w:r>
          </w:p>
        </w:tc>
        <w:tc>
          <w:tcPr>
            <w:tcW w:w="2560" w:type="dxa"/>
            <w:tcBorders>
              <w:top w:val="single" w:sz="4" w:space="0" w:color="000000"/>
              <w:left w:val="single" w:sz="4" w:space="0" w:color="000000"/>
              <w:bottom w:val="single" w:sz="4" w:space="0" w:color="000000"/>
              <w:right w:val="single" w:sz="4" w:space="0" w:color="000000"/>
            </w:tcBorders>
          </w:tcPr>
          <w:p w14:paraId="2F49F16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GitHub Projects et issues, offre éducation</w:t>
            </w:r>
          </w:p>
        </w:tc>
        <w:tc>
          <w:tcPr>
            <w:tcW w:w="3986" w:type="dxa"/>
            <w:tcBorders>
              <w:top w:val="single" w:sz="4" w:space="0" w:color="000000"/>
              <w:left w:val="single" w:sz="4" w:space="0" w:color="000000"/>
              <w:bottom w:val="single" w:sz="4" w:space="0" w:color="000000"/>
              <w:right w:val="single" w:sz="4" w:space="0" w:color="000000"/>
            </w:tcBorders>
          </w:tcPr>
          <w:p w14:paraId="42BFEF9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Déjà en place dans l’équipe. Alimente le suivi de la section 10.</w:t>
            </w:r>
          </w:p>
        </w:tc>
      </w:tr>
      <w:tr w:rsidR="00F50D70" w:rsidRPr="00BE4F47" w14:paraId="243429CB" w14:textId="77777777">
        <w:trPr>
          <w:cantSplit/>
        </w:trPr>
        <w:tc>
          <w:tcPr>
            <w:tcW w:w="2011" w:type="dxa"/>
            <w:tcBorders>
              <w:top w:val="single" w:sz="4" w:space="0" w:color="000000"/>
              <w:left w:val="single" w:sz="4" w:space="0" w:color="000000"/>
              <w:bottom w:val="single" w:sz="4" w:space="0" w:color="000000"/>
              <w:right w:val="single" w:sz="4" w:space="0" w:color="000000"/>
            </w:tcBorders>
          </w:tcPr>
          <w:p w14:paraId="49EAB42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Gestion des références bibliographiques</w:t>
            </w:r>
          </w:p>
        </w:tc>
        <w:tc>
          <w:tcPr>
            <w:tcW w:w="2560" w:type="dxa"/>
            <w:tcBorders>
              <w:top w:val="single" w:sz="4" w:space="0" w:color="000000"/>
              <w:left w:val="single" w:sz="4" w:space="0" w:color="000000"/>
              <w:bottom w:val="single" w:sz="4" w:space="0" w:color="000000"/>
              <w:right w:val="single" w:sz="4" w:space="0" w:color="000000"/>
            </w:tcBorders>
          </w:tcPr>
          <w:p w14:paraId="4C0D644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Zotero, style IEEE</w:t>
            </w:r>
          </w:p>
        </w:tc>
        <w:tc>
          <w:tcPr>
            <w:tcW w:w="3986" w:type="dxa"/>
            <w:tcBorders>
              <w:top w:val="single" w:sz="4" w:space="0" w:color="000000"/>
              <w:left w:val="single" w:sz="4" w:space="0" w:color="000000"/>
              <w:bottom w:val="single" w:sz="4" w:space="0" w:color="000000"/>
              <w:right w:val="single" w:sz="4" w:space="0" w:color="000000"/>
            </w:tcBorders>
          </w:tcPr>
          <w:p w14:paraId="38CCCF2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Assure la cohérence et la renumérotation automatique des renvois entre les onze sections et les huit rédacteurs. La bibliothèque est tenue par le chargé de projet.</w:t>
            </w:r>
          </w:p>
        </w:tc>
      </w:tr>
    </w:tbl>
    <w:p w14:paraId="69A38D12" w14:textId="77777777" w:rsidR="00F50D70" w:rsidRPr="0036725C" w:rsidRDefault="00137D7F" w:rsidP="008E113B">
      <w:pPr>
        <w:pStyle w:val="Titre2"/>
        <w:spacing w:line="360" w:lineRule="auto"/>
      </w:pPr>
      <w:bookmarkStart w:id="623" w:name="_Toc241670304"/>
      <w:r w:rsidRPr="0036725C">
        <w:t>Ressources informationnelles et normatives</w:t>
      </w:r>
      <w:bookmarkEnd w:id="623"/>
    </w:p>
    <w:p w14:paraId="4267DEC8"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624" w:name="_Toc241083135"/>
      <w:bookmarkStart w:id="625" w:name="_Toc241670305"/>
      <w:r w:rsidRPr="00BE4F47">
        <w:rPr>
          <w:rFonts w:ascii="Aptos" w:hAnsi="Aptos"/>
          <w:color w:val="1A1A19"/>
          <w:sz w:val="20"/>
          <w:szCs w:val="20"/>
        </w:rPr>
        <w:t>La documentation normative est une ressource du projet. Elle conditionne la section 6 du plan, mais aussi l’architecture retenue et le contenu de la campagne d’essais. Son acquisition est imputée au lot L3.</w:t>
      </w:r>
      <w:bookmarkEnd w:id="624"/>
      <w:bookmarkEnd w:id="625"/>
    </w:p>
    <w:p w14:paraId="25DA6E75" w14:textId="77777777" w:rsidR="00F50D70" w:rsidRPr="00BE4F47" w:rsidRDefault="00137D7F" w:rsidP="008E113B">
      <w:pPr>
        <w:pStyle w:val="Lgende"/>
        <w:keepNext/>
        <w:spacing w:line="360" w:lineRule="auto"/>
        <w:rPr>
          <w:rFonts w:ascii="Aptos" w:hAnsi="Aptos"/>
        </w:rPr>
      </w:pPr>
      <w:bookmarkStart w:id="626" w:name="_Toc241083136"/>
      <w:bookmarkStart w:id="627" w:name="_Toc241670306"/>
      <w:r w:rsidRPr="00BE4F47">
        <w:rPr>
          <w:rFonts w:ascii="Aptos" w:hAnsi="Aptos"/>
        </w:rPr>
        <w:t>Tableau 8-5. Ressources informationnelles et normatives</w:t>
      </w:r>
      <w:bookmarkEnd w:id="626"/>
      <w:bookmarkEnd w:id="627"/>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2286"/>
        <w:gridCol w:w="3840"/>
        <w:gridCol w:w="2431"/>
      </w:tblGrid>
      <w:tr w:rsidR="00F50D70" w:rsidRPr="00BE4F47" w14:paraId="2D5B0BF1" w14:textId="77777777">
        <w:trPr>
          <w:tblHeader/>
        </w:trPr>
        <w:tc>
          <w:tcPr>
            <w:tcW w:w="2286" w:type="dxa"/>
            <w:tcBorders>
              <w:top w:val="single" w:sz="4" w:space="0" w:color="000000"/>
              <w:left w:val="single" w:sz="4" w:space="0" w:color="000000"/>
              <w:bottom w:val="single" w:sz="4" w:space="0" w:color="000000"/>
              <w:right w:val="single" w:sz="4" w:space="0" w:color="000000"/>
            </w:tcBorders>
            <w:shd w:val="clear" w:color="auto" w:fill="EFF4FB"/>
          </w:tcPr>
          <w:p w14:paraId="47CC432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Corpus</w:t>
            </w:r>
          </w:p>
        </w:tc>
        <w:tc>
          <w:tcPr>
            <w:tcW w:w="3840" w:type="dxa"/>
            <w:tcBorders>
              <w:top w:val="single" w:sz="4" w:space="0" w:color="000000"/>
              <w:left w:val="single" w:sz="4" w:space="0" w:color="000000"/>
              <w:bottom w:val="single" w:sz="4" w:space="0" w:color="000000"/>
              <w:right w:val="single" w:sz="4" w:space="0" w:color="000000"/>
            </w:tcBorders>
            <w:shd w:val="clear" w:color="auto" w:fill="EFF4FB"/>
          </w:tcPr>
          <w:p w14:paraId="02387E3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Documents visés</w:t>
            </w:r>
          </w:p>
        </w:tc>
        <w:tc>
          <w:tcPr>
            <w:tcW w:w="2431" w:type="dxa"/>
            <w:tcBorders>
              <w:top w:val="single" w:sz="4" w:space="0" w:color="000000"/>
              <w:left w:val="single" w:sz="4" w:space="0" w:color="000000"/>
              <w:bottom w:val="single" w:sz="4" w:space="0" w:color="000000"/>
              <w:right w:val="single" w:sz="4" w:space="0" w:color="000000"/>
            </w:tcBorders>
            <w:shd w:val="clear" w:color="auto" w:fill="EFF4FB"/>
          </w:tcPr>
          <w:p w14:paraId="4C4FD2E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Accès et coût</w:t>
            </w:r>
          </w:p>
        </w:tc>
      </w:tr>
      <w:tr w:rsidR="00F50D70" w:rsidRPr="00BE4F47" w14:paraId="0B2699A4" w14:textId="77777777">
        <w:trPr>
          <w:cantSplit/>
        </w:trPr>
        <w:tc>
          <w:tcPr>
            <w:tcW w:w="2286" w:type="dxa"/>
            <w:tcBorders>
              <w:top w:val="single" w:sz="4" w:space="0" w:color="000000"/>
              <w:left w:val="single" w:sz="4" w:space="0" w:color="000000"/>
              <w:bottom w:val="single" w:sz="4" w:space="0" w:color="000000"/>
              <w:right w:val="single" w:sz="4" w:space="0" w:color="000000"/>
            </w:tcBorders>
          </w:tcPr>
          <w:p w14:paraId="18E5D81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Sûreté et cybersécurité nucléaires</w:t>
            </w:r>
          </w:p>
        </w:tc>
        <w:tc>
          <w:tcPr>
            <w:tcW w:w="3840" w:type="dxa"/>
            <w:tcBorders>
              <w:top w:val="single" w:sz="4" w:space="0" w:color="000000"/>
              <w:left w:val="single" w:sz="4" w:space="0" w:color="000000"/>
              <w:bottom w:val="single" w:sz="4" w:space="0" w:color="000000"/>
              <w:right w:val="single" w:sz="4" w:space="0" w:color="000000"/>
            </w:tcBorders>
          </w:tcPr>
          <w:p w14:paraId="44A0E03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CSA N290.7 [24]</w:t>
            </w:r>
          </w:p>
        </w:tc>
        <w:tc>
          <w:tcPr>
            <w:tcW w:w="2431" w:type="dxa"/>
            <w:tcBorders>
              <w:top w:val="single" w:sz="4" w:space="0" w:color="000000"/>
              <w:left w:val="single" w:sz="4" w:space="0" w:color="000000"/>
              <w:bottom w:val="single" w:sz="4" w:space="0" w:color="000000"/>
              <w:right w:val="single" w:sz="4" w:space="0" w:color="000000"/>
            </w:tcBorders>
          </w:tcPr>
          <w:p w14:paraId="6AC7B98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Abonnement institutionnel UQAC (H-07), sinon achat unitaire</w:t>
            </w:r>
          </w:p>
        </w:tc>
      </w:tr>
      <w:tr w:rsidR="00F50D70" w:rsidRPr="00BE4F47" w14:paraId="1D195AAD" w14:textId="77777777">
        <w:trPr>
          <w:cantSplit/>
        </w:trPr>
        <w:tc>
          <w:tcPr>
            <w:tcW w:w="2286" w:type="dxa"/>
            <w:tcBorders>
              <w:top w:val="single" w:sz="4" w:space="0" w:color="000000"/>
              <w:left w:val="single" w:sz="4" w:space="0" w:color="000000"/>
              <w:bottom w:val="single" w:sz="4" w:space="0" w:color="000000"/>
              <w:right w:val="single" w:sz="4" w:space="0" w:color="000000"/>
            </w:tcBorders>
          </w:tcPr>
          <w:p w14:paraId="62E0D14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Cadre réglementaire canadien</w:t>
            </w:r>
          </w:p>
        </w:tc>
        <w:tc>
          <w:tcPr>
            <w:tcW w:w="3840" w:type="dxa"/>
            <w:tcBorders>
              <w:top w:val="single" w:sz="4" w:space="0" w:color="000000"/>
              <w:left w:val="single" w:sz="4" w:space="0" w:color="000000"/>
              <w:bottom w:val="single" w:sz="4" w:space="0" w:color="000000"/>
              <w:right w:val="single" w:sz="4" w:space="0" w:color="000000"/>
            </w:tcBorders>
          </w:tcPr>
          <w:p w14:paraId="65C8E96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REGDOC-2.5.2 [25] et REGDOC-2.1.1 [2] de la CCSN</w:t>
            </w:r>
          </w:p>
        </w:tc>
        <w:tc>
          <w:tcPr>
            <w:tcW w:w="2431" w:type="dxa"/>
            <w:tcBorders>
              <w:top w:val="single" w:sz="4" w:space="0" w:color="000000"/>
              <w:left w:val="single" w:sz="4" w:space="0" w:color="000000"/>
              <w:bottom w:val="single" w:sz="4" w:space="0" w:color="000000"/>
              <w:right w:val="single" w:sz="4" w:space="0" w:color="000000"/>
            </w:tcBorders>
          </w:tcPr>
          <w:p w14:paraId="67AE199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Diffusion publique, gratuite</w:t>
            </w:r>
          </w:p>
        </w:tc>
      </w:tr>
      <w:tr w:rsidR="00F50D70" w:rsidRPr="00BE4F47" w14:paraId="667F0771" w14:textId="77777777">
        <w:trPr>
          <w:cantSplit/>
        </w:trPr>
        <w:tc>
          <w:tcPr>
            <w:tcW w:w="2286" w:type="dxa"/>
            <w:tcBorders>
              <w:top w:val="single" w:sz="4" w:space="0" w:color="000000"/>
              <w:left w:val="single" w:sz="4" w:space="0" w:color="000000"/>
              <w:bottom w:val="single" w:sz="4" w:space="0" w:color="000000"/>
              <w:right w:val="single" w:sz="4" w:space="0" w:color="000000"/>
            </w:tcBorders>
          </w:tcPr>
          <w:p w14:paraId="70B872F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lastRenderedPageBreak/>
              <w:t>Instrumentation, contrôle et logiciel de sûreté</w:t>
            </w:r>
          </w:p>
        </w:tc>
        <w:tc>
          <w:tcPr>
            <w:tcW w:w="3840" w:type="dxa"/>
            <w:tcBorders>
              <w:top w:val="single" w:sz="4" w:space="0" w:color="000000"/>
              <w:left w:val="single" w:sz="4" w:space="0" w:color="000000"/>
              <w:bottom w:val="single" w:sz="4" w:space="0" w:color="000000"/>
              <w:right w:val="single" w:sz="4" w:space="0" w:color="000000"/>
            </w:tcBorders>
          </w:tcPr>
          <w:p w14:paraId="6F20537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IEC 61513 [36], IEC 60880 [37], IEC 62138 [38], IEEE 1012 [31]</w:t>
            </w:r>
          </w:p>
        </w:tc>
        <w:tc>
          <w:tcPr>
            <w:tcW w:w="2431" w:type="dxa"/>
            <w:tcBorders>
              <w:top w:val="single" w:sz="4" w:space="0" w:color="000000"/>
              <w:left w:val="single" w:sz="4" w:space="0" w:color="000000"/>
              <w:bottom w:val="single" w:sz="4" w:space="0" w:color="000000"/>
              <w:right w:val="single" w:sz="4" w:space="0" w:color="000000"/>
            </w:tcBorders>
          </w:tcPr>
          <w:p w14:paraId="462DCF8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Abonnement institutionnel</w:t>
            </w:r>
          </w:p>
        </w:tc>
      </w:tr>
      <w:tr w:rsidR="00F50D70" w:rsidRPr="00BE4F47" w14:paraId="5D166ADE" w14:textId="77777777">
        <w:trPr>
          <w:cantSplit/>
        </w:trPr>
        <w:tc>
          <w:tcPr>
            <w:tcW w:w="2286" w:type="dxa"/>
            <w:tcBorders>
              <w:top w:val="single" w:sz="4" w:space="0" w:color="000000"/>
              <w:left w:val="single" w:sz="4" w:space="0" w:color="000000"/>
              <w:bottom w:val="single" w:sz="4" w:space="0" w:color="000000"/>
              <w:right w:val="single" w:sz="4" w:space="0" w:color="000000"/>
            </w:tcBorders>
          </w:tcPr>
          <w:p w14:paraId="324D69F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Cybersécurité des systèmes de contrôle</w:t>
            </w:r>
          </w:p>
        </w:tc>
        <w:tc>
          <w:tcPr>
            <w:tcW w:w="3840" w:type="dxa"/>
            <w:tcBorders>
              <w:top w:val="single" w:sz="4" w:space="0" w:color="000000"/>
              <w:left w:val="single" w:sz="4" w:space="0" w:color="000000"/>
              <w:bottom w:val="single" w:sz="4" w:space="0" w:color="000000"/>
              <w:right w:val="single" w:sz="4" w:space="0" w:color="000000"/>
            </w:tcBorders>
          </w:tcPr>
          <w:p w14:paraId="5EE81D5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IEC 62645 [33], IEC 63096 [34], IEC 62859 [35]</w:t>
            </w:r>
          </w:p>
        </w:tc>
        <w:tc>
          <w:tcPr>
            <w:tcW w:w="2431" w:type="dxa"/>
            <w:tcBorders>
              <w:top w:val="single" w:sz="4" w:space="0" w:color="000000"/>
              <w:left w:val="single" w:sz="4" w:space="0" w:color="000000"/>
              <w:bottom w:val="single" w:sz="4" w:space="0" w:color="000000"/>
              <w:right w:val="single" w:sz="4" w:space="0" w:color="000000"/>
            </w:tcBorders>
          </w:tcPr>
          <w:p w14:paraId="09BAC4A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Abonnement institutionnel</w:t>
            </w:r>
          </w:p>
        </w:tc>
      </w:tr>
      <w:tr w:rsidR="00F50D70" w:rsidRPr="00BE4F47" w14:paraId="4C3BAF6D" w14:textId="77777777">
        <w:trPr>
          <w:cantSplit/>
        </w:trPr>
        <w:tc>
          <w:tcPr>
            <w:tcW w:w="2286" w:type="dxa"/>
            <w:tcBorders>
              <w:top w:val="single" w:sz="4" w:space="0" w:color="000000"/>
              <w:left w:val="single" w:sz="4" w:space="0" w:color="000000"/>
              <w:bottom w:val="single" w:sz="4" w:space="0" w:color="000000"/>
              <w:right w:val="single" w:sz="4" w:space="0" w:color="000000"/>
            </w:tcBorders>
          </w:tcPr>
          <w:p w14:paraId="400EB5B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Cadre du jumeau numérique</w:t>
            </w:r>
          </w:p>
        </w:tc>
        <w:tc>
          <w:tcPr>
            <w:tcW w:w="3840" w:type="dxa"/>
            <w:tcBorders>
              <w:top w:val="single" w:sz="4" w:space="0" w:color="000000"/>
              <w:left w:val="single" w:sz="4" w:space="0" w:color="000000"/>
              <w:bottom w:val="single" w:sz="4" w:space="0" w:color="000000"/>
              <w:right w:val="single" w:sz="4" w:space="0" w:color="000000"/>
            </w:tcBorders>
          </w:tcPr>
          <w:p w14:paraId="0F5D287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ISO 23247-1 [27] et ISO 23247-2 [46]</w:t>
            </w:r>
          </w:p>
        </w:tc>
        <w:tc>
          <w:tcPr>
            <w:tcW w:w="2431" w:type="dxa"/>
            <w:tcBorders>
              <w:top w:val="single" w:sz="4" w:space="0" w:color="000000"/>
              <w:left w:val="single" w:sz="4" w:space="0" w:color="000000"/>
              <w:bottom w:val="single" w:sz="4" w:space="0" w:color="000000"/>
              <w:right w:val="single" w:sz="4" w:space="0" w:color="000000"/>
            </w:tcBorders>
          </w:tcPr>
          <w:p w14:paraId="03E6E71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Abonnement institutionnel</w:t>
            </w:r>
          </w:p>
        </w:tc>
      </w:tr>
      <w:tr w:rsidR="00F50D70" w:rsidRPr="00BE4F47" w14:paraId="5C7E13E6" w14:textId="77777777">
        <w:trPr>
          <w:cantSplit/>
        </w:trPr>
        <w:tc>
          <w:tcPr>
            <w:tcW w:w="2286" w:type="dxa"/>
            <w:tcBorders>
              <w:top w:val="single" w:sz="4" w:space="0" w:color="000000"/>
              <w:left w:val="single" w:sz="4" w:space="0" w:color="000000"/>
              <w:bottom w:val="single" w:sz="4" w:space="0" w:color="000000"/>
              <w:right w:val="single" w:sz="4" w:space="0" w:color="000000"/>
            </w:tcBorders>
          </w:tcPr>
          <w:p w14:paraId="28C5B52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Vérification et validation des modèles numériques</w:t>
            </w:r>
          </w:p>
        </w:tc>
        <w:tc>
          <w:tcPr>
            <w:tcW w:w="3840" w:type="dxa"/>
            <w:tcBorders>
              <w:top w:val="single" w:sz="4" w:space="0" w:color="000000"/>
              <w:left w:val="single" w:sz="4" w:space="0" w:color="000000"/>
              <w:bottom w:val="single" w:sz="4" w:space="0" w:color="000000"/>
              <w:right w:val="single" w:sz="4" w:space="0" w:color="000000"/>
            </w:tcBorders>
          </w:tcPr>
          <w:p w14:paraId="43C44B4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ASME V&amp;V 20 [30]</w:t>
            </w:r>
          </w:p>
        </w:tc>
        <w:tc>
          <w:tcPr>
            <w:tcW w:w="2431" w:type="dxa"/>
            <w:tcBorders>
              <w:top w:val="single" w:sz="4" w:space="0" w:color="000000"/>
              <w:left w:val="single" w:sz="4" w:space="0" w:color="000000"/>
              <w:bottom w:val="single" w:sz="4" w:space="0" w:color="000000"/>
              <w:right w:val="single" w:sz="4" w:space="0" w:color="000000"/>
            </w:tcBorders>
          </w:tcPr>
          <w:p w14:paraId="5C87B02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Abonnement institutionnel</w:t>
            </w:r>
          </w:p>
        </w:tc>
      </w:tr>
      <w:tr w:rsidR="00F50D70" w:rsidRPr="00BE4F47" w14:paraId="7B560112" w14:textId="77777777">
        <w:trPr>
          <w:cantSplit/>
        </w:trPr>
        <w:tc>
          <w:tcPr>
            <w:tcW w:w="2286" w:type="dxa"/>
            <w:tcBorders>
              <w:top w:val="single" w:sz="4" w:space="0" w:color="000000"/>
              <w:left w:val="single" w:sz="4" w:space="0" w:color="000000"/>
              <w:bottom w:val="single" w:sz="4" w:space="0" w:color="000000"/>
              <w:right w:val="single" w:sz="4" w:space="0" w:color="000000"/>
            </w:tcBorders>
          </w:tcPr>
          <w:p w14:paraId="6BCE33D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Qualité, exigences et ergonomie</w:t>
            </w:r>
          </w:p>
        </w:tc>
        <w:tc>
          <w:tcPr>
            <w:tcW w:w="3840" w:type="dxa"/>
            <w:tcBorders>
              <w:top w:val="single" w:sz="4" w:space="0" w:color="000000"/>
              <w:left w:val="single" w:sz="4" w:space="0" w:color="000000"/>
              <w:bottom w:val="single" w:sz="4" w:space="0" w:color="000000"/>
              <w:right w:val="single" w:sz="4" w:space="0" w:color="000000"/>
            </w:tcBorders>
          </w:tcPr>
          <w:p w14:paraId="60A6F44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en-CA"/>
              </w:rPr>
            </w:pPr>
            <w:r w:rsidRPr="00BE4F47">
              <w:rPr>
                <w:rFonts w:ascii="Aptos" w:eastAsia="Calibri" w:hAnsi="Aptos" w:cs="Calibri"/>
                <w:color w:val="1A1A19"/>
                <w:sz w:val="16"/>
                <w:szCs w:val="16"/>
                <w:lang w:val="en-CA"/>
              </w:rPr>
              <w:t>ISO/IEC 25010 [28], ISO 9241-210 [32], ISO/IEC/IEEE 29148 [1]</w:t>
            </w:r>
          </w:p>
        </w:tc>
        <w:tc>
          <w:tcPr>
            <w:tcW w:w="2431" w:type="dxa"/>
            <w:tcBorders>
              <w:top w:val="single" w:sz="4" w:space="0" w:color="000000"/>
              <w:left w:val="single" w:sz="4" w:space="0" w:color="000000"/>
              <w:bottom w:val="single" w:sz="4" w:space="0" w:color="000000"/>
              <w:right w:val="single" w:sz="4" w:space="0" w:color="000000"/>
            </w:tcBorders>
          </w:tcPr>
          <w:p w14:paraId="7FF529E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Abonnement institutionnel</w:t>
            </w:r>
          </w:p>
        </w:tc>
      </w:tr>
      <w:tr w:rsidR="00F50D70" w:rsidRPr="00BE4F47" w14:paraId="08B2712F" w14:textId="77777777">
        <w:trPr>
          <w:cantSplit/>
        </w:trPr>
        <w:tc>
          <w:tcPr>
            <w:tcW w:w="2286" w:type="dxa"/>
            <w:tcBorders>
              <w:top w:val="single" w:sz="4" w:space="0" w:color="000000"/>
              <w:left w:val="single" w:sz="4" w:space="0" w:color="000000"/>
              <w:bottom w:val="single" w:sz="4" w:space="0" w:color="000000"/>
              <w:right w:val="single" w:sz="4" w:space="0" w:color="000000"/>
            </w:tcBorders>
          </w:tcPr>
          <w:p w14:paraId="2D74148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Retour d’expérience international</w:t>
            </w:r>
          </w:p>
        </w:tc>
        <w:tc>
          <w:tcPr>
            <w:tcW w:w="3840" w:type="dxa"/>
            <w:tcBorders>
              <w:top w:val="single" w:sz="4" w:space="0" w:color="000000"/>
              <w:left w:val="single" w:sz="4" w:space="0" w:color="000000"/>
              <w:bottom w:val="single" w:sz="4" w:space="0" w:color="000000"/>
              <w:right w:val="single" w:sz="4" w:space="0" w:color="000000"/>
            </w:tcBorders>
          </w:tcPr>
          <w:p w14:paraId="5944B57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Rapports de l’AIEA sur l’instrumentation et le contrôle numériques [47] et sur la V&amp;V logicielle [48]</w:t>
            </w:r>
          </w:p>
        </w:tc>
        <w:tc>
          <w:tcPr>
            <w:tcW w:w="2431" w:type="dxa"/>
            <w:tcBorders>
              <w:top w:val="single" w:sz="4" w:space="0" w:color="000000"/>
              <w:left w:val="single" w:sz="4" w:space="0" w:color="000000"/>
              <w:bottom w:val="single" w:sz="4" w:space="0" w:color="000000"/>
              <w:right w:val="single" w:sz="4" w:space="0" w:color="000000"/>
            </w:tcBorders>
          </w:tcPr>
          <w:p w14:paraId="3BF387E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Diffusion publique, gratuite</w:t>
            </w:r>
          </w:p>
        </w:tc>
      </w:tr>
      <w:tr w:rsidR="00F50D70" w:rsidRPr="00BE4F47" w14:paraId="71511539" w14:textId="77777777">
        <w:trPr>
          <w:cantSplit/>
        </w:trPr>
        <w:tc>
          <w:tcPr>
            <w:tcW w:w="2286" w:type="dxa"/>
            <w:tcBorders>
              <w:top w:val="single" w:sz="4" w:space="0" w:color="000000"/>
              <w:left w:val="single" w:sz="4" w:space="0" w:color="000000"/>
              <w:bottom w:val="single" w:sz="4" w:space="0" w:color="000000"/>
              <w:right w:val="single" w:sz="4" w:space="0" w:color="000000"/>
            </w:tcBorders>
          </w:tcPr>
          <w:p w14:paraId="40ACC2A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Contexte du site</w:t>
            </w:r>
          </w:p>
        </w:tc>
        <w:tc>
          <w:tcPr>
            <w:tcW w:w="3840" w:type="dxa"/>
            <w:tcBorders>
              <w:top w:val="single" w:sz="4" w:space="0" w:color="000000"/>
              <w:left w:val="single" w:sz="4" w:space="0" w:color="000000"/>
              <w:bottom w:val="single" w:sz="4" w:space="0" w:color="000000"/>
              <w:right w:val="single" w:sz="4" w:space="0" w:color="000000"/>
            </w:tcBorders>
          </w:tcPr>
          <w:p w14:paraId="3EB3A14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Documentation publique d’Hydro-Québec et décision de déclassement de la CCSN pour Gentilly-2 [49]</w:t>
            </w:r>
          </w:p>
        </w:tc>
        <w:tc>
          <w:tcPr>
            <w:tcW w:w="2431" w:type="dxa"/>
            <w:tcBorders>
              <w:top w:val="single" w:sz="4" w:space="0" w:color="000000"/>
              <w:left w:val="single" w:sz="4" w:space="0" w:color="000000"/>
              <w:bottom w:val="single" w:sz="4" w:space="0" w:color="000000"/>
              <w:right w:val="single" w:sz="4" w:space="0" w:color="000000"/>
            </w:tcBorders>
          </w:tcPr>
          <w:p w14:paraId="0C3F3E9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Diffusion publique, gratuite</w:t>
            </w:r>
          </w:p>
        </w:tc>
      </w:tr>
    </w:tbl>
    <w:p w14:paraId="221CD8AD"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628" w:name="_Toc241083137"/>
      <w:bookmarkStart w:id="629" w:name="_Toc241670307"/>
      <w:r w:rsidRPr="00BE4F47">
        <w:rPr>
          <w:rFonts w:ascii="Aptos" w:hAnsi="Aptos"/>
          <w:color w:val="1A1A19"/>
          <w:sz w:val="20"/>
          <w:szCs w:val="20"/>
        </w:rPr>
        <w:t>L’édition en vigueur de chaque norme est vérifiée au moment de la citation. Deux normes du tableau de la section 6 avaient changé d’édition depuis la première version du plan.</w:t>
      </w:r>
      <w:bookmarkEnd w:id="628"/>
      <w:bookmarkEnd w:id="629"/>
    </w:p>
    <w:p w14:paraId="7224011F" w14:textId="77777777" w:rsidR="00F50D70" w:rsidRPr="00B36301" w:rsidRDefault="00137D7F" w:rsidP="008E113B">
      <w:pPr>
        <w:pStyle w:val="Titre1"/>
        <w:spacing w:line="360" w:lineRule="auto"/>
      </w:pPr>
      <w:bookmarkStart w:id="630" w:name="__RefHeading___Toc240715287"/>
      <w:bookmarkStart w:id="631" w:name="_Toc241670308"/>
      <w:bookmarkEnd w:id="630"/>
      <w:r w:rsidRPr="00B36301">
        <w:t>Estimation préliminaire des coûts</w:t>
      </w:r>
      <w:bookmarkEnd w:id="631"/>
    </w:p>
    <w:p w14:paraId="6A4BEE28" w14:textId="77777777" w:rsidR="00F50D70" w:rsidRPr="00BE4F47" w:rsidRDefault="00137D7F" w:rsidP="008E113B">
      <w:pPr>
        <w:spacing w:after="130" w:line="360" w:lineRule="auto"/>
        <w:ind w:left="360"/>
        <w:rPr>
          <w:rFonts w:ascii="Aptos" w:hAnsi="Aptos"/>
        </w:rPr>
      </w:pPr>
      <w:bookmarkStart w:id="632" w:name="_Toc241083139"/>
      <w:bookmarkStart w:id="633" w:name="_Toc241670309"/>
      <w:r w:rsidRPr="00BE4F47">
        <w:rPr>
          <w:rFonts w:ascii="Aptos" w:hAnsi="Aptos"/>
          <w:color w:val="1A1A19"/>
          <w:sz w:val="20"/>
          <w:szCs w:val="20"/>
        </w:rPr>
        <w:t>La section 8 a converti le travail en heures et en ressources. Celle-ci convertit ces heures en dollars. Elle reprend la grille budgétaire du cours et distingue trois montants : le coût du mandat, le prix porté au bordereau, et la réserve que le client conserve.</w:t>
      </w:r>
      <w:bookmarkEnd w:id="632"/>
      <w:bookmarkEnd w:id="633"/>
    </w:p>
    <w:p w14:paraId="56933EF0"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634" w:name="_Toc241083141"/>
      <w:bookmarkStart w:id="635" w:name="_Toc241670310"/>
      <w:r w:rsidRPr="00BE4F47">
        <w:rPr>
          <w:rFonts w:ascii="Aptos" w:hAnsi="Aptos"/>
          <w:color w:val="1A1A19"/>
          <w:sz w:val="20"/>
          <w:szCs w:val="20"/>
        </w:rPr>
        <w:t>L’estimation est de classe 5 au sens du référentiel AACE 18R-97 [44]. Le contenu technique du projet n’est défini qu’à quelques pour cent à ce stade. Une estimation de classe 5 admet un écart de −20 % à −50 % du côté bas et de +30 % à +100 % du côté haut. Appliqué au total du bordereau, 59 400 $, cet écart place le coût réel du mandat entre 30 000 $ et 119 000 $ environ. Cette fourchette se resserrera au jalon J1, après l’approbation du registre des exigences, quand l’estimation passera en classe 4.</w:t>
      </w:r>
      <w:bookmarkEnd w:id="634"/>
      <w:bookmarkEnd w:id="635"/>
    </w:p>
    <w:p w14:paraId="69E2591F" w14:textId="77777777" w:rsidR="00F50D70" w:rsidRPr="00BE4F47" w:rsidRDefault="00137D7F" w:rsidP="008E113B">
      <w:pPr>
        <w:spacing w:after="130" w:line="360" w:lineRule="auto"/>
        <w:ind w:left="360"/>
        <w:rPr>
          <w:rFonts w:ascii="Aptos" w:hAnsi="Aptos"/>
        </w:rPr>
      </w:pPr>
      <w:bookmarkStart w:id="636" w:name="_Toc241083142"/>
      <w:bookmarkStart w:id="637" w:name="_Toc241670311"/>
      <w:r w:rsidRPr="00BE4F47">
        <w:rPr>
          <w:rFonts w:ascii="Aptos" w:hAnsi="Aptos"/>
          <w:color w:val="1A1A19"/>
          <w:sz w:val="20"/>
          <w:szCs w:val="20"/>
        </w:rPr>
        <w:t>Deux hypothèses fixent la base de l’estimation. Elles viennent de la section 8, et toute modification apportée là doit être reportée ici.</w:t>
      </w:r>
      <w:bookmarkEnd w:id="636"/>
      <w:bookmarkEnd w:id="637"/>
    </w:p>
    <w:p w14:paraId="2B81F598" w14:textId="77777777" w:rsidR="00F50D70" w:rsidRPr="00BE4F47" w:rsidRDefault="00137D7F" w:rsidP="008E113B">
      <w:pPr>
        <w:numPr>
          <w:ilvl w:val="0"/>
          <w:numId w:val="20"/>
        </w:numPr>
        <w:spacing w:after="130" w:line="360" w:lineRule="auto"/>
        <w:ind w:left="720"/>
        <w:rPr>
          <w:rFonts w:ascii="Aptos" w:hAnsi="Aptos"/>
          <w:lang w:val="fr-FR"/>
        </w:rPr>
      </w:pPr>
      <w:bookmarkStart w:id="638" w:name="_Toc241670312"/>
      <w:r w:rsidRPr="00BE4F47">
        <w:rPr>
          <w:rFonts w:ascii="Aptos" w:hAnsi="Aptos"/>
          <w:color w:val="1A1A19"/>
          <w:sz w:val="20"/>
          <w:szCs w:val="20"/>
        </w:rPr>
        <w:t>Huit membres, 135 heures chacun, soit 1 080 heures. Cette enveloppe est une contrainte du mandat, pas un résultat de l’estimation.</w:t>
      </w:r>
      <w:bookmarkEnd w:id="638"/>
    </w:p>
    <w:p w14:paraId="33B7A14F" w14:textId="77777777" w:rsidR="00F50D70" w:rsidRPr="00BE4F47" w:rsidRDefault="00137D7F" w:rsidP="008E113B">
      <w:pPr>
        <w:numPr>
          <w:ilvl w:val="0"/>
          <w:numId w:val="20"/>
        </w:numPr>
        <w:spacing w:after="130" w:line="360" w:lineRule="auto"/>
        <w:ind w:left="720"/>
        <w:rPr>
          <w:rFonts w:ascii="Aptos" w:hAnsi="Aptos"/>
          <w:lang w:val="fr-FR"/>
        </w:rPr>
      </w:pPr>
      <w:bookmarkStart w:id="639" w:name="_Toc241670313"/>
      <w:r w:rsidRPr="00BE4F47">
        <w:rPr>
          <w:rFonts w:ascii="Aptos" w:hAnsi="Aptos"/>
          <w:color w:val="1A1A19"/>
          <w:sz w:val="20"/>
          <w:szCs w:val="20"/>
        </w:rPr>
        <w:t>Taux horaire unique de 50,00 $. Ce taux est un coût de revient, c’est-à-dire ce qu’une heure de travail coûte à l’équipe. Ce n’est pas un prix facturé. La marge n’entre pas dans l’estimation, elle est présentée à part.</w:t>
      </w:r>
      <w:bookmarkEnd w:id="639"/>
    </w:p>
    <w:p w14:paraId="26B42C6B" w14:textId="77777777" w:rsidR="00F50D70" w:rsidRPr="00BE4F47" w:rsidRDefault="00137D7F" w:rsidP="008E113B">
      <w:pPr>
        <w:spacing w:after="130" w:line="360" w:lineRule="auto"/>
        <w:ind w:left="360"/>
        <w:rPr>
          <w:rFonts w:ascii="Aptos" w:hAnsi="Aptos"/>
          <w:lang w:val="fr-FR"/>
        </w:rPr>
      </w:pPr>
      <w:bookmarkStart w:id="640" w:name="_Toc241670314"/>
      <w:r w:rsidRPr="00BE4F47">
        <w:rPr>
          <w:rFonts w:ascii="Aptos" w:hAnsi="Aptos"/>
          <w:color w:val="1A1A19"/>
          <w:sz w:val="20"/>
          <w:szCs w:val="20"/>
        </w:rPr>
        <w:t>Le barème des honoraires de l’Association des firmes de génie-conseil du Québec [50] donne des taux facturés nettement supérieurs. L’écart tient à cette distinction entre coût de revient et honoraire facturé.</w:t>
      </w:r>
      <w:bookmarkEnd w:id="640"/>
    </w:p>
    <w:p w14:paraId="6918BABE" w14:textId="77777777" w:rsidR="00F50D70" w:rsidRPr="00BE4F47" w:rsidRDefault="00137D7F" w:rsidP="008E113B">
      <w:pPr>
        <w:spacing w:after="130" w:line="360" w:lineRule="auto"/>
        <w:ind w:left="360"/>
        <w:rPr>
          <w:rFonts w:ascii="Aptos" w:hAnsi="Aptos"/>
          <w:lang w:val="fr-FR"/>
        </w:rPr>
      </w:pPr>
      <w:bookmarkStart w:id="641" w:name="_Toc241670315"/>
      <w:r w:rsidRPr="00BE4F47">
        <w:rPr>
          <w:rFonts w:ascii="Aptos" w:hAnsi="Aptos"/>
          <w:color w:val="1A1A19"/>
          <w:sz w:val="20"/>
          <w:szCs w:val="20"/>
        </w:rPr>
        <w:lastRenderedPageBreak/>
        <w:t>La répartition par lot figure à la section 8 et la répartition par jalon à la section 10. Aucun des deux tableaux n’est recopié ici, pour qu’ils ne puissent pas diverger.</w:t>
      </w:r>
      <w:bookmarkEnd w:id="641"/>
    </w:p>
    <w:p w14:paraId="74C0FBDD" w14:textId="77777777" w:rsidR="00F50D70" w:rsidRPr="00BE4F47" w:rsidRDefault="00137D7F" w:rsidP="008E113B">
      <w:pPr>
        <w:pStyle w:val="Titre2"/>
        <w:spacing w:line="360" w:lineRule="auto"/>
        <w:ind w:firstLine="425"/>
      </w:pPr>
      <w:bookmarkStart w:id="642" w:name="_Toc241670316"/>
      <w:r w:rsidRPr="00BE4F47">
        <w:t>Grille budgétaire</w:t>
      </w:r>
      <w:bookmarkEnd w:id="642"/>
    </w:p>
    <w:p w14:paraId="2A8B3C41"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643" w:name="_Toc241670317"/>
      <w:r w:rsidRPr="00BE4F47">
        <w:rPr>
          <w:rFonts w:ascii="Aptos" w:hAnsi="Aptos"/>
          <w:color w:val="1A1A19"/>
          <w:sz w:val="20"/>
          <w:szCs w:val="20"/>
        </w:rPr>
        <w:t>La grille suit le gabarit du cours. Chaque poste sans montant porte la raison de son exclusion.</w:t>
      </w:r>
      <w:bookmarkEnd w:id="643"/>
    </w:p>
    <w:p w14:paraId="3A9363E7" w14:textId="77777777" w:rsidR="00F50D70" w:rsidRPr="00BE4F47" w:rsidRDefault="00137D7F" w:rsidP="008E113B">
      <w:pPr>
        <w:pStyle w:val="Lgende"/>
        <w:keepNext/>
        <w:spacing w:line="360" w:lineRule="auto"/>
        <w:rPr>
          <w:rFonts w:ascii="Aptos" w:hAnsi="Aptos"/>
        </w:rPr>
      </w:pPr>
      <w:bookmarkStart w:id="644" w:name="_Toc241083144"/>
      <w:bookmarkStart w:id="645" w:name="_Toc241670318"/>
      <w:r w:rsidRPr="00BE4F47">
        <w:rPr>
          <w:rFonts w:ascii="Aptos" w:hAnsi="Aptos"/>
        </w:rPr>
        <w:t>Tableau 9-1. Grille budgétaire du mandat</w:t>
      </w:r>
      <w:bookmarkEnd w:id="644"/>
      <w:bookmarkEnd w:id="645"/>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1426"/>
        <w:gridCol w:w="2578"/>
        <w:gridCol w:w="2907"/>
        <w:gridCol w:w="1646"/>
      </w:tblGrid>
      <w:tr w:rsidR="00F50D70" w:rsidRPr="00BE4F47" w14:paraId="1415C8D6" w14:textId="77777777">
        <w:trPr>
          <w:tblHeader/>
        </w:trPr>
        <w:tc>
          <w:tcPr>
            <w:tcW w:w="1426" w:type="dxa"/>
            <w:tcBorders>
              <w:top w:val="single" w:sz="4" w:space="0" w:color="000000"/>
              <w:left w:val="single" w:sz="4" w:space="0" w:color="000000"/>
              <w:bottom w:val="single" w:sz="4" w:space="0" w:color="000000"/>
              <w:right w:val="single" w:sz="4" w:space="0" w:color="000000"/>
            </w:tcBorders>
            <w:shd w:val="clear" w:color="auto" w:fill="EFF4FB"/>
          </w:tcPr>
          <w:p w14:paraId="436C6A0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Catégorie</w:t>
            </w:r>
          </w:p>
        </w:tc>
        <w:tc>
          <w:tcPr>
            <w:tcW w:w="2578" w:type="dxa"/>
            <w:tcBorders>
              <w:top w:val="single" w:sz="4" w:space="0" w:color="000000"/>
              <w:left w:val="single" w:sz="4" w:space="0" w:color="000000"/>
              <w:bottom w:val="single" w:sz="4" w:space="0" w:color="000000"/>
              <w:right w:val="single" w:sz="4" w:space="0" w:color="000000"/>
            </w:tcBorders>
            <w:shd w:val="clear" w:color="auto" w:fill="EFF4FB"/>
          </w:tcPr>
          <w:p w14:paraId="312CC24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Poste</w:t>
            </w:r>
          </w:p>
        </w:tc>
        <w:tc>
          <w:tcPr>
            <w:tcW w:w="2907" w:type="dxa"/>
            <w:tcBorders>
              <w:top w:val="single" w:sz="4" w:space="0" w:color="000000"/>
              <w:left w:val="single" w:sz="4" w:space="0" w:color="000000"/>
              <w:bottom w:val="single" w:sz="4" w:space="0" w:color="000000"/>
              <w:right w:val="single" w:sz="4" w:space="0" w:color="000000"/>
            </w:tcBorders>
            <w:shd w:val="clear" w:color="auto" w:fill="EFF4FB"/>
          </w:tcPr>
          <w:p w14:paraId="1D26AE1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Base d’estimation</w:t>
            </w:r>
          </w:p>
        </w:tc>
        <w:tc>
          <w:tcPr>
            <w:tcW w:w="1646" w:type="dxa"/>
            <w:tcBorders>
              <w:top w:val="single" w:sz="4" w:space="0" w:color="000000"/>
              <w:left w:val="single" w:sz="4" w:space="0" w:color="000000"/>
              <w:bottom w:val="single" w:sz="4" w:space="0" w:color="000000"/>
              <w:right w:val="single" w:sz="4" w:space="0" w:color="000000"/>
            </w:tcBorders>
            <w:shd w:val="clear" w:color="auto" w:fill="EFF4FB"/>
          </w:tcPr>
          <w:p w14:paraId="6FF1389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Montant</w:t>
            </w:r>
          </w:p>
        </w:tc>
      </w:tr>
      <w:tr w:rsidR="00F50D70" w:rsidRPr="00BE4F47" w14:paraId="2E924774"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22C67F8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34162F7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Salaire de l’équipe : ingénierie, lots L2 à L9, 972 h</w:t>
            </w:r>
          </w:p>
        </w:tc>
        <w:tc>
          <w:tcPr>
            <w:tcW w:w="2907" w:type="dxa"/>
            <w:tcBorders>
              <w:top w:val="single" w:sz="4" w:space="0" w:color="000000"/>
              <w:left w:val="single" w:sz="4" w:space="0" w:color="000000"/>
              <w:bottom w:val="single" w:sz="4" w:space="0" w:color="000000"/>
              <w:right w:val="single" w:sz="4" w:space="0" w:color="000000"/>
            </w:tcBorders>
          </w:tcPr>
          <w:p w14:paraId="5227932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5, méthode ascendante, 50,00 $/h</w:t>
            </w:r>
          </w:p>
        </w:tc>
        <w:tc>
          <w:tcPr>
            <w:tcW w:w="1646" w:type="dxa"/>
            <w:tcBorders>
              <w:top w:val="single" w:sz="4" w:space="0" w:color="000000"/>
              <w:left w:val="single" w:sz="4" w:space="0" w:color="000000"/>
              <w:bottom w:val="single" w:sz="4" w:space="0" w:color="000000"/>
              <w:right w:val="single" w:sz="4" w:space="0" w:color="000000"/>
            </w:tcBorders>
          </w:tcPr>
          <w:p w14:paraId="53458F2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48 600,00 $</w:t>
            </w:r>
          </w:p>
        </w:tc>
      </w:tr>
      <w:tr w:rsidR="00F50D70" w:rsidRPr="00BE4F47" w14:paraId="3AC1CD05"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3CCBF70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77D0586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Salaire de l’équipe : gestion de projet, lot L1, 108 h</w:t>
            </w:r>
          </w:p>
        </w:tc>
        <w:tc>
          <w:tcPr>
            <w:tcW w:w="2907" w:type="dxa"/>
            <w:tcBorders>
              <w:top w:val="single" w:sz="4" w:space="0" w:color="000000"/>
              <w:left w:val="single" w:sz="4" w:space="0" w:color="000000"/>
              <w:bottom w:val="single" w:sz="4" w:space="0" w:color="000000"/>
              <w:right w:val="single" w:sz="4" w:space="0" w:color="000000"/>
            </w:tcBorders>
          </w:tcPr>
          <w:p w14:paraId="0EDC3C3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Classe 5, méthode ascendante, 50,00 $/h</w:t>
            </w:r>
          </w:p>
        </w:tc>
        <w:tc>
          <w:tcPr>
            <w:tcW w:w="1646" w:type="dxa"/>
            <w:tcBorders>
              <w:top w:val="single" w:sz="4" w:space="0" w:color="000000"/>
              <w:left w:val="single" w:sz="4" w:space="0" w:color="000000"/>
              <w:bottom w:val="single" w:sz="4" w:space="0" w:color="000000"/>
              <w:right w:val="single" w:sz="4" w:space="0" w:color="000000"/>
            </w:tcBorders>
          </w:tcPr>
          <w:p w14:paraId="31FFBB5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5 400,00 $</w:t>
            </w:r>
          </w:p>
        </w:tc>
      </w:tr>
      <w:tr w:rsidR="00F50D70" w:rsidRPr="00BE4F47" w14:paraId="180AA3FA"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37E3144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1D8EC5D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Équipement et matériaux</w:t>
            </w:r>
          </w:p>
        </w:tc>
        <w:tc>
          <w:tcPr>
            <w:tcW w:w="2907" w:type="dxa"/>
            <w:tcBorders>
              <w:top w:val="single" w:sz="4" w:space="0" w:color="000000"/>
              <w:left w:val="single" w:sz="4" w:space="0" w:color="000000"/>
              <w:bottom w:val="single" w:sz="4" w:space="0" w:color="000000"/>
              <w:right w:val="single" w:sz="4" w:space="0" w:color="000000"/>
            </w:tcBorders>
          </w:tcPr>
          <w:p w14:paraId="0949546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Sans objet. Le livrable est un logiciel.</w:t>
            </w:r>
          </w:p>
        </w:tc>
        <w:tc>
          <w:tcPr>
            <w:tcW w:w="1646" w:type="dxa"/>
            <w:tcBorders>
              <w:top w:val="single" w:sz="4" w:space="0" w:color="000000"/>
              <w:left w:val="single" w:sz="4" w:space="0" w:color="000000"/>
              <w:bottom w:val="single" w:sz="4" w:space="0" w:color="000000"/>
              <w:right w:val="single" w:sz="4" w:space="0" w:color="000000"/>
            </w:tcBorders>
          </w:tcPr>
          <w:p w14:paraId="5D36BD5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01742D10"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6B415A7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4538DE0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Composants revendus intégrés (fonctions A à D du gabarit)</w:t>
            </w:r>
          </w:p>
        </w:tc>
        <w:tc>
          <w:tcPr>
            <w:tcW w:w="2907" w:type="dxa"/>
            <w:tcBorders>
              <w:top w:val="single" w:sz="4" w:space="0" w:color="000000"/>
              <w:left w:val="single" w:sz="4" w:space="0" w:color="000000"/>
              <w:bottom w:val="single" w:sz="4" w:space="0" w:color="000000"/>
              <w:right w:val="single" w:sz="4" w:space="0" w:color="000000"/>
            </w:tcBorders>
          </w:tcPr>
          <w:p w14:paraId="31AB699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Sans objet. Aucun composant physique.</w:t>
            </w:r>
          </w:p>
        </w:tc>
        <w:tc>
          <w:tcPr>
            <w:tcW w:w="1646" w:type="dxa"/>
            <w:tcBorders>
              <w:top w:val="single" w:sz="4" w:space="0" w:color="000000"/>
              <w:left w:val="single" w:sz="4" w:space="0" w:color="000000"/>
              <w:bottom w:val="single" w:sz="4" w:space="0" w:color="000000"/>
              <w:right w:val="single" w:sz="4" w:space="0" w:color="000000"/>
            </w:tcBorders>
          </w:tcPr>
          <w:p w14:paraId="17FDDF8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66173DB7"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60F1601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26FFD1F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Marketing et études de marché</w:t>
            </w:r>
          </w:p>
        </w:tc>
        <w:tc>
          <w:tcPr>
            <w:tcW w:w="2907" w:type="dxa"/>
            <w:tcBorders>
              <w:top w:val="single" w:sz="4" w:space="0" w:color="000000"/>
              <w:left w:val="single" w:sz="4" w:space="0" w:color="000000"/>
              <w:bottom w:val="single" w:sz="4" w:space="0" w:color="000000"/>
              <w:right w:val="single" w:sz="4" w:space="0" w:color="000000"/>
            </w:tcBorders>
          </w:tcPr>
          <w:p w14:paraId="3F27730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Hors du périmètre du mandat</w:t>
            </w:r>
          </w:p>
        </w:tc>
        <w:tc>
          <w:tcPr>
            <w:tcW w:w="1646" w:type="dxa"/>
            <w:tcBorders>
              <w:top w:val="single" w:sz="4" w:space="0" w:color="000000"/>
              <w:left w:val="single" w:sz="4" w:space="0" w:color="000000"/>
              <w:bottom w:val="single" w:sz="4" w:space="0" w:color="000000"/>
              <w:right w:val="single" w:sz="4" w:space="0" w:color="000000"/>
            </w:tcBorders>
          </w:tcPr>
          <w:p w14:paraId="6773F1F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4D485485"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24A7884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4A23A36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Frais légaux</w:t>
            </w:r>
          </w:p>
        </w:tc>
        <w:tc>
          <w:tcPr>
            <w:tcW w:w="2907" w:type="dxa"/>
            <w:tcBorders>
              <w:top w:val="single" w:sz="4" w:space="0" w:color="000000"/>
              <w:left w:val="single" w:sz="4" w:space="0" w:color="000000"/>
              <w:bottom w:val="single" w:sz="4" w:space="0" w:color="000000"/>
              <w:right w:val="single" w:sz="4" w:space="0" w:color="000000"/>
            </w:tcBorders>
          </w:tcPr>
          <w:p w14:paraId="54403BD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Hors du périmètre du mandat</w:t>
            </w:r>
          </w:p>
        </w:tc>
        <w:tc>
          <w:tcPr>
            <w:tcW w:w="1646" w:type="dxa"/>
            <w:tcBorders>
              <w:top w:val="single" w:sz="4" w:space="0" w:color="000000"/>
              <w:left w:val="single" w:sz="4" w:space="0" w:color="000000"/>
              <w:bottom w:val="single" w:sz="4" w:space="0" w:color="000000"/>
              <w:right w:val="single" w:sz="4" w:space="0" w:color="000000"/>
            </w:tcBorders>
          </w:tcPr>
          <w:p w14:paraId="3F44CBB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07742DF6"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6ADF43C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12377AB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Déplacements : véhicule, hôtel, indemnité journalière</w:t>
            </w:r>
          </w:p>
        </w:tc>
        <w:tc>
          <w:tcPr>
            <w:tcW w:w="2907" w:type="dxa"/>
            <w:tcBorders>
              <w:top w:val="single" w:sz="4" w:space="0" w:color="000000"/>
              <w:left w:val="single" w:sz="4" w:space="0" w:color="000000"/>
              <w:bottom w:val="single" w:sz="4" w:space="0" w:color="000000"/>
              <w:right w:val="single" w:sz="4" w:space="0" w:color="000000"/>
            </w:tcBorders>
          </w:tcPr>
          <w:p w14:paraId="756A8CA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Travaux réalisés sur le campus de l’UQAC</w:t>
            </w:r>
          </w:p>
        </w:tc>
        <w:tc>
          <w:tcPr>
            <w:tcW w:w="1646" w:type="dxa"/>
            <w:tcBorders>
              <w:top w:val="single" w:sz="4" w:space="0" w:color="000000"/>
              <w:left w:val="single" w:sz="4" w:space="0" w:color="000000"/>
              <w:bottom w:val="single" w:sz="4" w:space="0" w:color="000000"/>
              <w:right w:val="single" w:sz="4" w:space="0" w:color="000000"/>
            </w:tcBorders>
          </w:tcPr>
          <w:p w14:paraId="13A3A16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34D8AE9F"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0F13F0A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0B04696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Publicité</w:t>
            </w:r>
          </w:p>
        </w:tc>
        <w:tc>
          <w:tcPr>
            <w:tcW w:w="2907" w:type="dxa"/>
            <w:tcBorders>
              <w:top w:val="single" w:sz="4" w:space="0" w:color="000000"/>
              <w:left w:val="single" w:sz="4" w:space="0" w:color="000000"/>
              <w:bottom w:val="single" w:sz="4" w:space="0" w:color="000000"/>
              <w:right w:val="single" w:sz="4" w:space="0" w:color="000000"/>
            </w:tcBorders>
          </w:tcPr>
          <w:p w14:paraId="434B438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Hors du périmètre du mandat</w:t>
            </w:r>
          </w:p>
        </w:tc>
        <w:tc>
          <w:tcPr>
            <w:tcW w:w="1646" w:type="dxa"/>
            <w:tcBorders>
              <w:top w:val="single" w:sz="4" w:space="0" w:color="000000"/>
              <w:left w:val="single" w:sz="4" w:space="0" w:color="000000"/>
              <w:bottom w:val="single" w:sz="4" w:space="0" w:color="000000"/>
              <w:right w:val="single" w:sz="4" w:space="0" w:color="000000"/>
            </w:tcBorders>
          </w:tcPr>
          <w:p w14:paraId="396A0F4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2319728F"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77AFDA7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305CAC6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Recherche et développement</w:t>
            </w:r>
          </w:p>
        </w:tc>
        <w:tc>
          <w:tcPr>
            <w:tcW w:w="2907" w:type="dxa"/>
            <w:tcBorders>
              <w:top w:val="single" w:sz="4" w:space="0" w:color="000000"/>
              <w:left w:val="single" w:sz="4" w:space="0" w:color="000000"/>
              <w:bottom w:val="single" w:sz="4" w:space="0" w:color="000000"/>
              <w:right w:val="single" w:sz="4" w:space="0" w:color="000000"/>
            </w:tcBorders>
          </w:tcPr>
          <w:p w14:paraId="6E4E7C2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Comprise dans les 972 h des lots L2 à L9</w:t>
            </w:r>
          </w:p>
        </w:tc>
        <w:tc>
          <w:tcPr>
            <w:tcW w:w="1646" w:type="dxa"/>
            <w:tcBorders>
              <w:top w:val="single" w:sz="4" w:space="0" w:color="000000"/>
              <w:left w:val="single" w:sz="4" w:space="0" w:color="000000"/>
              <w:bottom w:val="single" w:sz="4" w:space="0" w:color="000000"/>
              <w:right w:val="single" w:sz="4" w:space="0" w:color="000000"/>
            </w:tcBorders>
          </w:tcPr>
          <w:p w14:paraId="53FCC4D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4D4EFAAF"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224C9FB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7098A33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Étude de faisabilité</w:t>
            </w:r>
          </w:p>
        </w:tc>
        <w:tc>
          <w:tcPr>
            <w:tcW w:w="2907" w:type="dxa"/>
            <w:tcBorders>
              <w:top w:val="single" w:sz="4" w:space="0" w:color="000000"/>
              <w:left w:val="single" w:sz="4" w:space="0" w:color="000000"/>
              <w:bottom w:val="single" w:sz="4" w:space="0" w:color="000000"/>
              <w:right w:val="single" w:sz="4" w:space="0" w:color="000000"/>
            </w:tcBorders>
          </w:tcPr>
          <w:p w14:paraId="2ABA96D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Le plan de projet en tient lieu</w:t>
            </w:r>
          </w:p>
        </w:tc>
        <w:tc>
          <w:tcPr>
            <w:tcW w:w="1646" w:type="dxa"/>
            <w:tcBorders>
              <w:top w:val="single" w:sz="4" w:space="0" w:color="000000"/>
              <w:left w:val="single" w:sz="4" w:space="0" w:color="000000"/>
              <w:bottom w:val="single" w:sz="4" w:space="0" w:color="000000"/>
              <w:right w:val="single" w:sz="4" w:space="0" w:color="000000"/>
            </w:tcBorders>
          </w:tcPr>
          <w:p w14:paraId="533903A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2A6395BD"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69F3E88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tcPr>
          <w:p w14:paraId="4D2D9FB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TPS, TVQ et TVH</w:t>
            </w:r>
          </w:p>
        </w:tc>
        <w:tc>
          <w:tcPr>
            <w:tcW w:w="2907" w:type="dxa"/>
            <w:tcBorders>
              <w:top w:val="single" w:sz="4" w:space="0" w:color="000000"/>
              <w:left w:val="single" w:sz="4" w:space="0" w:color="000000"/>
              <w:bottom w:val="single" w:sz="4" w:space="0" w:color="000000"/>
              <w:right w:val="single" w:sz="4" w:space="0" w:color="000000"/>
            </w:tcBorders>
          </w:tcPr>
          <w:p w14:paraId="6A564E8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Mandat académique, aucune facturation réelle</w:t>
            </w:r>
          </w:p>
        </w:tc>
        <w:tc>
          <w:tcPr>
            <w:tcW w:w="1646" w:type="dxa"/>
            <w:tcBorders>
              <w:top w:val="single" w:sz="4" w:space="0" w:color="000000"/>
              <w:left w:val="single" w:sz="4" w:space="0" w:color="000000"/>
              <w:bottom w:val="single" w:sz="4" w:space="0" w:color="000000"/>
              <w:right w:val="single" w:sz="4" w:space="0" w:color="000000"/>
            </w:tcBorders>
          </w:tcPr>
          <w:p w14:paraId="0C0EAF3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2189D567" w14:textId="77777777">
        <w:trPr>
          <w:cantSplit/>
        </w:trPr>
        <w:tc>
          <w:tcPr>
            <w:tcW w:w="1426" w:type="dxa"/>
            <w:tcBorders>
              <w:top w:val="single" w:sz="4" w:space="0" w:color="000000"/>
              <w:left w:val="single" w:sz="4" w:space="0" w:color="000000"/>
              <w:bottom w:val="single" w:sz="4" w:space="0" w:color="000000"/>
              <w:right w:val="single" w:sz="4" w:space="0" w:color="000000"/>
            </w:tcBorders>
            <w:shd w:val="clear" w:color="auto" w:fill="EFF4FB"/>
          </w:tcPr>
          <w:p w14:paraId="49742A3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Coûts directs</w:t>
            </w:r>
          </w:p>
        </w:tc>
        <w:tc>
          <w:tcPr>
            <w:tcW w:w="2578" w:type="dxa"/>
            <w:tcBorders>
              <w:top w:val="single" w:sz="4" w:space="0" w:color="000000"/>
              <w:left w:val="single" w:sz="4" w:space="0" w:color="000000"/>
              <w:bottom w:val="single" w:sz="4" w:space="0" w:color="000000"/>
              <w:right w:val="single" w:sz="4" w:space="0" w:color="000000"/>
            </w:tcBorders>
            <w:shd w:val="clear" w:color="auto" w:fill="EFF4FB"/>
          </w:tcPr>
          <w:p w14:paraId="0884161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Sous-total des coûts directs</w:t>
            </w:r>
          </w:p>
        </w:tc>
        <w:tc>
          <w:tcPr>
            <w:tcW w:w="2907" w:type="dxa"/>
            <w:tcBorders>
              <w:top w:val="single" w:sz="4" w:space="0" w:color="000000"/>
              <w:left w:val="single" w:sz="4" w:space="0" w:color="000000"/>
              <w:bottom w:val="single" w:sz="4" w:space="0" w:color="000000"/>
              <w:right w:val="single" w:sz="4" w:space="0" w:color="000000"/>
            </w:tcBorders>
            <w:shd w:val="clear" w:color="auto" w:fill="EFF4FB"/>
          </w:tcPr>
          <w:p w14:paraId="4E5013D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1 080 h à 50,00 $/h</w:t>
            </w:r>
          </w:p>
        </w:tc>
        <w:tc>
          <w:tcPr>
            <w:tcW w:w="1646" w:type="dxa"/>
            <w:tcBorders>
              <w:top w:val="single" w:sz="4" w:space="0" w:color="000000"/>
              <w:left w:val="single" w:sz="4" w:space="0" w:color="000000"/>
              <w:bottom w:val="single" w:sz="4" w:space="0" w:color="000000"/>
              <w:right w:val="single" w:sz="4" w:space="0" w:color="000000"/>
            </w:tcBorders>
            <w:shd w:val="clear" w:color="auto" w:fill="EFF4FB"/>
          </w:tcPr>
          <w:p w14:paraId="71172F9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54 000,00 $</w:t>
            </w:r>
          </w:p>
        </w:tc>
      </w:tr>
      <w:tr w:rsidR="00F50D70" w:rsidRPr="00BE4F47" w14:paraId="1506F843"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3FCC9B9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2779110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Consultation et sous-traitance</w:t>
            </w:r>
          </w:p>
        </w:tc>
        <w:tc>
          <w:tcPr>
            <w:tcW w:w="2907" w:type="dxa"/>
            <w:tcBorders>
              <w:top w:val="single" w:sz="4" w:space="0" w:color="000000"/>
              <w:left w:val="single" w:sz="4" w:space="0" w:color="000000"/>
              <w:bottom w:val="single" w:sz="4" w:space="0" w:color="000000"/>
              <w:right w:val="single" w:sz="4" w:space="0" w:color="000000"/>
            </w:tcBorders>
          </w:tcPr>
          <w:p w14:paraId="6A8DE21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Aucun sous-traitant prévu</w:t>
            </w:r>
          </w:p>
        </w:tc>
        <w:tc>
          <w:tcPr>
            <w:tcW w:w="1646" w:type="dxa"/>
            <w:tcBorders>
              <w:top w:val="single" w:sz="4" w:space="0" w:color="000000"/>
              <w:left w:val="single" w:sz="4" w:space="0" w:color="000000"/>
              <w:bottom w:val="single" w:sz="4" w:space="0" w:color="000000"/>
              <w:right w:val="single" w:sz="4" w:space="0" w:color="000000"/>
            </w:tcBorders>
          </w:tcPr>
          <w:p w14:paraId="6028B72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1A322557"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476ED27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018C2A6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Télécommunications : téléphonie, internet</w:t>
            </w:r>
          </w:p>
        </w:tc>
        <w:tc>
          <w:tcPr>
            <w:tcW w:w="2907" w:type="dxa"/>
            <w:tcBorders>
              <w:top w:val="single" w:sz="4" w:space="0" w:color="000000"/>
              <w:left w:val="single" w:sz="4" w:space="0" w:color="000000"/>
              <w:bottom w:val="single" w:sz="4" w:space="0" w:color="000000"/>
              <w:right w:val="single" w:sz="4" w:space="0" w:color="000000"/>
            </w:tcBorders>
          </w:tcPr>
          <w:p w14:paraId="79441DE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Fournies par l’UQAC</w:t>
            </w:r>
          </w:p>
        </w:tc>
        <w:tc>
          <w:tcPr>
            <w:tcW w:w="1646" w:type="dxa"/>
            <w:tcBorders>
              <w:top w:val="single" w:sz="4" w:space="0" w:color="000000"/>
              <w:left w:val="single" w:sz="4" w:space="0" w:color="000000"/>
              <w:bottom w:val="single" w:sz="4" w:space="0" w:color="000000"/>
              <w:right w:val="single" w:sz="4" w:space="0" w:color="000000"/>
            </w:tcBorders>
          </w:tcPr>
          <w:p w14:paraId="453B978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7C392492"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10CF2CA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76F10FC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Entretien et service ménager des locaux</w:t>
            </w:r>
          </w:p>
        </w:tc>
        <w:tc>
          <w:tcPr>
            <w:tcW w:w="2907" w:type="dxa"/>
            <w:tcBorders>
              <w:top w:val="single" w:sz="4" w:space="0" w:color="000000"/>
              <w:left w:val="single" w:sz="4" w:space="0" w:color="000000"/>
              <w:bottom w:val="single" w:sz="4" w:space="0" w:color="000000"/>
              <w:right w:val="single" w:sz="4" w:space="0" w:color="000000"/>
            </w:tcBorders>
          </w:tcPr>
          <w:p w14:paraId="18F6607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Fournis par l’UQAC</w:t>
            </w:r>
          </w:p>
        </w:tc>
        <w:tc>
          <w:tcPr>
            <w:tcW w:w="1646" w:type="dxa"/>
            <w:tcBorders>
              <w:top w:val="single" w:sz="4" w:space="0" w:color="000000"/>
              <w:left w:val="single" w:sz="4" w:space="0" w:color="000000"/>
              <w:bottom w:val="single" w:sz="4" w:space="0" w:color="000000"/>
              <w:right w:val="single" w:sz="4" w:space="0" w:color="000000"/>
            </w:tcBorders>
          </w:tcPr>
          <w:p w14:paraId="3EDE964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6E70F068"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373CE70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3676F5D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Bureautique : poste de travail, périphériques, fournitures</w:t>
            </w:r>
          </w:p>
        </w:tc>
        <w:tc>
          <w:tcPr>
            <w:tcW w:w="2907" w:type="dxa"/>
            <w:tcBorders>
              <w:top w:val="single" w:sz="4" w:space="0" w:color="000000"/>
              <w:left w:val="single" w:sz="4" w:space="0" w:color="000000"/>
              <w:bottom w:val="single" w:sz="4" w:space="0" w:color="000000"/>
              <w:right w:val="single" w:sz="4" w:space="0" w:color="000000"/>
            </w:tcBorders>
          </w:tcPr>
          <w:p w14:paraId="0CC2293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Apport des membres, non facturé</w:t>
            </w:r>
          </w:p>
        </w:tc>
        <w:tc>
          <w:tcPr>
            <w:tcW w:w="1646" w:type="dxa"/>
            <w:tcBorders>
              <w:top w:val="single" w:sz="4" w:space="0" w:color="000000"/>
              <w:left w:val="single" w:sz="4" w:space="0" w:color="000000"/>
              <w:bottom w:val="single" w:sz="4" w:space="0" w:color="000000"/>
              <w:right w:val="single" w:sz="4" w:space="0" w:color="000000"/>
            </w:tcBorders>
          </w:tcPr>
          <w:p w14:paraId="0FB3592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0B76C184"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7DC3B68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583F00E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Hébergement des pages du projet</w:t>
            </w:r>
          </w:p>
        </w:tc>
        <w:tc>
          <w:tcPr>
            <w:tcW w:w="2907" w:type="dxa"/>
            <w:tcBorders>
              <w:top w:val="single" w:sz="4" w:space="0" w:color="000000"/>
              <w:left w:val="single" w:sz="4" w:space="0" w:color="000000"/>
              <w:bottom w:val="single" w:sz="4" w:space="0" w:color="000000"/>
              <w:right w:val="single" w:sz="4" w:space="0" w:color="000000"/>
            </w:tcBorders>
          </w:tcPr>
          <w:p w14:paraId="0413B63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Dépôt GitHub, offre éducation</w:t>
            </w:r>
          </w:p>
        </w:tc>
        <w:tc>
          <w:tcPr>
            <w:tcW w:w="1646" w:type="dxa"/>
            <w:tcBorders>
              <w:top w:val="single" w:sz="4" w:space="0" w:color="000000"/>
              <w:left w:val="single" w:sz="4" w:space="0" w:color="000000"/>
              <w:bottom w:val="single" w:sz="4" w:space="0" w:color="000000"/>
              <w:right w:val="single" w:sz="4" w:space="0" w:color="000000"/>
            </w:tcBorders>
          </w:tcPr>
          <w:p w14:paraId="0341B98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7268C5E4"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65EAA02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750EAF4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Licences logicielles</w:t>
            </w:r>
          </w:p>
        </w:tc>
        <w:tc>
          <w:tcPr>
            <w:tcW w:w="2907" w:type="dxa"/>
            <w:tcBorders>
              <w:top w:val="single" w:sz="4" w:space="0" w:color="000000"/>
              <w:left w:val="single" w:sz="4" w:space="0" w:color="000000"/>
              <w:bottom w:val="single" w:sz="4" w:space="0" w:color="000000"/>
              <w:right w:val="single" w:sz="4" w:space="0" w:color="000000"/>
            </w:tcBorders>
          </w:tcPr>
          <w:p w14:paraId="4F68284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Licences académiques de l’UQAC et outils libres</w:t>
            </w:r>
          </w:p>
        </w:tc>
        <w:tc>
          <w:tcPr>
            <w:tcW w:w="1646" w:type="dxa"/>
            <w:tcBorders>
              <w:top w:val="single" w:sz="4" w:space="0" w:color="000000"/>
              <w:left w:val="single" w:sz="4" w:space="0" w:color="000000"/>
              <w:bottom w:val="single" w:sz="4" w:space="0" w:color="000000"/>
              <w:right w:val="single" w:sz="4" w:space="0" w:color="000000"/>
            </w:tcBorders>
          </w:tcPr>
          <w:p w14:paraId="69DD85F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2D6C7E26"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387CBD6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247A0E5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Garantie prolongée du produit</w:t>
            </w:r>
          </w:p>
        </w:tc>
        <w:tc>
          <w:tcPr>
            <w:tcW w:w="2907" w:type="dxa"/>
            <w:tcBorders>
              <w:top w:val="single" w:sz="4" w:space="0" w:color="000000"/>
              <w:left w:val="single" w:sz="4" w:space="0" w:color="000000"/>
              <w:bottom w:val="single" w:sz="4" w:space="0" w:color="000000"/>
              <w:right w:val="single" w:sz="4" w:space="0" w:color="000000"/>
            </w:tcBorders>
          </w:tcPr>
          <w:p w14:paraId="7984690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Aucun produit physique livré</w:t>
            </w:r>
          </w:p>
        </w:tc>
        <w:tc>
          <w:tcPr>
            <w:tcW w:w="1646" w:type="dxa"/>
            <w:tcBorders>
              <w:top w:val="single" w:sz="4" w:space="0" w:color="000000"/>
              <w:left w:val="single" w:sz="4" w:space="0" w:color="000000"/>
              <w:bottom w:val="single" w:sz="4" w:space="0" w:color="000000"/>
              <w:right w:val="single" w:sz="4" w:space="0" w:color="000000"/>
            </w:tcBorders>
          </w:tcPr>
          <w:p w14:paraId="67BF354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1B3A6DD9"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363053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7712149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Formation du personnel</w:t>
            </w:r>
          </w:p>
        </w:tc>
        <w:tc>
          <w:tcPr>
            <w:tcW w:w="2907" w:type="dxa"/>
            <w:tcBorders>
              <w:top w:val="single" w:sz="4" w:space="0" w:color="000000"/>
              <w:left w:val="single" w:sz="4" w:space="0" w:color="000000"/>
              <w:bottom w:val="single" w:sz="4" w:space="0" w:color="000000"/>
              <w:right w:val="single" w:sz="4" w:space="0" w:color="000000"/>
            </w:tcBorders>
          </w:tcPr>
          <w:p w14:paraId="0BAD4B0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Ateliers et formation compris dans les 1 080 h, au lot L1</w:t>
            </w:r>
          </w:p>
        </w:tc>
        <w:tc>
          <w:tcPr>
            <w:tcW w:w="1646" w:type="dxa"/>
            <w:tcBorders>
              <w:top w:val="single" w:sz="4" w:space="0" w:color="000000"/>
              <w:left w:val="single" w:sz="4" w:space="0" w:color="000000"/>
              <w:bottom w:val="single" w:sz="4" w:space="0" w:color="000000"/>
              <w:right w:val="single" w:sz="4" w:space="0" w:color="000000"/>
            </w:tcBorders>
          </w:tcPr>
          <w:p w14:paraId="1224721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26A4ECFB"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2B94D0D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071D562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Livraison, installation, douane</w:t>
            </w:r>
          </w:p>
        </w:tc>
        <w:tc>
          <w:tcPr>
            <w:tcW w:w="2907" w:type="dxa"/>
            <w:tcBorders>
              <w:top w:val="single" w:sz="4" w:space="0" w:color="000000"/>
              <w:left w:val="single" w:sz="4" w:space="0" w:color="000000"/>
              <w:bottom w:val="single" w:sz="4" w:space="0" w:color="000000"/>
              <w:right w:val="single" w:sz="4" w:space="0" w:color="000000"/>
            </w:tcBorders>
          </w:tcPr>
          <w:p w14:paraId="0B7EBB9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Sans objet pour un livrable logiciel</w:t>
            </w:r>
          </w:p>
        </w:tc>
        <w:tc>
          <w:tcPr>
            <w:tcW w:w="1646" w:type="dxa"/>
            <w:tcBorders>
              <w:top w:val="single" w:sz="4" w:space="0" w:color="000000"/>
              <w:left w:val="single" w:sz="4" w:space="0" w:color="000000"/>
              <w:bottom w:val="single" w:sz="4" w:space="0" w:color="000000"/>
              <w:right w:val="single" w:sz="4" w:space="0" w:color="000000"/>
            </w:tcBorders>
          </w:tcPr>
          <w:p w14:paraId="17EE28E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0B8DA567"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20242DB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26FA280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Assurance responsabilité civile</w:t>
            </w:r>
          </w:p>
        </w:tc>
        <w:tc>
          <w:tcPr>
            <w:tcW w:w="2907" w:type="dxa"/>
            <w:tcBorders>
              <w:top w:val="single" w:sz="4" w:space="0" w:color="000000"/>
              <w:left w:val="single" w:sz="4" w:space="0" w:color="000000"/>
              <w:bottom w:val="single" w:sz="4" w:space="0" w:color="000000"/>
              <w:right w:val="single" w:sz="4" w:space="0" w:color="000000"/>
            </w:tcBorders>
          </w:tcPr>
          <w:p w14:paraId="65DEAC5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Couverte par le cadre académique de l’UQAC</w:t>
            </w:r>
          </w:p>
        </w:tc>
        <w:tc>
          <w:tcPr>
            <w:tcW w:w="1646" w:type="dxa"/>
            <w:tcBorders>
              <w:top w:val="single" w:sz="4" w:space="0" w:color="000000"/>
              <w:left w:val="single" w:sz="4" w:space="0" w:color="000000"/>
              <w:bottom w:val="single" w:sz="4" w:space="0" w:color="000000"/>
              <w:right w:val="single" w:sz="4" w:space="0" w:color="000000"/>
            </w:tcBorders>
          </w:tcPr>
          <w:p w14:paraId="2A86AC5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37E318DA"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540F0B3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tcPr>
          <w:p w14:paraId="602D98D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Assurance des immeubles et des biens</w:t>
            </w:r>
          </w:p>
        </w:tc>
        <w:tc>
          <w:tcPr>
            <w:tcW w:w="2907" w:type="dxa"/>
            <w:tcBorders>
              <w:top w:val="single" w:sz="4" w:space="0" w:color="000000"/>
              <w:left w:val="single" w:sz="4" w:space="0" w:color="000000"/>
              <w:bottom w:val="single" w:sz="4" w:space="0" w:color="000000"/>
              <w:right w:val="single" w:sz="4" w:space="0" w:color="000000"/>
            </w:tcBorders>
          </w:tcPr>
          <w:p w14:paraId="504E415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Couverte par l’UQAC</w:t>
            </w:r>
          </w:p>
        </w:tc>
        <w:tc>
          <w:tcPr>
            <w:tcW w:w="1646" w:type="dxa"/>
            <w:tcBorders>
              <w:top w:val="single" w:sz="4" w:space="0" w:color="000000"/>
              <w:left w:val="single" w:sz="4" w:space="0" w:color="000000"/>
              <w:bottom w:val="single" w:sz="4" w:space="0" w:color="000000"/>
              <w:right w:val="single" w:sz="4" w:space="0" w:color="000000"/>
            </w:tcBorders>
          </w:tcPr>
          <w:p w14:paraId="652E2F8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31495C59" w14:textId="77777777">
        <w:trPr>
          <w:cantSplit/>
        </w:trPr>
        <w:tc>
          <w:tcPr>
            <w:tcW w:w="1426" w:type="dxa"/>
            <w:tcBorders>
              <w:top w:val="single" w:sz="4" w:space="0" w:color="000000"/>
              <w:left w:val="single" w:sz="4" w:space="0" w:color="000000"/>
              <w:bottom w:val="single" w:sz="4" w:space="0" w:color="000000"/>
              <w:right w:val="single" w:sz="4" w:space="0" w:color="000000"/>
            </w:tcBorders>
            <w:shd w:val="clear" w:color="auto" w:fill="EFF4FB"/>
          </w:tcPr>
          <w:p w14:paraId="1E3D3AD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Coûts indirects</w:t>
            </w:r>
          </w:p>
        </w:tc>
        <w:tc>
          <w:tcPr>
            <w:tcW w:w="2578" w:type="dxa"/>
            <w:tcBorders>
              <w:top w:val="single" w:sz="4" w:space="0" w:color="000000"/>
              <w:left w:val="single" w:sz="4" w:space="0" w:color="000000"/>
              <w:bottom w:val="single" w:sz="4" w:space="0" w:color="000000"/>
              <w:right w:val="single" w:sz="4" w:space="0" w:color="000000"/>
            </w:tcBorders>
            <w:shd w:val="clear" w:color="auto" w:fill="EFF4FB"/>
          </w:tcPr>
          <w:p w14:paraId="2E07F7B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Sous-total des coûts indirects</w:t>
            </w:r>
          </w:p>
        </w:tc>
        <w:tc>
          <w:tcPr>
            <w:tcW w:w="2907" w:type="dxa"/>
            <w:tcBorders>
              <w:top w:val="single" w:sz="4" w:space="0" w:color="000000"/>
              <w:left w:val="single" w:sz="4" w:space="0" w:color="000000"/>
              <w:bottom w:val="single" w:sz="4" w:space="0" w:color="000000"/>
              <w:right w:val="single" w:sz="4" w:space="0" w:color="000000"/>
            </w:tcBorders>
            <w:shd w:val="clear" w:color="auto" w:fill="EFF4FB"/>
          </w:tcPr>
          <w:p w14:paraId="02B61F1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Aucun poste applicable</w:t>
            </w:r>
          </w:p>
        </w:tc>
        <w:tc>
          <w:tcPr>
            <w:tcW w:w="1646" w:type="dxa"/>
            <w:tcBorders>
              <w:top w:val="single" w:sz="4" w:space="0" w:color="000000"/>
              <w:left w:val="single" w:sz="4" w:space="0" w:color="000000"/>
              <w:bottom w:val="single" w:sz="4" w:space="0" w:color="000000"/>
              <w:right w:val="single" w:sz="4" w:space="0" w:color="000000"/>
            </w:tcBorders>
            <w:shd w:val="clear" w:color="auto" w:fill="EFF4FB"/>
          </w:tcPr>
          <w:p w14:paraId="1FD45EE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0,00 $</w:t>
            </w:r>
          </w:p>
        </w:tc>
      </w:tr>
      <w:tr w:rsidR="00F50D70" w:rsidRPr="00BE4F47" w14:paraId="186196A5"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6668950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lastRenderedPageBreak/>
              <w:t>Provisions</w:t>
            </w:r>
          </w:p>
        </w:tc>
        <w:tc>
          <w:tcPr>
            <w:tcW w:w="2578" w:type="dxa"/>
            <w:tcBorders>
              <w:top w:val="single" w:sz="4" w:space="0" w:color="000000"/>
              <w:left w:val="single" w:sz="4" w:space="0" w:color="000000"/>
              <w:bottom w:val="single" w:sz="4" w:space="0" w:color="000000"/>
              <w:right w:val="single" w:sz="4" w:space="0" w:color="000000"/>
            </w:tcBorders>
          </w:tcPr>
          <w:p w14:paraId="552B01F1"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Contingence</w:t>
            </w:r>
          </w:p>
        </w:tc>
        <w:tc>
          <w:tcPr>
            <w:tcW w:w="2907" w:type="dxa"/>
            <w:tcBorders>
              <w:top w:val="single" w:sz="4" w:space="0" w:color="000000"/>
              <w:left w:val="single" w:sz="4" w:space="0" w:color="000000"/>
              <w:bottom w:val="single" w:sz="4" w:space="0" w:color="000000"/>
              <w:right w:val="single" w:sz="4" w:space="0" w:color="000000"/>
            </w:tcBorders>
          </w:tcPr>
          <w:p w14:paraId="6DF65BC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10 % des coûts directs, soit 10 % de 54 000 $</w:t>
            </w:r>
          </w:p>
        </w:tc>
        <w:tc>
          <w:tcPr>
            <w:tcW w:w="1646" w:type="dxa"/>
            <w:tcBorders>
              <w:top w:val="single" w:sz="4" w:space="0" w:color="000000"/>
              <w:left w:val="single" w:sz="4" w:space="0" w:color="000000"/>
              <w:bottom w:val="single" w:sz="4" w:space="0" w:color="000000"/>
              <w:right w:val="single" w:sz="4" w:space="0" w:color="000000"/>
            </w:tcBorders>
          </w:tcPr>
          <w:p w14:paraId="1F2CE53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5 400,00 $</w:t>
            </w:r>
          </w:p>
        </w:tc>
      </w:tr>
      <w:tr w:rsidR="00F50D70" w:rsidRPr="00BE4F47" w14:paraId="56EC81CB"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72DCE57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Provisions</w:t>
            </w:r>
          </w:p>
        </w:tc>
        <w:tc>
          <w:tcPr>
            <w:tcW w:w="2578" w:type="dxa"/>
            <w:tcBorders>
              <w:top w:val="single" w:sz="4" w:space="0" w:color="000000"/>
              <w:left w:val="single" w:sz="4" w:space="0" w:color="000000"/>
              <w:bottom w:val="single" w:sz="4" w:space="0" w:color="000000"/>
              <w:right w:val="single" w:sz="4" w:space="0" w:color="000000"/>
            </w:tcBorders>
          </w:tcPr>
          <w:p w14:paraId="1F5D23C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Escalade : inflation et augmentations salariales</w:t>
            </w:r>
          </w:p>
        </w:tc>
        <w:tc>
          <w:tcPr>
            <w:tcW w:w="2907" w:type="dxa"/>
            <w:tcBorders>
              <w:top w:val="single" w:sz="4" w:space="0" w:color="000000"/>
              <w:left w:val="single" w:sz="4" w:space="0" w:color="000000"/>
              <w:bottom w:val="single" w:sz="4" w:space="0" w:color="000000"/>
              <w:right w:val="single" w:sz="4" w:space="0" w:color="000000"/>
            </w:tcBorders>
          </w:tcPr>
          <w:p w14:paraId="5331B59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Mandat d’un trimestre, effet négligeable</w:t>
            </w:r>
          </w:p>
        </w:tc>
        <w:tc>
          <w:tcPr>
            <w:tcW w:w="1646" w:type="dxa"/>
            <w:tcBorders>
              <w:top w:val="single" w:sz="4" w:space="0" w:color="000000"/>
              <w:left w:val="single" w:sz="4" w:space="0" w:color="000000"/>
              <w:bottom w:val="single" w:sz="4" w:space="0" w:color="000000"/>
              <w:right w:val="single" w:sz="4" w:space="0" w:color="000000"/>
            </w:tcBorders>
          </w:tcPr>
          <w:p w14:paraId="35108C8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2AD96EC1"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4A3C25A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Provisions</w:t>
            </w:r>
          </w:p>
        </w:tc>
        <w:tc>
          <w:tcPr>
            <w:tcW w:w="2578" w:type="dxa"/>
            <w:tcBorders>
              <w:top w:val="single" w:sz="4" w:space="0" w:color="000000"/>
              <w:left w:val="single" w:sz="4" w:space="0" w:color="000000"/>
              <w:bottom w:val="single" w:sz="4" w:space="0" w:color="000000"/>
              <w:right w:val="single" w:sz="4" w:space="0" w:color="000000"/>
            </w:tcBorders>
          </w:tcPr>
          <w:p w14:paraId="007D80D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Autres imprévus</w:t>
            </w:r>
          </w:p>
        </w:tc>
        <w:tc>
          <w:tcPr>
            <w:tcW w:w="2907" w:type="dxa"/>
            <w:tcBorders>
              <w:top w:val="single" w:sz="4" w:space="0" w:color="000000"/>
              <w:left w:val="single" w:sz="4" w:space="0" w:color="000000"/>
              <w:bottom w:val="single" w:sz="4" w:space="0" w:color="000000"/>
              <w:right w:val="single" w:sz="4" w:space="0" w:color="000000"/>
            </w:tcBorders>
          </w:tcPr>
          <w:p w14:paraId="69C5682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Couverts par la contingence</w:t>
            </w:r>
          </w:p>
        </w:tc>
        <w:tc>
          <w:tcPr>
            <w:tcW w:w="1646" w:type="dxa"/>
            <w:tcBorders>
              <w:top w:val="single" w:sz="4" w:space="0" w:color="000000"/>
              <w:left w:val="single" w:sz="4" w:space="0" w:color="000000"/>
              <w:bottom w:val="single" w:sz="4" w:space="0" w:color="000000"/>
              <w:right w:val="single" w:sz="4" w:space="0" w:color="000000"/>
            </w:tcBorders>
          </w:tcPr>
          <w:p w14:paraId="5539F0D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0,00 $</w:t>
            </w:r>
          </w:p>
        </w:tc>
      </w:tr>
      <w:tr w:rsidR="00F50D70" w:rsidRPr="00BE4F47" w14:paraId="668E6DFC" w14:textId="77777777">
        <w:trPr>
          <w:cantSplit/>
        </w:trPr>
        <w:tc>
          <w:tcPr>
            <w:tcW w:w="1426" w:type="dxa"/>
            <w:tcBorders>
              <w:top w:val="single" w:sz="4" w:space="0" w:color="000000"/>
              <w:left w:val="single" w:sz="4" w:space="0" w:color="000000"/>
              <w:bottom w:val="single" w:sz="4" w:space="0" w:color="000000"/>
              <w:right w:val="single" w:sz="4" w:space="0" w:color="000000"/>
            </w:tcBorders>
            <w:shd w:val="clear" w:color="auto" w:fill="EFF4FB"/>
          </w:tcPr>
          <w:p w14:paraId="727AA53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Total</w:t>
            </w:r>
          </w:p>
        </w:tc>
        <w:tc>
          <w:tcPr>
            <w:tcW w:w="2578" w:type="dxa"/>
            <w:tcBorders>
              <w:top w:val="single" w:sz="4" w:space="0" w:color="000000"/>
              <w:left w:val="single" w:sz="4" w:space="0" w:color="000000"/>
              <w:bottom w:val="single" w:sz="4" w:space="0" w:color="000000"/>
              <w:right w:val="single" w:sz="4" w:space="0" w:color="000000"/>
            </w:tcBorders>
            <w:shd w:val="clear" w:color="auto" w:fill="EFF4FB"/>
          </w:tcPr>
          <w:p w14:paraId="6622587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Total pour le bordereau des prix</w:t>
            </w:r>
          </w:p>
        </w:tc>
        <w:tc>
          <w:tcPr>
            <w:tcW w:w="2907" w:type="dxa"/>
            <w:tcBorders>
              <w:top w:val="single" w:sz="4" w:space="0" w:color="000000"/>
              <w:left w:val="single" w:sz="4" w:space="0" w:color="000000"/>
              <w:bottom w:val="single" w:sz="4" w:space="0" w:color="000000"/>
              <w:right w:val="single" w:sz="4" w:space="0" w:color="000000"/>
            </w:tcBorders>
            <w:shd w:val="clear" w:color="auto" w:fill="EFF4FB"/>
          </w:tcPr>
          <w:p w14:paraId="4EA9EEA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54 000 $ + 5 400 $</w:t>
            </w:r>
          </w:p>
        </w:tc>
        <w:tc>
          <w:tcPr>
            <w:tcW w:w="1646" w:type="dxa"/>
            <w:tcBorders>
              <w:top w:val="single" w:sz="4" w:space="0" w:color="000000"/>
              <w:left w:val="single" w:sz="4" w:space="0" w:color="000000"/>
              <w:bottom w:val="single" w:sz="4" w:space="0" w:color="000000"/>
              <w:right w:val="single" w:sz="4" w:space="0" w:color="000000"/>
            </w:tcBorders>
            <w:shd w:val="clear" w:color="auto" w:fill="EFF4FB"/>
          </w:tcPr>
          <w:p w14:paraId="683579C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59 400,00 $</w:t>
            </w:r>
          </w:p>
        </w:tc>
      </w:tr>
      <w:tr w:rsidR="00F50D70" w:rsidRPr="00BE4F47" w14:paraId="2DC2C8D6" w14:textId="77777777">
        <w:trPr>
          <w:cantSplit/>
        </w:trPr>
        <w:tc>
          <w:tcPr>
            <w:tcW w:w="1426" w:type="dxa"/>
            <w:tcBorders>
              <w:top w:val="single" w:sz="4" w:space="0" w:color="000000"/>
              <w:left w:val="single" w:sz="4" w:space="0" w:color="000000"/>
              <w:bottom w:val="single" w:sz="4" w:space="0" w:color="000000"/>
              <w:right w:val="single" w:sz="4" w:space="0" w:color="000000"/>
            </w:tcBorders>
          </w:tcPr>
          <w:p w14:paraId="011E457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Total</w:t>
            </w:r>
          </w:p>
        </w:tc>
        <w:tc>
          <w:tcPr>
            <w:tcW w:w="2578" w:type="dxa"/>
            <w:tcBorders>
              <w:top w:val="single" w:sz="4" w:space="0" w:color="000000"/>
              <w:left w:val="single" w:sz="4" w:space="0" w:color="000000"/>
              <w:bottom w:val="single" w:sz="4" w:space="0" w:color="000000"/>
              <w:right w:val="single" w:sz="4" w:space="0" w:color="000000"/>
            </w:tcBorders>
          </w:tcPr>
          <w:p w14:paraId="015B0BA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Réserve du propriétaire</w:t>
            </w:r>
          </w:p>
        </w:tc>
        <w:tc>
          <w:tcPr>
            <w:tcW w:w="2907" w:type="dxa"/>
            <w:tcBorders>
              <w:top w:val="single" w:sz="4" w:space="0" w:color="000000"/>
              <w:left w:val="single" w:sz="4" w:space="0" w:color="000000"/>
              <w:bottom w:val="single" w:sz="4" w:space="0" w:color="000000"/>
              <w:right w:val="single" w:sz="4" w:space="0" w:color="000000"/>
            </w:tcBorders>
          </w:tcPr>
          <w:p w14:paraId="1CDA7BA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5 % du bordereau. Provision retenue par le client, hors du montant facturé.</w:t>
            </w:r>
          </w:p>
        </w:tc>
        <w:tc>
          <w:tcPr>
            <w:tcW w:w="1646" w:type="dxa"/>
            <w:tcBorders>
              <w:top w:val="single" w:sz="4" w:space="0" w:color="000000"/>
              <w:left w:val="single" w:sz="4" w:space="0" w:color="000000"/>
              <w:bottom w:val="single" w:sz="4" w:space="0" w:color="000000"/>
              <w:right w:val="single" w:sz="4" w:space="0" w:color="000000"/>
            </w:tcBorders>
          </w:tcPr>
          <w:p w14:paraId="04C5A7C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2 970,00 $</w:t>
            </w:r>
          </w:p>
        </w:tc>
      </w:tr>
      <w:tr w:rsidR="00F50D70" w:rsidRPr="00BE4F47" w14:paraId="778D320A" w14:textId="77777777">
        <w:trPr>
          <w:cantSplit/>
        </w:trPr>
        <w:tc>
          <w:tcPr>
            <w:tcW w:w="1426" w:type="dxa"/>
            <w:tcBorders>
              <w:top w:val="single" w:sz="4" w:space="0" w:color="000000"/>
              <w:left w:val="single" w:sz="4" w:space="0" w:color="000000"/>
              <w:bottom w:val="single" w:sz="4" w:space="0" w:color="000000"/>
              <w:right w:val="single" w:sz="4" w:space="0" w:color="000000"/>
            </w:tcBorders>
            <w:shd w:val="clear" w:color="auto" w:fill="EFF4FB"/>
          </w:tcPr>
          <w:p w14:paraId="249F90C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Total</w:t>
            </w:r>
          </w:p>
        </w:tc>
        <w:tc>
          <w:tcPr>
            <w:tcW w:w="2578" w:type="dxa"/>
            <w:tcBorders>
              <w:top w:val="single" w:sz="4" w:space="0" w:color="000000"/>
              <w:left w:val="single" w:sz="4" w:space="0" w:color="000000"/>
              <w:bottom w:val="single" w:sz="4" w:space="0" w:color="000000"/>
              <w:right w:val="single" w:sz="4" w:space="0" w:color="000000"/>
            </w:tcBorders>
            <w:shd w:val="clear" w:color="auto" w:fill="EFF4FB"/>
          </w:tcPr>
          <w:p w14:paraId="1881C1A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Estimé initial total</w:t>
            </w:r>
          </w:p>
        </w:tc>
        <w:tc>
          <w:tcPr>
            <w:tcW w:w="2907" w:type="dxa"/>
            <w:tcBorders>
              <w:top w:val="single" w:sz="4" w:space="0" w:color="000000"/>
              <w:left w:val="single" w:sz="4" w:space="0" w:color="000000"/>
              <w:bottom w:val="single" w:sz="4" w:space="0" w:color="000000"/>
              <w:right w:val="single" w:sz="4" w:space="0" w:color="000000"/>
            </w:tcBorders>
            <w:shd w:val="clear" w:color="auto" w:fill="EFF4FB"/>
          </w:tcPr>
          <w:p w14:paraId="44EEEAF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59 400 $ + 2 970 $</w:t>
            </w:r>
          </w:p>
        </w:tc>
        <w:tc>
          <w:tcPr>
            <w:tcW w:w="1646" w:type="dxa"/>
            <w:tcBorders>
              <w:top w:val="single" w:sz="4" w:space="0" w:color="000000"/>
              <w:left w:val="single" w:sz="4" w:space="0" w:color="000000"/>
              <w:bottom w:val="single" w:sz="4" w:space="0" w:color="000000"/>
              <w:right w:val="single" w:sz="4" w:space="0" w:color="000000"/>
            </w:tcBorders>
            <w:shd w:val="clear" w:color="auto" w:fill="EFF4FB"/>
          </w:tcPr>
          <w:p w14:paraId="1CB8C5E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62 370,00 $</w:t>
            </w:r>
          </w:p>
        </w:tc>
      </w:tr>
    </w:tbl>
    <w:p w14:paraId="57EF2D96"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646" w:name="_Toc241670319"/>
      <w:r w:rsidRPr="00BE4F47">
        <w:rPr>
          <w:rFonts w:ascii="Aptos" w:hAnsi="Aptos"/>
          <w:b/>
          <w:color w:val="1A1A19"/>
          <w:sz w:val="20"/>
          <w:szCs w:val="20"/>
        </w:rPr>
        <w:t xml:space="preserve">La marge. </w:t>
      </w:r>
      <w:r w:rsidRPr="00BE4F47">
        <w:rPr>
          <w:rFonts w:ascii="Aptos" w:hAnsi="Aptos"/>
          <w:color w:val="1A1A19"/>
          <w:sz w:val="20"/>
          <w:szCs w:val="20"/>
        </w:rPr>
        <w:t>Ce mandat académique n’a pas de client payant, donc aucune marge n’entre dans l’estimé initial total. À titre d’exercice, une marge de 15 % appliquée à cet estimé donnerait 9 355,50 $, soit un prix de vente de 71 725,50 $.</w:t>
      </w:r>
      <w:bookmarkEnd w:id="646"/>
    </w:p>
    <w:p w14:paraId="0DB4B20E"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647" w:name="_Toc241670320"/>
      <w:r w:rsidRPr="00BE4F47">
        <w:rPr>
          <w:rFonts w:ascii="Aptos" w:hAnsi="Aptos"/>
          <w:b/>
          <w:color w:val="1A1A19"/>
          <w:sz w:val="20"/>
          <w:szCs w:val="20"/>
        </w:rPr>
        <w:t xml:space="preserve">La vérification de l’estimation. </w:t>
      </w:r>
      <w:r w:rsidRPr="00BE4F47">
        <w:rPr>
          <w:rFonts w:ascii="Aptos" w:hAnsi="Aptos"/>
          <w:color w:val="1A1A19"/>
          <w:sz w:val="20"/>
          <w:szCs w:val="20"/>
        </w:rPr>
        <w:t>Trois méthodes donnent le même total. La méthode ascendante, celle qui est retenue, additionne les neuf lots de la structure de découpage et donne 1 080 heures. La méthode analogique applique la convention de 135 heures par membre à huit membres et donne 1 080 heures. La méthode paramétrique multiplie huit membres par quinze semaines utiles et neuf heures par semaine et donne 1 080 heures. L’écart entre les trois est nul.</w:t>
      </w:r>
      <w:bookmarkEnd w:id="647"/>
    </w:p>
    <w:p w14:paraId="681F7F67"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648" w:name="_Toc241083143"/>
      <w:bookmarkStart w:id="649" w:name="_Toc241670321"/>
      <w:r w:rsidRPr="00BE4F47">
        <w:rPr>
          <w:rFonts w:ascii="Aptos" w:hAnsi="Aptos"/>
          <w:b/>
          <w:color w:val="1A1A19"/>
          <w:sz w:val="20"/>
          <w:szCs w:val="20"/>
        </w:rPr>
        <w:t xml:space="preserve">La valeur actualisée nette. </w:t>
      </w:r>
      <w:r w:rsidRPr="00BE4F47">
        <w:rPr>
          <w:rFonts w:ascii="Aptos" w:hAnsi="Aptos"/>
          <w:color w:val="1A1A19"/>
          <w:sz w:val="20"/>
          <w:szCs w:val="20"/>
        </w:rPr>
        <w:t>C’est un exercice distinct de l’estimation. Si le prix de vente de 71 725,50 $ était encaissé à la fin du mandat et actualisé à 8 % par an sur quinze semaines, sa valeur actuelle serait de 70 150,72 $. Rapportée à l’estimé initial de 62 370 $, la valeur actualisée nette serait de 7 780,72 $. Le taux de 8 % est une valeur d’illustration, à confirmer.</w:t>
      </w:r>
      <w:bookmarkEnd w:id="648"/>
      <w:bookmarkEnd w:id="649"/>
    </w:p>
    <w:p w14:paraId="3BD520CB" w14:textId="77777777" w:rsidR="00F50D70" w:rsidRPr="00BE4F47" w:rsidRDefault="00137D7F" w:rsidP="008E113B">
      <w:pPr>
        <w:pStyle w:val="Titre2"/>
        <w:spacing w:line="360" w:lineRule="auto"/>
      </w:pPr>
      <w:bookmarkStart w:id="650" w:name="_Toc241670322"/>
      <w:r w:rsidRPr="00BE4F47">
        <w:t>Répartition dans le temps et bordereau des prix</w:t>
      </w:r>
      <w:bookmarkEnd w:id="650"/>
    </w:p>
    <w:p w14:paraId="7A57D83F" w14:textId="77777777" w:rsidR="00F50D70" w:rsidRPr="00BE4F47" w:rsidRDefault="00137D7F" w:rsidP="008E113B">
      <w:pPr>
        <w:spacing w:after="130" w:line="360" w:lineRule="auto"/>
        <w:ind w:left="360"/>
        <w:rPr>
          <w:rFonts w:ascii="Aptos" w:hAnsi="Aptos"/>
        </w:rPr>
      </w:pPr>
      <w:bookmarkStart w:id="651" w:name="_Toc241083146"/>
      <w:bookmarkStart w:id="652" w:name="_Toc241670323"/>
      <w:r w:rsidRPr="00BE4F47">
        <w:rPr>
          <w:rFonts w:ascii="Aptos" w:hAnsi="Aptos"/>
          <w:color w:val="1A1A19"/>
          <w:sz w:val="20"/>
          <w:szCs w:val="20"/>
        </w:rPr>
        <w:t>La grille donne un montant global. Elle ne dit pas quand l’argent est dépensé ni quand il est facturé. Le tableau 9-2 répartit le coût du mandat sur les six jalons, en reprenant l’effort par phase de l’échéancier. C’est la base de référence contre laquelle l’écart sera mesuré à chaque jalon.</w:t>
      </w:r>
      <w:bookmarkEnd w:id="651"/>
      <w:bookmarkEnd w:id="652"/>
    </w:p>
    <w:p w14:paraId="170FD430" w14:textId="77777777" w:rsidR="00F50D70" w:rsidRPr="00BE4F47" w:rsidRDefault="00137D7F" w:rsidP="008E113B">
      <w:pPr>
        <w:pStyle w:val="Lgende"/>
        <w:keepNext/>
        <w:spacing w:line="360" w:lineRule="auto"/>
        <w:rPr>
          <w:rFonts w:ascii="Aptos" w:hAnsi="Aptos"/>
        </w:rPr>
      </w:pPr>
      <w:bookmarkStart w:id="653" w:name="_Toc241083147"/>
      <w:bookmarkStart w:id="654" w:name="_Toc241670324"/>
      <w:r w:rsidRPr="00BE4F47">
        <w:rPr>
          <w:rFonts w:ascii="Aptos" w:hAnsi="Aptos"/>
        </w:rPr>
        <w:t>Tableau 9-2. Répartition du coût du mandat par jalon</w:t>
      </w:r>
      <w:bookmarkEnd w:id="653"/>
      <w:bookmarkEnd w:id="654"/>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700"/>
        <w:gridCol w:w="1000"/>
        <w:gridCol w:w="1400"/>
        <w:gridCol w:w="1700"/>
        <w:gridCol w:w="1700"/>
        <w:gridCol w:w="2057"/>
      </w:tblGrid>
      <w:tr w:rsidR="00F50D70" w:rsidRPr="00BE4F47" w14:paraId="1399CF9F" w14:textId="77777777">
        <w:trPr>
          <w:trHeight w:val="227"/>
          <w:tblHeader/>
        </w:trPr>
        <w:tc>
          <w:tcPr>
            <w:tcW w:w="700" w:type="dxa"/>
            <w:tcBorders>
              <w:top w:val="single" w:sz="4" w:space="0" w:color="000000"/>
              <w:left w:val="single" w:sz="4" w:space="0" w:color="000000"/>
              <w:bottom w:val="single" w:sz="4" w:space="0" w:color="000000"/>
              <w:right w:val="single" w:sz="4" w:space="0" w:color="000000"/>
            </w:tcBorders>
            <w:shd w:val="clear" w:color="auto" w:fill="EFF4FB"/>
          </w:tcPr>
          <w:p w14:paraId="554BED1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Jalon</w:t>
            </w:r>
          </w:p>
        </w:tc>
        <w:tc>
          <w:tcPr>
            <w:tcW w:w="1000" w:type="dxa"/>
            <w:tcBorders>
              <w:top w:val="single" w:sz="4" w:space="0" w:color="000000"/>
              <w:left w:val="single" w:sz="4" w:space="0" w:color="000000"/>
              <w:bottom w:val="single" w:sz="4" w:space="0" w:color="000000"/>
              <w:right w:val="single" w:sz="4" w:space="0" w:color="000000"/>
            </w:tcBorders>
            <w:shd w:val="clear" w:color="auto" w:fill="EFF4FB"/>
          </w:tcPr>
          <w:p w14:paraId="5CD4237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Date</w:t>
            </w:r>
          </w:p>
        </w:tc>
        <w:tc>
          <w:tcPr>
            <w:tcW w:w="1400" w:type="dxa"/>
            <w:tcBorders>
              <w:top w:val="single" w:sz="4" w:space="0" w:color="000000"/>
              <w:left w:val="single" w:sz="4" w:space="0" w:color="000000"/>
              <w:bottom w:val="single" w:sz="4" w:space="0" w:color="000000"/>
              <w:right w:val="single" w:sz="4" w:space="0" w:color="000000"/>
            </w:tcBorders>
            <w:shd w:val="clear" w:color="auto" w:fill="EFF4FB"/>
          </w:tcPr>
          <w:p w14:paraId="5160587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Effort de la phase</w:t>
            </w:r>
          </w:p>
        </w:tc>
        <w:tc>
          <w:tcPr>
            <w:tcW w:w="1700" w:type="dxa"/>
            <w:tcBorders>
              <w:top w:val="single" w:sz="4" w:space="0" w:color="000000"/>
              <w:left w:val="single" w:sz="4" w:space="0" w:color="000000"/>
              <w:bottom w:val="single" w:sz="4" w:space="0" w:color="000000"/>
              <w:right w:val="single" w:sz="4" w:space="0" w:color="000000"/>
            </w:tcBorders>
            <w:shd w:val="clear" w:color="auto" w:fill="EFF4FB"/>
          </w:tcPr>
          <w:p w14:paraId="782F238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Coût de la période</w:t>
            </w:r>
          </w:p>
        </w:tc>
        <w:tc>
          <w:tcPr>
            <w:tcW w:w="1700" w:type="dxa"/>
            <w:tcBorders>
              <w:top w:val="single" w:sz="4" w:space="0" w:color="000000"/>
              <w:left w:val="single" w:sz="4" w:space="0" w:color="000000"/>
              <w:bottom w:val="single" w:sz="4" w:space="0" w:color="000000"/>
              <w:right w:val="single" w:sz="4" w:space="0" w:color="000000"/>
            </w:tcBorders>
            <w:shd w:val="clear" w:color="auto" w:fill="EFF4FB"/>
          </w:tcPr>
          <w:p w14:paraId="4372B86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Coût cumulé</w:t>
            </w:r>
          </w:p>
        </w:tc>
        <w:tc>
          <w:tcPr>
            <w:tcW w:w="2057" w:type="dxa"/>
            <w:tcBorders>
              <w:top w:val="single" w:sz="4" w:space="0" w:color="000000"/>
              <w:left w:val="single" w:sz="4" w:space="0" w:color="000000"/>
              <w:bottom w:val="single" w:sz="4" w:space="0" w:color="000000"/>
              <w:right w:val="single" w:sz="4" w:space="0" w:color="000000"/>
            </w:tcBorders>
            <w:shd w:val="clear" w:color="auto" w:fill="EFF4FB"/>
          </w:tcPr>
          <w:p w14:paraId="2319107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Part du budget</w:t>
            </w:r>
          </w:p>
        </w:tc>
      </w:tr>
      <w:tr w:rsidR="00F50D70" w:rsidRPr="00BE4F47" w14:paraId="71914C37"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0EBEBC3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J0</w:t>
            </w:r>
          </w:p>
        </w:tc>
        <w:tc>
          <w:tcPr>
            <w:tcW w:w="1000" w:type="dxa"/>
            <w:tcBorders>
              <w:top w:val="single" w:sz="4" w:space="0" w:color="000000"/>
              <w:left w:val="single" w:sz="4" w:space="0" w:color="000000"/>
              <w:bottom w:val="single" w:sz="4" w:space="0" w:color="000000"/>
              <w:right w:val="single" w:sz="4" w:space="0" w:color="000000"/>
            </w:tcBorders>
          </w:tcPr>
          <w:p w14:paraId="4646447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 oct.</w:t>
            </w:r>
          </w:p>
        </w:tc>
        <w:tc>
          <w:tcPr>
            <w:tcW w:w="1400" w:type="dxa"/>
            <w:tcBorders>
              <w:top w:val="single" w:sz="4" w:space="0" w:color="000000"/>
              <w:left w:val="single" w:sz="4" w:space="0" w:color="000000"/>
              <w:bottom w:val="single" w:sz="4" w:space="0" w:color="000000"/>
              <w:right w:val="single" w:sz="4" w:space="0" w:color="000000"/>
            </w:tcBorders>
          </w:tcPr>
          <w:p w14:paraId="10BD90E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81 h</w:t>
            </w:r>
          </w:p>
        </w:tc>
        <w:tc>
          <w:tcPr>
            <w:tcW w:w="1700" w:type="dxa"/>
            <w:tcBorders>
              <w:top w:val="single" w:sz="4" w:space="0" w:color="000000"/>
              <w:left w:val="single" w:sz="4" w:space="0" w:color="000000"/>
              <w:bottom w:val="single" w:sz="4" w:space="0" w:color="000000"/>
              <w:right w:val="single" w:sz="4" w:space="0" w:color="000000"/>
            </w:tcBorders>
          </w:tcPr>
          <w:p w14:paraId="536DAC1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4 050,00 $</w:t>
            </w:r>
          </w:p>
        </w:tc>
        <w:tc>
          <w:tcPr>
            <w:tcW w:w="1700" w:type="dxa"/>
            <w:tcBorders>
              <w:top w:val="single" w:sz="4" w:space="0" w:color="000000"/>
              <w:left w:val="single" w:sz="4" w:space="0" w:color="000000"/>
              <w:bottom w:val="single" w:sz="4" w:space="0" w:color="000000"/>
              <w:right w:val="single" w:sz="4" w:space="0" w:color="000000"/>
            </w:tcBorders>
          </w:tcPr>
          <w:p w14:paraId="316EC51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4 050,00 $</w:t>
            </w:r>
          </w:p>
        </w:tc>
        <w:tc>
          <w:tcPr>
            <w:tcW w:w="2057" w:type="dxa"/>
            <w:tcBorders>
              <w:top w:val="single" w:sz="4" w:space="0" w:color="000000"/>
              <w:left w:val="single" w:sz="4" w:space="0" w:color="000000"/>
              <w:bottom w:val="single" w:sz="4" w:space="0" w:color="000000"/>
              <w:right w:val="single" w:sz="4" w:space="0" w:color="000000"/>
            </w:tcBorders>
          </w:tcPr>
          <w:p w14:paraId="018BF70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7,5 %</w:t>
            </w:r>
          </w:p>
        </w:tc>
      </w:tr>
      <w:tr w:rsidR="00F50D70" w:rsidRPr="00BE4F47" w14:paraId="475EB7F4"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E25D76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J1</w:t>
            </w:r>
          </w:p>
        </w:tc>
        <w:tc>
          <w:tcPr>
            <w:tcW w:w="1000" w:type="dxa"/>
            <w:tcBorders>
              <w:top w:val="single" w:sz="4" w:space="0" w:color="000000"/>
              <w:left w:val="single" w:sz="4" w:space="0" w:color="000000"/>
              <w:bottom w:val="single" w:sz="4" w:space="0" w:color="000000"/>
              <w:right w:val="single" w:sz="4" w:space="0" w:color="000000"/>
            </w:tcBorders>
          </w:tcPr>
          <w:p w14:paraId="3CC5BF1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9 oct.</w:t>
            </w:r>
          </w:p>
        </w:tc>
        <w:tc>
          <w:tcPr>
            <w:tcW w:w="1400" w:type="dxa"/>
            <w:tcBorders>
              <w:top w:val="single" w:sz="4" w:space="0" w:color="000000"/>
              <w:left w:val="single" w:sz="4" w:space="0" w:color="000000"/>
              <w:bottom w:val="single" w:sz="4" w:space="0" w:color="000000"/>
              <w:right w:val="single" w:sz="4" w:space="0" w:color="000000"/>
            </w:tcBorders>
          </w:tcPr>
          <w:p w14:paraId="093FECF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149 h</w:t>
            </w:r>
          </w:p>
        </w:tc>
        <w:tc>
          <w:tcPr>
            <w:tcW w:w="1700" w:type="dxa"/>
            <w:tcBorders>
              <w:top w:val="single" w:sz="4" w:space="0" w:color="000000"/>
              <w:left w:val="single" w:sz="4" w:space="0" w:color="000000"/>
              <w:bottom w:val="single" w:sz="4" w:space="0" w:color="000000"/>
              <w:right w:val="single" w:sz="4" w:space="0" w:color="000000"/>
            </w:tcBorders>
          </w:tcPr>
          <w:p w14:paraId="7473320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7 450,00 $</w:t>
            </w:r>
          </w:p>
        </w:tc>
        <w:tc>
          <w:tcPr>
            <w:tcW w:w="1700" w:type="dxa"/>
            <w:tcBorders>
              <w:top w:val="single" w:sz="4" w:space="0" w:color="000000"/>
              <w:left w:val="single" w:sz="4" w:space="0" w:color="000000"/>
              <w:bottom w:val="single" w:sz="4" w:space="0" w:color="000000"/>
              <w:right w:val="single" w:sz="4" w:space="0" w:color="000000"/>
            </w:tcBorders>
          </w:tcPr>
          <w:p w14:paraId="0253E08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11 500,00 $</w:t>
            </w:r>
          </w:p>
        </w:tc>
        <w:tc>
          <w:tcPr>
            <w:tcW w:w="2057" w:type="dxa"/>
            <w:tcBorders>
              <w:top w:val="single" w:sz="4" w:space="0" w:color="000000"/>
              <w:left w:val="single" w:sz="4" w:space="0" w:color="000000"/>
              <w:bottom w:val="single" w:sz="4" w:space="0" w:color="000000"/>
              <w:right w:val="single" w:sz="4" w:space="0" w:color="000000"/>
            </w:tcBorders>
          </w:tcPr>
          <w:p w14:paraId="66D9AA1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21,3 %</w:t>
            </w:r>
          </w:p>
        </w:tc>
      </w:tr>
      <w:tr w:rsidR="00F50D70" w:rsidRPr="00BE4F47" w14:paraId="31CC2453"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17C3F1B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J2</w:t>
            </w:r>
          </w:p>
        </w:tc>
        <w:tc>
          <w:tcPr>
            <w:tcW w:w="1000" w:type="dxa"/>
            <w:tcBorders>
              <w:top w:val="single" w:sz="4" w:space="0" w:color="000000"/>
              <w:left w:val="single" w:sz="4" w:space="0" w:color="000000"/>
              <w:bottom w:val="single" w:sz="4" w:space="0" w:color="000000"/>
              <w:right w:val="single" w:sz="4" w:space="0" w:color="000000"/>
            </w:tcBorders>
          </w:tcPr>
          <w:p w14:paraId="531BFC4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23 oct.</w:t>
            </w:r>
          </w:p>
        </w:tc>
        <w:tc>
          <w:tcPr>
            <w:tcW w:w="1400" w:type="dxa"/>
            <w:tcBorders>
              <w:top w:val="single" w:sz="4" w:space="0" w:color="000000"/>
              <w:left w:val="single" w:sz="4" w:space="0" w:color="000000"/>
              <w:bottom w:val="single" w:sz="4" w:space="0" w:color="000000"/>
              <w:right w:val="single" w:sz="4" w:space="0" w:color="000000"/>
            </w:tcBorders>
          </w:tcPr>
          <w:p w14:paraId="73A9F5A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230 h</w:t>
            </w:r>
          </w:p>
        </w:tc>
        <w:tc>
          <w:tcPr>
            <w:tcW w:w="1700" w:type="dxa"/>
            <w:tcBorders>
              <w:top w:val="single" w:sz="4" w:space="0" w:color="000000"/>
              <w:left w:val="single" w:sz="4" w:space="0" w:color="000000"/>
              <w:bottom w:val="single" w:sz="4" w:space="0" w:color="000000"/>
              <w:right w:val="single" w:sz="4" w:space="0" w:color="000000"/>
            </w:tcBorders>
          </w:tcPr>
          <w:p w14:paraId="5A40E00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11 500,00 $</w:t>
            </w:r>
          </w:p>
        </w:tc>
        <w:tc>
          <w:tcPr>
            <w:tcW w:w="1700" w:type="dxa"/>
            <w:tcBorders>
              <w:top w:val="single" w:sz="4" w:space="0" w:color="000000"/>
              <w:left w:val="single" w:sz="4" w:space="0" w:color="000000"/>
              <w:bottom w:val="single" w:sz="4" w:space="0" w:color="000000"/>
              <w:right w:val="single" w:sz="4" w:space="0" w:color="000000"/>
            </w:tcBorders>
          </w:tcPr>
          <w:p w14:paraId="05E0465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23 000,00 $</w:t>
            </w:r>
          </w:p>
        </w:tc>
        <w:tc>
          <w:tcPr>
            <w:tcW w:w="2057" w:type="dxa"/>
            <w:tcBorders>
              <w:top w:val="single" w:sz="4" w:space="0" w:color="000000"/>
              <w:left w:val="single" w:sz="4" w:space="0" w:color="000000"/>
              <w:bottom w:val="single" w:sz="4" w:space="0" w:color="000000"/>
              <w:right w:val="single" w:sz="4" w:space="0" w:color="000000"/>
            </w:tcBorders>
          </w:tcPr>
          <w:p w14:paraId="07F7358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42,6 %</w:t>
            </w:r>
          </w:p>
        </w:tc>
      </w:tr>
      <w:tr w:rsidR="00F50D70" w:rsidRPr="00BE4F47" w14:paraId="433531E6"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7F9A602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J3</w:t>
            </w:r>
          </w:p>
        </w:tc>
        <w:tc>
          <w:tcPr>
            <w:tcW w:w="1000" w:type="dxa"/>
            <w:tcBorders>
              <w:top w:val="single" w:sz="4" w:space="0" w:color="000000"/>
              <w:left w:val="single" w:sz="4" w:space="0" w:color="000000"/>
              <w:bottom w:val="single" w:sz="4" w:space="0" w:color="000000"/>
              <w:right w:val="single" w:sz="4" w:space="0" w:color="000000"/>
            </w:tcBorders>
          </w:tcPr>
          <w:p w14:paraId="6068073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20 nov.</w:t>
            </w:r>
          </w:p>
        </w:tc>
        <w:tc>
          <w:tcPr>
            <w:tcW w:w="1400" w:type="dxa"/>
            <w:tcBorders>
              <w:top w:val="single" w:sz="4" w:space="0" w:color="000000"/>
              <w:left w:val="single" w:sz="4" w:space="0" w:color="000000"/>
              <w:bottom w:val="single" w:sz="4" w:space="0" w:color="000000"/>
              <w:right w:val="single" w:sz="4" w:space="0" w:color="000000"/>
            </w:tcBorders>
          </w:tcPr>
          <w:p w14:paraId="11E8DE3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337 h</w:t>
            </w:r>
          </w:p>
        </w:tc>
        <w:tc>
          <w:tcPr>
            <w:tcW w:w="1700" w:type="dxa"/>
            <w:tcBorders>
              <w:top w:val="single" w:sz="4" w:space="0" w:color="000000"/>
              <w:left w:val="single" w:sz="4" w:space="0" w:color="000000"/>
              <w:bottom w:val="single" w:sz="4" w:space="0" w:color="000000"/>
              <w:right w:val="single" w:sz="4" w:space="0" w:color="000000"/>
            </w:tcBorders>
          </w:tcPr>
          <w:p w14:paraId="2DA1775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16 850,00 $</w:t>
            </w:r>
          </w:p>
        </w:tc>
        <w:tc>
          <w:tcPr>
            <w:tcW w:w="1700" w:type="dxa"/>
            <w:tcBorders>
              <w:top w:val="single" w:sz="4" w:space="0" w:color="000000"/>
              <w:left w:val="single" w:sz="4" w:space="0" w:color="000000"/>
              <w:bottom w:val="single" w:sz="4" w:space="0" w:color="000000"/>
              <w:right w:val="single" w:sz="4" w:space="0" w:color="000000"/>
            </w:tcBorders>
          </w:tcPr>
          <w:p w14:paraId="266B0CA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39 850,00 $</w:t>
            </w:r>
          </w:p>
        </w:tc>
        <w:tc>
          <w:tcPr>
            <w:tcW w:w="2057" w:type="dxa"/>
            <w:tcBorders>
              <w:top w:val="single" w:sz="4" w:space="0" w:color="000000"/>
              <w:left w:val="single" w:sz="4" w:space="0" w:color="000000"/>
              <w:bottom w:val="single" w:sz="4" w:space="0" w:color="000000"/>
              <w:right w:val="single" w:sz="4" w:space="0" w:color="000000"/>
            </w:tcBorders>
          </w:tcPr>
          <w:p w14:paraId="73D165A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73,8 %</w:t>
            </w:r>
          </w:p>
        </w:tc>
      </w:tr>
      <w:tr w:rsidR="00F50D70" w:rsidRPr="00BE4F47" w14:paraId="5E70C015"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AC81EF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J4</w:t>
            </w:r>
          </w:p>
        </w:tc>
        <w:tc>
          <w:tcPr>
            <w:tcW w:w="1000" w:type="dxa"/>
            <w:tcBorders>
              <w:top w:val="single" w:sz="4" w:space="0" w:color="000000"/>
              <w:left w:val="single" w:sz="4" w:space="0" w:color="000000"/>
              <w:bottom w:val="single" w:sz="4" w:space="0" w:color="000000"/>
              <w:right w:val="single" w:sz="4" w:space="0" w:color="000000"/>
            </w:tcBorders>
          </w:tcPr>
          <w:p w14:paraId="1A59D95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4 déc.</w:t>
            </w:r>
          </w:p>
        </w:tc>
        <w:tc>
          <w:tcPr>
            <w:tcW w:w="1400" w:type="dxa"/>
            <w:tcBorders>
              <w:top w:val="single" w:sz="4" w:space="0" w:color="000000"/>
              <w:left w:val="single" w:sz="4" w:space="0" w:color="000000"/>
              <w:bottom w:val="single" w:sz="4" w:space="0" w:color="000000"/>
              <w:right w:val="single" w:sz="4" w:space="0" w:color="000000"/>
            </w:tcBorders>
          </w:tcPr>
          <w:p w14:paraId="03F34A7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176 h</w:t>
            </w:r>
          </w:p>
        </w:tc>
        <w:tc>
          <w:tcPr>
            <w:tcW w:w="1700" w:type="dxa"/>
            <w:tcBorders>
              <w:top w:val="single" w:sz="4" w:space="0" w:color="000000"/>
              <w:left w:val="single" w:sz="4" w:space="0" w:color="000000"/>
              <w:bottom w:val="single" w:sz="4" w:space="0" w:color="000000"/>
              <w:right w:val="single" w:sz="4" w:space="0" w:color="000000"/>
            </w:tcBorders>
          </w:tcPr>
          <w:p w14:paraId="277BFCF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8 800,00 $</w:t>
            </w:r>
          </w:p>
        </w:tc>
        <w:tc>
          <w:tcPr>
            <w:tcW w:w="1700" w:type="dxa"/>
            <w:tcBorders>
              <w:top w:val="single" w:sz="4" w:space="0" w:color="000000"/>
              <w:left w:val="single" w:sz="4" w:space="0" w:color="000000"/>
              <w:bottom w:val="single" w:sz="4" w:space="0" w:color="000000"/>
              <w:right w:val="single" w:sz="4" w:space="0" w:color="000000"/>
            </w:tcBorders>
          </w:tcPr>
          <w:p w14:paraId="5AA350E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48 650,00 $</w:t>
            </w:r>
          </w:p>
        </w:tc>
        <w:tc>
          <w:tcPr>
            <w:tcW w:w="2057" w:type="dxa"/>
            <w:tcBorders>
              <w:top w:val="single" w:sz="4" w:space="0" w:color="000000"/>
              <w:left w:val="single" w:sz="4" w:space="0" w:color="000000"/>
              <w:bottom w:val="single" w:sz="4" w:space="0" w:color="000000"/>
              <w:right w:val="single" w:sz="4" w:space="0" w:color="000000"/>
            </w:tcBorders>
          </w:tcPr>
          <w:p w14:paraId="4662FC2A"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90,1 %</w:t>
            </w:r>
          </w:p>
        </w:tc>
      </w:tr>
      <w:tr w:rsidR="00F50D70" w:rsidRPr="00BE4F47" w14:paraId="7FDAEDF7"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2685C3E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J5</w:t>
            </w:r>
          </w:p>
        </w:tc>
        <w:tc>
          <w:tcPr>
            <w:tcW w:w="1000" w:type="dxa"/>
            <w:tcBorders>
              <w:top w:val="single" w:sz="4" w:space="0" w:color="000000"/>
              <w:left w:val="single" w:sz="4" w:space="0" w:color="000000"/>
              <w:bottom w:val="single" w:sz="4" w:space="0" w:color="000000"/>
              <w:right w:val="single" w:sz="4" w:space="0" w:color="000000"/>
            </w:tcBorders>
          </w:tcPr>
          <w:p w14:paraId="74B8C8A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18 déc.</w:t>
            </w:r>
          </w:p>
        </w:tc>
        <w:tc>
          <w:tcPr>
            <w:tcW w:w="1400" w:type="dxa"/>
            <w:tcBorders>
              <w:top w:val="single" w:sz="4" w:space="0" w:color="000000"/>
              <w:left w:val="single" w:sz="4" w:space="0" w:color="000000"/>
              <w:bottom w:val="single" w:sz="4" w:space="0" w:color="000000"/>
              <w:right w:val="single" w:sz="4" w:space="0" w:color="000000"/>
            </w:tcBorders>
          </w:tcPr>
          <w:p w14:paraId="6FF5E1A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107 h</w:t>
            </w:r>
          </w:p>
        </w:tc>
        <w:tc>
          <w:tcPr>
            <w:tcW w:w="1700" w:type="dxa"/>
            <w:tcBorders>
              <w:top w:val="single" w:sz="4" w:space="0" w:color="000000"/>
              <w:left w:val="single" w:sz="4" w:space="0" w:color="000000"/>
              <w:bottom w:val="single" w:sz="4" w:space="0" w:color="000000"/>
              <w:right w:val="single" w:sz="4" w:space="0" w:color="000000"/>
            </w:tcBorders>
          </w:tcPr>
          <w:p w14:paraId="46DE34E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5 350,00 $</w:t>
            </w:r>
          </w:p>
        </w:tc>
        <w:tc>
          <w:tcPr>
            <w:tcW w:w="1700" w:type="dxa"/>
            <w:tcBorders>
              <w:top w:val="single" w:sz="4" w:space="0" w:color="000000"/>
              <w:left w:val="single" w:sz="4" w:space="0" w:color="000000"/>
              <w:bottom w:val="single" w:sz="4" w:space="0" w:color="000000"/>
              <w:right w:val="single" w:sz="4" w:space="0" w:color="000000"/>
            </w:tcBorders>
          </w:tcPr>
          <w:p w14:paraId="55A08A8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54 000,00 $</w:t>
            </w:r>
          </w:p>
        </w:tc>
        <w:tc>
          <w:tcPr>
            <w:tcW w:w="2057" w:type="dxa"/>
            <w:tcBorders>
              <w:top w:val="single" w:sz="4" w:space="0" w:color="000000"/>
              <w:left w:val="single" w:sz="4" w:space="0" w:color="000000"/>
              <w:bottom w:val="single" w:sz="4" w:space="0" w:color="000000"/>
              <w:right w:val="single" w:sz="4" w:space="0" w:color="000000"/>
            </w:tcBorders>
          </w:tcPr>
          <w:p w14:paraId="0AEEA27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100,0 %</w:t>
            </w:r>
          </w:p>
        </w:tc>
      </w:tr>
      <w:tr w:rsidR="00F50D70" w:rsidRPr="00BE4F47" w14:paraId="7EC524F2"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0CE814EB"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c>
          <w:tcPr>
            <w:tcW w:w="1000" w:type="dxa"/>
            <w:tcBorders>
              <w:top w:val="single" w:sz="4" w:space="0" w:color="000000"/>
              <w:left w:val="single" w:sz="4" w:space="0" w:color="000000"/>
              <w:bottom w:val="single" w:sz="4" w:space="0" w:color="000000"/>
              <w:right w:val="single" w:sz="4" w:space="0" w:color="000000"/>
            </w:tcBorders>
          </w:tcPr>
          <w:p w14:paraId="3E773C5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Total</w:t>
            </w:r>
          </w:p>
        </w:tc>
        <w:tc>
          <w:tcPr>
            <w:tcW w:w="1400" w:type="dxa"/>
            <w:tcBorders>
              <w:top w:val="single" w:sz="4" w:space="0" w:color="000000"/>
              <w:left w:val="single" w:sz="4" w:space="0" w:color="000000"/>
              <w:bottom w:val="single" w:sz="4" w:space="0" w:color="000000"/>
              <w:right w:val="single" w:sz="4" w:space="0" w:color="000000"/>
            </w:tcBorders>
          </w:tcPr>
          <w:p w14:paraId="7F52753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1 080 h</w:t>
            </w:r>
          </w:p>
        </w:tc>
        <w:tc>
          <w:tcPr>
            <w:tcW w:w="1700" w:type="dxa"/>
            <w:tcBorders>
              <w:top w:val="single" w:sz="4" w:space="0" w:color="000000"/>
              <w:left w:val="single" w:sz="4" w:space="0" w:color="000000"/>
              <w:bottom w:val="single" w:sz="4" w:space="0" w:color="000000"/>
              <w:right w:val="single" w:sz="4" w:space="0" w:color="000000"/>
            </w:tcBorders>
          </w:tcPr>
          <w:p w14:paraId="1967FE9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54 000,00 $</w:t>
            </w:r>
          </w:p>
        </w:tc>
        <w:tc>
          <w:tcPr>
            <w:tcW w:w="1700" w:type="dxa"/>
            <w:tcBorders>
              <w:top w:val="single" w:sz="4" w:space="0" w:color="000000"/>
              <w:left w:val="single" w:sz="4" w:space="0" w:color="000000"/>
              <w:bottom w:val="single" w:sz="4" w:space="0" w:color="000000"/>
              <w:right w:val="single" w:sz="4" w:space="0" w:color="000000"/>
            </w:tcBorders>
          </w:tcPr>
          <w:p w14:paraId="459E1269"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c>
          <w:tcPr>
            <w:tcW w:w="2057" w:type="dxa"/>
            <w:tcBorders>
              <w:top w:val="single" w:sz="4" w:space="0" w:color="000000"/>
              <w:left w:val="single" w:sz="4" w:space="0" w:color="000000"/>
              <w:bottom w:val="single" w:sz="4" w:space="0" w:color="000000"/>
              <w:right w:val="single" w:sz="4" w:space="0" w:color="000000"/>
            </w:tcBorders>
          </w:tcPr>
          <w:p w14:paraId="5C352B25"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r>
    </w:tbl>
    <w:p w14:paraId="6C275771" w14:textId="77777777" w:rsidR="00F50D70" w:rsidRPr="00BE4F47" w:rsidRDefault="00137D7F" w:rsidP="008E113B">
      <w:pPr>
        <w:spacing w:before="200" w:after="130" w:line="360" w:lineRule="auto"/>
        <w:ind w:left="360"/>
        <w:rPr>
          <w:rFonts w:ascii="Aptos" w:hAnsi="Aptos"/>
        </w:rPr>
      </w:pPr>
      <w:bookmarkStart w:id="655" w:name="_Toc241083148"/>
      <w:bookmarkStart w:id="656" w:name="_Toc241670325"/>
      <w:r w:rsidRPr="00BE4F47">
        <w:rPr>
          <w:rFonts w:ascii="Aptos" w:hAnsi="Aptos"/>
          <w:color w:val="1A1A19"/>
          <w:sz w:val="20"/>
          <w:szCs w:val="20"/>
        </w:rPr>
        <w:t>Trois lectures se déduisent de ce tableau. Près des trois quarts du budget sont engagés à l’atteinte du jalon J3, ce qui veut dire qu’un dépassement constaté après J3 ne peut plus être corrigé par une réduction de contenu, seulement absorbé par la contingence. Le jalon J2 est le point de bascule : à cette date, un écart de plus de 10 % entre le coût réel et les 23 000 $ prévus déclenche l’arbitrage prévu par le risque RP2. La phase P3 concentre enfin à elle seule 31 % du budget, ce qui en fait la phase à suivre de plus près.</w:t>
      </w:r>
      <w:bookmarkEnd w:id="655"/>
      <w:bookmarkEnd w:id="656"/>
    </w:p>
    <w:p w14:paraId="3C5269E2" w14:textId="77777777" w:rsidR="00F50D70" w:rsidRPr="00BE4F47" w:rsidRDefault="00137D7F" w:rsidP="008E113B">
      <w:pPr>
        <w:spacing w:after="130" w:line="360" w:lineRule="auto"/>
        <w:ind w:left="360"/>
        <w:rPr>
          <w:rFonts w:ascii="Aptos" w:hAnsi="Aptos"/>
        </w:rPr>
      </w:pPr>
      <w:bookmarkStart w:id="657" w:name="_Toc241083149"/>
      <w:bookmarkStart w:id="658" w:name="_Toc241670326"/>
      <w:r w:rsidRPr="00BE4F47">
        <w:rPr>
          <w:rFonts w:ascii="Aptos" w:hAnsi="Aptos"/>
          <w:color w:val="1A1A19"/>
          <w:sz w:val="20"/>
          <w:szCs w:val="20"/>
        </w:rPr>
        <w:t>Les montants ci-dessus sont des coûts et non des prix. Ils n’incluent ni la contingence ni la réserve, qui s’appliquent au total et non à chaque période.</w:t>
      </w:r>
      <w:bookmarkEnd w:id="657"/>
      <w:bookmarkEnd w:id="658"/>
    </w:p>
    <w:p w14:paraId="459AB47A" w14:textId="77777777" w:rsidR="00F50D70" w:rsidRPr="00BE4F47" w:rsidRDefault="00137D7F" w:rsidP="008E113B">
      <w:pPr>
        <w:spacing w:after="130" w:line="360" w:lineRule="auto"/>
        <w:ind w:left="360"/>
        <w:rPr>
          <w:rFonts w:ascii="Aptos" w:hAnsi="Aptos"/>
        </w:rPr>
      </w:pPr>
      <w:bookmarkStart w:id="659" w:name="_Toc241083178"/>
      <w:bookmarkStart w:id="660" w:name="_Toc241670327"/>
      <w:r w:rsidRPr="00BE4F47">
        <w:rPr>
          <w:rFonts w:ascii="Aptos" w:hAnsi="Aptos"/>
          <w:color w:val="1A1A19"/>
          <w:sz w:val="20"/>
          <w:szCs w:val="20"/>
        </w:rPr>
        <w:t>Le bordereau des prix est le document remis au client. Il diffère du tableau précédent sur deux points : il porte des prix et non des coûts, et il fixe les moments où une somme devient exigible. La facturation se fait par jalon : une somme n’est exigible que lorsque le livrable correspondant a été remis et accepté.</w:t>
      </w:r>
      <w:bookmarkEnd w:id="659"/>
      <w:bookmarkEnd w:id="660"/>
    </w:p>
    <w:p w14:paraId="5B0A7D64" w14:textId="77777777" w:rsidR="00F50D70" w:rsidRPr="00BE4F47" w:rsidRDefault="00137D7F" w:rsidP="008E113B">
      <w:pPr>
        <w:spacing w:after="130" w:line="360" w:lineRule="auto"/>
        <w:ind w:left="360"/>
        <w:rPr>
          <w:rFonts w:ascii="Aptos" w:hAnsi="Aptos"/>
        </w:rPr>
      </w:pPr>
      <w:bookmarkStart w:id="661" w:name="_Toc241083179"/>
      <w:bookmarkStart w:id="662" w:name="_Toc241670328"/>
      <w:r w:rsidRPr="00BE4F47">
        <w:rPr>
          <w:rFonts w:ascii="Aptos" w:hAnsi="Aptos"/>
          <w:color w:val="1A1A19"/>
          <w:sz w:val="20"/>
          <w:szCs w:val="20"/>
        </w:rPr>
        <w:t>Les montants ci-dessous répartissent le total du bordereau, 59 400 $, au prorata de l’effort de chaque phase, soit 55,00 $ l’heure. La réserve du propriétaire, 2 970 $, n’y figure pas : elle est conservée par le client et n’est facturée que s’il décide d’un changement de périmètre.</w:t>
      </w:r>
      <w:bookmarkEnd w:id="661"/>
      <w:bookmarkEnd w:id="662"/>
    </w:p>
    <w:p w14:paraId="3C7953B3" w14:textId="77777777" w:rsidR="00F50D70" w:rsidRPr="00BE4F47" w:rsidRDefault="00137D7F" w:rsidP="008E113B">
      <w:pPr>
        <w:pStyle w:val="Lgende"/>
        <w:keepNext/>
        <w:spacing w:line="360" w:lineRule="auto"/>
        <w:rPr>
          <w:rFonts w:ascii="Aptos" w:hAnsi="Aptos"/>
        </w:rPr>
      </w:pPr>
      <w:bookmarkStart w:id="663" w:name="_Toc241083180"/>
      <w:bookmarkStart w:id="664" w:name="_Toc241670329"/>
      <w:r w:rsidRPr="00BE4F47">
        <w:rPr>
          <w:rFonts w:ascii="Aptos" w:hAnsi="Aptos"/>
        </w:rPr>
        <w:t>Tableau 9-3. Bordereau des prix et échéancier de facturation</w:t>
      </w:r>
      <w:bookmarkEnd w:id="663"/>
      <w:bookmarkEnd w:id="664"/>
    </w:p>
    <w:tbl>
      <w:tblPr>
        <w:tblW w:w="8557" w:type="dxa"/>
        <w:tblInd w:w="413" w:type="dxa"/>
        <w:tblLayout w:type="fixed"/>
        <w:tblCellMar>
          <w:top w:w="60" w:type="dxa"/>
          <w:left w:w="90" w:type="dxa"/>
          <w:bottom w:w="60" w:type="dxa"/>
          <w:right w:w="90" w:type="dxa"/>
        </w:tblCellMar>
        <w:tblLook w:val="04A0" w:firstRow="1" w:lastRow="0" w:firstColumn="1" w:lastColumn="0" w:noHBand="0" w:noVBand="1"/>
      </w:tblPr>
      <w:tblGrid>
        <w:gridCol w:w="700"/>
        <w:gridCol w:w="900"/>
        <w:gridCol w:w="3600"/>
        <w:gridCol w:w="1650"/>
        <w:gridCol w:w="1707"/>
      </w:tblGrid>
      <w:tr w:rsidR="00F50D70" w:rsidRPr="00BE4F47" w14:paraId="6889CDC4" w14:textId="77777777" w:rsidTr="008E113B">
        <w:trPr>
          <w:trHeight w:val="227"/>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158CC2D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Jalon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41C3AA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Date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5A03E6F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Livrable conditionnant le paiement</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62C1B0E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Montant exigible</w:t>
            </w:r>
          </w:p>
        </w:tc>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2"/>
          </w:tcPr>
          <w:p w14:paraId="3BACA02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5"/>
                <w:szCs w:val="15"/>
              </w:rPr>
              <w:t>Cumul facturé</w:t>
            </w:r>
          </w:p>
        </w:tc>
      </w:tr>
      <w:tr w:rsidR="00F50D70" w:rsidRPr="00BE4F47" w14:paraId="32A7A9CA"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09A7B5D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J0</w:t>
            </w:r>
          </w:p>
        </w:tc>
        <w:tc>
          <w:tcPr>
            <w:tcW w:w="900" w:type="dxa"/>
            <w:tcBorders>
              <w:top w:val="single" w:sz="4" w:space="0" w:color="000000"/>
              <w:left w:val="single" w:sz="4" w:space="0" w:color="000000"/>
              <w:bottom w:val="single" w:sz="4" w:space="0" w:color="000000"/>
              <w:right w:val="single" w:sz="4" w:space="0" w:color="000000"/>
            </w:tcBorders>
          </w:tcPr>
          <w:p w14:paraId="01F8BB1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 oct.</w:t>
            </w:r>
          </w:p>
        </w:tc>
        <w:tc>
          <w:tcPr>
            <w:tcW w:w="3600" w:type="dxa"/>
            <w:tcBorders>
              <w:top w:val="single" w:sz="4" w:space="0" w:color="000000"/>
              <w:left w:val="single" w:sz="4" w:space="0" w:color="000000"/>
              <w:bottom w:val="single" w:sz="4" w:space="0" w:color="000000"/>
              <w:right w:val="single" w:sz="4" w:space="0" w:color="000000"/>
            </w:tcBorders>
          </w:tcPr>
          <w:p w14:paraId="3E2D8EEF"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Plan de projet remis et accepté. Livrable L07.</w:t>
            </w:r>
          </w:p>
        </w:tc>
        <w:tc>
          <w:tcPr>
            <w:tcW w:w="1650" w:type="dxa"/>
            <w:tcBorders>
              <w:top w:val="single" w:sz="4" w:space="0" w:color="000000"/>
              <w:left w:val="single" w:sz="4" w:space="0" w:color="000000"/>
              <w:bottom w:val="single" w:sz="4" w:space="0" w:color="000000"/>
              <w:right w:val="single" w:sz="4" w:space="0" w:color="000000"/>
            </w:tcBorders>
          </w:tcPr>
          <w:p w14:paraId="74D1482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4 455,00 $</w:t>
            </w:r>
          </w:p>
        </w:tc>
        <w:tc>
          <w:tcPr>
            <w:tcW w:w="1707" w:type="dxa"/>
            <w:tcBorders>
              <w:top w:val="single" w:sz="4" w:space="0" w:color="000000"/>
              <w:left w:val="single" w:sz="4" w:space="0" w:color="000000"/>
              <w:bottom w:val="single" w:sz="4" w:space="0" w:color="000000"/>
              <w:right w:val="single" w:sz="4" w:space="0" w:color="000000"/>
            </w:tcBorders>
          </w:tcPr>
          <w:p w14:paraId="1BCA158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4 455,00 $</w:t>
            </w:r>
          </w:p>
        </w:tc>
      </w:tr>
      <w:tr w:rsidR="00F50D70" w:rsidRPr="00BE4F47" w14:paraId="0878C2AC"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5297F8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J1</w:t>
            </w:r>
          </w:p>
        </w:tc>
        <w:tc>
          <w:tcPr>
            <w:tcW w:w="900" w:type="dxa"/>
            <w:tcBorders>
              <w:top w:val="single" w:sz="4" w:space="0" w:color="000000"/>
              <w:left w:val="single" w:sz="4" w:space="0" w:color="000000"/>
              <w:bottom w:val="single" w:sz="4" w:space="0" w:color="000000"/>
              <w:right w:val="single" w:sz="4" w:space="0" w:color="000000"/>
            </w:tcBorders>
          </w:tcPr>
          <w:p w14:paraId="040D388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9 oct.</w:t>
            </w:r>
          </w:p>
        </w:tc>
        <w:tc>
          <w:tcPr>
            <w:tcW w:w="3600" w:type="dxa"/>
            <w:tcBorders>
              <w:top w:val="single" w:sz="4" w:space="0" w:color="000000"/>
              <w:left w:val="single" w:sz="4" w:space="0" w:color="000000"/>
              <w:bottom w:val="single" w:sz="4" w:space="0" w:color="000000"/>
              <w:right w:val="single" w:sz="4" w:space="0" w:color="000000"/>
            </w:tcBorders>
          </w:tcPr>
          <w:p w14:paraId="0A3E638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Registre des exigences, GEMMA et structure de découpage. Livrables L03 et L04.</w:t>
            </w:r>
          </w:p>
        </w:tc>
        <w:tc>
          <w:tcPr>
            <w:tcW w:w="1650" w:type="dxa"/>
            <w:tcBorders>
              <w:top w:val="single" w:sz="4" w:space="0" w:color="000000"/>
              <w:left w:val="single" w:sz="4" w:space="0" w:color="000000"/>
              <w:bottom w:val="single" w:sz="4" w:space="0" w:color="000000"/>
              <w:right w:val="single" w:sz="4" w:space="0" w:color="000000"/>
            </w:tcBorders>
          </w:tcPr>
          <w:p w14:paraId="167C9BF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8 195,00 $</w:t>
            </w:r>
          </w:p>
        </w:tc>
        <w:tc>
          <w:tcPr>
            <w:tcW w:w="1707" w:type="dxa"/>
            <w:tcBorders>
              <w:top w:val="single" w:sz="4" w:space="0" w:color="000000"/>
              <w:left w:val="single" w:sz="4" w:space="0" w:color="000000"/>
              <w:bottom w:val="single" w:sz="4" w:space="0" w:color="000000"/>
              <w:right w:val="single" w:sz="4" w:space="0" w:color="000000"/>
            </w:tcBorders>
          </w:tcPr>
          <w:p w14:paraId="45772FF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12 650,00 $</w:t>
            </w:r>
          </w:p>
        </w:tc>
      </w:tr>
      <w:tr w:rsidR="00F50D70" w:rsidRPr="00BE4F47" w14:paraId="6625B78B"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1BD0F815"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J2</w:t>
            </w:r>
          </w:p>
        </w:tc>
        <w:tc>
          <w:tcPr>
            <w:tcW w:w="900" w:type="dxa"/>
            <w:tcBorders>
              <w:top w:val="single" w:sz="4" w:space="0" w:color="000000"/>
              <w:left w:val="single" w:sz="4" w:space="0" w:color="000000"/>
              <w:bottom w:val="single" w:sz="4" w:space="0" w:color="000000"/>
              <w:right w:val="single" w:sz="4" w:space="0" w:color="000000"/>
            </w:tcBorders>
          </w:tcPr>
          <w:p w14:paraId="3ACA0EE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23 oct.</w:t>
            </w:r>
          </w:p>
        </w:tc>
        <w:tc>
          <w:tcPr>
            <w:tcW w:w="3600" w:type="dxa"/>
            <w:tcBorders>
              <w:top w:val="single" w:sz="4" w:space="0" w:color="000000"/>
              <w:left w:val="single" w:sz="4" w:space="0" w:color="000000"/>
              <w:bottom w:val="single" w:sz="4" w:space="0" w:color="000000"/>
              <w:right w:val="single" w:sz="4" w:space="0" w:color="000000"/>
            </w:tcBorders>
          </w:tcPr>
          <w:p w14:paraId="74AB7701"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Dossier de conception préliminaire, modèle de référence validé, plan de V&amp;V. Livrable L05.</w:t>
            </w:r>
          </w:p>
        </w:tc>
        <w:tc>
          <w:tcPr>
            <w:tcW w:w="1650" w:type="dxa"/>
            <w:tcBorders>
              <w:top w:val="single" w:sz="4" w:space="0" w:color="000000"/>
              <w:left w:val="single" w:sz="4" w:space="0" w:color="000000"/>
              <w:bottom w:val="single" w:sz="4" w:space="0" w:color="000000"/>
              <w:right w:val="single" w:sz="4" w:space="0" w:color="000000"/>
            </w:tcBorders>
          </w:tcPr>
          <w:p w14:paraId="71016A8E"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12 650,00 $</w:t>
            </w:r>
          </w:p>
        </w:tc>
        <w:tc>
          <w:tcPr>
            <w:tcW w:w="1707" w:type="dxa"/>
            <w:tcBorders>
              <w:top w:val="single" w:sz="4" w:space="0" w:color="000000"/>
              <w:left w:val="single" w:sz="4" w:space="0" w:color="000000"/>
              <w:bottom w:val="single" w:sz="4" w:space="0" w:color="000000"/>
              <w:right w:val="single" w:sz="4" w:space="0" w:color="000000"/>
            </w:tcBorders>
          </w:tcPr>
          <w:p w14:paraId="5E61B9E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25 300,00 $</w:t>
            </w:r>
          </w:p>
        </w:tc>
      </w:tr>
      <w:tr w:rsidR="00F50D70" w:rsidRPr="00BE4F47" w14:paraId="56549D6F"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4FFF4D86"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J3</w:t>
            </w:r>
          </w:p>
        </w:tc>
        <w:tc>
          <w:tcPr>
            <w:tcW w:w="900" w:type="dxa"/>
            <w:tcBorders>
              <w:top w:val="single" w:sz="4" w:space="0" w:color="000000"/>
              <w:left w:val="single" w:sz="4" w:space="0" w:color="000000"/>
              <w:bottom w:val="single" w:sz="4" w:space="0" w:color="000000"/>
              <w:right w:val="single" w:sz="4" w:space="0" w:color="000000"/>
            </w:tcBorders>
          </w:tcPr>
          <w:p w14:paraId="104DFB7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20 nov.</w:t>
            </w:r>
          </w:p>
        </w:tc>
        <w:tc>
          <w:tcPr>
            <w:tcW w:w="3600" w:type="dxa"/>
            <w:tcBorders>
              <w:top w:val="single" w:sz="4" w:space="0" w:color="000000"/>
              <w:left w:val="single" w:sz="4" w:space="0" w:color="000000"/>
              <w:bottom w:val="single" w:sz="4" w:space="0" w:color="000000"/>
              <w:right w:val="single" w:sz="4" w:space="0" w:color="000000"/>
            </w:tcBorders>
          </w:tcPr>
          <w:p w14:paraId="1AB44897"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Prototype du jumeau et interface d’aide à la décision. Livrables L01 et L02.</w:t>
            </w:r>
          </w:p>
        </w:tc>
        <w:tc>
          <w:tcPr>
            <w:tcW w:w="1650" w:type="dxa"/>
            <w:tcBorders>
              <w:top w:val="single" w:sz="4" w:space="0" w:color="000000"/>
              <w:left w:val="single" w:sz="4" w:space="0" w:color="000000"/>
              <w:bottom w:val="single" w:sz="4" w:space="0" w:color="000000"/>
              <w:right w:val="single" w:sz="4" w:space="0" w:color="000000"/>
            </w:tcBorders>
          </w:tcPr>
          <w:p w14:paraId="11518C3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18 535,00 $</w:t>
            </w:r>
          </w:p>
        </w:tc>
        <w:tc>
          <w:tcPr>
            <w:tcW w:w="1707" w:type="dxa"/>
            <w:tcBorders>
              <w:top w:val="single" w:sz="4" w:space="0" w:color="000000"/>
              <w:left w:val="single" w:sz="4" w:space="0" w:color="000000"/>
              <w:bottom w:val="single" w:sz="4" w:space="0" w:color="000000"/>
              <w:right w:val="single" w:sz="4" w:space="0" w:color="000000"/>
            </w:tcBorders>
          </w:tcPr>
          <w:p w14:paraId="007CFF2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43 835,00 $</w:t>
            </w:r>
          </w:p>
        </w:tc>
      </w:tr>
      <w:tr w:rsidR="00F50D70" w:rsidRPr="00BE4F47" w14:paraId="3ACDB27A"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07287C4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J4</w:t>
            </w:r>
          </w:p>
        </w:tc>
        <w:tc>
          <w:tcPr>
            <w:tcW w:w="900" w:type="dxa"/>
            <w:tcBorders>
              <w:top w:val="single" w:sz="4" w:space="0" w:color="000000"/>
              <w:left w:val="single" w:sz="4" w:space="0" w:color="000000"/>
              <w:bottom w:val="single" w:sz="4" w:space="0" w:color="000000"/>
              <w:right w:val="single" w:sz="4" w:space="0" w:color="000000"/>
            </w:tcBorders>
          </w:tcPr>
          <w:p w14:paraId="373368C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4 déc.</w:t>
            </w:r>
          </w:p>
        </w:tc>
        <w:tc>
          <w:tcPr>
            <w:tcW w:w="3600" w:type="dxa"/>
            <w:tcBorders>
              <w:top w:val="single" w:sz="4" w:space="0" w:color="000000"/>
              <w:left w:val="single" w:sz="4" w:space="0" w:color="000000"/>
              <w:bottom w:val="single" w:sz="4" w:space="0" w:color="000000"/>
              <w:right w:val="single" w:sz="4" w:space="0" w:color="000000"/>
            </w:tcBorders>
          </w:tcPr>
          <w:p w14:paraId="4A47B01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Rapport d’essais et résultats de validation. Livrable L06.</w:t>
            </w:r>
          </w:p>
        </w:tc>
        <w:tc>
          <w:tcPr>
            <w:tcW w:w="1650" w:type="dxa"/>
            <w:tcBorders>
              <w:top w:val="single" w:sz="4" w:space="0" w:color="000000"/>
              <w:left w:val="single" w:sz="4" w:space="0" w:color="000000"/>
              <w:bottom w:val="single" w:sz="4" w:space="0" w:color="000000"/>
              <w:right w:val="single" w:sz="4" w:space="0" w:color="000000"/>
            </w:tcBorders>
          </w:tcPr>
          <w:p w14:paraId="3B3AA690"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9 680,00 $</w:t>
            </w:r>
          </w:p>
        </w:tc>
        <w:tc>
          <w:tcPr>
            <w:tcW w:w="1707" w:type="dxa"/>
            <w:tcBorders>
              <w:top w:val="single" w:sz="4" w:space="0" w:color="000000"/>
              <w:left w:val="single" w:sz="4" w:space="0" w:color="000000"/>
              <w:bottom w:val="single" w:sz="4" w:space="0" w:color="000000"/>
              <w:right w:val="single" w:sz="4" w:space="0" w:color="000000"/>
            </w:tcBorders>
          </w:tcPr>
          <w:p w14:paraId="5414BE19"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53 515,00 $</w:t>
            </w:r>
          </w:p>
        </w:tc>
      </w:tr>
      <w:tr w:rsidR="00F50D70" w:rsidRPr="00BE4F47" w14:paraId="3AE10A81"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0044D3A8"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b/>
                <w:bCs/>
                <w:color w:val="1A1A19"/>
                <w:sz w:val="16"/>
                <w:szCs w:val="16"/>
              </w:rPr>
              <w:t>J5</w:t>
            </w:r>
          </w:p>
        </w:tc>
        <w:tc>
          <w:tcPr>
            <w:tcW w:w="900" w:type="dxa"/>
            <w:tcBorders>
              <w:top w:val="single" w:sz="4" w:space="0" w:color="000000"/>
              <w:left w:val="single" w:sz="4" w:space="0" w:color="000000"/>
              <w:bottom w:val="single" w:sz="4" w:space="0" w:color="000000"/>
              <w:right w:val="single" w:sz="4" w:space="0" w:color="000000"/>
            </w:tcBorders>
          </w:tcPr>
          <w:p w14:paraId="6B7885A2"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18 déc.</w:t>
            </w:r>
          </w:p>
        </w:tc>
        <w:tc>
          <w:tcPr>
            <w:tcW w:w="3600" w:type="dxa"/>
            <w:tcBorders>
              <w:top w:val="single" w:sz="4" w:space="0" w:color="000000"/>
              <w:left w:val="single" w:sz="4" w:space="0" w:color="000000"/>
              <w:bottom w:val="single" w:sz="4" w:space="0" w:color="000000"/>
              <w:right w:val="single" w:sz="4" w:space="0" w:color="000000"/>
            </w:tcBorders>
          </w:tcPr>
          <w:p w14:paraId="09AB7B23"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Recommandation d’ingénierie, rapport final, présentation. Livrables L08 et L09.</w:t>
            </w:r>
          </w:p>
        </w:tc>
        <w:tc>
          <w:tcPr>
            <w:tcW w:w="1650" w:type="dxa"/>
            <w:tcBorders>
              <w:top w:val="single" w:sz="4" w:space="0" w:color="000000"/>
              <w:left w:val="single" w:sz="4" w:space="0" w:color="000000"/>
              <w:bottom w:val="single" w:sz="4" w:space="0" w:color="000000"/>
              <w:right w:val="single" w:sz="4" w:space="0" w:color="000000"/>
            </w:tcBorders>
          </w:tcPr>
          <w:p w14:paraId="129FA324"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5 885,00 $</w:t>
            </w:r>
          </w:p>
        </w:tc>
        <w:tc>
          <w:tcPr>
            <w:tcW w:w="1707" w:type="dxa"/>
            <w:tcBorders>
              <w:top w:val="single" w:sz="4" w:space="0" w:color="000000"/>
              <w:left w:val="single" w:sz="4" w:space="0" w:color="000000"/>
              <w:bottom w:val="single" w:sz="4" w:space="0" w:color="000000"/>
              <w:right w:val="single" w:sz="4" w:space="0" w:color="000000"/>
            </w:tcBorders>
          </w:tcPr>
          <w:p w14:paraId="1142631D"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59 400,00 $</w:t>
            </w:r>
          </w:p>
        </w:tc>
      </w:tr>
      <w:tr w:rsidR="00F50D70" w:rsidRPr="00BE4F47" w14:paraId="46E8D322" w14:textId="77777777">
        <w:trPr>
          <w:cantSplit/>
          <w:trHeight w:val="415"/>
        </w:trPr>
        <w:tc>
          <w:tcPr>
            <w:tcW w:w="700" w:type="dxa"/>
            <w:tcBorders>
              <w:top w:val="single" w:sz="4" w:space="0" w:color="000000"/>
              <w:left w:val="single" w:sz="4" w:space="0" w:color="000000"/>
              <w:bottom w:val="single" w:sz="4" w:space="0" w:color="000000"/>
              <w:right w:val="single" w:sz="4" w:space="0" w:color="000000"/>
            </w:tcBorders>
          </w:tcPr>
          <w:p w14:paraId="665CCED4"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c>
          <w:tcPr>
            <w:tcW w:w="900" w:type="dxa"/>
            <w:tcBorders>
              <w:top w:val="single" w:sz="4" w:space="0" w:color="000000"/>
              <w:left w:val="single" w:sz="4" w:space="0" w:color="000000"/>
              <w:bottom w:val="single" w:sz="4" w:space="0" w:color="000000"/>
              <w:right w:val="single" w:sz="4" w:space="0" w:color="000000"/>
            </w:tcBorders>
          </w:tcPr>
          <w:p w14:paraId="11777E4C"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Total</w:t>
            </w:r>
          </w:p>
        </w:tc>
        <w:tc>
          <w:tcPr>
            <w:tcW w:w="3600" w:type="dxa"/>
            <w:tcBorders>
              <w:top w:val="single" w:sz="4" w:space="0" w:color="000000"/>
              <w:left w:val="single" w:sz="4" w:space="0" w:color="000000"/>
              <w:bottom w:val="single" w:sz="4" w:space="0" w:color="000000"/>
              <w:right w:val="single" w:sz="4" w:space="0" w:color="000000"/>
            </w:tcBorders>
          </w:tcPr>
          <w:p w14:paraId="3034F6F0"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c>
          <w:tcPr>
            <w:tcW w:w="1650" w:type="dxa"/>
            <w:tcBorders>
              <w:top w:val="single" w:sz="4" w:space="0" w:color="000000"/>
              <w:left w:val="single" w:sz="4" w:space="0" w:color="000000"/>
              <w:bottom w:val="single" w:sz="4" w:space="0" w:color="000000"/>
              <w:right w:val="single" w:sz="4" w:space="0" w:color="000000"/>
            </w:tcBorders>
          </w:tcPr>
          <w:p w14:paraId="7AF21A0B" w14:textId="77777777" w:rsidR="00F50D70" w:rsidRPr="00BE4F47" w:rsidRDefault="00137D7F" w:rsidP="008E113B">
            <w:pPr>
              <w:spacing w:before="20" w:after="20"/>
              <w:ind w:left="0"/>
              <w:jc w:val="left"/>
              <w:outlineLvl w:val="9"/>
              <w:rPr>
                <w:rFonts w:ascii="Aptos" w:eastAsia="Calibri" w:hAnsi="Aptos" w:cs="Calibri"/>
                <w:color w:val="1A1A19"/>
                <w:sz w:val="20"/>
                <w:szCs w:val="20"/>
              </w:rPr>
            </w:pPr>
            <w:r w:rsidRPr="00BE4F47">
              <w:rPr>
                <w:rFonts w:ascii="Aptos" w:eastAsia="Calibri" w:hAnsi="Aptos" w:cs="Calibri"/>
                <w:color w:val="1A1A19"/>
                <w:sz w:val="16"/>
                <w:szCs w:val="16"/>
              </w:rPr>
              <w:t>59 400,00 $</w:t>
            </w:r>
          </w:p>
        </w:tc>
        <w:tc>
          <w:tcPr>
            <w:tcW w:w="1707" w:type="dxa"/>
            <w:tcBorders>
              <w:top w:val="single" w:sz="4" w:space="0" w:color="000000"/>
              <w:left w:val="single" w:sz="4" w:space="0" w:color="000000"/>
              <w:bottom w:val="single" w:sz="4" w:space="0" w:color="000000"/>
              <w:right w:val="single" w:sz="4" w:space="0" w:color="000000"/>
            </w:tcBorders>
          </w:tcPr>
          <w:p w14:paraId="34DE156D" w14:textId="77777777" w:rsidR="00F50D70" w:rsidRPr="00BE4F47" w:rsidRDefault="00F50D70" w:rsidP="008E113B">
            <w:pPr>
              <w:spacing w:before="20" w:after="20"/>
              <w:ind w:left="0"/>
              <w:jc w:val="left"/>
              <w:outlineLvl w:val="9"/>
              <w:rPr>
                <w:rFonts w:ascii="Aptos" w:eastAsia="Calibri" w:hAnsi="Aptos" w:cs="Calibri"/>
                <w:color w:val="1A1A19"/>
                <w:sz w:val="20"/>
                <w:szCs w:val="20"/>
              </w:rPr>
            </w:pPr>
          </w:p>
        </w:tc>
      </w:tr>
    </w:tbl>
    <w:p w14:paraId="6CF8A5B4" w14:textId="77777777" w:rsidR="00F50D70" w:rsidRPr="00BE4F47" w:rsidRDefault="00137D7F" w:rsidP="008E113B">
      <w:pPr>
        <w:spacing w:before="200" w:after="130" w:line="360" w:lineRule="auto"/>
        <w:ind w:left="360"/>
        <w:rPr>
          <w:rFonts w:ascii="Aptos" w:hAnsi="Aptos"/>
        </w:rPr>
      </w:pPr>
      <w:bookmarkStart w:id="665" w:name="_Toc241083181"/>
      <w:bookmarkStart w:id="666" w:name="_Toc241670330"/>
      <w:r w:rsidRPr="00BE4F47">
        <w:rPr>
          <w:rFonts w:ascii="Aptos" w:hAnsi="Aptos"/>
          <w:color w:val="1A1A19"/>
          <w:sz w:val="20"/>
          <w:szCs w:val="20"/>
        </w:rPr>
        <w:t>L’équipe facture à chaque jalon un peu plus que ce qu’elle a engagé, parce que le prix porte la contingence et le coût ne la porte pas. Au jalon J2, elle a facturé 25 300 $ pour un coût engagé de 23 000 $. Au jalon J3, 43 835 $ pour 39 850 $. L’écart final, 5 400 $, est exactement la contingence. La facturation par jalon évite que l’équipe finance le mandat sur ses propres fonds jusqu’à la livraison.</w:t>
      </w:r>
      <w:bookmarkEnd w:id="665"/>
      <w:bookmarkEnd w:id="666"/>
    </w:p>
    <w:p w14:paraId="77644603" w14:textId="77777777" w:rsidR="00F50D70" w:rsidRPr="00B36301" w:rsidRDefault="00137D7F" w:rsidP="008E113B">
      <w:pPr>
        <w:pStyle w:val="Titre1"/>
        <w:spacing w:line="360" w:lineRule="auto"/>
      </w:pPr>
      <w:bookmarkStart w:id="667" w:name="__RefHeading___Toc240715288"/>
      <w:bookmarkStart w:id="668" w:name="_Toc241670331"/>
      <w:bookmarkEnd w:id="667"/>
      <w:r w:rsidRPr="00B36301">
        <w:lastRenderedPageBreak/>
        <w:t>Échéancier préliminaire</w:t>
      </w:r>
      <w:bookmarkEnd w:id="668"/>
    </w:p>
    <w:p w14:paraId="5CDEC92A" w14:textId="77777777" w:rsidR="00F50D70" w:rsidRPr="00BE4F47" w:rsidRDefault="00137D7F" w:rsidP="008E113B">
      <w:pPr>
        <w:spacing w:after="130" w:line="360" w:lineRule="auto"/>
        <w:ind w:left="360"/>
        <w:rPr>
          <w:rFonts w:ascii="Aptos" w:hAnsi="Aptos"/>
        </w:rPr>
      </w:pPr>
      <w:bookmarkStart w:id="669" w:name="_Toc241083151"/>
      <w:bookmarkStart w:id="670" w:name="_Toc241670332"/>
      <w:r w:rsidRPr="00BE4F47">
        <w:rPr>
          <w:rFonts w:ascii="Aptos" w:hAnsi="Aptos"/>
          <w:color w:val="1A1A19"/>
          <w:sz w:val="20"/>
          <w:szCs w:val="20"/>
        </w:rPr>
        <w:t>Le travail est défini, chiffré en heures puis en dollars. Il reste à le placer dans le temps. Cette section construit le calendrier du mandat à partir du trimestre universitaire, le découpe en phases, et fixe les six jalons auxquels l’avancement est mesuré.</w:t>
      </w:r>
      <w:bookmarkEnd w:id="669"/>
      <w:bookmarkEnd w:id="670"/>
    </w:p>
    <w:p w14:paraId="268E7ED7" w14:textId="77777777" w:rsidR="00F50D70" w:rsidRPr="00B36301" w:rsidRDefault="00137D7F" w:rsidP="008E113B">
      <w:pPr>
        <w:pStyle w:val="Titre2"/>
        <w:spacing w:line="360" w:lineRule="auto"/>
      </w:pPr>
      <w:bookmarkStart w:id="671" w:name="_Toc241670333"/>
      <w:r w:rsidRPr="00B36301">
        <w:t>Structure de découpage du projet</w:t>
      </w:r>
      <w:bookmarkEnd w:id="671"/>
    </w:p>
    <w:p w14:paraId="43A4C2AA" w14:textId="77777777" w:rsidR="00F50D70" w:rsidRPr="00BE4F47" w:rsidRDefault="00137D7F" w:rsidP="008E113B">
      <w:pPr>
        <w:spacing w:after="130" w:line="360" w:lineRule="auto"/>
        <w:ind w:left="360"/>
        <w:rPr>
          <w:rFonts w:ascii="Aptos" w:hAnsi="Aptos"/>
        </w:rPr>
      </w:pPr>
      <w:bookmarkStart w:id="672" w:name="_Toc241083154"/>
      <w:bookmarkStart w:id="673" w:name="_Toc241670334"/>
      <w:r w:rsidRPr="00BE4F47">
        <w:rPr>
          <w:rFonts w:ascii="Aptos" w:hAnsi="Aptos"/>
          <w:color w:val="1A1A19"/>
          <w:sz w:val="20"/>
          <w:szCs w:val="20"/>
        </w:rPr>
        <w:t>La structure de découpage ci-dessous décompose le mandat en six ensembles, puis chaque ensemble en activités. Elle relie les lots de la section 8, qui portent l’effort, les livrables de la section 2, qui portent la valeur, et les activités, qui portent les durées.</w:t>
      </w:r>
      <w:bookmarkEnd w:id="672"/>
      <w:bookmarkEnd w:id="673"/>
    </w:p>
    <w:p w14:paraId="22CCD551" w14:textId="77777777" w:rsidR="00F50D70" w:rsidRPr="00BE4F47" w:rsidRDefault="002A1CE1" w:rsidP="008E113B">
      <w:pPr>
        <w:keepNext/>
        <w:spacing w:after="130" w:line="360" w:lineRule="auto"/>
        <w:ind w:left="360"/>
        <w:rPr>
          <w:rFonts w:ascii="Aptos" w:hAnsi="Aptos"/>
        </w:rPr>
      </w:pPr>
      <w:bookmarkStart w:id="674" w:name="_Toc241083155"/>
      <w:bookmarkStart w:id="675" w:name="_Toc241670335"/>
      <w:r>
        <w:rPr>
          <w:rFonts w:ascii="Aptos" w:hAnsi="Aptos"/>
          <w:noProof/>
        </w:rPr>
        <w:drawing>
          <wp:anchor distT="0" distB="0" distL="114300" distR="114300" simplePos="0" relativeHeight="251656192" behindDoc="0" locked="0" layoutInCell="1" allowOverlap="1" wp14:anchorId="25BD99B5" wp14:editId="62832836">
            <wp:simplePos x="0" y="0"/>
            <wp:positionH relativeFrom="column">
              <wp:posOffset>174625</wp:posOffset>
            </wp:positionH>
            <wp:positionV relativeFrom="paragraph">
              <wp:posOffset>1031875</wp:posOffset>
            </wp:positionV>
            <wp:extent cx="5440680" cy="2179320"/>
            <wp:effectExtent l="0" t="0" r="0" b="0"/>
            <wp:wrapTopAndBottom/>
            <wp:docPr id="1266838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40680" cy="2179320"/>
                    </a:xfrm>
                    <a:prstGeom prst="rect">
                      <a:avLst/>
                    </a:prstGeom>
                    <a:noFill/>
                  </pic:spPr>
                </pic:pic>
              </a:graphicData>
            </a:graphic>
            <wp14:sizeRelH relativeFrom="page">
              <wp14:pctWidth>0</wp14:pctWidth>
            </wp14:sizeRelH>
            <wp14:sizeRelV relativeFrom="page">
              <wp14:pctHeight>0</wp14:pctHeight>
            </wp14:sizeRelV>
          </wp:anchor>
        </w:drawing>
      </w:r>
      <w:r w:rsidR="00273A91" w:rsidRPr="00BE4F47">
        <w:rPr>
          <w:rFonts w:ascii="Aptos" w:hAnsi="Aptos"/>
          <w:color w:val="1A1A19"/>
          <w:sz w:val="20"/>
          <w:szCs w:val="20"/>
        </w:rPr>
        <w:t>Le découpage suit le cycle de vie plutôt que l’organigramme de l’équipe. Un découpage par personne aurait figé l’affectation et rendu l’échéancier dépendant des disponibilités individuelles. Un découpage par phase permet de déplacer une personne d’une activité à une autre sans refaire la planification.</w:t>
      </w:r>
      <w:bookmarkEnd w:id="674"/>
      <w:bookmarkEnd w:id="675"/>
    </w:p>
    <w:p w14:paraId="1CE789BE" w14:textId="77777777" w:rsidR="00F50D70" w:rsidRPr="00BE4F47" w:rsidRDefault="00137D7F" w:rsidP="008E113B">
      <w:pPr>
        <w:pStyle w:val="Lgende"/>
        <w:spacing w:line="360" w:lineRule="auto"/>
        <w:rPr>
          <w:rFonts w:ascii="Aptos" w:hAnsi="Aptos"/>
        </w:rPr>
      </w:pPr>
      <w:bookmarkStart w:id="676" w:name="_Toc241083156"/>
      <w:bookmarkStart w:id="677" w:name="_Toc241670336"/>
      <w:r w:rsidRPr="00BE4F47">
        <w:rPr>
          <w:rFonts w:ascii="Aptos" w:hAnsi="Aptos"/>
        </w:rPr>
        <w:t>Figure 10-1. Structure de découpage du projet</w:t>
      </w:r>
      <w:bookmarkEnd w:id="676"/>
      <w:bookmarkEnd w:id="677"/>
    </w:p>
    <w:p w14:paraId="799C0C78" w14:textId="77777777" w:rsidR="00F50D70" w:rsidRPr="00BE4F47" w:rsidRDefault="00137D7F" w:rsidP="008E113B">
      <w:pPr>
        <w:spacing w:after="130" w:line="360" w:lineRule="auto"/>
        <w:ind w:left="360"/>
        <w:rPr>
          <w:rFonts w:ascii="Aptos" w:hAnsi="Aptos"/>
        </w:rPr>
      </w:pPr>
      <w:bookmarkStart w:id="678" w:name="_Toc241083157"/>
      <w:bookmarkStart w:id="679" w:name="_Toc241670337"/>
      <w:r w:rsidRPr="00BE4F47">
        <w:rPr>
          <w:rFonts w:ascii="Aptos" w:hAnsi="Aptos"/>
          <w:color w:val="1A1A19"/>
          <w:sz w:val="20"/>
          <w:szCs w:val="20"/>
        </w:rPr>
        <w:t>Chaque feuille de l’arbre porte le lot de travail qui la finance, et, lorsqu’elle s’y rattache, l’état GEMMA ou l’identifiant de fonction qu’elle réalise. C’est ce double rattachement qui permet de calculer la valeur acquise : une activité terminée fait avancer un lot dont l’effort est connu, donc une valeur chiffrable.</w:t>
      </w:r>
      <w:bookmarkEnd w:id="678"/>
      <w:bookmarkEnd w:id="679"/>
    </w:p>
    <w:p w14:paraId="72975E9D" w14:textId="77777777" w:rsidR="00F50D70" w:rsidRPr="00BE4F47" w:rsidRDefault="00137D7F" w:rsidP="008E113B">
      <w:pPr>
        <w:spacing w:after="130" w:line="360" w:lineRule="auto"/>
        <w:ind w:left="360"/>
        <w:rPr>
          <w:rFonts w:ascii="Aptos" w:hAnsi="Aptos"/>
        </w:rPr>
      </w:pPr>
      <w:bookmarkStart w:id="680" w:name="_Toc241083158"/>
      <w:bookmarkStart w:id="681" w:name="_Toc241670338"/>
      <w:r w:rsidRPr="00BE4F47">
        <w:rPr>
          <w:rFonts w:ascii="Aptos" w:hAnsi="Aptos"/>
          <w:color w:val="1A1A19"/>
          <w:sz w:val="20"/>
          <w:szCs w:val="20"/>
        </w:rPr>
        <w:t>Les activités se répartissent en trois familles pour l’ordonnancement : les activités séquentielles, où la suivante attend le résultat de la précédente ; les activités parallèles, menées de front par des membres différents ; les activités à ressource partagée, qui réclament la même compétence et doivent donc être décalées.</w:t>
      </w:r>
      <w:bookmarkEnd w:id="680"/>
      <w:bookmarkEnd w:id="681"/>
    </w:p>
    <w:p w14:paraId="3415932A" w14:textId="77777777" w:rsidR="00F50D70" w:rsidRPr="00B36301" w:rsidRDefault="00137D7F" w:rsidP="008E113B">
      <w:pPr>
        <w:pStyle w:val="Titre2"/>
        <w:spacing w:line="360" w:lineRule="auto"/>
      </w:pPr>
      <w:bookmarkStart w:id="682" w:name="_Toc241670339"/>
      <w:r w:rsidRPr="00B36301">
        <w:t>Base de calendrier et capacité de l’équipe</w:t>
      </w:r>
      <w:bookmarkEnd w:id="682"/>
    </w:p>
    <w:p w14:paraId="3ABB7BEA"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683" w:name="_Toc241083160"/>
      <w:bookmarkStart w:id="684" w:name="_Toc241670340"/>
      <w:r w:rsidRPr="00BE4F47">
        <w:rPr>
          <w:rFonts w:ascii="Aptos" w:hAnsi="Aptos"/>
          <w:color w:val="1A1A19"/>
          <w:sz w:val="20"/>
          <w:szCs w:val="20"/>
        </w:rPr>
        <w:t xml:space="preserve">L’échéancier est construit sur le calendrier du trimestre d’automne 2026 de l’UQAC, qui s’étend du 31 août au 22 décembre 2026 [51]. Trois congés fériés interrompent la période : le 7 septembre, le 30 septembre et le 12 octobre. Un congé pédagogique sans enseignement couvre du 13 au 16 </w:t>
      </w:r>
      <w:r w:rsidRPr="00BE4F47">
        <w:rPr>
          <w:rFonts w:ascii="Aptos" w:hAnsi="Aptos"/>
          <w:color w:val="1A1A19"/>
          <w:sz w:val="20"/>
          <w:szCs w:val="20"/>
        </w:rPr>
        <w:lastRenderedPageBreak/>
        <w:t>octobre. La date limite d’abandon sans mention d’échec, le 10 novembre, sert de repère pour la gestion du risque d’équipe.</w:t>
      </w:r>
      <w:bookmarkEnd w:id="683"/>
      <w:bookmarkEnd w:id="684"/>
    </w:p>
    <w:p w14:paraId="458D88B0"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685" w:name="_Toc241083161"/>
      <w:bookmarkStart w:id="686" w:name="_Toc241670341"/>
      <w:r w:rsidRPr="00BE4F47">
        <w:rPr>
          <w:rFonts w:ascii="Aptos" w:hAnsi="Aptos"/>
          <w:color w:val="1A1A19"/>
          <w:sz w:val="20"/>
          <w:szCs w:val="20"/>
        </w:rPr>
        <w:t>L’équipe dispose de trois créneaux fixes chaque semaine : l’atelier du mercredi soir et les séances de laboratoire du jeudi et du vendredi midi.</w:t>
      </w:r>
      <w:bookmarkEnd w:id="685"/>
      <w:bookmarkEnd w:id="686"/>
    </w:p>
    <w:p w14:paraId="61C1A91E"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687" w:name="_Toc241083162"/>
      <w:bookmarkStart w:id="688" w:name="_Toc241670342"/>
      <w:r w:rsidRPr="00BE4F47">
        <w:rPr>
          <w:rFonts w:ascii="Aptos" w:hAnsi="Aptos"/>
          <w:color w:val="1A1A19"/>
          <w:sz w:val="20"/>
          <w:szCs w:val="20"/>
        </w:rPr>
        <w:t>La capacité d’une équipe étudiante n’est pas constante : elle baisse pendant les examens de mi-session et pendant les travaux de fin de session. L’échéancier tient compte de cette variation plutôt que de répartir les 1 080 heures uniformément.</w:t>
      </w:r>
      <w:bookmarkEnd w:id="687"/>
      <w:bookmarkEnd w:id="688"/>
    </w:p>
    <w:p w14:paraId="5D81D44A" w14:textId="77777777" w:rsidR="00F50D70" w:rsidRPr="00B36301" w:rsidRDefault="00137D7F" w:rsidP="008E113B">
      <w:pPr>
        <w:pStyle w:val="Titre2"/>
        <w:spacing w:line="360" w:lineRule="auto"/>
      </w:pPr>
      <w:bookmarkStart w:id="689" w:name="_Toc241670343"/>
      <w:r w:rsidRPr="00B36301">
        <w:t>Découpage en phases, jalons et livrables</w:t>
      </w:r>
      <w:bookmarkEnd w:id="689"/>
    </w:p>
    <w:p w14:paraId="58BA0667"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690" w:name="_Toc241083164"/>
      <w:bookmarkStart w:id="691" w:name="_Toc241670344"/>
      <w:r w:rsidRPr="00BE4F47">
        <w:rPr>
          <w:rFonts w:ascii="Aptos" w:hAnsi="Aptos"/>
          <w:color w:val="1A1A19"/>
          <w:sz w:val="20"/>
          <w:szCs w:val="20"/>
        </w:rPr>
        <w:t>Le projet est découpé en six phases séparées par des jalons. Un jalon est un point de contrôle assorti d’un livrable identifié. Il est franchi ou il ne l’est pas. Les phases sont comptées en semaines complètes et chaque jalon est tenu le vendredi, au dernier créneau de laboratoire de la phase. Le jalon J5 est tenu le 18 décembre, après la réserve d’échéancier.</w:t>
      </w:r>
      <w:bookmarkEnd w:id="690"/>
      <w:bookmarkEnd w:id="691"/>
    </w:p>
    <w:p w14:paraId="7394905B" w14:textId="77777777" w:rsidR="00F50D70" w:rsidRPr="00BE4F47" w:rsidRDefault="00137D7F" w:rsidP="008E113B">
      <w:pPr>
        <w:pStyle w:val="Lgende"/>
        <w:keepNext/>
        <w:spacing w:line="360" w:lineRule="auto"/>
        <w:rPr>
          <w:rFonts w:ascii="Aptos" w:hAnsi="Aptos"/>
        </w:rPr>
      </w:pPr>
      <w:bookmarkStart w:id="692" w:name="_Toc241083165"/>
      <w:bookmarkStart w:id="693" w:name="_Toc241670345"/>
      <w:r w:rsidRPr="00BE4F47">
        <w:rPr>
          <w:rFonts w:ascii="Aptos" w:hAnsi="Aptos"/>
        </w:rPr>
        <w:t>Tableau 10-1. Phases, jalons et livrables de l’échéancier préliminaire</w:t>
      </w:r>
      <w:bookmarkEnd w:id="692"/>
      <w:bookmarkEnd w:id="693"/>
    </w:p>
    <w:tbl>
      <w:tblPr>
        <w:tblW w:w="8557" w:type="dxa"/>
        <w:tblInd w:w="413" w:type="dxa"/>
        <w:tblLayout w:type="fixed"/>
        <w:tblCellMar>
          <w:top w:w="55" w:type="dxa"/>
          <w:left w:w="85" w:type="dxa"/>
          <w:bottom w:w="55" w:type="dxa"/>
          <w:right w:w="85" w:type="dxa"/>
        </w:tblCellMar>
        <w:tblLook w:val="04A0" w:firstRow="1" w:lastRow="0" w:firstColumn="1" w:lastColumn="0" w:noHBand="0" w:noVBand="1"/>
      </w:tblPr>
      <w:tblGrid>
        <w:gridCol w:w="540"/>
        <w:gridCol w:w="1850"/>
        <w:gridCol w:w="1330"/>
        <w:gridCol w:w="850"/>
        <w:gridCol w:w="780"/>
        <w:gridCol w:w="3207"/>
      </w:tblGrid>
      <w:tr w:rsidR="00F50D70" w:rsidRPr="00BE4F47" w14:paraId="5AD4E00A" w14:textId="77777777">
        <w:trPr>
          <w:trHeight w:val="248"/>
          <w:tblHeader/>
        </w:trPr>
        <w:tc>
          <w:tcPr>
            <w:tcW w:w="540" w:type="dxa"/>
            <w:tcBorders>
              <w:top w:val="single" w:sz="4" w:space="0" w:color="000000"/>
              <w:left w:val="single" w:sz="4" w:space="0" w:color="000000"/>
              <w:bottom w:val="single" w:sz="4" w:space="0" w:color="000000"/>
              <w:right w:val="single" w:sz="4" w:space="0" w:color="000000"/>
            </w:tcBorders>
            <w:shd w:val="clear" w:color="auto" w:fill="EFF4FB"/>
          </w:tcPr>
          <w:p w14:paraId="2572E55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Ph.</w:t>
            </w:r>
          </w:p>
        </w:tc>
        <w:tc>
          <w:tcPr>
            <w:tcW w:w="1850" w:type="dxa"/>
            <w:tcBorders>
              <w:top w:val="single" w:sz="4" w:space="0" w:color="000000"/>
              <w:left w:val="single" w:sz="4" w:space="0" w:color="000000"/>
              <w:bottom w:val="single" w:sz="4" w:space="0" w:color="000000"/>
              <w:right w:val="single" w:sz="4" w:space="0" w:color="000000"/>
            </w:tcBorders>
            <w:shd w:val="clear" w:color="auto" w:fill="EFF4FB"/>
          </w:tcPr>
          <w:p w14:paraId="43D47B2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Intitulé</w:t>
            </w:r>
          </w:p>
        </w:tc>
        <w:tc>
          <w:tcPr>
            <w:tcW w:w="1330" w:type="dxa"/>
            <w:tcBorders>
              <w:top w:val="single" w:sz="4" w:space="0" w:color="000000"/>
              <w:left w:val="single" w:sz="4" w:space="0" w:color="000000"/>
              <w:bottom w:val="single" w:sz="4" w:space="0" w:color="000000"/>
              <w:right w:val="single" w:sz="4" w:space="0" w:color="000000"/>
            </w:tcBorders>
            <w:shd w:val="clear" w:color="auto" w:fill="EFF4FB"/>
          </w:tcPr>
          <w:p w14:paraId="4984F3B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Période</w:t>
            </w:r>
          </w:p>
        </w:tc>
        <w:tc>
          <w:tcPr>
            <w:tcW w:w="850" w:type="dxa"/>
            <w:tcBorders>
              <w:top w:val="single" w:sz="4" w:space="0" w:color="000000"/>
              <w:left w:val="single" w:sz="4" w:space="0" w:color="000000"/>
              <w:bottom w:val="single" w:sz="4" w:space="0" w:color="000000"/>
              <w:right w:val="single" w:sz="4" w:space="0" w:color="000000"/>
            </w:tcBorders>
            <w:shd w:val="clear" w:color="auto" w:fill="EFF4FB"/>
          </w:tcPr>
          <w:p w14:paraId="0C85781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Effort</w:t>
            </w:r>
          </w:p>
        </w:tc>
        <w:tc>
          <w:tcPr>
            <w:tcW w:w="780" w:type="dxa"/>
            <w:tcBorders>
              <w:top w:val="single" w:sz="4" w:space="0" w:color="000000"/>
              <w:left w:val="single" w:sz="4" w:space="0" w:color="000000"/>
              <w:bottom w:val="single" w:sz="4" w:space="0" w:color="000000"/>
              <w:right w:val="single" w:sz="4" w:space="0" w:color="000000"/>
            </w:tcBorders>
            <w:shd w:val="clear" w:color="auto" w:fill="EFF4FB"/>
          </w:tcPr>
          <w:p w14:paraId="775CB2F7"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Part</w:t>
            </w:r>
          </w:p>
        </w:tc>
        <w:tc>
          <w:tcPr>
            <w:tcW w:w="3207" w:type="dxa"/>
            <w:tcBorders>
              <w:top w:val="single" w:sz="4" w:space="0" w:color="000000"/>
              <w:left w:val="single" w:sz="4" w:space="0" w:color="000000"/>
              <w:bottom w:val="single" w:sz="4" w:space="0" w:color="000000"/>
              <w:right w:val="single" w:sz="4" w:space="0" w:color="000000"/>
            </w:tcBorders>
            <w:shd w:val="clear" w:color="auto" w:fill="EFF4FB"/>
          </w:tcPr>
          <w:p w14:paraId="3A4A98C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5"/>
                <w:szCs w:val="15"/>
                <w:lang w:val="fr-FR"/>
              </w:rPr>
              <w:t>Jalon de fin et livrables</w:t>
            </w:r>
          </w:p>
        </w:tc>
      </w:tr>
      <w:tr w:rsidR="00F50D70" w:rsidRPr="00BE4F47" w14:paraId="779559AA" w14:textId="77777777">
        <w:trPr>
          <w:cantSplit/>
          <w:trHeight w:val="248"/>
        </w:trPr>
        <w:tc>
          <w:tcPr>
            <w:tcW w:w="540" w:type="dxa"/>
            <w:tcBorders>
              <w:top w:val="single" w:sz="4" w:space="0" w:color="000000"/>
              <w:left w:val="single" w:sz="4" w:space="0" w:color="000000"/>
              <w:bottom w:val="single" w:sz="4" w:space="0" w:color="000000"/>
              <w:right w:val="single" w:sz="4" w:space="0" w:color="000000"/>
            </w:tcBorders>
          </w:tcPr>
          <w:p w14:paraId="33A3CB3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P0</w:t>
            </w:r>
          </w:p>
        </w:tc>
        <w:tc>
          <w:tcPr>
            <w:tcW w:w="1850" w:type="dxa"/>
            <w:tcBorders>
              <w:top w:val="single" w:sz="4" w:space="0" w:color="000000"/>
              <w:left w:val="single" w:sz="4" w:space="0" w:color="000000"/>
              <w:bottom w:val="single" w:sz="4" w:space="0" w:color="000000"/>
              <w:right w:val="single" w:sz="4" w:space="0" w:color="000000"/>
            </w:tcBorders>
          </w:tcPr>
          <w:p w14:paraId="2DB869FB"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Démarrage et cadrage</w:t>
            </w:r>
          </w:p>
        </w:tc>
        <w:tc>
          <w:tcPr>
            <w:tcW w:w="1330" w:type="dxa"/>
            <w:tcBorders>
              <w:top w:val="single" w:sz="4" w:space="0" w:color="000000"/>
              <w:left w:val="single" w:sz="4" w:space="0" w:color="000000"/>
              <w:bottom w:val="single" w:sz="4" w:space="0" w:color="000000"/>
              <w:right w:val="single" w:sz="4" w:space="0" w:color="000000"/>
            </w:tcBorders>
          </w:tcPr>
          <w:p w14:paraId="16C689F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31 août au 4 oct.</w:t>
            </w:r>
          </w:p>
        </w:tc>
        <w:tc>
          <w:tcPr>
            <w:tcW w:w="850" w:type="dxa"/>
            <w:tcBorders>
              <w:top w:val="single" w:sz="4" w:space="0" w:color="000000"/>
              <w:left w:val="single" w:sz="4" w:space="0" w:color="000000"/>
              <w:bottom w:val="single" w:sz="4" w:space="0" w:color="000000"/>
              <w:right w:val="single" w:sz="4" w:space="0" w:color="000000"/>
            </w:tcBorders>
          </w:tcPr>
          <w:p w14:paraId="59A7A30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81 h</w:t>
            </w:r>
          </w:p>
        </w:tc>
        <w:tc>
          <w:tcPr>
            <w:tcW w:w="780" w:type="dxa"/>
            <w:tcBorders>
              <w:top w:val="single" w:sz="4" w:space="0" w:color="000000"/>
              <w:left w:val="single" w:sz="4" w:space="0" w:color="000000"/>
              <w:bottom w:val="single" w:sz="4" w:space="0" w:color="000000"/>
              <w:right w:val="single" w:sz="4" w:space="0" w:color="000000"/>
            </w:tcBorders>
          </w:tcPr>
          <w:p w14:paraId="0F25CBF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7,5 %</w:t>
            </w:r>
          </w:p>
        </w:tc>
        <w:tc>
          <w:tcPr>
            <w:tcW w:w="3207" w:type="dxa"/>
            <w:tcBorders>
              <w:top w:val="single" w:sz="4" w:space="0" w:color="000000"/>
              <w:left w:val="single" w:sz="4" w:space="0" w:color="000000"/>
              <w:bottom w:val="single" w:sz="4" w:space="0" w:color="000000"/>
              <w:right w:val="single" w:sz="4" w:space="0" w:color="000000"/>
            </w:tcBorders>
          </w:tcPr>
          <w:p w14:paraId="380D76D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J0 (2 oct.). Plan de projet remis. Livrable L07.</w:t>
            </w:r>
          </w:p>
        </w:tc>
      </w:tr>
      <w:tr w:rsidR="00F50D70" w:rsidRPr="00BE4F47" w14:paraId="59FFE7A9" w14:textId="77777777">
        <w:trPr>
          <w:cantSplit/>
          <w:trHeight w:val="629"/>
        </w:trPr>
        <w:tc>
          <w:tcPr>
            <w:tcW w:w="540" w:type="dxa"/>
            <w:tcBorders>
              <w:top w:val="single" w:sz="4" w:space="0" w:color="000000"/>
              <w:left w:val="single" w:sz="4" w:space="0" w:color="000000"/>
              <w:bottom w:val="single" w:sz="4" w:space="0" w:color="000000"/>
              <w:right w:val="single" w:sz="4" w:space="0" w:color="000000"/>
            </w:tcBorders>
          </w:tcPr>
          <w:p w14:paraId="379DD21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P1</w:t>
            </w:r>
          </w:p>
        </w:tc>
        <w:tc>
          <w:tcPr>
            <w:tcW w:w="1850" w:type="dxa"/>
            <w:tcBorders>
              <w:top w:val="single" w:sz="4" w:space="0" w:color="000000"/>
              <w:left w:val="single" w:sz="4" w:space="0" w:color="000000"/>
              <w:bottom w:val="single" w:sz="4" w:space="0" w:color="000000"/>
              <w:right w:val="single" w:sz="4" w:space="0" w:color="000000"/>
            </w:tcBorders>
          </w:tcPr>
          <w:p w14:paraId="3C923FA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Exigences et analyse fonctionnelle</w:t>
            </w:r>
          </w:p>
        </w:tc>
        <w:tc>
          <w:tcPr>
            <w:tcW w:w="1330" w:type="dxa"/>
            <w:tcBorders>
              <w:top w:val="single" w:sz="4" w:space="0" w:color="000000"/>
              <w:left w:val="single" w:sz="4" w:space="0" w:color="000000"/>
              <w:bottom w:val="single" w:sz="4" w:space="0" w:color="000000"/>
              <w:right w:val="single" w:sz="4" w:space="0" w:color="000000"/>
            </w:tcBorders>
          </w:tcPr>
          <w:p w14:paraId="51A1E94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5 au 11 oct.</w:t>
            </w:r>
          </w:p>
        </w:tc>
        <w:tc>
          <w:tcPr>
            <w:tcW w:w="850" w:type="dxa"/>
            <w:tcBorders>
              <w:top w:val="single" w:sz="4" w:space="0" w:color="000000"/>
              <w:left w:val="single" w:sz="4" w:space="0" w:color="000000"/>
              <w:bottom w:val="single" w:sz="4" w:space="0" w:color="000000"/>
              <w:right w:val="single" w:sz="4" w:space="0" w:color="000000"/>
            </w:tcBorders>
          </w:tcPr>
          <w:p w14:paraId="4B8008D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149 h</w:t>
            </w:r>
          </w:p>
        </w:tc>
        <w:tc>
          <w:tcPr>
            <w:tcW w:w="780" w:type="dxa"/>
            <w:tcBorders>
              <w:top w:val="single" w:sz="4" w:space="0" w:color="000000"/>
              <w:left w:val="single" w:sz="4" w:space="0" w:color="000000"/>
              <w:bottom w:val="single" w:sz="4" w:space="0" w:color="000000"/>
              <w:right w:val="single" w:sz="4" w:space="0" w:color="000000"/>
            </w:tcBorders>
          </w:tcPr>
          <w:p w14:paraId="09DEE53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13,8 %</w:t>
            </w:r>
          </w:p>
        </w:tc>
        <w:tc>
          <w:tcPr>
            <w:tcW w:w="3207" w:type="dxa"/>
            <w:tcBorders>
              <w:top w:val="single" w:sz="4" w:space="0" w:color="000000"/>
              <w:left w:val="single" w:sz="4" w:space="0" w:color="000000"/>
              <w:bottom w:val="single" w:sz="4" w:space="0" w:color="000000"/>
              <w:right w:val="single" w:sz="4" w:space="0" w:color="000000"/>
            </w:tcBorders>
          </w:tcPr>
          <w:p w14:paraId="470D083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J1 (9 oct.). Registre des exigences vérifiables, GEMMA et structure de découpage. Livrables L03 et L04.</w:t>
            </w:r>
          </w:p>
        </w:tc>
      </w:tr>
      <w:tr w:rsidR="00F50D70" w:rsidRPr="00BE4F47" w14:paraId="48045826" w14:textId="77777777">
        <w:trPr>
          <w:cantSplit/>
          <w:trHeight w:val="629"/>
        </w:trPr>
        <w:tc>
          <w:tcPr>
            <w:tcW w:w="540" w:type="dxa"/>
            <w:tcBorders>
              <w:top w:val="single" w:sz="4" w:space="0" w:color="000000"/>
              <w:left w:val="single" w:sz="4" w:space="0" w:color="000000"/>
              <w:bottom w:val="single" w:sz="4" w:space="0" w:color="000000"/>
              <w:right w:val="single" w:sz="4" w:space="0" w:color="000000"/>
            </w:tcBorders>
          </w:tcPr>
          <w:p w14:paraId="4967308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P2</w:t>
            </w:r>
          </w:p>
        </w:tc>
        <w:tc>
          <w:tcPr>
            <w:tcW w:w="1850" w:type="dxa"/>
            <w:tcBorders>
              <w:top w:val="single" w:sz="4" w:space="0" w:color="000000"/>
              <w:left w:val="single" w:sz="4" w:space="0" w:color="000000"/>
              <w:bottom w:val="single" w:sz="4" w:space="0" w:color="000000"/>
              <w:right w:val="single" w:sz="4" w:space="0" w:color="000000"/>
            </w:tcBorders>
          </w:tcPr>
          <w:p w14:paraId="16BCDD9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Conception préliminaire : modèle et architecture</w:t>
            </w:r>
          </w:p>
        </w:tc>
        <w:tc>
          <w:tcPr>
            <w:tcW w:w="1330" w:type="dxa"/>
            <w:tcBorders>
              <w:top w:val="single" w:sz="4" w:space="0" w:color="000000"/>
              <w:left w:val="single" w:sz="4" w:space="0" w:color="000000"/>
              <w:bottom w:val="single" w:sz="4" w:space="0" w:color="000000"/>
              <w:right w:val="single" w:sz="4" w:space="0" w:color="000000"/>
            </w:tcBorders>
          </w:tcPr>
          <w:p w14:paraId="668CE48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12 au 25 oct.</w:t>
            </w:r>
          </w:p>
        </w:tc>
        <w:tc>
          <w:tcPr>
            <w:tcW w:w="850" w:type="dxa"/>
            <w:tcBorders>
              <w:top w:val="single" w:sz="4" w:space="0" w:color="000000"/>
              <w:left w:val="single" w:sz="4" w:space="0" w:color="000000"/>
              <w:bottom w:val="single" w:sz="4" w:space="0" w:color="000000"/>
              <w:right w:val="single" w:sz="4" w:space="0" w:color="000000"/>
            </w:tcBorders>
          </w:tcPr>
          <w:p w14:paraId="4629167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230 h</w:t>
            </w:r>
          </w:p>
        </w:tc>
        <w:tc>
          <w:tcPr>
            <w:tcW w:w="780" w:type="dxa"/>
            <w:tcBorders>
              <w:top w:val="single" w:sz="4" w:space="0" w:color="000000"/>
              <w:left w:val="single" w:sz="4" w:space="0" w:color="000000"/>
              <w:bottom w:val="single" w:sz="4" w:space="0" w:color="000000"/>
              <w:right w:val="single" w:sz="4" w:space="0" w:color="000000"/>
            </w:tcBorders>
          </w:tcPr>
          <w:p w14:paraId="314FCF3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21,3 %</w:t>
            </w:r>
          </w:p>
        </w:tc>
        <w:tc>
          <w:tcPr>
            <w:tcW w:w="3207" w:type="dxa"/>
            <w:tcBorders>
              <w:top w:val="single" w:sz="4" w:space="0" w:color="000000"/>
              <w:left w:val="single" w:sz="4" w:space="0" w:color="000000"/>
              <w:bottom w:val="single" w:sz="4" w:space="0" w:color="000000"/>
              <w:right w:val="single" w:sz="4" w:space="0" w:color="000000"/>
            </w:tcBorders>
          </w:tcPr>
          <w:p w14:paraId="5DCE223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J2 (23 oct.). Dossier de conception préliminaire, modèle de référence validé, plan de vérification et de validation. Livrable L05.</w:t>
            </w:r>
          </w:p>
        </w:tc>
      </w:tr>
      <w:tr w:rsidR="00F50D70" w:rsidRPr="00BE4F47" w14:paraId="2F92BF41" w14:textId="77777777">
        <w:trPr>
          <w:cantSplit/>
          <w:trHeight w:val="629"/>
        </w:trPr>
        <w:tc>
          <w:tcPr>
            <w:tcW w:w="540" w:type="dxa"/>
            <w:tcBorders>
              <w:top w:val="single" w:sz="4" w:space="0" w:color="000000"/>
              <w:left w:val="single" w:sz="4" w:space="0" w:color="000000"/>
              <w:bottom w:val="single" w:sz="4" w:space="0" w:color="000000"/>
              <w:right w:val="single" w:sz="4" w:space="0" w:color="000000"/>
            </w:tcBorders>
          </w:tcPr>
          <w:p w14:paraId="69B68969"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P3</w:t>
            </w:r>
          </w:p>
        </w:tc>
        <w:tc>
          <w:tcPr>
            <w:tcW w:w="1850" w:type="dxa"/>
            <w:tcBorders>
              <w:top w:val="single" w:sz="4" w:space="0" w:color="000000"/>
              <w:left w:val="single" w:sz="4" w:space="0" w:color="000000"/>
              <w:bottom w:val="single" w:sz="4" w:space="0" w:color="000000"/>
              <w:right w:val="single" w:sz="4" w:space="0" w:color="000000"/>
            </w:tcBorders>
          </w:tcPr>
          <w:p w14:paraId="1AC278A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Conception détaillée et développement, deux itérations</w:t>
            </w:r>
          </w:p>
        </w:tc>
        <w:tc>
          <w:tcPr>
            <w:tcW w:w="1330" w:type="dxa"/>
            <w:tcBorders>
              <w:top w:val="single" w:sz="4" w:space="0" w:color="000000"/>
              <w:left w:val="single" w:sz="4" w:space="0" w:color="000000"/>
              <w:bottom w:val="single" w:sz="4" w:space="0" w:color="000000"/>
              <w:right w:val="single" w:sz="4" w:space="0" w:color="000000"/>
            </w:tcBorders>
          </w:tcPr>
          <w:p w14:paraId="319B940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26 oct. au 22 nov.</w:t>
            </w:r>
          </w:p>
        </w:tc>
        <w:tc>
          <w:tcPr>
            <w:tcW w:w="850" w:type="dxa"/>
            <w:tcBorders>
              <w:top w:val="single" w:sz="4" w:space="0" w:color="000000"/>
              <w:left w:val="single" w:sz="4" w:space="0" w:color="000000"/>
              <w:bottom w:val="single" w:sz="4" w:space="0" w:color="000000"/>
              <w:right w:val="single" w:sz="4" w:space="0" w:color="000000"/>
            </w:tcBorders>
          </w:tcPr>
          <w:p w14:paraId="3889D57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337 h</w:t>
            </w:r>
          </w:p>
        </w:tc>
        <w:tc>
          <w:tcPr>
            <w:tcW w:w="780" w:type="dxa"/>
            <w:tcBorders>
              <w:top w:val="single" w:sz="4" w:space="0" w:color="000000"/>
              <w:left w:val="single" w:sz="4" w:space="0" w:color="000000"/>
              <w:bottom w:val="single" w:sz="4" w:space="0" w:color="000000"/>
              <w:right w:val="single" w:sz="4" w:space="0" w:color="000000"/>
            </w:tcBorders>
          </w:tcPr>
          <w:p w14:paraId="1ACDF2D2"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31,2 %</w:t>
            </w:r>
          </w:p>
        </w:tc>
        <w:tc>
          <w:tcPr>
            <w:tcW w:w="3207" w:type="dxa"/>
            <w:tcBorders>
              <w:top w:val="single" w:sz="4" w:space="0" w:color="000000"/>
              <w:left w:val="single" w:sz="4" w:space="0" w:color="000000"/>
              <w:bottom w:val="single" w:sz="4" w:space="0" w:color="000000"/>
              <w:right w:val="single" w:sz="4" w:space="0" w:color="000000"/>
            </w:tcBorders>
          </w:tcPr>
          <w:p w14:paraId="69E9208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J3 (20 nov.). Gel des fonctionnalités. Prototype du jumeau et interface d’aide à la décision. Livrables L01 et L02.</w:t>
            </w:r>
          </w:p>
        </w:tc>
      </w:tr>
      <w:tr w:rsidR="00F50D70" w:rsidRPr="00BE4F47" w14:paraId="38B067C8" w14:textId="77777777">
        <w:trPr>
          <w:cantSplit/>
          <w:trHeight w:val="433"/>
        </w:trPr>
        <w:tc>
          <w:tcPr>
            <w:tcW w:w="540" w:type="dxa"/>
            <w:tcBorders>
              <w:top w:val="single" w:sz="4" w:space="0" w:color="000000"/>
              <w:left w:val="single" w:sz="4" w:space="0" w:color="000000"/>
              <w:bottom w:val="single" w:sz="4" w:space="0" w:color="000000"/>
              <w:right w:val="single" w:sz="4" w:space="0" w:color="000000"/>
            </w:tcBorders>
          </w:tcPr>
          <w:p w14:paraId="2BBFE806"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P4</w:t>
            </w:r>
          </w:p>
        </w:tc>
        <w:tc>
          <w:tcPr>
            <w:tcW w:w="1850" w:type="dxa"/>
            <w:tcBorders>
              <w:top w:val="single" w:sz="4" w:space="0" w:color="000000"/>
              <w:left w:val="single" w:sz="4" w:space="0" w:color="000000"/>
              <w:bottom w:val="single" w:sz="4" w:space="0" w:color="000000"/>
              <w:right w:val="single" w:sz="4" w:space="0" w:color="000000"/>
            </w:tcBorders>
          </w:tcPr>
          <w:p w14:paraId="7C34E5A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Intégration, V&amp;V et campagne d’essais</w:t>
            </w:r>
          </w:p>
        </w:tc>
        <w:tc>
          <w:tcPr>
            <w:tcW w:w="1330" w:type="dxa"/>
            <w:tcBorders>
              <w:top w:val="single" w:sz="4" w:space="0" w:color="000000"/>
              <w:left w:val="single" w:sz="4" w:space="0" w:color="000000"/>
              <w:bottom w:val="single" w:sz="4" w:space="0" w:color="000000"/>
              <w:right w:val="single" w:sz="4" w:space="0" w:color="000000"/>
            </w:tcBorders>
          </w:tcPr>
          <w:p w14:paraId="145A14DA"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23 nov. au 6 déc.</w:t>
            </w:r>
          </w:p>
        </w:tc>
        <w:tc>
          <w:tcPr>
            <w:tcW w:w="850" w:type="dxa"/>
            <w:tcBorders>
              <w:top w:val="single" w:sz="4" w:space="0" w:color="000000"/>
              <w:left w:val="single" w:sz="4" w:space="0" w:color="000000"/>
              <w:bottom w:val="single" w:sz="4" w:space="0" w:color="000000"/>
              <w:right w:val="single" w:sz="4" w:space="0" w:color="000000"/>
            </w:tcBorders>
          </w:tcPr>
          <w:p w14:paraId="5EDEAE0F"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176 h</w:t>
            </w:r>
          </w:p>
        </w:tc>
        <w:tc>
          <w:tcPr>
            <w:tcW w:w="780" w:type="dxa"/>
            <w:tcBorders>
              <w:top w:val="single" w:sz="4" w:space="0" w:color="000000"/>
              <w:left w:val="single" w:sz="4" w:space="0" w:color="000000"/>
              <w:bottom w:val="single" w:sz="4" w:space="0" w:color="000000"/>
              <w:right w:val="single" w:sz="4" w:space="0" w:color="000000"/>
            </w:tcBorders>
          </w:tcPr>
          <w:p w14:paraId="1FC85E8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16,3 %</w:t>
            </w:r>
          </w:p>
        </w:tc>
        <w:tc>
          <w:tcPr>
            <w:tcW w:w="3207" w:type="dxa"/>
            <w:tcBorders>
              <w:top w:val="single" w:sz="4" w:space="0" w:color="000000"/>
              <w:left w:val="single" w:sz="4" w:space="0" w:color="000000"/>
              <w:bottom w:val="single" w:sz="4" w:space="0" w:color="000000"/>
              <w:right w:val="single" w:sz="4" w:space="0" w:color="000000"/>
            </w:tcBorders>
          </w:tcPr>
          <w:p w14:paraId="64DE214D"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J4 (4 déc.). Rapport d’essais et résultats de validation. Livrable L06.</w:t>
            </w:r>
          </w:p>
        </w:tc>
      </w:tr>
      <w:tr w:rsidR="00F50D70" w:rsidRPr="00BE4F47" w14:paraId="6AFA2051" w14:textId="77777777">
        <w:trPr>
          <w:cantSplit/>
          <w:trHeight w:val="629"/>
        </w:trPr>
        <w:tc>
          <w:tcPr>
            <w:tcW w:w="540" w:type="dxa"/>
            <w:tcBorders>
              <w:top w:val="single" w:sz="4" w:space="0" w:color="000000"/>
              <w:left w:val="single" w:sz="4" w:space="0" w:color="000000"/>
              <w:bottom w:val="single" w:sz="4" w:space="0" w:color="000000"/>
              <w:right w:val="single" w:sz="4" w:space="0" w:color="000000"/>
            </w:tcBorders>
          </w:tcPr>
          <w:p w14:paraId="628A313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b/>
                <w:bCs/>
                <w:color w:val="1A1A19"/>
                <w:sz w:val="16"/>
                <w:szCs w:val="16"/>
                <w:lang w:val="fr-FR"/>
              </w:rPr>
              <w:t>P5</w:t>
            </w:r>
          </w:p>
        </w:tc>
        <w:tc>
          <w:tcPr>
            <w:tcW w:w="1850" w:type="dxa"/>
            <w:tcBorders>
              <w:top w:val="single" w:sz="4" w:space="0" w:color="000000"/>
              <w:left w:val="single" w:sz="4" w:space="0" w:color="000000"/>
              <w:bottom w:val="single" w:sz="4" w:space="0" w:color="000000"/>
              <w:right w:val="single" w:sz="4" w:space="0" w:color="000000"/>
            </w:tcBorders>
          </w:tcPr>
          <w:p w14:paraId="6A8E980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Recommandation, rapport final et soutenance</w:t>
            </w:r>
          </w:p>
        </w:tc>
        <w:tc>
          <w:tcPr>
            <w:tcW w:w="1330" w:type="dxa"/>
            <w:tcBorders>
              <w:top w:val="single" w:sz="4" w:space="0" w:color="000000"/>
              <w:left w:val="single" w:sz="4" w:space="0" w:color="000000"/>
              <w:bottom w:val="single" w:sz="4" w:space="0" w:color="000000"/>
              <w:right w:val="single" w:sz="4" w:space="0" w:color="000000"/>
            </w:tcBorders>
          </w:tcPr>
          <w:p w14:paraId="7B6AC28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7 au 13 déc.</w:t>
            </w:r>
          </w:p>
        </w:tc>
        <w:tc>
          <w:tcPr>
            <w:tcW w:w="850" w:type="dxa"/>
            <w:tcBorders>
              <w:top w:val="single" w:sz="4" w:space="0" w:color="000000"/>
              <w:left w:val="single" w:sz="4" w:space="0" w:color="000000"/>
              <w:bottom w:val="single" w:sz="4" w:space="0" w:color="000000"/>
              <w:right w:val="single" w:sz="4" w:space="0" w:color="000000"/>
            </w:tcBorders>
          </w:tcPr>
          <w:p w14:paraId="49B545D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107 h</w:t>
            </w:r>
          </w:p>
        </w:tc>
        <w:tc>
          <w:tcPr>
            <w:tcW w:w="780" w:type="dxa"/>
            <w:tcBorders>
              <w:top w:val="single" w:sz="4" w:space="0" w:color="000000"/>
              <w:left w:val="single" w:sz="4" w:space="0" w:color="000000"/>
              <w:bottom w:val="single" w:sz="4" w:space="0" w:color="000000"/>
              <w:right w:val="single" w:sz="4" w:space="0" w:color="000000"/>
            </w:tcBorders>
          </w:tcPr>
          <w:p w14:paraId="4A44A3DE"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9,9 %</w:t>
            </w:r>
          </w:p>
        </w:tc>
        <w:tc>
          <w:tcPr>
            <w:tcW w:w="3207" w:type="dxa"/>
            <w:tcBorders>
              <w:top w:val="single" w:sz="4" w:space="0" w:color="000000"/>
              <w:left w:val="single" w:sz="4" w:space="0" w:color="000000"/>
              <w:bottom w:val="single" w:sz="4" w:space="0" w:color="000000"/>
              <w:right w:val="single" w:sz="4" w:space="0" w:color="000000"/>
            </w:tcBorders>
          </w:tcPr>
          <w:p w14:paraId="464F4AE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J5 (18 déc.). Recommandation d’ingénierie, rapport final, présentation orale. Livrables L08 et L09.</w:t>
            </w:r>
          </w:p>
        </w:tc>
      </w:tr>
      <w:tr w:rsidR="00F50D70" w:rsidRPr="00BE4F47" w14:paraId="74A1D86E" w14:textId="77777777">
        <w:trPr>
          <w:cantSplit/>
          <w:trHeight w:val="320"/>
        </w:trPr>
        <w:tc>
          <w:tcPr>
            <w:tcW w:w="540" w:type="dxa"/>
            <w:tcBorders>
              <w:top w:val="single" w:sz="4" w:space="0" w:color="000000"/>
              <w:left w:val="single" w:sz="4" w:space="0" w:color="000000"/>
              <w:bottom w:val="single" w:sz="4" w:space="0" w:color="000000"/>
              <w:right w:val="single" w:sz="4" w:space="0" w:color="000000"/>
            </w:tcBorders>
          </w:tcPr>
          <w:p w14:paraId="18B6A270" w14:textId="77777777" w:rsidR="00F50D70" w:rsidRPr="00BE4F47" w:rsidRDefault="00F50D70" w:rsidP="008E113B">
            <w:pPr>
              <w:snapToGrid w:val="0"/>
              <w:spacing w:before="20" w:after="20"/>
              <w:ind w:left="0"/>
              <w:jc w:val="left"/>
              <w:outlineLvl w:val="9"/>
              <w:rPr>
                <w:rFonts w:ascii="Aptos" w:eastAsia="Calibri" w:hAnsi="Aptos" w:cs="Calibri"/>
                <w:color w:val="1A1A19"/>
                <w:sz w:val="20"/>
                <w:szCs w:val="20"/>
                <w:lang w:val="fr-FR"/>
              </w:rPr>
            </w:pPr>
          </w:p>
        </w:tc>
        <w:tc>
          <w:tcPr>
            <w:tcW w:w="1850" w:type="dxa"/>
            <w:tcBorders>
              <w:top w:val="single" w:sz="4" w:space="0" w:color="000000"/>
              <w:left w:val="single" w:sz="4" w:space="0" w:color="000000"/>
              <w:bottom w:val="single" w:sz="4" w:space="0" w:color="000000"/>
              <w:right w:val="single" w:sz="4" w:space="0" w:color="000000"/>
            </w:tcBorders>
          </w:tcPr>
          <w:p w14:paraId="31826274"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Réserve d’échéancier</w:t>
            </w:r>
          </w:p>
        </w:tc>
        <w:tc>
          <w:tcPr>
            <w:tcW w:w="1330" w:type="dxa"/>
            <w:tcBorders>
              <w:top w:val="single" w:sz="4" w:space="0" w:color="000000"/>
              <w:left w:val="single" w:sz="4" w:space="0" w:color="000000"/>
              <w:bottom w:val="single" w:sz="4" w:space="0" w:color="000000"/>
              <w:right w:val="single" w:sz="4" w:space="0" w:color="000000"/>
            </w:tcBorders>
          </w:tcPr>
          <w:p w14:paraId="7207C5B8"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14 au 18 déc.</w:t>
            </w:r>
          </w:p>
        </w:tc>
        <w:tc>
          <w:tcPr>
            <w:tcW w:w="850" w:type="dxa"/>
            <w:tcBorders>
              <w:top w:val="single" w:sz="4" w:space="0" w:color="000000"/>
              <w:left w:val="single" w:sz="4" w:space="0" w:color="000000"/>
              <w:bottom w:val="single" w:sz="4" w:space="0" w:color="000000"/>
              <w:right w:val="single" w:sz="4" w:space="0" w:color="000000"/>
            </w:tcBorders>
          </w:tcPr>
          <w:p w14:paraId="2F390BEC"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s.o.</w:t>
            </w:r>
          </w:p>
        </w:tc>
        <w:tc>
          <w:tcPr>
            <w:tcW w:w="780" w:type="dxa"/>
            <w:tcBorders>
              <w:top w:val="single" w:sz="4" w:space="0" w:color="000000"/>
              <w:left w:val="single" w:sz="4" w:space="0" w:color="000000"/>
              <w:bottom w:val="single" w:sz="4" w:space="0" w:color="000000"/>
              <w:right w:val="single" w:sz="4" w:space="0" w:color="000000"/>
            </w:tcBorders>
          </w:tcPr>
          <w:p w14:paraId="3A8B1BC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s.o.</w:t>
            </w:r>
          </w:p>
        </w:tc>
        <w:tc>
          <w:tcPr>
            <w:tcW w:w="3207" w:type="dxa"/>
            <w:tcBorders>
              <w:top w:val="single" w:sz="4" w:space="0" w:color="000000"/>
              <w:left w:val="single" w:sz="4" w:space="0" w:color="000000"/>
              <w:bottom w:val="single" w:sz="4" w:space="0" w:color="000000"/>
              <w:right w:val="single" w:sz="4" w:space="0" w:color="000000"/>
            </w:tcBorders>
          </w:tcPr>
          <w:p w14:paraId="05B4656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Tampon non alloué. Marge conservée pour absorber un glissement des phases P3 ou P4.</w:t>
            </w:r>
          </w:p>
        </w:tc>
      </w:tr>
      <w:tr w:rsidR="00F50D70" w:rsidRPr="00BE4F47" w14:paraId="3CAA815F" w14:textId="77777777">
        <w:trPr>
          <w:cantSplit/>
          <w:trHeight w:val="310"/>
        </w:trPr>
        <w:tc>
          <w:tcPr>
            <w:tcW w:w="540" w:type="dxa"/>
            <w:tcBorders>
              <w:top w:val="single" w:sz="4" w:space="0" w:color="000000"/>
              <w:left w:val="single" w:sz="4" w:space="0" w:color="000000"/>
              <w:bottom w:val="single" w:sz="4" w:space="0" w:color="000000"/>
              <w:right w:val="single" w:sz="4" w:space="0" w:color="000000"/>
            </w:tcBorders>
          </w:tcPr>
          <w:p w14:paraId="7FF8FBE1" w14:textId="77777777" w:rsidR="00F50D70" w:rsidRPr="00BE4F47" w:rsidRDefault="00F50D70" w:rsidP="008E113B">
            <w:pPr>
              <w:snapToGrid w:val="0"/>
              <w:spacing w:before="20" w:after="20"/>
              <w:ind w:left="0"/>
              <w:jc w:val="left"/>
              <w:outlineLvl w:val="9"/>
              <w:rPr>
                <w:rFonts w:ascii="Aptos" w:eastAsia="Calibri" w:hAnsi="Aptos" w:cs="Calibri"/>
                <w:color w:val="1A1A19"/>
                <w:sz w:val="20"/>
                <w:szCs w:val="20"/>
                <w:lang w:val="fr-FR"/>
              </w:rPr>
            </w:pPr>
          </w:p>
        </w:tc>
        <w:tc>
          <w:tcPr>
            <w:tcW w:w="1850" w:type="dxa"/>
            <w:tcBorders>
              <w:top w:val="single" w:sz="4" w:space="0" w:color="000000"/>
              <w:left w:val="single" w:sz="4" w:space="0" w:color="000000"/>
              <w:bottom w:val="single" w:sz="4" w:space="0" w:color="000000"/>
              <w:right w:val="single" w:sz="4" w:space="0" w:color="000000"/>
            </w:tcBorders>
          </w:tcPr>
          <w:p w14:paraId="0DE3D3C3"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Total</w:t>
            </w:r>
          </w:p>
        </w:tc>
        <w:tc>
          <w:tcPr>
            <w:tcW w:w="1330" w:type="dxa"/>
            <w:tcBorders>
              <w:top w:val="single" w:sz="4" w:space="0" w:color="000000"/>
              <w:left w:val="single" w:sz="4" w:space="0" w:color="000000"/>
              <w:bottom w:val="single" w:sz="4" w:space="0" w:color="000000"/>
              <w:right w:val="single" w:sz="4" w:space="0" w:color="000000"/>
            </w:tcBorders>
          </w:tcPr>
          <w:p w14:paraId="783F9E67" w14:textId="77777777" w:rsidR="00F50D70" w:rsidRPr="00BE4F47" w:rsidRDefault="00F50D70" w:rsidP="008E113B">
            <w:pPr>
              <w:snapToGrid w:val="0"/>
              <w:spacing w:before="20" w:after="20"/>
              <w:ind w:left="0"/>
              <w:jc w:val="left"/>
              <w:outlineLvl w:val="9"/>
              <w:rPr>
                <w:rFonts w:ascii="Aptos" w:eastAsia="Calibri" w:hAnsi="Aptos" w:cs="Calibri"/>
                <w:color w:val="1A1A19"/>
                <w:sz w:val="20"/>
                <w:szCs w:val="20"/>
                <w:lang w:val="fr-FR"/>
              </w:rPr>
            </w:pPr>
          </w:p>
        </w:tc>
        <w:tc>
          <w:tcPr>
            <w:tcW w:w="850" w:type="dxa"/>
            <w:tcBorders>
              <w:top w:val="single" w:sz="4" w:space="0" w:color="000000"/>
              <w:left w:val="single" w:sz="4" w:space="0" w:color="000000"/>
              <w:bottom w:val="single" w:sz="4" w:space="0" w:color="000000"/>
              <w:right w:val="single" w:sz="4" w:space="0" w:color="000000"/>
            </w:tcBorders>
          </w:tcPr>
          <w:p w14:paraId="3BACC8F5"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1 080 h</w:t>
            </w:r>
          </w:p>
        </w:tc>
        <w:tc>
          <w:tcPr>
            <w:tcW w:w="780" w:type="dxa"/>
            <w:tcBorders>
              <w:top w:val="single" w:sz="4" w:space="0" w:color="000000"/>
              <w:left w:val="single" w:sz="4" w:space="0" w:color="000000"/>
              <w:bottom w:val="single" w:sz="4" w:space="0" w:color="000000"/>
              <w:right w:val="single" w:sz="4" w:space="0" w:color="000000"/>
            </w:tcBorders>
          </w:tcPr>
          <w:p w14:paraId="6EA63C70" w14:textId="77777777" w:rsidR="00F50D70" w:rsidRPr="00BE4F47" w:rsidRDefault="00137D7F" w:rsidP="008E113B">
            <w:pPr>
              <w:spacing w:before="20" w:after="20"/>
              <w:ind w:left="0"/>
              <w:jc w:val="left"/>
              <w:outlineLvl w:val="9"/>
              <w:rPr>
                <w:rFonts w:ascii="Aptos" w:eastAsia="Calibri" w:hAnsi="Aptos" w:cs="Calibri"/>
                <w:color w:val="1A1A19"/>
                <w:sz w:val="20"/>
                <w:szCs w:val="20"/>
                <w:lang w:val="fr-FR"/>
              </w:rPr>
            </w:pPr>
            <w:r w:rsidRPr="00BE4F47">
              <w:rPr>
                <w:rFonts w:ascii="Aptos" w:eastAsia="Calibri" w:hAnsi="Aptos" w:cs="Calibri"/>
                <w:color w:val="1A1A19"/>
                <w:sz w:val="16"/>
                <w:szCs w:val="16"/>
                <w:lang w:val="fr-FR"/>
              </w:rPr>
              <w:t>100 %</w:t>
            </w:r>
          </w:p>
        </w:tc>
        <w:tc>
          <w:tcPr>
            <w:tcW w:w="3207" w:type="dxa"/>
            <w:tcBorders>
              <w:top w:val="single" w:sz="4" w:space="0" w:color="000000"/>
              <w:left w:val="single" w:sz="4" w:space="0" w:color="000000"/>
              <w:bottom w:val="single" w:sz="4" w:space="0" w:color="000000"/>
              <w:right w:val="single" w:sz="4" w:space="0" w:color="000000"/>
            </w:tcBorders>
          </w:tcPr>
          <w:p w14:paraId="7A6981EE" w14:textId="77777777" w:rsidR="00F50D70" w:rsidRPr="00BE4F47" w:rsidRDefault="00F50D70" w:rsidP="008E113B">
            <w:pPr>
              <w:snapToGrid w:val="0"/>
              <w:spacing w:before="20" w:after="20"/>
              <w:ind w:left="0"/>
              <w:jc w:val="left"/>
              <w:outlineLvl w:val="9"/>
              <w:rPr>
                <w:rFonts w:ascii="Aptos" w:eastAsia="Calibri" w:hAnsi="Aptos" w:cs="Calibri"/>
                <w:color w:val="1A1A19"/>
                <w:sz w:val="20"/>
                <w:szCs w:val="20"/>
                <w:lang w:val="fr-FR"/>
              </w:rPr>
            </w:pPr>
          </w:p>
        </w:tc>
      </w:tr>
    </w:tbl>
    <w:p w14:paraId="389FB468" w14:textId="77777777" w:rsidR="00F50D70" w:rsidRPr="00BE4F47" w:rsidRDefault="00137D7F" w:rsidP="008E113B">
      <w:pPr>
        <w:spacing w:before="200" w:after="130" w:line="360" w:lineRule="auto"/>
        <w:ind w:left="360"/>
        <w:rPr>
          <w:rFonts w:ascii="Aptos" w:eastAsia="Calibri" w:hAnsi="Aptos" w:cs="Calibri"/>
          <w:color w:val="1A1A19"/>
          <w:sz w:val="20"/>
          <w:szCs w:val="20"/>
        </w:rPr>
      </w:pPr>
      <w:bookmarkStart w:id="694" w:name="_Toc241670346"/>
      <w:r w:rsidRPr="00BE4F47">
        <w:rPr>
          <w:rFonts w:ascii="Aptos" w:hAnsi="Aptos"/>
          <w:color w:val="1A1A19"/>
          <w:sz w:val="20"/>
          <w:szCs w:val="20"/>
        </w:rPr>
        <w:t>Les deux itérations de la phase P3 durent chacune deux semaines. Chacune se termine par une démonstration interne du produit en état de fonctionner. Les phases P0 à P2 restent en cascade, car les exigences et l’architecture doivent être stabilisées avant de développer.</w:t>
      </w:r>
      <w:bookmarkEnd w:id="694"/>
    </w:p>
    <w:p w14:paraId="1B6774BA"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695" w:name="_Toc241083166"/>
      <w:bookmarkStart w:id="696" w:name="_Toc241670347"/>
      <w:r w:rsidRPr="00BE4F47">
        <w:rPr>
          <w:rFonts w:ascii="Aptos" w:hAnsi="Aptos"/>
          <w:color w:val="1A1A19"/>
          <w:sz w:val="20"/>
          <w:szCs w:val="20"/>
        </w:rPr>
        <w:t xml:space="preserve">La phase P0 couvre cinq semaines parce qu’elle s’achève à la remise du plan de projet, le 2 octobre. Les exigences et l’analyse fonctionnelle ont avancé en parallèle pendant cette période, ce qui permet à P1 de tenir en une semaine. La phase P2 ne compte que deux semaines, dont une entamée </w:t>
      </w:r>
      <w:r w:rsidRPr="00BE4F47">
        <w:rPr>
          <w:rFonts w:ascii="Aptos" w:hAnsi="Aptos"/>
          <w:color w:val="1A1A19"/>
          <w:sz w:val="20"/>
          <w:szCs w:val="20"/>
        </w:rPr>
        <w:lastRenderedPageBreak/>
        <w:t>par le congé pédagogique du 13 au 16 octobre. C’est le passage le plus tendu de l’échéancier, et il est suivi de près au titre du risque RP1.</w:t>
      </w:r>
      <w:bookmarkEnd w:id="695"/>
      <w:bookmarkEnd w:id="696"/>
    </w:p>
    <w:p w14:paraId="61D8CAED" w14:textId="77777777" w:rsidR="00F50D70" w:rsidRPr="00BE4F47" w:rsidRDefault="00137D7F" w:rsidP="008E113B">
      <w:pPr>
        <w:spacing w:after="130" w:line="360" w:lineRule="auto"/>
        <w:ind w:left="360"/>
        <w:rPr>
          <w:rFonts w:ascii="Aptos" w:eastAsia="Calibri" w:hAnsi="Aptos" w:cs="Calibri"/>
          <w:color w:val="1A1A19"/>
          <w:sz w:val="20"/>
          <w:szCs w:val="20"/>
        </w:rPr>
      </w:pPr>
      <w:bookmarkStart w:id="697" w:name="_Toc241083167"/>
      <w:bookmarkStart w:id="698" w:name="_Toc241670348"/>
      <w:r w:rsidRPr="00BE4F47">
        <w:rPr>
          <w:rFonts w:ascii="Aptos" w:hAnsi="Aptos"/>
          <w:color w:val="1A1A19"/>
          <w:sz w:val="20"/>
          <w:szCs w:val="20"/>
        </w:rPr>
        <w:t>Les codes de livrables L01 à L09 renvoient au tableau des livrables de la section 2. Les codes de lots L1 à L9 renvoient au tableau de répartition de l’effort de la section 8.</w:t>
      </w:r>
      <w:bookmarkEnd w:id="697"/>
      <w:bookmarkEnd w:id="698"/>
    </w:p>
    <w:p w14:paraId="54EDDB6F" w14:textId="77777777" w:rsidR="00F50D70" w:rsidRPr="00BE4F47" w:rsidRDefault="00137D7F" w:rsidP="008E113B">
      <w:pPr>
        <w:pStyle w:val="Titre2"/>
        <w:spacing w:line="360" w:lineRule="auto"/>
      </w:pPr>
      <w:bookmarkStart w:id="699" w:name="_Toc241670349"/>
      <w:r w:rsidRPr="00BE4F47">
        <w:t>Représentation graphique</w:t>
      </w:r>
      <w:bookmarkEnd w:id="699"/>
    </w:p>
    <w:p w14:paraId="4624D0DB" w14:textId="77777777" w:rsidR="00F50D70" w:rsidRPr="00BE4F47" w:rsidRDefault="00137D7F" w:rsidP="008E113B">
      <w:pPr>
        <w:spacing w:after="130" w:line="360" w:lineRule="auto"/>
        <w:ind w:left="360"/>
        <w:rPr>
          <w:rFonts w:ascii="Aptos" w:hAnsi="Aptos"/>
        </w:rPr>
      </w:pPr>
      <w:bookmarkStart w:id="700" w:name="_Toc241670350"/>
      <w:r w:rsidRPr="00BE4F47">
        <w:rPr>
          <w:rFonts w:ascii="Aptos" w:hAnsi="Aptos"/>
          <w:b/>
          <w:color w:val="1A1A19"/>
          <w:sz w:val="20"/>
          <w:szCs w:val="20"/>
        </w:rPr>
        <w:t xml:space="preserve">Diagramme de Gantt. </w:t>
      </w:r>
      <w:r w:rsidRPr="00BE4F47">
        <w:rPr>
          <w:rFonts w:ascii="Aptos" w:hAnsi="Aptos"/>
          <w:color w:val="1A1A19"/>
          <w:sz w:val="20"/>
          <w:szCs w:val="20"/>
        </w:rPr>
        <w:t>Le diagramme ci-dessous place les activités de la structure de découpage sur le calendrier du trimestre et marque les six jalons.</w:t>
      </w:r>
      <w:bookmarkEnd w:id="700"/>
    </w:p>
    <w:p w14:paraId="44081C66" w14:textId="77777777" w:rsidR="00F50D70" w:rsidRPr="00BE4F47" w:rsidRDefault="00137D7F" w:rsidP="008E113B">
      <w:pPr>
        <w:spacing w:after="130" w:line="360" w:lineRule="auto"/>
        <w:ind w:left="360"/>
        <w:rPr>
          <w:rFonts w:ascii="Aptos" w:hAnsi="Aptos"/>
        </w:rPr>
      </w:pPr>
      <w:bookmarkStart w:id="701" w:name="_Toc241083169"/>
      <w:bookmarkStart w:id="702" w:name="_Toc241670351"/>
      <w:r w:rsidRPr="00BE4F47">
        <w:rPr>
          <w:rFonts w:ascii="Aptos" w:hAnsi="Aptos"/>
          <w:color w:val="1A1A19"/>
          <w:sz w:val="20"/>
          <w:szCs w:val="20"/>
        </w:rPr>
        <w:t>[ INSÉRER ICI LE DIAGRAMME DE GANTT ]</w:t>
      </w:r>
      <w:bookmarkEnd w:id="701"/>
      <w:bookmarkEnd w:id="702"/>
    </w:p>
    <w:p w14:paraId="69FC75B3" w14:textId="77777777" w:rsidR="00F50D70" w:rsidRPr="00BE4F47" w:rsidRDefault="00137D7F" w:rsidP="008E113B">
      <w:pPr>
        <w:pStyle w:val="Lgende"/>
        <w:spacing w:line="360" w:lineRule="auto"/>
        <w:rPr>
          <w:rFonts w:ascii="Aptos" w:hAnsi="Aptos"/>
        </w:rPr>
      </w:pPr>
      <w:bookmarkStart w:id="703" w:name="_Toc241083170"/>
      <w:bookmarkStart w:id="704" w:name="_Toc241670352"/>
      <w:r w:rsidRPr="00BE4F47">
        <w:rPr>
          <w:rFonts w:ascii="Aptos" w:hAnsi="Aptos"/>
        </w:rPr>
        <w:t>Figure 10-2. Diagramme de Gantt de l’échéancier préliminaire</w:t>
      </w:r>
      <w:bookmarkEnd w:id="703"/>
      <w:bookmarkEnd w:id="704"/>
    </w:p>
    <w:p w14:paraId="6AF5C308" w14:textId="77777777" w:rsidR="00F50D70" w:rsidRPr="00BE4F47" w:rsidRDefault="00137D7F" w:rsidP="008E113B">
      <w:pPr>
        <w:spacing w:after="130" w:line="360" w:lineRule="auto"/>
        <w:ind w:left="360"/>
        <w:rPr>
          <w:rFonts w:ascii="Aptos" w:hAnsi="Aptos"/>
        </w:rPr>
      </w:pPr>
      <w:bookmarkStart w:id="705" w:name="_Toc241083172"/>
      <w:bookmarkStart w:id="706" w:name="_Toc241670353"/>
      <w:r w:rsidRPr="00BE4F47">
        <w:rPr>
          <w:rFonts w:ascii="Aptos" w:hAnsi="Aptos"/>
          <w:b/>
          <w:color w:val="1A1A19"/>
          <w:sz w:val="20"/>
          <w:szCs w:val="20"/>
        </w:rPr>
        <w:t xml:space="preserve">Courbe en S. </w:t>
      </w:r>
      <w:r w:rsidRPr="00BE4F47">
        <w:rPr>
          <w:rFonts w:ascii="Aptos" w:hAnsi="Aptos"/>
          <w:color w:val="1A1A19"/>
          <w:sz w:val="20"/>
          <w:szCs w:val="20"/>
        </w:rPr>
        <w:t>La courbe ci-dessous représente la valeur planifiée, c’est-à-dire le budget que le projet prévoit d’avoir consommé à chaque date. Elle sert de référence au suivi financier : à chaque jalon, la valeur acquise réelle sera reportée sur ce même graphique, et l’écart entre les deux courbes donnera l’avancement en dollars.</w:t>
      </w:r>
      <w:bookmarkEnd w:id="705"/>
      <w:bookmarkEnd w:id="706"/>
    </w:p>
    <w:p w14:paraId="0D6D3F5F" w14:textId="01E074E2" w:rsidR="00F50D70" w:rsidRPr="00BE4F47" w:rsidRDefault="009A4383" w:rsidP="008E113B">
      <w:pPr>
        <w:keepNext/>
        <w:spacing w:after="130" w:line="360" w:lineRule="auto"/>
        <w:ind w:left="360"/>
        <w:rPr>
          <w:rFonts w:ascii="Aptos" w:hAnsi="Aptos"/>
        </w:rPr>
      </w:pPr>
      <w:bookmarkStart w:id="707" w:name="_Toc241083173"/>
      <w:bookmarkStart w:id="708" w:name="_Toc241670354"/>
      <w:r>
        <w:rPr>
          <w:noProof/>
        </w:rPr>
        <w:drawing>
          <wp:anchor distT="0" distB="0" distL="114300" distR="114300" simplePos="0" relativeHeight="251658240" behindDoc="0" locked="0" layoutInCell="1" allowOverlap="1" wp14:anchorId="7260C0EF" wp14:editId="274F75D0">
            <wp:simplePos x="0" y="0"/>
            <wp:positionH relativeFrom="column">
              <wp:posOffset>287655</wp:posOffset>
            </wp:positionH>
            <wp:positionV relativeFrom="paragraph">
              <wp:posOffset>1040765</wp:posOffset>
            </wp:positionV>
            <wp:extent cx="5577840" cy="2729774"/>
            <wp:effectExtent l="0" t="0" r="7620" b="0"/>
            <wp:wrapTopAndBottom/>
            <wp:docPr id="95448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8854" name="Picture 954488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7840" cy="2729774"/>
                    </a:xfrm>
                    <a:prstGeom prst="rect">
                      <a:avLst/>
                    </a:prstGeom>
                  </pic:spPr>
                </pic:pic>
              </a:graphicData>
            </a:graphic>
          </wp:anchor>
        </w:drawing>
      </w:r>
      <w:r w:rsidR="00137D7F" w:rsidRPr="00BE4F47">
        <w:rPr>
          <w:rFonts w:ascii="Aptos" w:hAnsi="Aptos"/>
          <w:color w:val="1A1A19"/>
          <w:sz w:val="20"/>
          <w:szCs w:val="20"/>
        </w:rPr>
        <w:t>La forme en S décrit une réalité de conduite de projet. Le début est lent parce que l’équipe cadre, lit et décide plus qu’elle ne produit. Le milieu est raide parce que la phase P3 concentre le développement. La fin s’aplatit parce que la rédaction et la soutenance mobilisent moins d’heures que la construction.</w:t>
      </w:r>
      <w:bookmarkEnd w:id="707"/>
      <w:bookmarkEnd w:id="708"/>
    </w:p>
    <w:p w14:paraId="29206A2B" w14:textId="77777777" w:rsidR="00F50D70" w:rsidRPr="00BE4F47" w:rsidRDefault="00137D7F" w:rsidP="008E113B">
      <w:pPr>
        <w:pStyle w:val="Lgende"/>
        <w:spacing w:line="360" w:lineRule="auto"/>
        <w:rPr>
          <w:rFonts w:ascii="Aptos" w:hAnsi="Aptos"/>
        </w:rPr>
      </w:pPr>
      <w:bookmarkStart w:id="709" w:name="_Toc241083175"/>
      <w:bookmarkStart w:id="710" w:name="_Toc241670355"/>
      <w:r w:rsidRPr="00BE4F47">
        <w:rPr>
          <w:rFonts w:ascii="Aptos" w:hAnsi="Aptos"/>
        </w:rPr>
        <w:t>Figure 10-3. Courbe en S de la valeur planifiée du mandat</w:t>
      </w:r>
      <w:bookmarkEnd w:id="709"/>
      <w:bookmarkEnd w:id="710"/>
    </w:p>
    <w:p w14:paraId="5B95AF56" w14:textId="77777777" w:rsidR="00F50D70" w:rsidRPr="00BE4F47" w:rsidRDefault="00137D7F" w:rsidP="008E113B">
      <w:pPr>
        <w:spacing w:after="130" w:line="360" w:lineRule="auto"/>
        <w:ind w:left="360"/>
        <w:rPr>
          <w:rFonts w:ascii="Aptos" w:hAnsi="Aptos"/>
        </w:rPr>
      </w:pPr>
      <w:bookmarkStart w:id="711" w:name="_Toc241083176"/>
      <w:bookmarkStart w:id="712" w:name="_Toc241670356"/>
      <w:r w:rsidRPr="00BE4F47">
        <w:rPr>
          <w:rFonts w:ascii="Aptos" w:hAnsi="Aptos"/>
          <w:color w:val="1A1A19"/>
          <w:sz w:val="20"/>
          <w:szCs w:val="20"/>
        </w:rPr>
        <w:t>Deux repères s’y lisent directement. Le point d’inflexion se situe autour du jalon J2, fin octobre : c’est le moment où la production devient plus rapide que la préparation, et donc le dernier moment utile pour corriger le périmètre. La pente entre J2 et J3 est la plus forte du projet, de sorte qu’un retard pris sur cette portion se traduit aussitôt par un écart de valeur acquise important. Le suivi sera resserré sur cette période, conformément au traitement du risque RP1.</w:t>
      </w:r>
      <w:bookmarkEnd w:id="711"/>
      <w:bookmarkEnd w:id="712"/>
    </w:p>
    <w:p w14:paraId="19F9C8E1" w14:textId="77777777" w:rsidR="00F50D70" w:rsidRPr="00BE4F47" w:rsidRDefault="00137D7F" w:rsidP="008E113B">
      <w:pPr>
        <w:pStyle w:val="Titre4"/>
        <w:spacing w:line="360" w:lineRule="auto"/>
        <w:rPr>
          <w:rFonts w:eastAsia="DengXian Light"/>
          <w:color w:val="2F5496"/>
          <w:sz w:val="32"/>
          <w:szCs w:val="32"/>
          <w:lang w:eastAsia="en-US"/>
        </w:rPr>
      </w:pPr>
      <w:bookmarkStart w:id="713" w:name="_Toc241670357"/>
      <w:r w:rsidRPr="00BE4F47">
        <w:rPr>
          <w:lang w:eastAsia="en-US"/>
        </w:rPr>
        <w:lastRenderedPageBreak/>
        <w:t>Conclusion</w:t>
      </w:r>
      <w:bookmarkEnd w:id="713"/>
    </w:p>
    <w:p w14:paraId="1E9C152A" w14:textId="77777777" w:rsidR="00F50D70" w:rsidRPr="00BE4F47" w:rsidRDefault="00137D7F" w:rsidP="008E113B">
      <w:pPr>
        <w:spacing w:after="130" w:line="360" w:lineRule="auto"/>
        <w:ind w:left="360"/>
        <w:rPr>
          <w:rFonts w:ascii="Aptos" w:hAnsi="Aptos"/>
        </w:rPr>
      </w:pPr>
      <w:bookmarkStart w:id="714" w:name="_Toc241670358"/>
      <w:r w:rsidRPr="00BE4F47">
        <w:rPr>
          <w:rFonts w:ascii="Aptos" w:hAnsi="Aptos"/>
          <w:color w:val="1A1A19"/>
          <w:sz w:val="20"/>
          <w:szCs w:val="20"/>
        </w:rPr>
        <w:t>L’équipe juge le mandat faisable dans l’enveloppe de 1 080 heures, pour le périmètre arrêté à la section 2 : la boucle simplifiée, les trois variables de procédé, la détection de dérive, la quantification de l’incertitude et l’interface d’aide à la décision. Il ne l’est plus si le périmètre s’étend à un écoulement diphasique, à des données d’exploitation réelles, au temps réel ou à une commande de l’installation.</w:t>
      </w:r>
      <w:bookmarkEnd w:id="714"/>
    </w:p>
    <w:p w14:paraId="71480456" w14:textId="77777777" w:rsidR="00F50D70" w:rsidRPr="00BE4F47" w:rsidRDefault="00137D7F" w:rsidP="008E113B">
      <w:pPr>
        <w:spacing w:after="130" w:line="360" w:lineRule="auto"/>
        <w:ind w:left="360"/>
        <w:rPr>
          <w:rFonts w:ascii="Aptos" w:hAnsi="Aptos"/>
        </w:rPr>
      </w:pPr>
      <w:bookmarkStart w:id="715" w:name="_Toc241670359"/>
      <w:r w:rsidRPr="00BE4F47">
        <w:rPr>
          <w:rFonts w:ascii="Aptos" w:hAnsi="Aptos"/>
          <w:color w:val="1A1A19"/>
          <w:sz w:val="20"/>
          <w:szCs w:val="20"/>
        </w:rPr>
        <w:t>Cet avis tient à trois conditions : le gel des exigences au jalon J1, le maintien des huit membres pendant tout le trimestre, et l’acceptation par le client du domaine de validité annoncé à la section 2. Si les heures viennent à manquer, l’équipe recommande de réduire d’abord les rangs 7 et 8 du tableau de priorisation de la section 1 et de conserver les activités de vérification et de validation.</w:t>
      </w:r>
      <w:bookmarkEnd w:id="715"/>
    </w:p>
    <w:p w14:paraId="72DB4FF3" w14:textId="77777777" w:rsidR="00F50D70" w:rsidRPr="00BE4F47" w:rsidRDefault="00137D7F" w:rsidP="008E113B">
      <w:pPr>
        <w:spacing w:after="130" w:line="360" w:lineRule="auto"/>
        <w:ind w:left="360"/>
        <w:rPr>
          <w:rFonts w:ascii="Aptos" w:hAnsi="Aptos"/>
        </w:rPr>
      </w:pPr>
      <w:bookmarkStart w:id="716" w:name="_Toc241083182"/>
      <w:bookmarkStart w:id="717" w:name="_Toc241670360"/>
      <w:r w:rsidRPr="00BE4F47">
        <w:rPr>
          <w:rFonts w:ascii="Aptos" w:hAnsi="Aptos"/>
          <w:color w:val="1A1A19"/>
          <w:sz w:val="20"/>
          <w:szCs w:val="20"/>
        </w:rPr>
        <w:t>Deux jalons commandent la suite. Le jalon J1 arrête le registre des exigences et permet de reclasser l’estimation des coûts en classe 4, ce qui resserrera la fourchette actuelle. Le jalon J2 arrête l’architecture et le plan de vérification et de validation. L’échéancier et la courbe en S sont mis à jour à chaque jalon, de sorte que l’écart entre le prévu et le réalisé reste mesurable pendant le mandat plutôt que constaté à la fin.</w:t>
      </w:r>
      <w:bookmarkEnd w:id="716"/>
      <w:bookmarkEnd w:id="717"/>
    </w:p>
    <w:p w14:paraId="32BAEE7E" w14:textId="77777777" w:rsidR="00F50D70" w:rsidRPr="00B36301" w:rsidRDefault="00137D7F" w:rsidP="008E113B">
      <w:pPr>
        <w:pStyle w:val="Titre1"/>
        <w:spacing w:line="360" w:lineRule="auto"/>
      </w:pPr>
      <w:bookmarkStart w:id="718" w:name="__RefHeading___Toc240715289"/>
      <w:bookmarkStart w:id="719" w:name="_Toc241670361"/>
      <w:bookmarkEnd w:id="718"/>
      <w:r w:rsidRPr="00B36301">
        <w:t>Références pertinentes au projet</w:t>
      </w:r>
      <w:bookmarkEnd w:id="719"/>
    </w:p>
    <w:p w14:paraId="485C1CA2" w14:textId="77777777" w:rsidR="00F50D70" w:rsidRPr="00BE4F47" w:rsidRDefault="00137D7F" w:rsidP="008E113B">
      <w:pPr>
        <w:spacing w:after="130" w:line="360" w:lineRule="auto"/>
        <w:ind w:left="360"/>
        <w:rPr>
          <w:rFonts w:ascii="Aptos" w:hAnsi="Aptos"/>
        </w:rPr>
      </w:pPr>
      <w:bookmarkStart w:id="720" w:name="_Toc241083188"/>
      <w:bookmarkStart w:id="721" w:name="_Toc241670362"/>
      <w:r w:rsidRPr="00BE4F47">
        <w:rPr>
          <w:rFonts w:ascii="Aptos" w:eastAsia="Calibri" w:hAnsi="Aptos" w:cs="Calibri"/>
          <w:color w:val="1A1A19"/>
          <w:sz w:val="20"/>
          <w:szCs w:val="20"/>
        </w:rPr>
        <w:t>Les sources citées dans les dix sections précédentes sont rassemblées ici. Elles sont numérotées selon leur ordre d’apparition dans le document et le même numéro désigne partout la même source.</w:t>
      </w:r>
      <w:bookmarkEnd w:id="720"/>
      <w:bookmarkEnd w:id="721"/>
    </w:p>
    <w:p w14:paraId="6F81EBA4" w14:textId="77777777" w:rsidR="00F50D70" w:rsidRPr="00BE4F47" w:rsidRDefault="00137D7F" w:rsidP="008E113B">
      <w:pPr>
        <w:spacing w:after="80" w:line="360" w:lineRule="auto"/>
        <w:ind w:left="480" w:hanging="480"/>
        <w:jc w:val="left"/>
        <w:rPr>
          <w:rFonts w:ascii="Aptos" w:hAnsi="Aptos"/>
        </w:rPr>
      </w:pPr>
      <w:bookmarkStart w:id="722" w:name="_Toc241670364"/>
      <w:r w:rsidRPr="00BE4F47">
        <w:rPr>
          <w:rFonts w:ascii="Aptos" w:eastAsia="Calibri" w:hAnsi="Aptos" w:cs="Calibri"/>
          <w:color w:val="1A1A19"/>
          <w:sz w:val="20"/>
          <w:szCs w:val="20"/>
        </w:rPr>
        <w:t xml:space="preserve">[1]  ISO/IEC/IEEE 29148:2018, Ingénierie des systèmes et du logiciel, Processus du cycle de vie, Ingénierie des exigences.  </w:t>
      </w:r>
      <w:hyperlink r:id="rId18">
        <w:r w:rsidR="00F50D70" w:rsidRPr="00BE4F47">
          <w:rPr>
            <w:rFonts w:ascii="Aptos" w:hAnsi="Aptos"/>
            <w:color w:val="1155CC"/>
            <w:sz w:val="18"/>
            <w:u w:val="single"/>
          </w:rPr>
          <w:t>https://www.iso.org/fr/standard/72089.html</w:t>
        </w:r>
        <w:bookmarkEnd w:id="722"/>
      </w:hyperlink>
    </w:p>
    <w:p w14:paraId="62970F17" w14:textId="77777777" w:rsidR="00F50D70" w:rsidRPr="00BE4F47" w:rsidRDefault="00137D7F" w:rsidP="008E113B">
      <w:pPr>
        <w:spacing w:after="80" w:line="360" w:lineRule="auto"/>
        <w:ind w:left="480" w:hanging="480"/>
        <w:jc w:val="left"/>
        <w:rPr>
          <w:rFonts w:ascii="Aptos" w:hAnsi="Aptos"/>
        </w:rPr>
      </w:pPr>
      <w:bookmarkStart w:id="723" w:name="_Toc241670365"/>
      <w:r w:rsidRPr="00BE4F47">
        <w:rPr>
          <w:rFonts w:ascii="Aptos" w:eastAsia="Calibri" w:hAnsi="Aptos" w:cs="Calibri"/>
          <w:color w:val="1A1A19"/>
          <w:sz w:val="20"/>
          <w:szCs w:val="20"/>
        </w:rPr>
        <w:t xml:space="preserve">[2]  Commission canadienne de sûreté nucléaire, REGDOC-2.1.1, Système de gestion.  </w:t>
      </w:r>
      <w:hyperlink r:id="rId19">
        <w:r w:rsidR="00F50D70" w:rsidRPr="00BE4F47">
          <w:rPr>
            <w:rFonts w:ascii="Aptos" w:hAnsi="Aptos"/>
            <w:color w:val="1155CC"/>
            <w:sz w:val="18"/>
            <w:u w:val="single"/>
          </w:rPr>
          <w:t>https://www.cnsc-ccsn.gc.ca/fra/acts-and-regulations/regulatory-documents/published/html/regdoc2-1-1/</w:t>
        </w:r>
        <w:bookmarkEnd w:id="723"/>
      </w:hyperlink>
    </w:p>
    <w:p w14:paraId="6BAC22E4" w14:textId="77777777" w:rsidR="00F50D70" w:rsidRPr="00BE4F47" w:rsidRDefault="00137D7F" w:rsidP="008E113B">
      <w:pPr>
        <w:spacing w:after="80" w:line="360" w:lineRule="auto"/>
        <w:ind w:left="480" w:hanging="480"/>
        <w:jc w:val="left"/>
        <w:rPr>
          <w:rFonts w:ascii="Aptos" w:hAnsi="Aptos"/>
          <w:lang w:val="en-CA"/>
        </w:rPr>
      </w:pPr>
      <w:bookmarkStart w:id="724" w:name="_Toc241083191"/>
      <w:bookmarkStart w:id="725" w:name="_Toc241670366"/>
      <w:r w:rsidRPr="00BE4F47">
        <w:rPr>
          <w:rFonts w:ascii="Aptos" w:eastAsia="Calibri" w:hAnsi="Aptos" w:cs="Calibri"/>
          <w:color w:val="1A1A19"/>
          <w:sz w:val="20"/>
          <w:szCs w:val="20"/>
        </w:rPr>
        <w:t xml:space="preserve">[3]  ISO/IEC/IEEE 12207:2026, Ingénierie des systèmes et du logiciel, Processus du cycle de vie du logiciel.  </w:t>
      </w:r>
      <w:hyperlink r:id="rId20">
        <w:r w:rsidR="00F50D70" w:rsidRPr="00BE4F47">
          <w:rPr>
            <w:rFonts w:ascii="Aptos" w:hAnsi="Aptos"/>
            <w:color w:val="1155CC"/>
            <w:sz w:val="18"/>
            <w:u w:val="single"/>
            <w:lang w:val="en-CA"/>
          </w:rPr>
          <w:t>https://www.iso.org/fr/standard/90219.html</w:t>
        </w:r>
        <w:bookmarkEnd w:id="724"/>
        <w:bookmarkEnd w:id="725"/>
      </w:hyperlink>
    </w:p>
    <w:p w14:paraId="45C36B8E" w14:textId="77777777" w:rsidR="00F50D70" w:rsidRPr="00BE4F47" w:rsidRDefault="00137D7F" w:rsidP="008E113B">
      <w:pPr>
        <w:spacing w:after="80" w:line="360" w:lineRule="auto"/>
        <w:ind w:left="480" w:hanging="480"/>
        <w:jc w:val="left"/>
        <w:rPr>
          <w:rFonts w:ascii="Aptos" w:hAnsi="Aptos"/>
          <w:lang w:val="en-CA"/>
        </w:rPr>
      </w:pPr>
      <w:bookmarkStart w:id="726" w:name="_Toc241083192"/>
      <w:bookmarkStart w:id="727" w:name="_Toc241670367"/>
      <w:r w:rsidRPr="00BE4F47">
        <w:rPr>
          <w:rFonts w:ascii="Aptos" w:eastAsia="Calibri" w:hAnsi="Aptos" w:cs="Calibri"/>
          <w:color w:val="1A1A19"/>
          <w:sz w:val="20"/>
          <w:szCs w:val="20"/>
          <w:lang w:val="en-CA"/>
        </w:rPr>
        <w:t xml:space="preserve">[4]  M. Hu et al., « Current status of digital twin architecture and application in nuclear energy field », Annals of Nuclear Energy, vol. 202, art. 110491, 2024.  </w:t>
      </w:r>
      <w:hyperlink r:id="rId21">
        <w:r w:rsidR="00F50D70" w:rsidRPr="00BE4F47">
          <w:rPr>
            <w:rFonts w:ascii="Aptos" w:hAnsi="Aptos"/>
            <w:color w:val="1155CC"/>
            <w:sz w:val="18"/>
            <w:u w:val="single"/>
            <w:lang w:val="en-CA"/>
          </w:rPr>
          <w:t>https://doi.org/10.1016/j.anucene.2024.110491</w:t>
        </w:r>
        <w:bookmarkEnd w:id="726"/>
        <w:bookmarkEnd w:id="727"/>
      </w:hyperlink>
    </w:p>
    <w:p w14:paraId="7502019F" w14:textId="77777777" w:rsidR="00F50D70" w:rsidRPr="00BE4F47" w:rsidRDefault="00137D7F" w:rsidP="008E113B">
      <w:pPr>
        <w:spacing w:after="80" w:line="360" w:lineRule="auto"/>
        <w:ind w:left="480" w:hanging="480"/>
        <w:jc w:val="left"/>
        <w:rPr>
          <w:rFonts w:ascii="Aptos" w:hAnsi="Aptos"/>
          <w:lang w:val="en-CA"/>
        </w:rPr>
      </w:pPr>
      <w:bookmarkStart w:id="728" w:name="_Toc241083193"/>
      <w:bookmarkStart w:id="729" w:name="_Toc241670368"/>
      <w:r w:rsidRPr="00BE4F47">
        <w:rPr>
          <w:rFonts w:ascii="Aptos" w:eastAsia="Calibri" w:hAnsi="Aptos" w:cs="Calibri"/>
          <w:color w:val="1A1A19"/>
          <w:sz w:val="20"/>
          <w:szCs w:val="20"/>
          <w:lang w:val="en-CA"/>
        </w:rPr>
        <w:t xml:space="preserve">[5]  Q. Huang et al., « Shaping the future of nuclear reactors with digital twins: current developments and perspectives », Applied Energy, vol. 402, art. 126922, 2025.  </w:t>
      </w:r>
      <w:hyperlink r:id="rId22">
        <w:r w:rsidR="00F50D70" w:rsidRPr="00BE4F47">
          <w:rPr>
            <w:rFonts w:ascii="Aptos" w:hAnsi="Aptos"/>
            <w:color w:val="1155CC"/>
            <w:sz w:val="18"/>
            <w:u w:val="single"/>
            <w:lang w:val="en-CA"/>
          </w:rPr>
          <w:t>https://doi.org/10.1016/j.apenergy.2025.126922</w:t>
        </w:r>
        <w:bookmarkEnd w:id="728"/>
        <w:bookmarkEnd w:id="729"/>
      </w:hyperlink>
    </w:p>
    <w:p w14:paraId="69052533" w14:textId="77777777" w:rsidR="00F50D70" w:rsidRPr="00BE4F47" w:rsidRDefault="00137D7F" w:rsidP="008E113B">
      <w:pPr>
        <w:spacing w:after="80" w:line="360" w:lineRule="auto"/>
        <w:ind w:left="480" w:hanging="480"/>
        <w:jc w:val="left"/>
        <w:rPr>
          <w:rFonts w:ascii="Aptos" w:hAnsi="Aptos"/>
          <w:lang w:val="en-CA"/>
        </w:rPr>
      </w:pPr>
      <w:bookmarkStart w:id="730" w:name="_Toc241083194"/>
      <w:bookmarkStart w:id="731" w:name="_Toc241670369"/>
      <w:r w:rsidRPr="00BE4F47">
        <w:rPr>
          <w:rFonts w:ascii="Aptos" w:eastAsia="Calibri" w:hAnsi="Aptos" w:cs="Calibri"/>
          <w:color w:val="1A1A19"/>
          <w:sz w:val="20"/>
          <w:szCs w:val="20"/>
          <w:lang w:val="en-CA"/>
        </w:rPr>
        <w:t xml:space="preserve">[6]  H. Huang, L. Yang, Y. Wang, X. Xu et Y. Lu, « Digital twin-driven online anomaly detection for an automation system based on edge intelligence », Journal of Manufacturing Systems, vol. 59, p. 138-150, 2021.  </w:t>
      </w:r>
      <w:hyperlink r:id="rId23">
        <w:r w:rsidR="00F50D70" w:rsidRPr="00BE4F47">
          <w:rPr>
            <w:rFonts w:ascii="Aptos" w:hAnsi="Aptos"/>
            <w:color w:val="1155CC"/>
            <w:sz w:val="18"/>
            <w:u w:val="single"/>
            <w:lang w:val="en-CA"/>
          </w:rPr>
          <w:t>https://doi.org/10.1016/j.jmsy.2021.02.010</w:t>
        </w:r>
        <w:bookmarkEnd w:id="730"/>
        <w:bookmarkEnd w:id="731"/>
      </w:hyperlink>
    </w:p>
    <w:p w14:paraId="5A2E28B7" w14:textId="77777777" w:rsidR="00F50D70" w:rsidRPr="00BE4F47" w:rsidRDefault="00137D7F" w:rsidP="008E113B">
      <w:pPr>
        <w:spacing w:after="80" w:line="360" w:lineRule="auto"/>
        <w:ind w:left="480" w:hanging="480"/>
        <w:jc w:val="left"/>
        <w:rPr>
          <w:rFonts w:ascii="Aptos" w:hAnsi="Aptos"/>
          <w:lang w:val="en-CA"/>
        </w:rPr>
      </w:pPr>
      <w:bookmarkStart w:id="732" w:name="_Toc241083196"/>
      <w:bookmarkStart w:id="733" w:name="_Toc241670370"/>
      <w:r w:rsidRPr="00BE4F47">
        <w:rPr>
          <w:rFonts w:ascii="Aptos" w:eastAsia="Calibri" w:hAnsi="Aptos" w:cs="Calibri"/>
          <w:color w:val="1A1A19"/>
          <w:sz w:val="20"/>
          <w:szCs w:val="20"/>
          <w:lang w:val="en-CA"/>
        </w:rPr>
        <w:lastRenderedPageBreak/>
        <w:t xml:space="preserve">[7]  K. Kobayashi, D. Kumar et S. B. Alam, « AI-driven non-intrusive uncertainty quantification of advanced nuclear fuels for digital twin-enabling technology », Progress in Nuclear Energy, vol. 172, art. 105177, 2024.  </w:t>
      </w:r>
      <w:hyperlink r:id="rId24">
        <w:r w:rsidR="00F50D70" w:rsidRPr="00BE4F47">
          <w:rPr>
            <w:rFonts w:ascii="Aptos" w:hAnsi="Aptos"/>
            <w:color w:val="1155CC"/>
            <w:sz w:val="18"/>
            <w:u w:val="single"/>
            <w:lang w:val="en-CA"/>
          </w:rPr>
          <w:t>https://doi.org/10.1016/j.pnucene.2024.105177</w:t>
        </w:r>
        <w:bookmarkEnd w:id="732"/>
        <w:bookmarkEnd w:id="733"/>
      </w:hyperlink>
    </w:p>
    <w:p w14:paraId="37DCCC5F" w14:textId="77777777" w:rsidR="00F50D70" w:rsidRPr="004631CD" w:rsidRDefault="00137D7F" w:rsidP="008E113B">
      <w:pPr>
        <w:spacing w:after="80" w:line="360" w:lineRule="auto"/>
        <w:ind w:left="480" w:hanging="480"/>
        <w:jc w:val="left"/>
        <w:rPr>
          <w:rFonts w:ascii="Aptos" w:hAnsi="Aptos"/>
          <w:lang w:val="en-CA"/>
        </w:rPr>
      </w:pPr>
      <w:bookmarkStart w:id="734" w:name="_Toc241083197"/>
      <w:bookmarkStart w:id="735" w:name="_Toc241670371"/>
      <w:r w:rsidRPr="00BE4F47">
        <w:rPr>
          <w:rFonts w:ascii="Aptos" w:eastAsia="Calibri" w:hAnsi="Aptos" w:cs="Calibri"/>
          <w:color w:val="1A1A19"/>
          <w:sz w:val="20"/>
          <w:szCs w:val="20"/>
          <w:lang w:val="en-CA"/>
        </w:rPr>
        <w:t xml:space="preserve">[8]  A. Sayghe, « Digital twin-driven intrusion detection for industrial SCADA: a cyber-physical case study », Sensors, vol. 25, n° 16, art. 4963, 2025.  </w:t>
      </w:r>
      <w:hyperlink r:id="rId25">
        <w:r w:rsidR="00F50D70" w:rsidRPr="004631CD">
          <w:rPr>
            <w:rFonts w:ascii="Aptos" w:hAnsi="Aptos"/>
            <w:color w:val="1155CC"/>
            <w:sz w:val="18"/>
            <w:u w:val="single"/>
            <w:lang w:val="en-CA"/>
          </w:rPr>
          <w:t>https://doi.org/10.3390/s25164963</w:t>
        </w:r>
        <w:bookmarkEnd w:id="734"/>
        <w:bookmarkEnd w:id="735"/>
      </w:hyperlink>
    </w:p>
    <w:p w14:paraId="0570F9DC" w14:textId="77777777" w:rsidR="00F50D70" w:rsidRPr="004631CD" w:rsidRDefault="00137D7F" w:rsidP="008E113B">
      <w:pPr>
        <w:spacing w:after="80" w:line="360" w:lineRule="auto"/>
        <w:ind w:left="480" w:hanging="480"/>
        <w:jc w:val="left"/>
        <w:rPr>
          <w:rFonts w:ascii="Aptos" w:hAnsi="Aptos"/>
          <w:lang w:val="fr-FR"/>
        </w:rPr>
      </w:pPr>
      <w:bookmarkStart w:id="736" w:name="_Toc241083195"/>
      <w:bookmarkStart w:id="737" w:name="_Toc241670372"/>
      <w:r w:rsidRPr="00BE4F47">
        <w:rPr>
          <w:rFonts w:ascii="Aptos" w:eastAsia="Calibri" w:hAnsi="Aptos" w:cs="Calibri"/>
          <w:color w:val="1A1A19"/>
          <w:sz w:val="20"/>
          <w:szCs w:val="20"/>
          <w:lang w:val="en-CA"/>
        </w:rPr>
        <w:t xml:space="preserve">[9]  C. Alcaraz et J. Lopez, « Digital twin-assisted anomaly detection for industrial scenarios », International Journal of Critical Infrastructure Protection, vol. 47, art. 100721, 2024.  </w:t>
      </w:r>
      <w:hyperlink r:id="rId26">
        <w:r w:rsidR="00F50D70" w:rsidRPr="004631CD">
          <w:rPr>
            <w:rFonts w:ascii="Aptos" w:hAnsi="Aptos"/>
            <w:color w:val="1155CC"/>
            <w:sz w:val="18"/>
            <w:u w:val="single"/>
            <w:lang w:val="fr-FR"/>
          </w:rPr>
          <w:t>https://doi.org/10.1016/j.ijcip.2024.100721</w:t>
        </w:r>
        <w:bookmarkEnd w:id="736"/>
        <w:bookmarkEnd w:id="737"/>
      </w:hyperlink>
    </w:p>
    <w:p w14:paraId="10872A1D" w14:textId="77777777" w:rsidR="00F50D70" w:rsidRPr="00BE4F47" w:rsidRDefault="00137D7F" w:rsidP="008E113B">
      <w:pPr>
        <w:spacing w:after="80" w:line="360" w:lineRule="auto"/>
        <w:ind w:left="480" w:hanging="480"/>
        <w:jc w:val="left"/>
        <w:rPr>
          <w:rFonts w:ascii="Aptos" w:hAnsi="Aptos"/>
        </w:rPr>
      </w:pPr>
      <w:bookmarkStart w:id="738" w:name="_Toc241083203"/>
      <w:bookmarkStart w:id="739" w:name="_Toc241670373"/>
      <w:r w:rsidRPr="00BE4F47">
        <w:rPr>
          <w:rFonts w:ascii="Aptos" w:eastAsia="Calibri" w:hAnsi="Aptos" w:cs="Calibri"/>
          <w:color w:val="1A1A19"/>
          <w:sz w:val="20"/>
          <w:szCs w:val="20"/>
        </w:rPr>
        <w:t xml:space="preserve">[10]  Ansys, Twin Builder, plateforme de création et de déploiement de jumeaux numériques de systèmes.  </w:t>
      </w:r>
      <w:hyperlink r:id="rId27">
        <w:r w:rsidR="00F50D70" w:rsidRPr="00BE4F47">
          <w:rPr>
            <w:rFonts w:ascii="Aptos" w:hAnsi="Aptos"/>
            <w:color w:val="1155CC"/>
            <w:sz w:val="18"/>
            <w:u w:val="single"/>
          </w:rPr>
          <w:t>https://www.ansys.com/en-gb/products/digital-twin/ansys-twin-builder</w:t>
        </w:r>
        <w:bookmarkEnd w:id="738"/>
        <w:bookmarkEnd w:id="739"/>
      </w:hyperlink>
    </w:p>
    <w:p w14:paraId="2C674206" w14:textId="77777777" w:rsidR="00F50D70" w:rsidRPr="00BE4F47" w:rsidRDefault="00137D7F" w:rsidP="008E113B">
      <w:pPr>
        <w:spacing w:after="80" w:line="360" w:lineRule="auto"/>
        <w:ind w:left="480" w:hanging="480"/>
        <w:jc w:val="left"/>
        <w:rPr>
          <w:rFonts w:ascii="Aptos" w:hAnsi="Aptos"/>
        </w:rPr>
      </w:pPr>
      <w:bookmarkStart w:id="740" w:name="_Toc241083204"/>
      <w:bookmarkStart w:id="741" w:name="_Toc241670374"/>
      <w:r w:rsidRPr="00BE4F47">
        <w:rPr>
          <w:rFonts w:ascii="Aptos" w:eastAsia="Calibri" w:hAnsi="Aptos" w:cs="Calibri"/>
          <w:color w:val="1A1A19"/>
          <w:sz w:val="20"/>
          <w:szCs w:val="20"/>
        </w:rPr>
        <w:t xml:space="preserve">[11]  Siemens, Simcenter Amesim, environnement de simulation de systèmes multiphysiques, incluant les circuits thermiques et hydrauliques.  </w:t>
      </w:r>
      <w:hyperlink r:id="rId28">
        <w:r w:rsidR="00F50D70" w:rsidRPr="00BE4F47">
          <w:rPr>
            <w:rFonts w:ascii="Aptos" w:hAnsi="Aptos"/>
            <w:color w:val="1155CC"/>
            <w:sz w:val="18"/>
            <w:u w:val="single"/>
          </w:rPr>
          <w:t>https://www.siemens.com/en-us/products/simcenter/systems-simulation/amesim/</w:t>
        </w:r>
        <w:bookmarkEnd w:id="740"/>
        <w:bookmarkEnd w:id="741"/>
      </w:hyperlink>
    </w:p>
    <w:p w14:paraId="105CAF75" w14:textId="77777777" w:rsidR="00F50D70" w:rsidRPr="00BE4F47" w:rsidRDefault="00137D7F" w:rsidP="008E113B">
      <w:pPr>
        <w:spacing w:after="80" w:line="360" w:lineRule="auto"/>
        <w:ind w:left="480" w:hanging="480"/>
        <w:jc w:val="left"/>
        <w:rPr>
          <w:rFonts w:ascii="Aptos" w:hAnsi="Aptos"/>
        </w:rPr>
      </w:pPr>
      <w:bookmarkStart w:id="742" w:name="_Toc241083205"/>
      <w:bookmarkStart w:id="743" w:name="_Toc241670375"/>
      <w:r w:rsidRPr="00BE4F47">
        <w:rPr>
          <w:rFonts w:ascii="Aptos" w:eastAsia="Calibri" w:hAnsi="Aptos" w:cs="Calibri"/>
          <w:color w:val="1A1A19"/>
          <w:sz w:val="20"/>
          <w:szCs w:val="20"/>
        </w:rPr>
        <w:t xml:space="preserve">[12]  F. Casella, ThermoPower, bibliothèque Modelica libre pour la modélisation dynamique des centrales thermiques et des systèmes de conversion d’énergie.  </w:t>
      </w:r>
      <w:hyperlink r:id="rId29">
        <w:r w:rsidR="00F50D70" w:rsidRPr="00BE4F47">
          <w:rPr>
            <w:rFonts w:ascii="Aptos" w:hAnsi="Aptos"/>
            <w:color w:val="1155CC"/>
            <w:sz w:val="18"/>
            <w:u w:val="single"/>
          </w:rPr>
          <w:t>https://github.com/casella/ThermoPower</w:t>
        </w:r>
        <w:bookmarkEnd w:id="742"/>
        <w:bookmarkEnd w:id="743"/>
      </w:hyperlink>
    </w:p>
    <w:p w14:paraId="4EC3D5B9" w14:textId="77777777" w:rsidR="00F50D70" w:rsidRPr="00BE4F47" w:rsidRDefault="00137D7F" w:rsidP="008E113B">
      <w:pPr>
        <w:spacing w:after="80" w:line="360" w:lineRule="auto"/>
        <w:ind w:left="480" w:hanging="480"/>
        <w:jc w:val="left"/>
        <w:rPr>
          <w:rFonts w:ascii="Aptos" w:hAnsi="Aptos"/>
        </w:rPr>
      </w:pPr>
      <w:bookmarkStart w:id="744" w:name="_Toc241083206"/>
      <w:bookmarkStart w:id="745" w:name="_Toc241670376"/>
      <w:r w:rsidRPr="00BE4F47">
        <w:rPr>
          <w:rFonts w:ascii="Aptos" w:eastAsia="Calibri" w:hAnsi="Aptos" w:cs="Calibri"/>
          <w:color w:val="1A1A19"/>
          <w:sz w:val="20"/>
          <w:szCs w:val="20"/>
        </w:rPr>
        <w:t xml:space="preserve">[13]  United States Nuclear Regulatory Commission, Computer Codes, codes de thermohydraulique TRACE et RELAP5 et leur programme de distribution CAMP.  </w:t>
      </w:r>
      <w:hyperlink r:id="rId30">
        <w:r w:rsidR="00F50D70" w:rsidRPr="00BE4F47">
          <w:rPr>
            <w:rFonts w:ascii="Aptos" w:hAnsi="Aptos"/>
            <w:color w:val="1155CC"/>
            <w:sz w:val="18"/>
            <w:u w:val="single"/>
          </w:rPr>
          <w:t>https://www.nrc.gov/about-nrc/regulatory/research/safetycodes</w:t>
        </w:r>
        <w:bookmarkEnd w:id="744"/>
        <w:bookmarkEnd w:id="745"/>
      </w:hyperlink>
    </w:p>
    <w:p w14:paraId="2C9934D3" w14:textId="77777777" w:rsidR="00F50D70" w:rsidRPr="00BE4F47" w:rsidRDefault="00137D7F" w:rsidP="008E113B">
      <w:pPr>
        <w:spacing w:after="80" w:line="360" w:lineRule="auto"/>
        <w:ind w:left="480" w:hanging="480"/>
        <w:jc w:val="left"/>
        <w:rPr>
          <w:rFonts w:ascii="Aptos" w:hAnsi="Aptos"/>
        </w:rPr>
      </w:pPr>
      <w:bookmarkStart w:id="746" w:name="_Toc241083198"/>
      <w:bookmarkStart w:id="747" w:name="_Toc241670377"/>
      <w:r w:rsidRPr="00BE4F47">
        <w:rPr>
          <w:rFonts w:ascii="Aptos" w:eastAsia="Calibri" w:hAnsi="Aptos" w:cs="Calibri"/>
          <w:color w:val="1A1A19"/>
          <w:sz w:val="20"/>
          <w:szCs w:val="20"/>
        </w:rPr>
        <w:t xml:space="preserve">[14]  Brevet CN118709527B, « Implementation method of digital twin model of nuclear power plant based on physical-data hybrid drive », Université Jiao Tong de Shanghai, déposé le 4 juin 2024, délivré le 1er avril 2025.  </w:t>
      </w:r>
      <w:hyperlink r:id="rId31">
        <w:r w:rsidR="00F50D70" w:rsidRPr="00BE4F47">
          <w:rPr>
            <w:rFonts w:ascii="Aptos" w:hAnsi="Aptos"/>
            <w:color w:val="1155CC"/>
            <w:sz w:val="18"/>
            <w:u w:val="single"/>
          </w:rPr>
          <w:t>https://patents.google.com/patent/CN118709527B/en</w:t>
        </w:r>
        <w:bookmarkEnd w:id="746"/>
        <w:bookmarkEnd w:id="747"/>
      </w:hyperlink>
    </w:p>
    <w:p w14:paraId="0C8C541A" w14:textId="77777777" w:rsidR="00F50D70" w:rsidRPr="00BE4F47" w:rsidRDefault="00137D7F" w:rsidP="008E113B">
      <w:pPr>
        <w:spacing w:after="80" w:line="360" w:lineRule="auto"/>
        <w:ind w:left="480" w:hanging="480"/>
        <w:jc w:val="left"/>
        <w:rPr>
          <w:rFonts w:ascii="Aptos" w:hAnsi="Aptos"/>
          <w:lang w:val="en-CA"/>
        </w:rPr>
      </w:pPr>
      <w:bookmarkStart w:id="748" w:name="_Toc241083199"/>
      <w:bookmarkStart w:id="749" w:name="_Toc241670378"/>
      <w:r w:rsidRPr="00BE4F47">
        <w:rPr>
          <w:rFonts w:ascii="Aptos" w:eastAsia="Calibri" w:hAnsi="Aptos" w:cs="Calibri"/>
          <w:color w:val="1A1A19"/>
          <w:sz w:val="20"/>
          <w:szCs w:val="20"/>
        </w:rPr>
        <w:t xml:space="preserve">[15]  Demande de brevet CN118228587A, « Uncertainty analysis method of core digital twin system based on MCMC », Université Jiao Tong de Shanghai, déposée le 26 mars 2024, publiée le 21 juin 2024, rejetée après publication.  </w:t>
      </w:r>
      <w:hyperlink r:id="rId32">
        <w:r w:rsidR="00F50D70" w:rsidRPr="00BE4F47">
          <w:rPr>
            <w:rFonts w:ascii="Aptos" w:hAnsi="Aptos"/>
            <w:color w:val="1155CC"/>
            <w:sz w:val="18"/>
            <w:u w:val="single"/>
            <w:lang w:val="en-CA"/>
          </w:rPr>
          <w:t>https://patents.google.com/patent/CN118228587A/en</w:t>
        </w:r>
        <w:bookmarkEnd w:id="748"/>
        <w:bookmarkEnd w:id="749"/>
      </w:hyperlink>
    </w:p>
    <w:p w14:paraId="7E832DED" w14:textId="77777777" w:rsidR="00F50D70" w:rsidRPr="00BE4F47" w:rsidRDefault="00137D7F" w:rsidP="008E113B">
      <w:pPr>
        <w:spacing w:after="80" w:line="360" w:lineRule="auto"/>
        <w:ind w:left="480" w:hanging="480"/>
        <w:jc w:val="left"/>
        <w:rPr>
          <w:rFonts w:ascii="Aptos" w:hAnsi="Aptos"/>
        </w:rPr>
      </w:pPr>
      <w:bookmarkStart w:id="750" w:name="_Toc241083200"/>
      <w:bookmarkStart w:id="751" w:name="_Toc241670379"/>
      <w:r w:rsidRPr="00BE4F47">
        <w:rPr>
          <w:rFonts w:ascii="Aptos" w:eastAsia="Calibri" w:hAnsi="Aptos" w:cs="Calibri"/>
          <w:color w:val="1A1A19"/>
          <w:sz w:val="20"/>
          <w:szCs w:val="20"/>
          <w:lang w:val="en-CA"/>
        </w:rPr>
        <w:t xml:space="preserve">[16]  Demande de brevet CN118779601A, « Long-term online prediction and uncertainty analysis method of multi-parameters of digital twin of nuclear power plant », Université Jiao Tong de Shanghai, déposée le 14 juin 2024, publiée le 15 octobre 2024.  </w:t>
      </w:r>
      <w:hyperlink r:id="rId33">
        <w:r w:rsidR="00F50D70" w:rsidRPr="00BE4F47">
          <w:rPr>
            <w:rFonts w:ascii="Aptos" w:hAnsi="Aptos"/>
            <w:color w:val="1155CC"/>
            <w:sz w:val="18"/>
            <w:u w:val="single"/>
          </w:rPr>
          <w:t>https://patents.google.com/patent/CN118779601A/en</w:t>
        </w:r>
        <w:bookmarkEnd w:id="750"/>
        <w:bookmarkEnd w:id="751"/>
      </w:hyperlink>
    </w:p>
    <w:p w14:paraId="0985DE0E" w14:textId="77777777" w:rsidR="00F50D70" w:rsidRPr="00BE4F47" w:rsidRDefault="00137D7F" w:rsidP="008E113B">
      <w:pPr>
        <w:spacing w:after="80" w:line="360" w:lineRule="auto"/>
        <w:ind w:left="480" w:hanging="480"/>
        <w:jc w:val="left"/>
        <w:rPr>
          <w:rFonts w:ascii="Aptos" w:hAnsi="Aptos"/>
          <w:lang w:val="en-CA"/>
        </w:rPr>
      </w:pPr>
      <w:bookmarkStart w:id="752" w:name="_Toc241083201"/>
      <w:bookmarkStart w:id="753" w:name="_Toc241670380"/>
      <w:r w:rsidRPr="00BE4F47">
        <w:rPr>
          <w:rFonts w:ascii="Aptos" w:eastAsia="Calibri" w:hAnsi="Aptos" w:cs="Calibri"/>
          <w:color w:val="1A1A19"/>
          <w:sz w:val="20"/>
          <w:szCs w:val="20"/>
        </w:rPr>
        <w:t xml:space="preserve">[17]  Demande de brevet CN118068765A, « Method for constructing anomaly detection model for industrial control systems in process industries based on digital twins », Université des sciences et technologies de Huazhong, déposée le 25 janvier 2024, publiée le 24 mai 2024.  </w:t>
      </w:r>
      <w:hyperlink r:id="rId34">
        <w:r w:rsidR="00F50D70" w:rsidRPr="00BE4F47">
          <w:rPr>
            <w:rFonts w:ascii="Aptos" w:hAnsi="Aptos"/>
            <w:color w:val="1155CC"/>
            <w:sz w:val="18"/>
            <w:u w:val="single"/>
            <w:lang w:val="en-CA"/>
          </w:rPr>
          <w:t>https://patents.google.com/patent/CN118068765A/en</w:t>
        </w:r>
        <w:bookmarkEnd w:id="752"/>
        <w:bookmarkEnd w:id="753"/>
      </w:hyperlink>
    </w:p>
    <w:p w14:paraId="6FA4636C" w14:textId="77777777" w:rsidR="00F50D70" w:rsidRPr="00BE4F47" w:rsidRDefault="00137D7F" w:rsidP="008E113B">
      <w:pPr>
        <w:spacing w:after="80" w:line="360" w:lineRule="auto"/>
        <w:ind w:left="480" w:hanging="480"/>
        <w:jc w:val="left"/>
        <w:rPr>
          <w:rFonts w:ascii="Aptos" w:hAnsi="Aptos"/>
        </w:rPr>
      </w:pPr>
      <w:bookmarkStart w:id="754" w:name="_Toc241083202"/>
      <w:bookmarkStart w:id="755" w:name="_Toc241670381"/>
      <w:r w:rsidRPr="00BE4F47">
        <w:rPr>
          <w:rFonts w:ascii="Aptos" w:eastAsia="Calibri" w:hAnsi="Aptos" w:cs="Calibri"/>
          <w:color w:val="1A1A19"/>
          <w:sz w:val="20"/>
          <w:szCs w:val="20"/>
          <w:lang w:val="en-CA"/>
        </w:rPr>
        <w:t xml:space="preserve">[18]  Brevet US12093818B2, « Method and system for semi-supervised deep anomaly detection for large-scale industrial monitoring systems based on time-series data utilizing digital twin </w:t>
      </w:r>
      <w:r w:rsidRPr="00BE4F47">
        <w:rPr>
          <w:rFonts w:ascii="Aptos" w:eastAsia="Calibri" w:hAnsi="Aptos" w:cs="Calibri"/>
          <w:color w:val="1A1A19"/>
          <w:sz w:val="20"/>
          <w:szCs w:val="20"/>
          <w:lang w:val="en-CA"/>
        </w:rPr>
        <w:lastRenderedPageBreak/>
        <w:t xml:space="preserve">simulation data », Honda Motor Co., délivré le 17 septembre 2024.  </w:t>
      </w:r>
      <w:hyperlink r:id="rId35">
        <w:r w:rsidR="00F50D70" w:rsidRPr="00BE4F47">
          <w:rPr>
            <w:rFonts w:ascii="Aptos" w:hAnsi="Aptos"/>
            <w:color w:val="1155CC"/>
            <w:sz w:val="18"/>
            <w:u w:val="single"/>
          </w:rPr>
          <w:t>https://patents.google.com/patent/US12093818B2/en</w:t>
        </w:r>
        <w:bookmarkEnd w:id="754"/>
        <w:bookmarkEnd w:id="755"/>
      </w:hyperlink>
    </w:p>
    <w:p w14:paraId="49EAF937" w14:textId="77777777" w:rsidR="00F50D70" w:rsidRPr="00BE4F47" w:rsidRDefault="00137D7F" w:rsidP="008E113B">
      <w:pPr>
        <w:spacing w:after="80" w:line="360" w:lineRule="auto"/>
        <w:ind w:left="480" w:hanging="480"/>
        <w:jc w:val="left"/>
        <w:rPr>
          <w:rFonts w:ascii="Aptos" w:hAnsi="Aptos"/>
        </w:rPr>
      </w:pPr>
      <w:bookmarkStart w:id="756" w:name="_Toc241083207"/>
      <w:bookmarkStart w:id="757" w:name="_Toc241670382"/>
      <w:r w:rsidRPr="00BE4F47">
        <w:rPr>
          <w:rFonts w:ascii="Aptos" w:eastAsia="Calibri" w:hAnsi="Aptos" w:cs="Calibri"/>
          <w:color w:val="1A1A19"/>
          <w:sz w:val="20"/>
          <w:szCs w:val="20"/>
        </w:rPr>
        <w:t xml:space="preserve">[19]  Québec, Loi sur les ingénieurs, RLRQ, chapitre I-9.  </w:t>
      </w:r>
      <w:hyperlink r:id="rId36">
        <w:r w:rsidR="00F50D70" w:rsidRPr="00BE4F47">
          <w:rPr>
            <w:rFonts w:ascii="Aptos" w:hAnsi="Aptos"/>
            <w:color w:val="1155CC"/>
            <w:sz w:val="18"/>
            <w:u w:val="single"/>
          </w:rPr>
          <w:t>https://www.legisquebec.gouv.qc.ca/fr/document/lc/I-9</w:t>
        </w:r>
        <w:bookmarkEnd w:id="756"/>
        <w:bookmarkEnd w:id="757"/>
      </w:hyperlink>
    </w:p>
    <w:p w14:paraId="5667991B" w14:textId="77777777" w:rsidR="00F50D70" w:rsidRPr="00BE4F47" w:rsidRDefault="00137D7F" w:rsidP="008E113B">
      <w:pPr>
        <w:spacing w:after="80" w:line="360" w:lineRule="auto"/>
        <w:ind w:left="480" w:hanging="480"/>
        <w:jc w:val="left"/>
        <w:rPr>
          <w:rFonts w:ascii="Aptos" w:hAnsi="Aptos"/>
        </w:rPr>
      </w:pPr>
      <w:bookmarkStart w:id="758" w:name="_Toc241083208"/>
      <w:bookmarkStart w:id="759" w:name="_Toc241670383"/>
      <w:r w:rsidRPr="00BE4F47">
        <w:rPr>
          <w:rFonts w:ascii="Aptos" w:eastAsia="Calibri" w:hAnsi="Aptos" w:cs="Calibri"/>
          <w:color w:val="1A1A19"/>
          <w:sz w:val="20"/>
          <w:szCs w:val="20"/>
        </w:rPr>
        <w:t xml:space="preserve">[20]  Ordre des ingénieurs du Québec, « Lois et règlements entourant la pratique du génie ».  </w:t>
      </w:r>
      <w:hyperlink r:id="rId37">
        <w:r w:rsidR="00F50D70" w:rsidRPr="00BE4F47">
          <w:rPr>
            <w:rFonts w:ascii="Aptos" w:hAnsi="Aptos"/>
            <w:color w:val="1155CC"/>
            <w:sz w:val="18"/>
            <w:u w:val="single"/>
          </w:rPr>
          <w:t>https://www.oiq.qc.ca/lordre/politiques-lois-et-reglements/lois-et-reglements-entourant-la-pratique-du-genie/</w:t>
        </w:r>
        <w:bookmarkEnd w:id="758"/>
        <w:bookmarkEnd w:id="759"/>
      </w:hyperlink>
    </w:p>
    <w:p w14:paraId="5F6990C0" w14:textId="77777777" w:rsidR="00F50D70" w:rsidRPr="00BE4F47" w:rsidRDefault="00137D7F" w:rsidP="008E113B">
      <w:pPr>
        <w:spacing w:after="80" w:line="360" w:lineRule="auto"/>
        <w:ind w:left="480" w:hanging="480"/>
        <w:jc w:val="left"/>
        <w:rPr>
          <w:rFonts w:ascii="Aptos" w:hAnsi="Aptos"/>
        </w:rPr>
      </w:pPr>
      <w:bookmarkStart w:id="760" w:name="_Toc241083209"/>
      <w:bookmarkStart w:id="761" w:name="_Toc241670384"/>
      <w:r w:rsidRPr="00BE4F47">
        <w:rPr>
          <w:rFonts w:ascii="Aptos" w:eastAsia="Calibri" w:hAnsi="Aptos" w:cs="Calibri"/>
          <w:color w:val="1A1A19"/>
          <w:sz w:val="20"/>
          <w:szCs w:val="20"/>
        </w:rPr>
        <w:t xml:space="preserve">[21]  Canada, Loi sur la sûreté et la réglementation nucléaires, L.C. 1997, ch. 9.  </w:t>
      </w:r>
      <w:hyperlink r:id="rId38">
        <w:r w:rsidR="00F50D70" w:rsidRPr="00BE4F47">
          <w:rPr>
            <w:rFonts w:ascii="Aptos" w:hAnsi="Aptos"/>
            <w:color w:val="1155CC"/>
            <w:sz w:val="18"/>
            <w:u w:val="single"/>
          </w:rPr>
          <w:t>https://laws-lois.justice.gc.ca/fra/lois/N-28.3/index.html</w:t>
        </w:r>
        <w:bookmarkEnd w:id="760"/>
        <w:bookmarkEnd w:id="761"/>
      </w:hyperlink>
    </w:p>
    <w:p w14:paraId="6FE2FDD3" w14:textId="77777777" w:rsidR="00F50D70" w:rsidRPr="00BE4F47" w:rsidRDefault="00137D7F" w:rsidP="008E113B">
      <w:pPr>
        <w:spacing w:after="80" w:line="360" w:lineRule="auto"/>
        <w:ind w:left="480" w:hanging="480"/>
        <w:jc w:val="left"/>
        <w:rPr>
          <w:rFonts w:ascii="Aptos" w:hAnsi="Aptos"/>
        </w:rPr>
      </w:pPr>
      <w:bookmarkStart w:id="762" w:name="_Toc241083210"/>
      <w:bookmarkStart w:id="763" w:name="_Toc241670385"/>
      <w:r w:rsidRPr="00BE4F47">
        <w:rPr>
          <w:rFonts w:ascii="Aptos" w:eastAsia="Calibri" w:hAnsi="Aptos" w:cs="Calibri"/>
          <w:color w:val="1A1A19"/>
          <w:sz w:val="20"/>
          <w:szCs w:val="20"/>
        </w:rPr>
        <w:t xml:space="preserve">[22]  Canada, Règlement général sur la sûreté et la réglementation nucléaires, DORS/2000-202.  </w:t>
      </w:r>
      <w:hyperlink r:id="rId39">
        <w:r w:rsidR="00F50D70" w:rsidRPr="00BE4F47">
          <w:rPr>
            <w:rFonts w:ascii="Aptos" w:hAnsi="Aptos"/>
            <w:color w:val="1155CC"/>
            <w:sz w:val="18"/>
            <w:u w:val="single"/>
          </w:rPr>
          <w:t>https://laws-lois.justice.gc.ca/fra/reglements/DORS-2000-202/index.html</w:t>
        </w:r>
        <w:bookmarkEnd w:id="762"/>
        <w:bookmarkEnd w:id="763"/>
      </w:hyperlink>
    </w:p>
    <w:p w14:paraId="72306CF4" w14:textId="77777777" w:rsidR="00F50D70" w:rsidRPr="00BE4F47" w:rsidRDefault="00137D7F" w:rsidP="008E113B">
      <w:pPr>
        <w:spacing w:after="80" w:line="360" w:lineRule="auto"/>
        <w:ind w:left="480" w:hanging="480"/>
        <w:jc w:val="left"/>
        <w:rPr>
          <w:rFonts w:ascii="Aptos" w:hAnsi="Aptos"/>
        </w:rPr>
      </w:pPr>
      <w:bookmarkStart w:id="764" w:name="_Toc241083211"/>
      <w:bookmarkStart w:id="765" w:name="_Toc241670386"/>
      <w:r w:rsidRPr="00BE4F47">
        <w:rPr>
          <w:rFonts w:ascii="Aptos" w:eastAsia="Calibri" w:hAnsi="Aptos" w:cs="Calibri"/>
          <w:color w:val="1A1A19"/>
          <w:sz w:val="20"/>
          <w:szCs w:val="20"/>
        </w:rPr>
        <w:t xml:space="preserve">[23]  Canada, Règlement sur les installations nucléaires de catégorie I, DORS/2000-204.  </w:t>
      </w:r>
      <w:hyperlink r:id="rId40">
        <w:r w:rsidR="00F50D70" w:rsidRPr="00BE4F47">
          <w:rPr>
            <w:rFonts w:ascii="Aptos" w:hAnsi="Aptos"/>
            <w:color w:val="1155CC"/>
            <w:sz w:val="18"/>
            <w:u w:val="single"/>
          </w:rPr>
          <w:t>https://laws-lois.justice.gc.ca/fra/reglements/DORS-2000-204/index.html</w:t>
        </w:r>
        <w:bookmarkEnd w:id="764"/>
        <w:bookmarkEnd w:id="765"/>
      </w:hyperlink>
    </w:p>
    <w:p w14:paraId="46D0BCA9" w14:textId="77777777" w:rsidR="00F50D70" w:rsidRPr="00BE4F47" w:rsidRDefault="00137D7F" w:rsidP="008E113B">
      <w:pPr>
        <w:spacing w:after="80" w:line="360" w:lineRule="auto"/>
        <w:ind w:left="480" w:hanging="480"/>
        <w:jc w:val="left"/>
        <w:rPr>
          <w:rFonts w:ascii="Aptos" w:hAnsi="Aptos"/>
        </w:rPr>
      </w:pPr>
      <w:bookmarkStart w:id="766" w:name="_Toc241083212"/>
      <w:bookmarkStart w:id="767" w:name="_Toc241670387"/>
      <w:r w:rsidRPr="00BE4F47">
        <w:rPr>
          <w:rFonts w:ascii="Aptos" w:eastAsia="Calibri" w:hAnsi="Aptos" w:cs="Calibri"/>
          <w:color w:val="1A1A19"/>
          <w:sz w:val="20"/>
          <w:szCs w:val="20"/>
          <w:lang w:val="en-CA"/>
        </w:rPr>
        <w:t xml:space="preserve">[24]  CSA N290.7:21, Cyber security for nuclear facilities, Groupe CSA, Toronto, 2021.  </w:t>
      </w:r>
      <w:hyperlink r:id="rId41">
        <w:r w:rsidR="00F50D70" w:rsidRPr="00BE4F47">
          <w:rPr>
            <w:rFonts w:ascii="Aptos" w:hAnsi="Aptos"/>
            <w:color w:val="1155CC"/>
            <w:sz w:val="18"/>
            <w:u w:val="single"/>
          </w:rPr>
          <w:t>https://www.csagroup.org/store/product/2428461/</w:t>
        </w:r>
        <w:bookmarkEnd w:id="766"/>
        <w:bookmarkEnd w:id="767"/>
      </w:hyperlink>
    </w:p>
    <w:p w14:paraId="2EF798C2" w14:textId="77777777" w:rsidR="00F50D70" w:rsidRPr="00BE4F47" w:rsidRDefault="00137D7F" w:rsidP="008E113B">
      <w:pPr>
        <w:spacing w:after="80" w:line="360" w:lineRule="auto"/>
        <w:ind w:left="480" w:hanging="480"/>
        <w:jc w:val="left"/>
        <w:rPr>
          <w:rFonts w:ascii="Aptos" w:hAnsi="Aptos"/>
        </w:rPr>
      </w:pPr>
      <w:bookmarkStart w:id="768" w:name="_Toc241083190"/>
      <w:bookmarkStart w:id="769" w:name="_Toc241670388"/>
      <w:r w:rsidRPr="00BE4F47">
        <w:rPr>
          <w:rFonts w:ascii="Aptos" w:eastAsia="Calibri" w:hAnsi="Aptos" w:cs="Calibri"/>
          <w:color w:val="1A1A19"/>
          <w:sz w:val="20"/>
          <w:szCs w:val="20"/>
        </w:rPr>
        <w:t xml:space="preserve">[25]  Commission canadienne de sûreté nucléaire, REGDOC-2.5.2, Conception d’installations dotées de réacteurs : centrales nucléaires, version 2.1.  </w:t>
      </w:r>
      <w:hyperlink r:id="rId42">
        <w:r w:rsidR="00F50D70" w:rsidRPr="00BE4F47">
          <w:rPr>
            <w:rFonts w:ascii="Aptos" w:hAnsi="Aptos"/>
            <w:color w:val="1155CC"/>
            <w:sz w:val="18"/>
            <w:u w:val="single"/>
          </w:rPr>
          <w:t>https://www.cnsc-ccsn.gc.ca/fra/acts-and-regulations/regulatory-documents/published/html/regdoc2-5-2-v2-1/</w:t>
        </w:r>
        <w:bookmarkEnd w:id="768"/>
        <w:bookmarkEnd w:id="769"/>
      </w:hyperlink>
    </w:p>
    <w:p w14:paraId="50E26826" w14:textId="77777777" w:rsidR="00F50D70" w:rsidRPr="00BE4F47" w:rsidRDefault="00137D7F" w:rsidP="008E113B">
      <w:pPr>
        <w:spacing w:after="80" w:line="360" w:lineRule="auto"/>
        <w:ind w:left="480" w:hanging="480"/>
        <w:jc w:val="left"/>
        <w:rPr>
          <w:rFonts w:ascii="Aptos" w:hAnsi="Aptos"/>
        </w:rPr>
      </w:pPr>
      <w:bookmarkStart w:id="770" w:name="_Toc241083213"/>
      <w:bookmarkStart w:id="771" w:name="_Toc241670389"/>
      <w:r w:rsidRPr="00BE4F47">
        <w:rPr>
          <w:rFonts w:ascii="Aptos" w:eastAsia="Calibri" w:hAnsi="Aptos" w:cs="Calibri"/>
          <w:color w:val="1A1A19"/>
          <w:sz w:val="20"/>
          <w:szCs w:val="20"/>
        </w:rPr>
        <w:t xml:space="preserve">[26]  ISO/IEC/IEEE 15288:2023, Ingénierie des systèmes et du logiciel, Processus du cycle de vie du système.  </w:t>
      </w:r>
      <w:hyperlink r:id="rId43">
        <w:r w:rsidR="00F50D70" w:rsidRPr="00BE4F47">
          <w:rPr>
            <w:rFonts w:ascii="Aptos" w:hAnsi="Aptos"/>
            <w:color w:val="1155CC"/>
            <w:sz w:val="18"/>
            <w:u w:val="single"/>
          </w:rPr>
          <w:t>https://www.iso.org/fr/standard/81702.html</w:t>
        </w:r>
        <w:bookmarkEnd w:id="770"/>
        <w:bookmarkEnd w:id="771"/>
      </w:hyperlink>
    </w:p>
    <w:p w14:paraId="18C261F5" w14:textId="77777777" w:rsidR="00F50D70" w:rsidRPr="00BE4F47" w:rsidRDefault="00137D7F" w:rsidP="008E113B">
      <w:pPr>
        <w:spacing w:after="80" w:line="360" w:lineRule="auto"/>
        <w:ind w:left="480" w:hanging="480"/>
        <w:jc w:val="left"/>
        <w:rPr>
          <w:rFonts w:ascii="Aptos" w:hAnsi="Aptos"/>
        </w:rPr>
      </w:pPr>
      <w:bookmarkStart w:id="772" w:name="_Toc241083214"/>
      <w:bookmarkStart w:id="773" w:name="_Toc241670390"/>
      <w:r w:rsidRPr="00BE4F47">
        <w:rPr>
          <w:rFonts w:ascii="Aptos" w:eastAsia="Calibri" w:hAnsi="Aptos" w:cs="Calibri"/>
          <w:color w:val="1A1A19"/>
          <w:sz w:val="20"/>
          <w:szCs w:val="20"/>
        </w:rPr>
        <w:t xml:space="preserve">[27]  ISO 23247-1:2021, Systèmes d’automatisation et intégration, Cadre technique de jumeau numérique dans un contexte de fabrication, Partie 1 : Vue d’ensemble et principes généraux.  </w:t>
      </w:r>
      <w:hyperlink r:id="rId44">
        <w:r w:rsidR="00F50D70" w:rsidRPr="00BE4F47">
          <w:rPr>
            <w:rFonts w:ascii="Aptos" w:hAnsi="Aptos"/>
            <w:color w:val="1155CC"/>
            <w:sz w:val="18"/>
            <w:u w:val="single"/>
          </w:rPr>
          <w:t>https://www.iso.org/fr/standard/75066.html</w:t>
        </w:r>
        <w:bookmarkEnd w:id="772"/>
        <w:bookmarkEnd w:id="773"/>
      </w:hyperlink>
    </w:p>
    <w:p w14:paraId="7434B9E9" w14:textId="77777777" w:rsidR="00F50D70" w:rsidRPr="00BE4F47" w:rsidRDefault="00137D7F" w:rsidP="008E113B">
      <w:pPr>
        <w:spacing w:after="80" w:line="360" w:lineRule="auto"/>
        <w:ind w:left="480" w:hanging="480"/>
        <w:jc w:val="left"/>
        <w:rPr>
          <w:rFonts w:ascii="Aptos" w:hAnsi="Aptos"/>
        </w:rPr>
      </w:pPr>
      <w:bookmarkStart w:id="774" w:name="_Toc241083215"/>
      <w:bookmarkStart w:id="775" w:name="_Toc241670391"/>
      <w:r w:rsidRPr="00BE4F47">
        <w:rPr>
          <w:rFonts w:ascii="Aptos" w:eastAsia="Calibri" w:hAnsi="Aptos" w:cs="Calibri"/>
          <w:color w:val="1A1A19"/>
          <w:sz w:val="20"/>
          <w:szCs w:val="20"/>
        </w:rPr>
        <w:t xml:space="preserve">[28]  ISO/IEC 25010:2023, Ingénierie des systèmes et du logiciel, Exigences de qualité et évaluation (SQuaRE), Modèle de qualité du produit.  </w:t>
      </w:r>
      <w:hyperlink r:id="rId45">
        <w:r w:rsidR="00F50D70" w:rsidRPr="00BE4F47">
          <w:rPr>
            <w:rFonts w:ascii="Aptos" w:hAnsi="Aptos"/>
            <w:color w:val="1155CC"/>
            <w:sz w:val="18"/>
            <w:u w:val="single"/>
          </w:rPr>
          <w:t>https://www.iso.org/fr/standard/78176.html</w:t>
        </w:r>
        <w:bookmarkEnd w:id="774"/>
        <w:bookmarkEnd w:id="775"/>
      </w:hyperlink>
    </w:p>
    <w:p w14:paraId="25CD0B8B" w14:textId="77777777" w:rsidR="00F50D70" w:rsidRPr="00BE4F47" w:rsidRDefault="00137D7F" w:rsidP="008E113B">
      <w:pPr>
        <w:spacing w:after="80" w:line="360" w:lineRule="auto"/>
        <w:ind w:left="480" w:hanging="480"/>
        <w:jc w:val="left"/>
        <w:rPr>
          <w:rFonts w:ascii="Aptos" w:hAnsi="Aptos"/>
          <w:lang w:val="en-CA"/>
        </w:rPr>
      </w:pPr>
      <w:bookmarkStart w:id="776" w:name="_Toc241083216"/>
      <w:bookmarkStart w:id="777" w:name="_Toc241670392"/>
      <w:r w:rsidRPr="00BE4F47">
        <w:rPr>
          <w:rFonts w:ascii="Aptos" w:eastAsia="Calibri" w:hAnsi="Aptos" w:cs="Calibri"/>
          <w:color w:val="1A1A19"/>
          <w:sz w:val="20"/>
          <w:szCs w:val="20"/>
        </w:rPr>
        <w:t xml:space="preserve">[29]  ISO 31000:2018, Management du risque, Lignes directrices, Organisation internationale de normalisation, Genève, 2018.  </w:t>
      </w:r>
      <w:hyperlink r:id="rId46">
        <w:r w:rsidR="00F50D70" w:rsidRPr="00BE4F47">
          <w:rPr>
            <w:rFonts w:ascii="Aptos" w:hAnsi="Aptos"/>
            <w:color w:val="1155CC"/>
            <w:sz w:val="18"/>
            <w:u w:val="single"/>
            <w:lang w:val="en-CA"/>
          </w:rPr>
          <w:t>https://www.iso.org/fr/standard/65694.html</w:t>
        </w:r>
        <w:bookmarkEnd w:id="776"/>
        <w:bookmarkEnd w:id="777"/>
      </w:hyperlink>
    </w:p>
    <w:p w14:paraId="46409C8D" w14:textId="77777777" w:rsidR="00F50D70" w:rsidRPr="00BE4F47" w:rsidRDefault="00137D7F" w:rsidP="008E113B">
      <w:pPr>
        <w:spacing w:after="80" w:line="360" w:lineRule="auto"/>
        <w:ind w:left="480" w:hanging="480"/>
        <w:jc w:val="left"/>
        <w:rPr>
          <w:rFonts w:ascii="Aptos" w:hAnsi="Aptos"/>
        </w:rPr>
      </w:pPr>
      <w:bookmarkStart w:id="778" w:name="_Toc241083217"/>
      <w:bookmarkStart w:id="779" w:name="_Toc241670393"/>
      <w:r w:rsidRPr="00BE4F47">
        <w:rPr>
          <w:rFonts w:ascii="Aptos" w:eastAsia="Calibri" w:hAnsi="Aptos" w:cs="Calibri"/>
          <w:color w:val="1A1A19"/>
          <w:sz w:val="20"/>
          <w:szCs w:val="20"/>
          <w:lang w:val="en-CA"/>
        </w:rPr>
        <w:t xml:space="preserve">[30]  ASME V&amp;V 20-2009 (R2021), Standard for Verification and Validation in Computational Fluid Dynamics and Heat Transfer, American Society of Mechanical Engineers.  </w:t>
      </w:r>
      <w:hyperlink r:id="rId47">
        <w:r w:rsidR="00F50D70" w:rsidRPr="00BE4F47">
          <w:rPr>
            <w:rFonts w:ascii="Aptos" w:hAnsi="Aptos"/>
            <w:color w:val="1155CC"/>
            <w:sz w:val="18"/>
            <w:u w:val="single"/>
          </w:rPr>
          <w:t>https://www.asme.org/codes-standards/find-codes-standards/standard-for-verification-and-validation-in-computational-fluid-dynamics-and-heat-transfer</w:t>
        </w:r>
        <w:bookmarkEnd w:id="778"/>
        <w:bookmarkEnd w:id="779"/>
      </w:hyperlink>
    </w:p>
    <w:p w14:paraId="37C2AAE2" w14:textId="77777777" w:rsidR="00F50D70" w:rsidRPr="00BE4F47" w:rsidRDefault="00137D7F" w:rsidP="008E113B">
      <w:pPr>
        <w:spacing w:after="80" w:line="360" w:lineRule="auto"/>
        <w:ind w:left="480" w:hanging="480"/>
        <w:jc w:val="left"/>
        <w:rPr>
          <w:rFonts w:ascii="Aptos" w:hAnsi="Aptos"/>
        </w:rPr>
      </w:pPr>
      <w:bookmarkStart w:id="780" w:name="_Toc241083218"/>
      <w:bookmarkStart w:id="781" w:name="_Toc241670394"/>
      <w:r w:rsidRPr="00BE4F47">
        <w:rPr>
          <w:rFonts w:ascii="Aptos" w:eastAsia="Calibri" w:hAnsi="Aptos" w:cs="Calibri"/>
          <w:color w:val="1A1A19"/>
          <w:sz w:val="20"/>
          <w:szCs w:val="20"/>
          <w:lang w:val="en-CA"/>
        </w:rPr>
        <w:t xml:space="preserve">[31]  IEEE 1012-2024, IEEE Standard for System, Software, and Hardware Verification and Validation.  </w:t>
      </w:r>
      <w:hyperlink r:id="rId48">
        <w:r w:rsidR="00F50D70" w:rsidRPr="00BE4F47">
          <w:rPr>
            <w:rFonts w:ascii="Aptos" w:hAnsi="Aptos"/>
            <w:color w:val="1155CC"/>
            <w:sz w:val="18"/>
            <w:u w:val="single"/>
          </w:rPr>
          <w:t>https://standards.ieee.org/ieee/1012/7324</w:t>
        </w:r>
        <w:bookmarkEnd w:id="780"/>
        <w:bookmarkEnd w:id="781"/>
      </w:hyperlink>
    </w:p>
    <w:p w14:paraId="42227BE4" w14:textId="77777777" w:rsidR="00F50D70" w:rsidRPr="00BE4F47" w:rsidRDefault="00137D7F" w:rsidP="008E113B">
      <w:pPr>
        <w:spacing w:after="80" w:line="360" w:lineRule="auto"/>
        <w:ind w:left="480" w:hanging="480"/>
        <w:jc w:val="left"/>
        <w:rPr>
          <w:rFonts w:ascii="Aptos" w:hAnsi="Aptos"/>
          <w:lang w:val="en-CA"/>
        </w:rPr>
      </w:pPr>
      <w:bookmarkStart w:id="782" w:name="_Toc241083219"/>
      <w:bookmarkStart w:id="783" w:name="_Toc241670395"/>
      <w:r w:rsidRPr="00BE4F47">
        <w:rPr>
          <w:rFonts w:ascii="Aptos" w:eastAsia="Calibri" w:hAnsi="Aptos" w:cs="Calibri"/>
          <w:color w:val="1A1A19"/>
          <w:sz w:val="20"/>
          <w:szCs w:val="20"/>
        </w:rPr>
        <w:t xml:space="preserve">[32]  ISO 9241-210:2019, Ergonomie de l’interaction homme-système, Partie 210 : Conception centrée sur l’opérateur humain pour les systèmes interactifs.  </w:t>
      </w:r>
      <w:hyperlink r:id="rId49">
        <w:r w:rsidR="00F50D70" w:rsidRPr="00BE4F47">
          <w:rPr>
            <w:rFonts w:ascii="Aptos" w:hAnsi="Aptos"/>
            <w:color w:val="1155CC"/>
            <w:sz w:val="18"/>
            <w:u w:val="single"/>
            <w:lang w:val="en-CA"/>
          </w:rPr>
          <w:t>https://www.iso.org/fr/standard/77520.html</w:t>
        </w:r>
        <w:bookmarkEnd w:id="782"/>
        <w:bookmarkEnd w:id="783"/>
      </w:hyperlink>
    </w:p>
    <w:p w14:paraId="3FF7A0DC" w14:textId="77777777" w:rsidR="00F50D70" w:rsidRPr="00BE4F47" w:rsidRDefault="00137D7F" w:rsidP="008E113B">
      <w:pPr>
        <w:spacing w:after="80" w:line="360" w:lineRule="auto"/>
        <w:ind w:left="480" w:hanging="480"/>
        <w:jc w:val="left"/>
        <w:rPr>
          <w:rFonts w:ascii="Aptos" w:hAnsi="Aptos"/>
          <w:lang w:val="en-CA"/>
        </w:rPr>
      </w:pPr>
      <w:bookmarkStart w:id="784" w:name="_Toc241083220"/>
      <w:bookmarkStart w:id="785" w:name="_Toc241670396"/>
      <w:r w:rsidRPr="00BE4F47">
        <w:rPr>
          <w:rFonts w:ascii="Aptos" w:eastAsia="Calibri" w:hAnsi="Aptos" w:cs="Calibri"/>
          <w:color w:val="1A1A19"/>
          <w:sz w:val="20"/>
          <w:szCs w:val="20"/>
          <w:lang w:val="en-CA"/>
        </w:rPr>
        <w:lastRenderedPageBreak/>
        <w:t xml:space="preserve">[33]  IEC 62645:2019, Nuclear power plants, Instrumentation, control and electrical power systems, Cybersecurity requirements.  </w:t>
      </w:r>
      <w:hyperlink r:id="rId50">
        <w:r w:rsidR="00F50D70" w:rsidRPr="00BE4F47">
          <w:rPr>
            <w:rFonts w:ascii="Aptos" w:hAnsi="Aptos"/>
            <w:color w:val="1155CC"/>
            <w:sz w:val="18"/>
            <w:u w:val="single"/>
            <w:lang w:val="en-CA"/>
          </w:rPr>
          <w:t>https://webstore.iec.ch/en/publication/32904</w:t>
        </w:r>
        <w:bookmarkEnd w:id="784"/>
        <w:bookmarkEnd w:id="785"/>
      </w:hyperlink>
    </w:p>
    <w:p w14:paraId="19E2F942" w14:textId="77777777" w:rsidR="00F50D70" w:rsidRPr="00BE4F47" w:rsidRDefault="00137D7F" w:rsidP="008E113B">
      <w:pPr>
        <w:spacing w:after="80" w:line="360" w:lineRule="auto"/>
        <w:ind w:left="480" w:hanging="480"/>
        <w:jc w:val="left"/>
        <w:rPr>
          <w:rFonts w:ascii="Aptos" w:hAnsi="Aptos"/>
          <w:lang w:val="en-CA"/>
        </w:rPr>
      </w:pPr>
      <w:bookmarkStart w:id="786" w:name="_Toc241083221"/>
      <w:bookmarkStart w:id="787" w:name="_Toc241670397"/>
      <w:r w:rsidRPr="00BE4F47">
        <w:rPr>
          <w:rFonts w:ascii="Aptos" w:eastAsia="Calibri" w:hAnsi="Aptos" w:cs="Calibri"/>
          <w:color w:val="1A1A19"/>
          <w:sz w:val="20"/>
          <w:szCs w:val="20"/>
          <w:lang w:val="en-CA"/>
        </w:rPr>
        <w:t xml:space="preserve">[34]  IEC 63096:2020, Nuclear power plants, Instrumentation, control and electrical power systems, Security controls.  </w:t>
      </w:r>
      <w:hyperlink r:id="rId51">
        <w:r w:rsidR="00F50D70" w:rsidRPr="00BE4F47">
          <w:rPr>
            <w:rFonts w:ascii="Aptos" w:hAnsi="Aptos"/>
            <w:color w:val="1155CC"/>
            <w:sz w:val="18"/>
            <w:u w:val="single"/>
            <w:lang w:val="en-CA"/>
          </w:rPr>
          <w:t>https://webstore.iec.ch/en/publication/32900</w:t>
        </w:r>
        <w:bookmarkEnd w:id="786"/>
        <w:bookmarkEnd w:id="787"/>
      </w:hyperlink>
    </w:p>
    <w:p w14:paraId="33810A95" w14:textId="77777777" w:rsidR="00F50D70" w:rsidRPr="00BE4F47" w:rsidRDefault="00137D7F" w:rsidP="008E113B">
      <w:pPr>
        <w:spacing w:after="80" w:line="360" w:lineRule="auto"/>
        <w:ind w:left="480" w:hanging="480"/>
        <w:jc w:val="left"/>
        <w:rPr>
          <w:rFonts w:ascii="Aptos" w:hAnsi="Aptos"/>
          <w:lang w:val="en-CA"/>
        </w:rPr>
      </w:pPr>
      <w:bookmarkStart w:id="788" w:name="_Toc241083222"/>
      <w:bookmarkStart w:id="789" w:name="_Toc241670398"/>
      <w:r w:rsidRPr="00BE4F47">
        <w:rPr>
          <w:rFonts w:ascii="Aptos" w:eastAsia="Calibri" w:hAnsi="Aptos" w:cs="Calibri"/>
          <w:color w:val="1A1A19"/>
          <w:sz w:val="20"/>
          <w:szCs w:val="20"/>
          <w:lang w:val="en-CA"/>
        </w:rPr>
        <w:t xml:space="preserve">[35]  IEC 62859:2016 et son amendement A1:2019, Nuclear power plants, Instrumentation and control systems, Requirements for coordinating safety and cybersecurity.  </w:t>
      </w:r>
      <w:hyperlink r:id="rId52">
        <w:r w:rsidR="00F50D70" w:rsidRPr="00BE4F47">
          <w:rPr>
            <w:rFonts w:ascii="Aptos" w:hAnsi="Aptos"/>
            <w:color w:val="1155CC"/>
            <w:sz w:val="18"/>
            <w:u w:val="single"/>
            <w:lang w:val="en-CA"/>
          </w:rPr>
          <w:t>https://webstore.iec.ch/en/publication/26131</w:t>
        </w:r>
        <w:bookmarkEnd w:id="788"/>
        <w:bookmarkEnd w:id="789"/>
      </w:hyperlink>
    </w:p>
    <w:p w14:paraId="787FB30B" w14:textId="77777777" w:rsidR="00F50D70" w:rsidRPr="00BE4F47" w:rsidRDefault="00137D7F" w:rsidP="008E113B">
      <w:pPr>
        <w:spacing w:after="80" w:line="360" w:lineRule="auto"/>
        <w:ind w:left="480" w:hanging="480"/>
        <w:jc w:val="left"/>
        <w:rPr>
          <w:rFonts w:ascii="Aptos" w:hAnsi="Aptos"/>
          <w:lang w:val="en-CA"/>
        </w:rPr>
      </w:pPr>
      <w:bookmarkStart w:id="790" w:name="_Toc241083223"/>
      <w:bookmarkStart w:id="791" w:name="_Toc241670399"/>
      <w:r w:rsidRPr="00BE4F47">
        <w:rPr>
          <w:rFonts w:ascii="Aptos" w:eastAsia="Calibri" w:hAnsi="Aptos" w:cs="Calibri"/>
          <w:color w:val="1A1A19"/>
          <w:sz w:val="20"/>
          <w:szCs w:val="20"/>
          <w:lang w:val="en-CA"/>
        </w:rPr>
        <w:t xml:space="preserve">[36]  IEC 61513:2026 (éd. 3.0), Nuclear power plants, Instrumentation and control important to safety, General requirements for systems.  </w:t>
      </w:r>
      <w:hyperlink r:id="rId53">
        <w:r w:rsidR="00F50D70" w:rsidRPr="00BE4F47">
          <w:rPr>
            <w:rFonts w:ascii="Aptos" w:hAnsi="Aptos"/>
            <w:color w:val="1155CC"/>
            <w:sz w:val="18"/>
            <w:u w:val="single"/>
            <w:lang w:val="en-CA"/>
          </w:rPr>
          <w:t>https://webstore.iec.ch/en/publication/76309</w:t>
        </w:r>
        <w:bookmarkEnd w:id="790"/>
        <w:bookmarkEnd w:id="791"/>
      </w:hyperlink>
    </w:p>
    <w:p w14:paraId="5604A0AF" w14:textId="77777777" w:rsidR="00F50D70" w:rsidRPr="00BE4F47" w:rsidRDefault="00137D7F" w:rsidP="008E113B">
      <w:pPr>
        <w:spacing w:after="80" w:line="360" w:lineRule="auto"/>
        <w:ind w:left="480" w:hanging="480"/>
        <w:jc w:val="left"/>
        <w:rPr>
          <w:rFonts w:ascii="Aptos" w:hAnsi="Aptos"/>
          <w:lang w:val="en-CA"/>
        </w:rPr>
      </w:pPr>
      <w:bookmarkStart w:id="792" w:name="_Toc241083224"/>
      <w:bookmarkStart w:id="793" w:name="_Toc241670400"/>
      <w:r w:rsidRPr="00BE4F47">
        <w:rPr>
          <w:rFonts w:ascii="Aptos" w:eastAsia="Calibri" w:hAnsi="Aptos" w:cs="Calibri"/>
          <w:color w:val="1A1A19"/>
          <w:sz w:val="20"/>
          <w:szCs w:val="20"/>
          <w:lang w:val="en-CA"/>
        </w:rPr>
        <w:t xml:space="preserve">[37]  IEC 60880:2006, Nuclear power plants, Instrumentation and control systems important to safety, Software aspects for computer-based systems performing category A functions.  </w:t>
      </w:r>
      <w:hyperlink r:id="rId54">
        <w:r w:rsidR="00F50D70" w:rsidRPr="00BE4F47">
          <w:rPr>
            <w:rFonts w:ascii="Aptos" w:hAnsi="Aptos"/>
            <w:color w:val="1155CC"/>
            <w:sz w:val="18"/>
            <w:u w:val="single"/>
            <w:lang w:val="en-CA"/>
          </w:rPr>
          <w:t>https://webstore.iec.ch/en/publication/3795</w:t>
        </w:r>
        <w:bookmarkEnd w:id="792"/>
        <w:bookmarkEnd w:id="793"/>
      </w:hyperlink>
    </w:p>
    <w:p w14:paraId="0A9544CD" w14:textId="77777777" w:rsidR="00F50D70" w:rsidRPr="00BE4F47" w:rsidRDefault="00137D7F" w:rsidP="008E113B">
      <w:pPr>
        <w:spacing w:after="80" w:line="360" w:lineRule="auto"/>
        <w:ind w:left="480" w:hanging="480"/>
        <w:jc w:val="left"/>
        <w:rPr>
          <w:rFonts w:ascii="Aptos" w:hAnsi="Aptos"/>
        </w:rPr>
      </w:pPr>
      <w:bookmarkStart w:id="794" w:name="_Toc241083225"/>
      <w:bookmarkStart w:id="795" w:name="_Toc241670401"/>
      <w:r w:rsidRPr="00BE4F47">
        <w:rPr>
          <w:rFonts w:ascii="Aptos" w:eastAsia="Calibri" w:hAnsi="Aptos" w:cs="Calibri"/>
          <w:color w:val="1A1A19"/>
          <w:sz w:val="20"/>
          <w:szCs w:val="20"/>
          <w:lang w:val="en-CA"/>
        </w:rPr>
        <w:t xml:space="preserve">[38]  IEC 62138:2018, Nuclear power plants, Instrumentation and control systems important to safety, Software aspects for computer-based systems performing category B or C functions.  </w:t>
      </w:r>
      <w:hyperlink r:id="rId55">
        <w:r w:rsidR="00F50D70" w:rsidRPr="00BE4F47">
          <w:rPr>
            <w:rFonts w:ascii="Aptos" w:hAnsi="Aptos"/>
            <w:color w:val="1155CC"/>
            <w:sz w:val="18"/>
            <w:u w:val="single"/>
          </w:rPr>
          <w:t>https://webstore.iec.ch/en/publication/30172</w:t>
        </w:r>
        <w:bookmarkEnd w:id="794"/>
        <w:bookmarkEnd w:id="795"/>
      </w:hyperlink>
    </w:p>
    <w:p w14:paraId="1B7D1D2E" w14:textId="77777777" w:rsidR="00F50D70" w:rsidRPr="00BE4F47" w:rsidRDefault="00137D7F" w:rsidP="008E113B">
      <w:pPr>
        <w:spacing w:after="80" w:line="360" w:lineRule="auto"/>
        <w:ind w:left="480" w:hanging="480"/>
        <w:jc w:val="left"/>
        <w:rPr>
          <w:rFonts w:ascii="Aptos" w:hAnsi="Aptos"/>
        </w:rPr>
      </w:pPr>
      <w:bookmarkStart w:id="796" w:name="_Toc241083226"/>
      <w:bookmarkStart w:id="797" w:name="_Toc241670402"/>
      <w:r w:rsidRPr="00BE4F47">
        <w:rPr>
          <w:rFonts w:ascii="Aptos" w:eastAsia="Calibri" w:hAnsi="Aptos" w:cs="Calibri"/>
          <w:color w:val="1A1A19"/>
          <w:sz w:val="20"/>
          <w:szCs w:val="20"/>
        </w:rPr>
        <w:t xml:space="preserve">[39]  ISO/IEC 27001:2022, Sécurité de l’information, cybersécurité et protection de la vie privée, Systèmes de management de la sécurité de l’information, Exigences.  </w:t>
      </w:r>
      <w:hyperlink r:id="rId56">
        <w:r w:rsidR="00F50D70" w:rsidRPr="00BE4F47">
          <w:rPr>
            <w:rFonts w:ascii="Aptos" w:hAnsi="Aptos"/>
            <w:color w:val="1155CC"/>
            <w:sz w:val="18"/>
            <w:u w:val="single"/>
          </w:rPr>
          <w:t>https://www.iso.org/fr/standard/82875.html</w:t>
        </w:r>
        <w:bookmarkEnd w:id="796"/>
        <w:bookmarkEnd w:id="797"/>
      </w:hyperlink>
    </w:p>
    <w:p w14:paraId="29D523BC" w14:textId="77777777" w:rsidR="00F50D70" w:rsidRPr="00BE4F47" w:rsidRDefault="00137D7F" w:rsidP="008E113B">
      <w:pPr>
        <w:spacing w:after="80" w:line="360" w:lineRule="auto"/>
        <w:ind w:left="480" w:hanging="480"/>
        <w:jc w:val="left"/>
        <w:rPr>
          <w:rFonts w:ascii="Aptos" w:hAnsi="Aptos"/>
        </w:rPr>
      </w:pPr>
      <w:bookmarkStart w:id="798" w:name="_Toc241083227"/>
      <w:bookmarkStart w:id="799" w:name="_Toc241670403"/>
      <w:r w:rsidRPr="00BE4F47">
        <w:rPr>
          <w:rFonts w:ascii="Aptos" w:eastAsia="Calibri" w:hAnsi="Aptos" w:cs="Calibri"/>
          <w:color w:val="1A1A19"/>
          <w:sz w:val="20"/>
          <w:szCs w:val="20"/>
        </w:rPr>
        <w:t xml:space="preserve">[40]  ISO/IEC 27005:2022, Sécurité de l’information, cybersécurité et protection de la vie privée, Préconisations pour la gestion des risques liés à la sécurité de l’information.  </w:t>
      </w:r>
      <w:hyperlink r:id="rId57">
        <w:r w:rsidR="00F50D70" w:rsidRPr="00BE4F47">
          <w:rPr>
            <w:rFonts w:ascii="Aptos" w:hAnsi="Aptos"/>
            <w:color w:val="1155CC"/>
            <w:sz w:val="18"/>
            <w:u w:val="single"/>
          </w:rPr>
          <w:t>https://www.iso.org/fr/standard/80585.html</w:t>
        </w:r>
        <w:bookmarkEnd w:id="798"/>
        <w:bookmarkEnd w:id="799"/>
      </w:hyperlink>
    </w:p>
    <w:p w14:paraId="70C8BBB6" w14:textId="77777777" w:rsidR="00F50D70" w:rsidRPr="00BE4F47" w:rsidRDefault="00137D7F" w:rsidP="008E113B">
      <w:pPr>
        <w:spacing w:after="80" w:line="360" w:lineRule="auto"/>
        <w:ind w:left="480" w:hanging="480"/>
        <w:jc w:val="left"/>
        <w:rPr>
          <w:rFonts w:ascii="Aptos" w:hAnsi="Aptos"/>
        </w:rPr>
      </w:pPr>
      <w:bookmarkStart w:id="800" w:name="_Toc241083228"/>
      <w:bookmarkStart w:id="801" w:name="_Toc241670404"/>
      <w:r w:rsidRPr="00BE4F47">
        <w:rPr>
          <w:rFonts w:ascii="Aptos" w:eastAsia="Calibri" w:hAnsi="Aptos" w:cs="Calibri"/>
          <w:color w:val="1A1A19"/>
          <w:sz w:val="20"/>
          <w:szCs w:val="20"/>
        </w:rPr>
        <w:t xml:space="preserve">[41]  Ordre des ingénieurs du Québec, « Méthodes d’identification des dangers et d’analyse des risques », Guide de pratique professionnelle.  </w:t>
      </w:r>
      <w:hyperlink r:id="rId58">
        <w:r w:rsidR="00F50D70" w:rsidRPr="00BE4F47">
          <w:rPr>
            <w:rFonts w:ascii="Aptos" w:hAnsi="Aptos"/>
            <w:color w:val="1155CC"/>
            <w:sz w:val="18"/>
            <w:u w:val="single"/>
          </w:rPr>
          <w:t>http://gpp.oiq.qc.ca/Methodes_d_identification_des_dangers_et_d_analyse_des_risques.htm</w:t>
        </w:r>
        <w:bookmarkEnd w:id="800"/>
        <w:bookmarkEnd w:id="801"/>
      </w:hyperlink>
    </w:p>
    <w:p w14:paraId="5FD61BD8" w14:textId="77777777" w:rsidR="00F50D70" w:rsidRPr="00BE4F47" w:rsidRDefault="00137D7F" w:rsidP="008E113B">
      <w:pPr>
        <w:spacing w:after="80" w:line="360" w:lineRule="auto"/>
        <w:ind w:left="480" w:hanging="480"/>
        <w:jc w:val="left"/>
        <w:rPr>
          <w:rFonts w:ascii="Aptos" w:hAnsi="Aptos"/>
        </w:rPr>
      </w:pPr>
      <w:bookmarkStart w:id="802" w:name="_Toc241083229"/>
      <w:bookmarkStart w:id="803" w:name="_Toc241670405"/>
      <w:r w:rsidRPr="00BE4F47">
        <w:rPr>
          <w:rFonts w:ascii="Aptos" w:eastAsia="Calibri" w:hAnsi="Aptos" w:cs="Calibri"/>
          <w:color w:val="1A1A19"/>
          <w:sz w:val="20"/>
          <w:szCs w:val="20"/>
        </w:rPr>
        <w:t xml:space="preserve">[42]  Québec, Code de déontologie des ingénieurs, RLRQ, chapitre I-9, r. 6.  </w:t>
      </w:r>
      <w:hyperlink r:id="rId59">
        <w:r w:rsidR="00F50D70" w:rsidRPr="00BE4F47">
          <w:rPr>
            <w:rFonts w:ascii="Aptos" w:hAnsi="Aptos"/>
            <w:color w:val="1155CC"/>
            <w:sz w:val="18"/>
            <w:u w:val="single"/>
          </w:rPr>
          <w:t>https://www.legisquebec.gouv.qc.ca/fr/document/rc/I-9,%20r.%206%20/</w:t>
        </w:r>
        <w:bookmarkEnd w:id="802"/>
        <w:bookmarkEnd w:id="803"/>
      </w:hyperlink>
    </w:p>
    <w:p w14:paraId="33F70882" w14:textId="77777777" w:rsidR="00F50D70" w:rsidRPr="00BE4F47" w:rsidRDefault="00137D7F" w:rsidP="008E113B">
      <w:pPr>
        <w:spacing w:after="80" w:line="360" w:lineRule="auto"/>
        <w:ind w:left="480" w:hanging="480"/>
        <w:jc w:val="left"/>
        <w:rPr>
          <w:rFonts w:ascii="Aptos" w:hAnsi="Aptos"/>
        </w:rPr>
      </w:pPr>
      <w:bookmarkStart w:id="804" w:name="_Toc241083230"/>
      <w:bookmarkStart w:id="805" w:name="_Toc241670406"/>
      <w:r w:rsidRPr="00BE4F47">
        <w:rPr>
          <w:rFonts w:ascii="Aptos" w:eastAsia="Calibri" w:hAnsi="Aptos" w:cs="Calibri"/>
          <w:color w:val="1A1A19"/>
          <w:sz w:val="20"/>
          <w:szCs w:val="20"/>
        </w:rPr>
        <w:t xml:space="preserve">[43]  Organisation des Nations unies, Objectifs de développement durable, objectifs 7 et 9.  </w:t>
      </w:r>
      <w:hyperlink r:id="rId60">
        <w:r w:rsidR="00F50D70" w:rsidRPr="00BE4F47">
          <w:rPr>
            <w:rFonts w:ascii="Aptos" w:hAnsi="Aptos"/>
            <w:color w:val="1155CC"/>
            <w:sz w:val="18"/>
            <w:u w:val="single"/>
          </w:rPr>
          <w:t>https://www.un.org/sustainabledevelopment/fr/objectifs-de-developpement-durable/</w:t>
        </w:r>
        <w:bookmarkEnd w:id="804"/>
        <w:bookmarkEnd w:id="805"/>
      </w:hyperlink>
    </w:p>
    <w:p w14:paraId="270E314E" w14:textId="77777777" w:rsidR="00F50D70" w:rsidRPr="00BE4F47" w:rsidRDefault="00137D7F" w:rsidP="008E113B">
      <w:pPr>
        <w:spacing w:after="80" w:line="360" w:lineRule="auto"/>
        <w:ind w:left="480" w:hanging="480"/>
        <w:jc w:val="left"/>
        <w:rPr>
          <w:rFonts w:ascii="Aptos" w:hAnsi="Aptos"/>
        </w:rPr>
      </w:pPr>
      <w:bookmarkStart w:id="806" w:name="_Toc241083231"/>
      <w:bookmarkStart w:id="807" w:name="_Toc241670407"/>
      <w:r w:rsidRPr="00BE4F47">
        <w:rPr>
          <w:rFonts w:ascii="Aptos" w:eastAsia="Calibri" w:hAnsi="Aptos" w:cs="Calibri"/>
          <w:color w:val="1A1A19"/>
          <w:sz w:val="20"/>
          <w:szCs w:val="20"/>
          <w:lang w:val="en-CA"/>
        </w:rPr>
        <w:t xml:space="preserve">[44]  AACE International, Recommended Practice No. 18R-97, Cost Estimate Classification System as Applied in Engineering, Procurement, and Construction for the Process Industries, rév. du 7 août 2020.  </w:t>
      </w:r>
      <w:hyperlink r:id="rId61">
        <w:r w:rsidR="00F50D70" w:rsidRPr="00BE4F47">
          <w:rPr>
            <w:rFonts w:ascii="Aptos" w:hAnsi="Aptos"/>
            <w:color w:val="1155CC"/>
            <w:sz w:val="18"/>
            <w:u w:val="single"/>
          </w:rPr>
          <w:t>https://web.aacei.org/docs/default-source/toc/toc_18r-97.pdf</w:t>
        </w:r>
        <w:bookmarkEnd w:id="806"/>
        <w:bookmarkEnd w:id="807"/>
      </w:hyperlink>
    </w:p>
    <w:p w14:paraId="582AE243" w14:textId="77777777" w:rsidR="00F50D70" w:rsidRPr="00BE4F47" w:rsidRDefault="00137D7F" w:rsidP="008E113B">
      <w:pPr>
        <w:spacing w:after="80" w:line="360" w:lineRule="auto"/>
        <w:ind w:left="480" w:hanging="480"/>
        <w:jc w:val="left"/>
        <w:rPr>
          <w:rFonts w:ascii="Aptos" w:hAnsi="Aptos"/>
        </w:rPr>
      </w:pPr>
      <w:bookmarkStart w:id="808" w:name="_Toc241670408"/>
      <w:r w:rsidRPr="00BE4F47">
        <w:rPr>
          <w:rFonts w:ascii="Aptos" w:eastAsia="Calibri" w:hAnsi="Aptos" w:cs="Calibri"/>
          <w:color w:val="1A1A19"/>
          <w:sz w:val="20"/>
          <w:szCs w:val="20"/>
        </w:rPr>
        <w:t xml:space="preserve">[45]  IEC TR 62541-1:2020, OPC unified architecture, Partie 1 : Vue d’ensemble et concepts.  </w:t>
      </w:r>
      <w:hyperlink r:id="rId62">
        <w:r w:rsidR="00F50D70" w:rsidRPr="00BE4F47">
          <w:rPr>
            <w:rFonts w:ascii="Aptos" w:hAnsi="Aptos"/>
            <w:color w:val="1155CC"/>
            <w:sz w:val="18"/>
            <w:u w:val="single"/>
          </w:rPr>
          <w:t>https://webstore.iec.ch/publication/61109</w:t>
        </w:r>
        <w:bookmarkEnd w:id="808"/>
      </w:hyperlink>
    </w:p>
    <w:p w14:paraId="66863B26" w14:textId="77777777" w:rsidR="00F50D70" w:rsidRPr="00BE4F47" w:rsidRDefault="00137D7F" w:rsidP="008E113B">
      <w:pPr>
        <w:spacing w:after="80" w:line="360" w:lineRule="auto"/>
        <w:ind w:left="480" w:hanging="480"/>
        <w:jc w:val="left"/>
        <w:rPr>
          <w:rFonts w:ascii="Aptos" w:hAnsi="Aptos"/>
          <w:lang w:val="en-CA"/>
        </w:rPr>
      </w:pPr>
      <w:bookmarkStart w:id="809" w:name="_Toc241083232"/>
      <w:bookmarkStart w:id="810" w:name="_Toc241670409"/>
      <w:r w:rsidRPr="00BE4F47">
        <w:rPr>
          <w:rFonts w:ascii="Aptos" w:eastAsia="Calibri" w:hAnsi="Aptos" w:cs="Calibri"/>
          <w:color w:val="1A1A19"/>
          <w:sz w:val="20"/>
          <w:szCs w:val="20"/>
        </w:rPr>
        <w:t xml:space="preserve">[46]  ISO 23247-2:2021, Systèmes d’automatisation et intégration, Cadre technique de jumeau numérique dans un contexte de fabrication, Partie 2 : Architecture de référence.  </w:t>
      </w:r>
      <w:hyperlink r:id="rId63">
        <w:r w:rsidR="00F50D70" w:rsidRPr="00BE4F47">
          <w:rPr>
            <w:rFonts w:ascii="Aptos" w:hAnsi="Aptos"/>
            <w:color w:val="1155CC"/>
            <w:sz w:val="18"/>
            <w:u w:val="single"/>
            <w:lang w:val="en-CA"/>
          </w:rPr>
          <w:t>https://www.iso.org/fr/standard/78743.html</w:t>
        </w:r>
        <w:bookmarkEnd w:id="809"/>
        <w:bookmarkEnd w:id="810"/>
      </w:hyperlink>
    </w:p>
    <w:p w14:paraId="0036F651" w14:textId="77777777" w:rsidR="00F50D70" w:rsidRPr="00BE4F47" w:rsidRDefault="00137D7F" w:rsidP="008E113B">
      <w:pPr>
        <w:spacing w:after="80" w:line="360" w:lineRule="auto"/>
        <w:ind w:left="480" w:hanging="480"/>
        <w:jc w:val="left"/>
        <w:rPr>
          <w:rFonts w:ascii="Aptos" w:hAnsi="Aptos"/>
        </w:rPr>
      </w:pPr>
      <w:bookmarkStart w:id="811" w:name="_Toc241670410"/>
      <w:r w:rsidRPr="004631CD">
        <w:rPr>
          <w:rFonts w:ascii="Aptos" w:eastAsia="Calibri" w:hAnsi="Aptos" w:cs="Calibri"/>
          <w:color w:val="1A1A19"/>
          <w:sz w:val="20"/>
          <w:szCs w:val="20"/>
          <w:lang w:val="en-CA"/>
        </w:rPr>
        <w:lastRenderedPageBreak/>
        <w:t xml:space="preserve">[47]  Agence internationale de l’énergie atomique, Core Knowledge on Instrumentation and Control Systems in Nuclear Power Plants, Nuclear Energy Series n° NP-T-3.12, Vienne, 2011, ISBN 978-92-0-113710-4.  </w:t>
      </w:r>
      <w:hyperlink r:id="rId64">
        <w:r w:rsidR="00F50D70" w:rsidRPr="00BE4F47">
          <w:rPr>
            <w:rFonts w:ascii="Aptos" w:hAnsi="Aptos"/>
            <w:color w:val="1155CC"/>
            <w:sz w:val="18"/>
            <w:u w:val="single"/>
          </w:rPr>
          <w:t>https://www-pub.iaea.org/MTCD/Publications/PDF/Pub1495_web.pdf</w:t>
        </w:r>
        <w:bookmarkEnd w:id="811"/>
      </w:hyperlink>
    </w:p>
    <w:p w14:paraId="46981B63" w14:textId="77777777" w:rsidR="00F50D70" w:rsidRPr="00BE4F47" w:rsidRDefault="00137D7F" w:rsidP="008E113B">
      <w:pPr>
        <w:spacing w:after="80" w:line="360" w:lineRule="auto"/>
        <w:ind w:left="480" w:hanging="480"/>
        <w:jc w:val="left"/>
        <w:rPr>
          <w:rFonts w:ascii="Aptos" w:hAnsi="Aptos"/>
        </w:rPr>
      </w:pPr>
      <w:bookmarkStart w:id="812" w:name="_Toc241083233"/>
      <w:bookmarkStart w:id="813" w:name="_Toc241670411"/>
      <w:r w:rsidRPr="00BE4F47">
        <w:rPr>
          <w:rFonts w:ascii="Aptos" w:eastAsia="Calibri" w:hAnsi="Aptos" w:cs="Calibri"/>
          <w:color w:val="1A1A19"/>
          <w:sz w:val="20"/>
          <w:szCs w:val="20"/>
          <w:lang w:val="en-CA"/>
        </w:rPr>
        <w:t xml:space="preserve">[48]  Agence internationale de l’énergie atomique, Verification and Validation of Software Related to Nuclear Power Plant Instrumentation and Control, Technical Reports Series n° 384, Vienne, 1999, ISBN 92-0-100799-X.  </w:t>
      </w:r>
      <w:hyperlink r:id="rId65">
        <w:r w:rsidR="00F50D70" w:rsidRPr="00BE4F47">
          <w:rPr>
            <w:rFonts w:ascii="Aptos" w:hAnsi="Aptos"/>
            <w:color w:val="1155CC"/>
            <w:sz w:val="18"/>
            <w:u w:val="single"/>
          </w:rPr>
          <w:t>https://www-pub.iaea.org/MTCD/Publications/PDF/TRS384_scr.pdf</w:t>
        </w:r>
        <w:bookmarkEnd w:id="812"/>
        <w:bookmarkEnd w:id="813"/>
      </w:hyperlink>
    </w:p>
    <w:p w14:paraId="579429F6" w14:textId="77777777" w:rsidR="00F50D70" w:rsidRPr="00BE4F47" w:rsidRDefault="00137D7F" w:rsidP="008E113B">
      <w:pPr>
        <w:spacing w:after="80" w:line="360" w:lineRule="auto"/>
        <w:ind w:left="480" w:hanging="480"/>
        <w:jc w:val="left"/>
        <w:rPr>
          <w:rFonts w:ascii="Aptos" w:hAnsi="Aptos"/>
        </w:rPr>
      </w:pPr>
      <w:bookmarkStart w:id="814" w:name="_Toc241670412"/>
      <w:r w:rsidRPr="00BE4F47">
        <w:rPr>
          <w:rFonts w:ascii="Aptos" w:eastAsia="Calibri" w:hAnsi="Aptos" w:cs="Calibri"/>
          <w:color w:val="1A1A19"/>
          <w:sz w:val="20"/>
          <w:szCs w:val="20"/>
        </w:rPr>
        <w:t xml:space="preserve">[49]  Commission canadienne de sûreté nucléaire, « La CCSN délivre un permis de déclassement pour l’installation de Gentilly-2 », 22 juin 2016.  </w:t>
      </w:r>
      <w:hyperlink r:id="rId66">
        <w:r w:rsidR="00F50D70" w:rsidRPr="00BE4F47">
          <w:rPr>
            <w:rFonts w:ascii="Aptos" w:hAnsi="Aptos"/>
            <w:color w:val="1155CC"/>
            <w:sz w:val="18"/>
            <w:u w:val="single"/>
          </w:rPr>
          <w:t>https://www.canada.ca/fr/commission-surete-nucleaire/nouvelles/2016/06/la-ccsn-delivre-un-permis-de-declassement-pour-l-installation-de-gentilly-2.html</w:t>
        </w:r>
        <w:bookmarkEnd w:id="814"/>
      </w:hyperlink>
    </w:p>
    <w:p w14:paraId="545F8519" w14:textId="77777777" w:rsidR="00F50D70" w:rsidRPr="00BE4F47" w:rsidRDefault="00137D7F" w:rsidP="008E113B">
      <w:pPr>
        <w:spacing w:after="80" w:line="360" w:lineRule="auto"/>
        <w:ind w:left="480" w:hanging="480"/>
        <w:jc w:val="left"/>
        <w:rPr>
          <w:rFonts w:ascii="Aptos" w:hAnsi="Aptos"/>
        </w:rPr>
      </w:pPr>
      <w:bookmarkStart w:id="815" w:name="_Toc241083234"/>
      <w:bookmarkStart w:id="816" w:name="_Toc241670413"/>
      <w:r w:rsidRPr="00BE4F47">
        <w:rPr>
          <w:rFonts w:ascii="Aptos" w:eastAsia="Calibri" w:hAnsi="Aptos" w:cs="Calibri"/>
          <w:color w:val="1A1A19"/>
          <w:sz w:val="20"/>
          <w:szCs w:val="20"/>
        </w:rPr>
        <w:t xml:space="preserve">[50]  Association des firmes de génie-conseil du Québec, Barème des honoraires, section Documentation et publications. Cité comme point de comparaison seulement.  </w:t>
      </w:r>
      <w:hyperlink r:id="rId67">
        <w:r w:rsidR="00F50D70" w:rsidRPr="00BE4F47">
          <w:rPr>
            <w:rFonts w:ascii="Aptos" w:hAnsi="Aptos"/>
            <w:color w:val="1155CC"/>
            <w:sz w:val="18"/>
            <w:u w:val="single"/>
          </w:rPr>
          <w:t>https://afg.quebec/documentation/publications</w:t>
        </w:r>
        <w:bookmarkEnd w:id="815"/>
        <w:bookmarkEnd w:id="816"/>
      </w:hyperlink>
    </w:p>
    <w:p w14:paraId="6A1AA678" w14:textId="77777777" w:rsidR="00F50D70" w:rsidRPr="00BE4F47" w:rsidRDefault="00137D7F" w:rsidP="008E113B">
      <w:pPr>
        <w:spacing w:after="80" w:line="360" w:lineRule="auto"/>
        <w:ind w:left="480" w:hanging="480"/>
        <w:jc w:val="left"/>
        <w:rPr>
          <w:rFonts w:ascii="Aptos" w:hAnsi="Aptos"/>
        </w:rPr>
      </w:pPr>
      <w:bookmarkStart w:id="817" w:name="_Toc241083235"/>
      <w:bookmarkStart w:id="818" w:name="_Toc241670414"/>
      <w:r w:rsidRPr="00BE4F47">
        <w:rPr>
          <w:rFonts w:ascii="Aptos" w:eastAsia="Calibri" w:hAnsi="Aptos" w:cs="Calibri"/>
          <w:color w:val="1A1A19"/>
          <w:sz w:val="20"/>
          <w:szCs w:val="20"/>
        </w:rPr>
        <w:t xml:space="preserve">[51]  Université du Québec à Chicoutimi, Bureau du registraire, Calendrier universitaire, trimestre d’automne 2026.  </w:t>
      </w:r>
      <w:hyperlink r:id="rId68">
        <w:r w:rsidR="00F50D70" w:rsidRPr="00BE4F47">
          <w:rPr>
            <w:rFonts w:ascii="Aptos" w:hAnsi="Aptos"/>
            <w:color w:val="1155CC"/>
            <w:sz w:val="18"/>
            <w:u w:val="single"/>
          </w:rPr>
          <w:t>https://www.uqac.ca/registraire/wp-content/uploads/2026/02/AUTOMNE-2026.pdf</w:t>
        </w:r>
        <w:bookmarkEnd w:id="817"/>
        <w:bookmarkEnd w:id="818"/>
      </w:hyperlink>
    </w:p>
    <w:p w14:paraId="6639F16E" w14:textId="77777777" w:rsidR="00F50D70" w:rsidRPr="00BE4F47" w:rsidRDefault="00F50D70" w:rsidP="008E113B">
      <w:pPr>
        <w:pStyle w:val="Corpsdetexte"/>
        <w:spacing w:line="360" w:lineRule="auto"/>
        <w:ind w:left="720"/>
        <w:outlineLvl w:val="9"/>
        <w:rPr>
          <w:rFonts w:ascii="Aptos" w:hAnsi="Aptos"/>
          <w:b w:val="0"/>
        </w:rPr>
      </w:pPr>
    </w:p>
    <w:p w14:paraId="57EFF6BB" w14:textId="77777777" w:rsidR="00F50D70" w:rsidRPr="00BE4F47" w:rsidRDefault="00F50D70" w:rsidP="008E113B">
      <w:pPr>
        <w:pStyle w:val="Corpsdetexte"/>
        <w:spacing w:line="360" w:lineRule="auto"/>
        <w:outlineLvl w:val="9"/>
        <w:rPr>
          <w:rFonts w:ascii="Aptos" w:hAnsi="Aptos"/>
          <w:b w:val="0"/>
        </w:rPr>
      </w:pPr>
    </w:p>
    <w:p w14:paraId="2BD941BF" w14:textId="77777777" w:rsidR="00F50D70" w:rsidRPr="00BE4F47" w:rsidRDefault="00F50D70" w:rsidP="008E113B">
      <w:pPr>
        <w:pStyle w:val="Corpsdetexte"/>
        <w:spacing w:line="360" w:lineRule="auto"/>
        <w:outlineLvl w:val="9"/>
        <w:rPr>
          <w:rFonts w:ascii="Aptos" w:hAnsi="Aptos"/>
        </w:rPr>
      </w:pPr>
    </w:p>
    <w:p w14:paraId="48BBFFBF" w14:textId="77777777" w:rsidR="00F50D70" w:rsidRPr="00BE4F47" w:rsidRDefault="00F50D70" w:rsidP="008E113B">
      <w:pPr>
        <w:spacing w:line="360" w:lineRule="auto"/>
        <w:ind w:left="0"/>
        <w:outlineLvl w:val="9"/>
        <w:rPr>
          <w:rFonts w:ascii="Aptos" w:hAnsi="Aptos"/>
        </w:rPr>
      </w:pPr>
    </w:p>
    <w:sectPr w:rsidR="00F50D70" w:rsidRPr="00BE4F47">
      <w:footerReference w:type="default" r:id="rId69"/>
      <w:footerReference w:type="first" r:id="rId70"/>
      <w:pgSz w:w="12240" w:h="15840"/>
      <w:pgMar w:top="851" w:right="1701" w:bottom="709" w:left="1701" w:header="0" w:footer="425"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CBB4D" w14:textId="77777777" w:rsidR="00A879DF" w:rsidRDefault="00A879DF">
      <w:r>
        <w:separator/>
      </w:r>
    </w:p>
  </w:endnote>
  <w:endnote w:type="continuationSeparator" w:id="0">
    <w:p w14:paraId="0D7D67C5" w14:textId="77777777" w:rsidR="00A879DF" w:rsidRDefault="00A87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Palatino;Book Antiqu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F191E" w14:textId="77777777" w:rsidR="00F50D70" w:rsidRDefault="00137D7F">
    <w:pPr>
      <w:pStyle w:val="Pieddepage"/>
      <w:ind w:left="0"/>
      <w:jc w:val="center"/>
    </w:pPr>
    <w:r>
      <w:fldChar w:fldCharType="begin"/>
    </w:r>
    <w:r>
      <w:instrText xml:space="preserve"> PAGE </w:instrText>
    </w:r>
    <w:r>
      <w:fldChar w:fldCharType="separate"/>
    </w:r>
    <w:r>
      <w:t>47</w:t>
    </w:r>
    <w:r>
      <w:fldChar w:fldCharType="end"/>
    </w:r>
  </w:p>
  <w:p w14:paraId="06136640" w14:textId="77777777" w:rsidR="00F50D70" w:rsidRDefault="00F50D7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BE233" w14:textId="77777777" w:rsidR="00F50D70" w:rsidRDefault="00F50D7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A59CD" w14:textId="77777777" w:rsidR="00A879DF" w:rsidRDefault="00A879DF">
      <w:r>
        <w:separator/>
      </w:r>
    </w:p>
  </w:footnote>
  <w:footnote w:type="continuationSeparator" w:id="0">
    <w:p w14:paraId="73CC65B4" w14:textId="77777777" w:rsidR="00A879DF" w:rsidRDefault="00A879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5D0"/>
    <w:multiLevelType w:val="multilevel"/>
    <w:tmpl w:val="040C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06B74424"/>
    <w:multiLevelType w:val="multilevel"/>
    <w:tmpl w:val="B00E7AA8"/>
    <w:lvl w:ilvl="0">
      <w:start w:val="1"/>
      <w:numFmt w:val="decimal"/>
      <w:pStyle w:val="Style2"/>
      <w:lvlText w:val="%1."/>
      <w:lvlJc w:val="left"/>
      <w:pPr>
        <w:tabs>
          <w:tab w:val="num" w:pos="425"/>
        </w:tabs>
        <w:ind w:left="425" w:hanging="425"/>
      </w:pPr>
      <w:rPr>
        <w:rFonts w:ascii="Times" w:hAnsi="Times" w:cs="Times"/>
        <w:b/>
        <w:i w:val="0"/>
        <w:sz w:val="22"/>
      </w:rPr>
    </w:lvl>
    <w:lvl w:ilvl="1">
      <w:start w:val="1"/>
      <w:numFmt w:val="decimal"/>
      <w:lvlText w:val="%1.%2"/>
      <w:lvlJc w:val="left"/>
      <w:pPr>
        <w:tabs>
          <w:tab w:val="num" w:pos="992"/>
        </w:tabs>
        <w:ind w:left="992" w:hanging="567"/>
      </w:pPr>
    </w:lvl>
    <w:lvl w:ilvl="2">
      <w:start w:val="1"/>
      <w:numFmt w:val="decimal"/>
      <w:lvlText w:val="%1.%2.%3"/>
      <w:lvlJc w:val="left"/>
      <w:pPr>
        <w:tabs>
          <w:tab w:val="num" w:pos="1701"/>
        </w:tabs>
        <w:ind w:left="1701" w:hanging="709"/>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1" w:hanging="1441"/>
      </w:pPr>
    </w:lvl>
  </w:abstractNum>
  <w:abstractNum w:abstractNumId="2" w15:restartNumberingAfterBreak="0">
    <w:nsid w:val="08AE3D62"/>
    <w:multiLevelType w:val="multilevel"/>
    <w:tmpl w:val="113693C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6.%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9540001"/>
    <w:multiLevelType w:val="multilevel"/>
    <w:tmpl w:val="B4F24F9C"/>
    <w:lvl w:ilvl="0">
      <w:start w:val="1"/>
      <w:numFmt w:val="bullet"/>
      <w:lvlText w:val=""/>
      <w:lvlJc w:val="left"/>
      <w:pPr>
        <w:tabs>
          <w:tab w:val="num" w:pos="0"/>
        </w:tabs>
        <w:ind w:left="144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0D0D21"/>
    <w:multiLevelType w:val="hybridMultilevel"/>
    <w:tmpl w:val="B8B6B41E"/>
    <w:lvl w:ilvl="0" w:tplc="040C0001">
      <w:start w:val="1"/>
      <w:numFmt w:val="bullet"/>
      <w:lvlText w:val=""/>
      <w:lvlJc w:val="left"/>
      <w:pPr>
        <w:ind w:left="1712" w:hanging="360"/>
      </w:pPr>
      <w:rPr>
        <w:rFonts w:ascii="Symbol" w:hAnsi="Symbol" w:hint="default"/>
      </w:rPr>
    </w:lvl>
    <w:lvl w:ilvl="1" w:tplc="040C0003" w:tentative="1">
      <w:start w:val="1"/>
      <w:numFmt w:val="bullet"/>
      <w:lvlText w:val="o"/>
      <w:lvlJc w:val="left"/>
      <w:pPr>
        <w:ind w:left="2432" w:hanging="360"/>
      </w:pPr>
      <w:rPr>
        <w:rFonts w:ascii="Courier New" w:hAnsi="Courier New" w:cs="Courier New" w:hint="default"/>
      </w:rPr>
    </w:lvl>
    <w:lvl w:ilvl="2" w:tplc="040C0005" w:tentative="1">
      <w:start w:val="1"/>
      <w:numFmt w:val="bullet"/>
      <w:lvlText w:val=""/>
      <w:lvlJc w:val="left"/>
      <w:pPr>
        <w:ind w:left="3152" w:hanging="360"/>
      </w:pPr>
      <w:rPr>
        <w:rFonts w:ascii="Wingdings" w:hAnsi="Wingdings" w:hint="default"/>
      </w:rPr>
    </w:lvl>
    <w:lvl w:ilvl="3" w:tplc="040C0001" w:tentative="1">
      <w:start w:val="1"/>
      <w:numFmt w:val="bullet"/>
      <w:lvlText w:val=""/>
      <w:lvlJc w:val="left"/>
      <w:pPr>
        <w:ind w:left="3872" w:hanging="360"/>
      </w:pPr>
      <w:rPr>
        <w:rFonts w:ascii="Symbol" w:hAnsi="Symbol" w:hint="default"/>
      </w:rPr>
    </w:lvl>
    <w:lvl w:ilvl="4" w:tplc="040C0003" w:tentative="1">
      <w:start w:val="1"/>
      <w:numFmt w:val="bullet"/>
      <w:lvlText w:val="o"/>
      <w:lvlJc w:val="left"/>
      <w:pPr>
        <w:ind w:left="4592" w:hanging="360"/>
      </w:pPr>
      <w:rPr>
        <w:rFonts w:ascii="Courier New" w:hAnsi="Courier New" w:cs="Courier New" w:hint="default"/>
      </w:rPr>
    </w:lvl>
    <w:lvl w:ilvl="5" w:tplc="040C0005" w:tentative="1">
      <w:start w:val="1"/>
      <w:numFmt w:val="bullet"/>
      <w:lvlText w:val=""/>
      <w:lvlJc w:val="left"/>
      <w:pPr>
        <w:ind w:left="5312" w:hanging="360"/>
      </w:pPr>
      <w:rPr>
        <w:rFonts w:ascii="Wingdings" w:hAnsi="Wingdings" w:hint="default"/>
      </w:rPr>
    </w:lvl>
    <w:lvl w:ilvl="6" w:tplc="040C0001" w:tentative="1">
      <w:start w:val="1"/>
      <w:numFmt w:val="bullet"/>
      <w:lvlText w:val=""/>
      <w:lvlJc w:val="left"/>
      <w:pPr>
        <w:ind w:left="6032" w:hanging="360"/>
      </w:pPr>
      <w:rPr>
        <w:rFonts w:ascii="Symbol" w:hAnsi="Symbol" w:hint="default"/>
      </w:rPr>
    </w:lvl>
    <w:lvl w:ilvl="7" w:tplc="040C0003" w:tentative="1">
      <w:start w:val="1"/>
      <w:numFmt w:val="bullet"/>
      <w:lvlText w:val="o"/>
      <w:lvlJc w:val="left"/>
      <w:pPr>
        <w:ind w:left="6752" w:hanging="360"/>
      </w:pPr>
      <w:rPr>
        <w:rFonts w:ascii="Courier New" w:hAnsi="Courier New" w:cs="Courier New" w:hint="default"/>
      </w:rPr>
    </w:lvl>
    <w:lvl w:ilvl="8" w:tplc="040C0005" w:tentative="1">
      <w:start w:val="1"/>
      <w:numFmt w:val="bullet"/>
      <w:lvlText w:val=""/>
      <w:lvlJc w:val="left"/>
      <w:pPr>
        <w:ind w:left="7472" w:hanging="360"/>
      </w:pPr>
      <w:rPr>
        <w:rFonts w:ascii="Wingdings" w:hAnsi="Wingdings" w:hint="default"/>
      </w:rPr>
    </w:lvl>
  </w:abstractNum>
  <w:abstractNum w:abstractNumId="5" w15:restartNumberingAfterBreak="0">
    <w:nsid w:val="148E3870"/>
    <w:multiLevelType w:val="multilevel"/>
    <w:tmpl w:val="A9580E9C"/>
    <w:lvl w:ilvl="0">
      <w:start w:val="1"/>
      <w:numFmt w:val="bullet"/>
      <w:pStyle w:val="Listepuces2"/>
      <w:lvlText w:val=""/>
      <w:lvlJc w:val="left"/>
      <w:pPr>
        <w:tabs>
          <w:tab w:val="num" w:pos="643"/>
        </w:tabs>
        <w:ind w:left="643"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19A4083"/>
    <w:multiLevelType w:val="multilevel"/>
    <w:tmpl w:val="39F83072"/>
    <w:lvl w:ilvl="0">
      <w:start w:val="1"/>
      <w:numFmt w:val="bullet"/>
      <w:lvlText w:val=""/>
      <w:lvlJc w:val="left"/>
      <w:pPr>
        <w:tabs>
          <w:tab w:val="num" w:pos="0"/>
        </w:tabs>
        <w:ind w:left="144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6E35684"/>
    <w:multiLevelType w:val="multilevel"/>
    <w:tmpl w:val="BAE47164"/>
    <w:lvl w:ilvl="0">
      <w:start w:val="1"/>
      <w:numFmt w:val="bullet"/>
      <w:lvlText w:val=""/>
      <w:lvlJc w:val="left"/>
      <w:pPr>
        <w:tabs>
          <w:tab w:val="num" w:pos="0"/>
        </w:tabs>
        <w:ind w:left="1712"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1116E45"/>
    <w:multiLevelType w:val="multilevel"/>
    <w:tmpl w:val="14705170"/>
    <w:lvl w:ilvl="0">
      <w:start w:val="1"/>
      <w:numFmt w:val="bullet"/>
      <w:lvlText w:val=""/>
      <w:lvlJc w:val="left"/>
      <w:pPr>
        <w:tabs>
          <w:tab w:val="num" w:pos="0"/>
        </w:tabs>
        <w:ind w:left="1712"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1407C9A"/>
    <w:multiLevelType w:val="multilevel"/>
    <w:tmpl w:val="433A77C2"/>
    <w:lvl w:ilvl="0">
      <w:start w:val="1"/>
      <w:numFmt w:val="bullet"/>
      <w:lvlText w:val=""/>
      <w:lvlJc w:val="left"/>
      <w:pPr>
        <w:tabs>
          <w:tab w:val="num" w:pos="0"/>
        </w:tabs>
        <w:ind w:left="171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C552606"/>
    <w:multiLevelType w:val="hybridMultilevel"/>
    <w:tmpl w:val="F4FE70CC"/>
    <w:lvl w:ilvl="0" w:tplc="040C0001">
      <w:start w:val="1"/>
      <w:numFmt w:val="bullet"/>
      <w:lvlText w:val=""/>
      <w:lvlJc w:val="left"/>
      <w:pPr>
        <w:ind w:left="1712" w:hanging="360"/>
      </w:pPr>
      <w:rPr>
        <w:rFonts w:ascii="Symbol" w:hAnsi="Symbol" w:hint="default"/>
      </w:rPr>
    </w:lvl>
    <w:lvl w:ilvl="1" w:tplc="040C0003" w:tentative="1">
      <w:start w:val="1"/>
      <w:numFmt w:val="bullet"/>
      <w:lvlText w:val="o"/>
      <w:lvlJc w:val="left"/>
      <w:pPr>
        <w:ind w:left="2432" w:hanging="360"/>
      </w:pPr>
      <w:rPr>
        <w:rFonts w:ascii="Courier New" w:hAnsi="Courier New" w:cs="Courier New" w:hint="default"/>
      </w:rPr>
    </w:lvl>
    <w:lvl w:ilvl="2" w:tplc="040C0005" w:tentative="1">
      <w:start w:val="1"/>
      <w:numFmt w:val="bullet"/>
      <w:lvlText w:val=""/>
      <w:lvlJc w:val="left"/>
      <w:pPr>
        <w:ind w:left="3152" w:hanging="360"/>
      </w:pPr>
      <w:rPr>
        <w:rFonts w:ascii="Wingdings" w:hAnsi="Wingdings" w:hint="default"/>
      </w:rPr>
    </w:lvl>
    <w:lvl w:ilvl="3" w:tplc="040C0001" w:tentative="1">
      <w:start w:val="1"/>
      <w:numFmt w:val="bullet"/>
      <w:lvlText w:val=""/>
      <w:lvlJc w:val="left"/>
      <w:pPr>
        <w:ind w:left="3872" w:hanging="360"/>
      </w:pPr>
      <w:rPr>
        <w:rFonts w:ascii="Symbol" w:hAnsi="Symbol" w:hint="default"/>
      </w:rPr>
    </w:lvl>
    <w:lvl w:ilvl="4" w:tplc="040C0003" w:tentative="1">
      <w:start w:val="1"/>
      <w:numFmt w:val="bullet"/>
      <w:lvlText w:val="o"/>
      <w:lvlJc w:val="left"/>
      <w:pPr>
        <w:ind w:left="4592" w:hanging="360"/>
      </w:pPr>
      <w:rPr>
        <w:rFonts w:ascii="Courier New" w:hAnsi="Courier New" w:cs="Courier New" w:hint="default"/>
      </w:rPr>
    </w:lvl>
    <w:lvl w:ilvl="5" w:tplc="040C0005" w:tentative="1">
      <w:start w:val="1"/>
      <w:numFmt w:val="bullet"/>
      <w:lvlText w:val=""/>
      <w:lvlJc w:val="left"/>
      <w:pPr>
        <w:ind w:left="5312" w:hanging="360"/>
      </w:pPr>
      <w:rPr>
        <w:rFonts w:ascii="Wingdings" w:hAnsi="Wingdings" w:hint="default"/>
      </w:rPr>
    </w:lvl>
    <w:lvl w:ilvl="6" w:tplc="040C0001" w:tentative="1">
      <w:start w:val="1"/>
      <w:numFmt w:val="bullet"/>
      <w:lvlText w:val=""/>
      <w:lvlJc w:val="left"/>
      <w:pPr>
        <w:ind w:left="6032" w:hanging="360"/>
      </w:pPr>
      <w:rPr>
        <w:rFonts w:ascii="Symbol" w:hAnsi="Symbol" w:hint="default"/>
      </w:rPr>
    </w:lvl>
    <w:lvl w:ilvl="7" w:tplc="040C0003" w:tentative="1">
      <w:start w:val="1"/>
      <w:numFmt w:val="bullet"/>
      <w:lvlText w:val="o"/>
      <w:lvlJc w:val="left"/>
      <w:pPr>
        <w:ind w:left="6752" w:hanging="360"/>
      </w:pPr>
      <w:rPr>
        <w:rFonts w:ascii="Courier New" w:hAnsi="Courier New" w:cs="Courier New" w:hint="default"/>
      </w:rPr>
    </w:lvl>
    <w:lvl w:ilvl="8" w:tplc="040C0005" w:tentative="1">
      <w:start w:val="1"/>
      <w:numFmt w:val="bullet"/>
      <w:lvlText w:val=""/>
      <w:lvlJc w:val="left"/>
      <w:pPr>
        <w:ind w:left="7472" w:hanging="360"/>
      </w:pPr>
      <w:rPr>
        <w:rFonts w:ascii="Wingdings" w:hAnsi="Wingdings" w:hint="default"/>
      </w:rPr>
    </w:lvl>
  </w:abstractNum>
  <w:abstractNum w:abstractNumId="11" w15:restartNumberingAfterBreak="0">
    <w:nsid w:val="4F46695C"/>
    <w:multiLevelType w:val="multilevel"/>
    <w:tmpl w:val="46D6CB34"/>
    <w:lvl w:ilvl="0">
      <w:start w:val="1"/>
      <w:numFmt w:val="decimal"/>
      <w:pStyle w:val="Titre1"/>
      <w:lvlText w:val="%1."/>
      <w:lvlJc w:val="left"/>
      <w:pPr>
        <w:tabs>
          <w:tab w:val="num" w:pos="425"/>
        </w:tabs>
        <w:ind w:left="425" w:hanging="425"/>
      </w:pPr>
      <w:rPr>
        <w:rFonts w:ascii="Times" w:hAnsi="Times" w:cs="Times"/>
        <w:b/>
        <w:i w:val="0"/>
        <w:sz w:val="22"/>
      </w:rPr>
    </w:lvl>
    <w:lvl w:ilvl="1">
      <w:start w:val="1"/>
      <w:numFmt w:val="decimal"/>
      <w:pStyle w:val="Titre2"/>
      <w:lvlText w:val="%1.%2"/>
      <w:lvlJc w:val="left"/>
      <w:pPr>
        <w:tabs>
          <w:tab w:val="num" w:pos="992"/>
        </w:tabs>
        <w:ind w:left="992" w:hanging="567"/>
      </w:pPr>
    </w:lvl>
    <w:lvl w:ilvl="2">
      <w:start w:val="1"/>
      <w:numFmt w:val="decimal"/>
      <w:lvlText w:val="%1.%2.%3"/>
      <w:lvlJc w:val="left"/>
      <w:pPr>
        <w:tabs>
          <w:tab w:val="num" w:pos="1701"/>
        </w:tabs>
        <w:ind w:left="1701" w:hanging="709"/>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1" w:hanging="1441"/>
      </w:pPr>
    </w:lvl>
  </w:abstractNum>
  <w:abstractNum w:abstractNumId="12" w15:restartNumberingAfterBreak="0">
    <w:nsid w:val="51920C22"/>
    <w:multiLevelType w:val="multilevel"/>
    <w:tmpl w:val="53E292A4"/>
    <w:lvl w:ilvl="0">
      <w:start w:val="1"/>
      <w:numFmt w:val="bullet"/>
      <w:lvlText w:val=""/>
      <w:lvlJc w:val="left"/>
      <w:pPr>
        <w:tabs>
          <w:tab w:val="num" w:pos="0"/>
        </w:tabs>
        <w:ind w:left="144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49E6FED"/>
    <w:multiLevelType w:val="multilevel"/>
    <w:tmpl w:val="2CE6FF32"/>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6.%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598F7E0F"/>
    <w:multiLevelType w:val="multilevel"/>
    <w:tmpl w:val="D34CBE96"/>
    <w:lvl w:ilvl="0">
      <w:start w:val="1"/>
      <w:numFmt w:val="bullet"/>
      <w:lvlText w:val=""/>
      <w:lvlJc w:val="left"/>
      <w:pPr>
        <w:tabs>
          <w:tab w:val="num" w:pos="0"/>
        </w:tabs>
        <w:ind w:left="114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BE415A7"/>
    <w:multiLevelType w:val="hybridMultilevel"/>
    <w:tmpl w:val="B34E271A"/>
    <w:lvl w:ilvl="0" w:tplc="040C0001">
      <w:start w:val="1"/>
      <w:numFmt w:val="bullet"/>
      <w:lvlText w:val=""/>
      <w:lvlJc w:val="left"/>
      <w:pPr>
        <w:ind w:left="1712" w:hanging="360"/>
      </w:pPr>
      <w:rPr>
        <w:rFonts w:ascii="Symbol" w:hAnsi="Symbol" w:hint="default"/>
      </w:rPr>
    </w:lvl>
    <w:lvl w:ilvl="1" w:tplc="040C0003" w:tentative="1">
      <w:start w:val="1"/>
      <w:numFmt w:val="bullet"/>
      <w:lvlText w:val="o"/>
      <w:lvlJc w:val="left"/>
      <w:pPr>
        <w:ind w:left="2432" w:hanging="360"/>
      </w:pPr>
      <w:rPr>
        <w:rFonts w:ascii="Courier New" w:hAnsi="Courier New" w:cs="Courier New" w:hint="default"/>
      </w:rPr>
    </w:lvl>
    <w:lvl w:ilvl="2" w:tplc="040C0005" w:tentative="1">
      <w:start w:val="1"/>
      <w:numFmt w:val="bullet"/>
      <w:lvlText w:val=""/>
      <w:lvlJc w:val="left"/>
      <w:pPr>
        <w:ind w:left="3152" w:hanging="360"/>
      </w:pPr>
      <w:rPr>
        <w:rFonts w:ascii="Wingdings" w:hAnsi="Wingdings" w:hint="default"/>
      </w:rPr>
    </w:lvl>
    <w:lvl w:ilvl="3" w:tplc="040C0001" w:tentative="1">
      <w:start w:val="1"/>
      <w:numFmt w:val="bullet"/>
      <w:lvlText w:val=""/>
      <w:lvlJc w:val="left"/>
      <w:pPr>
        <w:ind w:left="3872" w:hanging="360"/>
      </w:pPr>
      <w:rPr>
        <w:rFonts w:ascii="Symbol" w:hAnsi="Symbol" w:hint="default"/>
      </w:rPr>
    </w:lvl>
    <w:lvl w:ilvl="4" w:tplc="040C0003" w:tentative="1">
      <w:start w:val="1"/>
      <w:numFmt w:val="bullet"/>
      <w:lvlText w:val="o"/>
      <w:lvlJc w:val="left"/>
      <w:pPr>
        <w:ind w:left="4592" w:hanging="360"/>
      </w:pPr>
      <w:rPr>
        <w:rFonts w:ascii="Courier New" w:hAnsi="Courier New" w:cs="Courier New" w:hint="default"/>
      </w:rPr>
    </w:lvl>
    <w:lvl w:ilvl="5" w:tplc="040C0005" w:tentative="1">
      <w:start w:val="1"/>
      <w:numFmt w:val="bullet"/>
      <w:lvlText w:val=""/>
      <w:lvlJc w:val="left"/>
      <w:pPr>
        <w:ind w:left="5312" w:hanging="360"/>
      </w:pPr>
      <w:rPr>
        <w:rFonts w:ascii="Wingdings" w:hAnsi="Wingdings" w:hint="default"/>
      </w:rPr>
    </w:lvl>
    <w:lvl w:ilvl="6" w:tplc="040C0001" w:tentative="1">
      <w:start w:val="1"/>
      <w:numFmt w:val="bullet"/>
      <w:lvlText w:val=""/>
      <w:lvlJc w:val="left"/>
      <w:pPr>
        <w:ind w:left="6032" w:hanging="360"/>
      </w:pPr>
      <w:rPr>
        <w:rFonts w:ascii="Symbol" w:hAnsi="Symbol" w:hint="default"/>
      </w:rPr>
    </w:lvl>
    <w:lvl w:ilvl="7" w:tplc="040C0003" w:tentative="1">
      <w:start w:val="1"/>
      <w:numFmt w:val="bullet"/>
      <w:lvlText w:val="o"/>
      <w:lvlJc w:val="left"/>
      <w:pPr>
        <w:ind w:left="6752" w:hanging="360"/>
      </w:pPr>
      <w:rPr>
        <w:rFonts w:ascii="Courier New" w:hAnsi="Courier New" w:cs="Courier New" w:hint="default"/>
      </w:rPr>
    </w:lvl>
    <w:lvl w:ilvl="8" w:tplc="040C0005" w:tentative="1">
      <w:start w:val="1"/>
      <w:numFmt w:val="bullet"/>
      <w:lvlText w:val=""/>
      <w:lvlJc w:val="left"/>
      <w:pPr>
        <w:ind w:left="7472" w:hanging="360"/>
      </w:pPr>
      <w:rPr>
        <w:rFonts w:ascii="Wingdings" w:hAnsi="Wingdings" w:hint="default"/>
      </w:rPr>
    </w:lvl>
  </w:abstractNum>
  <w:abstractNum w:abstractNumId="16" w15:restartNumberingAfterBreak="0">
    <w:nsid w:val="5E967BF2"/>
    <w:multiLevelType w:val="multilevel"/>
    <w:tmpl w:val="82927CCC"/>
    <w:lvl w:ilvl="0">
      <w:start w:val="1"/>
      <w:numFmt w:val="decimal"/>
      <w:lvlText w:val="3.%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09B5662"/>
    <w:multiLevelType w:val="hybridMultilevel"/>
    <w:tmpl w:val="80664FA6"/>
    <w:lvl w:ilvl="0" w:tplc="040C0001">
      <w:start w:val="1"/>
      <w:numFmt w:val="bullet"/>
      <w:lvlText w:val=""/>
      <w:lvlJc w:val="left"/>
      <w:pPr>
        <w:ind w:left="1712" w:hanging="360"/>
      </w:pPr>
      <w:rPr>
        <w:rFonts w:ascii="Symbol" w:hAnsi="Symbol" w:hint="default"/>
      </w:rPr>
    </w:lvl>
    <w:lvl w:ilvl="1" w:tplc="040C0003" w:tentative="1">
      <w:start w:val="1"/>
      <w:numFmt w:val="bullet"/>
      <w:lvlText w:val="o"/>
      <w:lvlJc w:val="left"/>
      <w:pPr>
        <w:ind w:left="2432" w:hanging="360"/>
      </w:pPr>
      <w:rPr>
        <w:rFonts w:ascii="Courier New" w:hAnsi="Courier New" w:cs="Courier New" w:hint="default"/>
      </w:rPr>
    </w:lvl>
    <w:lvl w:ilvl="2" w:tplc="040C0005" w:tentative="1">
      <w:start w:val="1"/>
      <w:numFmt w:val="bullet"/>
      <w:lvlText w:val=""/>
      <w:lvlJc w:val="left"/>
      <w:pPr>
        <w:ind w:left="3152" w:hanging="360"/>
      </w:pPr>
      <w:rPr>
        <w:rFonts w:ascii="Wingdings" w:hAnsi="Wingdings" w:hint="default"/>
      </w:rPr>
    </w:lvl>
    <w:lvl w:ilvl="3" w:tplc="040C0001" w:tentative="1">
      <w:start w:val="1"/>
      <w:numFmt w:val="bullet"/>
      <w:lvlText w:val=""/>
      <w:lvlJc w:val="left"/>
      <w:pPr>
        <w:ind w:left="3872" w:hanging="360"/>
      </w:pPr>
      <w:rPr>
        <w:rFonts w:ascii="Symbol" w:hAnsi="Symbol" w:hint="default"/>
      </w:rPr>
    </w:lvl>
    <w:lvl w:ilvl="4" w:tplc="040C0003" w:tentative="1">
      <w:start w:val="1"/>
      <w:numFmt w:val="bullet"/>
      <w:lvlText w:val="o"/>
      <w:lvlJc w:val="left"/>
      <w:pPr>
        <w:ind w:left="4592" w:hanging="360"/>
      </w:pPr>
      <w:rPr>
        <w:rFonts w:ascii="Courier New" w:hAnsi="Courier New" w:cs="Courier New" w:hint="default"/>
      </w:rPr>
    </w:lvl>
    <w:lvl w:ilvl="5" w:tplc="040C0005" w:tentative="1">
      <w:start w:val="1"/>
      <w:numFmt w:val="bullet"/>
      <w:lvlText w:val=""/>
      <w:lvlJc w:val="left"/>
      <w:pPr>
        <w:ind w:left="5312" w:hanging="360"/>
      </w:pPr>
      <w:rPr>
        <w:rFonts w:ascii="Wingdings" w:hAnsi="Wingdings" w:hint="default"/>
      </w:rPr>
    </w:lvl>
    <w:lvl w:ilvl="6" w:tplc="040C0001" w:tentative="1">
      <w:start w:val="1"/>
      <w:numFmt w:val="bullet"/>
      <w:lvlText w:val=""/>
      <w:lvlJc w:val="left"/>
      <w:pPr>
        <w:ind w:left="6032" w:hanging="360"/>
      </w:pPr>
      <w:rPr>
        <w:rFonts w:ascii="Symbol" w:hAnsi="Symbol" w:hint="default"/>
      </w:rPr>
    </w:lvl>
    <w:lvl w:ilvl="7" w:tplc="040C0003" w:tentative="1">
      <w:start w:val="1"/>
      <w:numFmt w:val="bullet"/>
      <w:lvlText w:val="o"/>
      <w:lvlJc w:val="left"/>
      <w:pPr>
        <w:ind w:left="6752" w:hanging="360"/>
      </w:pPr>
      <w:rPr>
        <w:rFonts w:ascii="Courier New" w:hAnsi="Courier New" w:cs="Courier New" w:hint="default"/>
      </w:rPr>
    </w:lvl>
    <w:lvl w:ilvl="8" w:tplc="040C0005" w:tentative="1">
      <w:start w:val="1"/>
      <w:numFmt w:val="bullet"/>
      <w:lvlText w:val=""/>
      <w:lvlJc w:val="left"/>
      <w:pPr>
        <w:ind w:left="7472" w:hanging="360"/>
      </w:pPr>
      <w:rPr>
        <w:rFonts w:ascii="Wingdings" w:hAnsi="Wingdings" w:hint="default"/>
      </w:rPr>
    </w:lvl>
  </w:abstractNum>
  <w:abstractNum w:abstractNumId="18" w15:restartNumberingAfterBreak="0">
    <w:nsid w:val="6D4E0793"/>
    <w:multiLevelType w:val="multilevel"/>
    <w:tmpl w:val="94EC9E2C"/>
    <w:lvl w:ilvl="0">
      <w:start w:val="1"/>
      <w:numFmt w:val="bullet"/>
      <w:lvlText w:val=""/>
      <w:lvlJc w:val="left"/>
      <w:pPr>
        <w:tabs>
          <w:tab w:val="num" w:pos="0"/>
        </w:tabs>
        <w:ind w:left="1712"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3317B21"/>
    <w:multiLevelType w:val="multilevel"/>
    <w:tmpl w:val="013A5ACA"/>
    <w:lvl w:ilvl="0">
      <w:start w:val="1"/>
      <w:numFmt w:val="bullet"/>
      <w:lvlText w:val=""/>
      <w:lvlJc w:val="left"/>
      <w:pPr>
        <w:tabs>
          <w:tab w:val="num" w:pos="0"/>
        </w:tabs>
        <w:ind w:left="1712"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69533442">
    <w:abstractNumId w:val="11"/>
  </w:num>
  <w:num w:numId="2" w16cid:durableId="879246760">
    <w:abstractNumId w:val="5"/>
  </w:num>
  <w:num w:numId="3" w16cid:durableId="1087926495">
    <w:abstractNumId w:val="1"/>
  </w:num>
  <w:num w:numId="4" w16cid:durableId="286081102">
    <w:abstractNumId w:val="14"/>
  </w:num>
  <w:num w:numId="5" w16cid:durableId="195780179">
    <w:abstractNumId w:val="8"/>
  </w:num>
  <w:num w:numId="6" w16cid:durableId="1059936052">
    <w:abstractNumId w:val="3"/>
  </w:num>
  <w:num w:numId="7" w16cid:durableId="832138966">
    <w:abstractNumId w:val="13"/>
  </w:num>
  <w:num w:numId="8" w16cid:durableId="1108311080">
    <w:abstractNumId w:val="6"/>
  </w:num>
  <w:num w:numId="9" w16cid:durableId="1263495185">
    <w:abstractNumId w:val="18"/>
  </w:num>
  <w:num w:numId="10" w16cid:durableId="843278149">
    <w:abstractNumId w:val="12"/>
  </w:num>
  <w:num w:numId="11" w16cid:durableId="2014990922">
    <w:abstractNumId w:val="19"/>
  </w:num>
  <w:num w:numId="12" w16cid:durableId="1225415507">
    <w:abstractNumId w:val="2"/>
  </w:num>
  <w:num w:numId="13" w16cid:durableId="1961842731">
    <w:abstractNumId w:val="16"/>
  </w:num>
  <w:num w:numId="14" w16cid:durableId="940066933">
    <w:abstractNumId w:val="0"/>
  </w:num>
  <w:num w:numId="15" w16cid:durableId="296952054">
    <w:abstractNumId w:val="7"/>
  </w:num>
  <w:num w:numId="16" w16cid:durableId="17509987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87633788">
    <w:abstractNumId w:val="11"/>
  </w:num>
  <w:num w:numId="18" w16cid:durableId="1778479020">
    <w:abstractNumId w:val="17"/>
  </w:num>
  <w:num w:numId="19" w16cid:durableId="1847792681">
    <w:abstractNumId w:val="4"/>
  </w:num>
  <w:num w:numId="20" w16cid:durableId="743335554">
    <w:abstractNumId w:val="10"/>
  </w:num>
  <w:num w:numId="21" w16cid:durableId="1697191494">
    <w:abstractNumId w:val="9"/>
  </w:num>
  <w:num w:numId="22" w16cid:durableId="13627766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D70"/>
    <w:rsid w:val="00006655"/>
    <w:rsid w:val="00026264"/>
    <w:rsid w:val="0010676F"/>
    <w:rsid w:val="00136F18"/>
    <w:rsid w:val="00137D7F"/>
    <w:rsid w:val="0015050D"/>
    <w:rsid w:val="00170BF3"/>
    <w:rsid w:val="001C6F35"/>
    <w:rsid w:val="001E0B13"/>
    <w:rsid w:val="00246F82"/>
    <w:rsid w:val="00256140"/>
    <w:rsid w:val="00273A91"/>
    <w:rsid w:val="002A1CE1"/>
    <w:rsid w:val="003139CB"/>
    <w:rsid w:val="0036725C"/>
    <w:rsid w:val="003D3A94"/>
    <w:rsid w:val="004631CD"/>
    <w:rsid w:val="005A1D5D"/>
    <w:rsid w:val="005E5B35"/>
    <w:rsid w:val="00664824"/>
    <w:rsid w:val="00665895"/>
    <w:rsid w:val="006A6C35"/>
    <w:rsid w:val="006D5CA3"/>
    <w:rsid w:val="007E5FC7"/>
    <w:rsid w:val="00885DAC"/>
    <w:rsid w:val="008E113B"/>
    <w:rsid w:val="008F5FA3"/>
    <w:rsid w:val="00927E59"/>
    <w:rsid w:val="00962984"/>
    <w:rsid w:val="009A4383"/>
    <w:rsid w:val="009F7B47"/>
    <w:rsid w:val="00A879DF"/>
    <w:rsid w:val="00AA05CF"/>
    <w:rsid w:val="00AF05CA"/>
    <w:rsid w:val="00B03F2E"/>
    <w:rsid w:val="00B22FB4"/>
    <w:rsid w:val="00B36301"/>
    <w:rsid w:val="00B50D9A"/>
    <w:rsid w:val="00BE4F47"/>
    <w:rsid w:val="00C57ECE"/>
    <w:rsid w:val="00C64550"/>
    <w:rsid w:val="00D40E65"/>
    <w:rsid w:val="00DA7337"/>
    <w:rsid w:val="00DB0A89"/>
    <w:rsid w:val="00DE546E"/>
    <w:rsid w:val="00F355AE"/>
    <w:rsid w:val="00F50D70"/>
    <w:rsid w:val="00F515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57C82"/>
  <w15:docId w15:val="{85478345-9B3E-44FF-9FF5-ABE588B1B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1701"/>
      <w:jc w:val="both"/>
      <w:outlineLvl w:val="2"/>
    </w:pPr>
    <w:rPr>
      <w:rFonts w:ascii="Times" w:eastAsia="MS Mincho" w:hAnsi="Times" w:cs="Times"/>
      <w:sz w:val="22"/>
      <w:szCs w:val="22"/>
      <w:lang w:val="fr-CA" w:eastAsia="zh-CN"/>
    </w:rPr>
  </w:style>
  <w:style w:type="paragraph" w:styleId="Titre1">
    <w:name w:val="heading 1"/>
    <w:basedOn w:val="Normal"/>
    <w:next w:val="Normal"/>
    <w:uiPriority w:val="9"/>
    <w:qFormat/>
    <w:pPr>
      <w:keepNext/>
      <w:numPr>
        <w:numId w:val="1"/>
      </w:numPr>
      <w:spacing w:before="240" w:after="60"/>
      <w:outlineLvl w:val="0"/>
    </w:pPr>
    <w:rPr>
      <w:b/>
      <w:bCs/>
      <w:kern w:val="2"/>
    </w:rPr>
  </w:style>
  <w:style w:type="paragraph" w:styleId="Titre2">
    <w:name w:val="heading 2"/>
    <w:basedOn w:val="Normal"/>
    <w:next w:val="Normal"/>
    <w:link w:val="Titre2Car"/>
    <w:uiPriority w:val="9"/>
    <w:unhideWhenUsed/>
    <w:qFormat/>
    <w:pPr>
      <w:keepNext/>
      <w:numPr>
        <w:ilvl w:val="1"/>
        <w:numId w:val="1"/>
      </w:numPr>
      <w:spacing w:before="240" w:after="60"/>
      <w:outlineLvl w:val="1"/>
    </w:pPr>
    <w:rPr>
      <w:b/>
      <w:bCs/>
    </w:rPr>
  </w:style>
  <w:style w:type="paragraph" w:styleId="Titre3">
    <w:name w:val="heading 3"/>
    <w:basedOn w:val="Retraitcorpsdetexte3"/>
    <w:next w:val="Retraitcorpsdetexte3"/>
    <w:unhideWhenUsed/>
    <w:qFormat/>
    <w:pPr>
      <w:keepNext/>
      <w:spacing w:before="240" w:after="60"/>
      <w:ind w:left="0" w:firstLine="0"/>
    </w:pPr>
  </w:style>
  <w:style w:type="paragraph" w:styleId="Titre4">
    <w:name w:val="heading 4"/>
    <w:basedOn w:val="Normal"/>
    <w:next w:val="Normal"/>
    <w:uiPriority w:val="9"/>
    <w:unhideWhenUsed/>
    <w:qFormat/>
    <w:pPr>
      <w:keepNext/>
      <w:ind w:left="0"/>
      <w:outlineLvl w:val="3"/>
    </w:pPr>
    <w:rPr>
      <w:b/>
      <w:bCs/>
    </w:rPr>
  </w:style>
  <w:style w:type="paragraph" w:styleId="Titre5">
    <w:name w:val="heading 5"/>
    <w:basedOn w:val="Normal"/>
    <w:next w:val="Normal"/>
    <w:uiPriority w:val="9"/>
    <w:semiHidden/>
    <w:unhideWhenUsed/>
    <w:qFormat/>
    <w:pPr>
      <w:keepNext/>
      <w:ind w:left="72"/>
      <w:outlineLvl w:val="4"/>
    </w:pPr>
    <w:rPr>
      <w:b/>
      <w:bCs/>
    </w:rPr>
  </w:style>
  <w:style w:type="paragraph" w:styleId="Titre6">
    <w:name w:val="heading 6"/>
    <w:basedOn w:val="Normal"/>
    <w:next w:val="Normal"/>
    <w:uiPriority w:val="9"/>
    <w:semiHidden/>
    <w:unhideWhenUsed/>
    <w:qFormat/>
    <w:pPr>
      <w:keepNext/>
      <w:ind w:left="0" w:hanging="7"/>
      <w:jc w:val="left"/>
      <w:outlineLvl w:val="5"/>
    </w:pPr>
    <w:rPr>
      <w:b/>
      <w:bCs/>
    </w:rPr>
  </w:style>
  <w:style w:type="paragraph" w:styleId="Titre7">
    <w:name w:val="heading 7"/>
    <w:basedOn w:val="Normal"/>
    <w:next w:val="Normal"/>
    <w:qFormat/>
    <w:pPr>
      <w:keepNext/>
      <w:ind w:left="0" w:hanging="7"/>
      <w:outlineLvl w:val="6"/>
    </w:pPr>
    <w:rPr>
      <w:b/>
      <w:bCs/>
    </w:rPr>
  </w:style>
  <w:style w:type="paragraph" w:styleId="Titre8">
    <w:name w:val="heading 8"/>
    <w:basedOn w:val="Normal"/>
    <w:next w:val="Normal"/>
    <w:qFormat/>
    <w:pPr>
      <w:keepNext/>
      <w:ind w:left="2120" w:hanging="2080"/>
      <w:jc w:val="center"/>
      <w:outlineLvl w:val="7"/>
    </w:pPr>
    <w:rPr>
      <w:u w:val="single"/>
    </w:rPr>
  </w:style>
  <w:style w:type="paragraph" w:styleId="Titre9">
    <w:name w:val="heading 9"/>
    <w:basedOn w:val="Normal"/>
    <w:next w:val="Normal"/>
    <w:qFormat/>
    <w:pPr>
      <w:keepNext/>
      <w:ind w:left="567" w:hanging="574"/>
      <w:outlineLvl w:val="8"/>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rPr>
      <w:rFonts w:ascii="Symbol" w:hAnsi="Symbol" w:cs="Symbol"/>
    </w:rPr>
  </w:style>
  <w:style w:type="character" w:customStyle="1" w:styleId="WW8Num2z0">
    <w:name w:val="WW8Num2z0"/>
    <w:qFormat/>
  </w:style>
  <w:style w:type="character" w:customStyle="1" w:styleId="WW8Num3z0">
    <w:name w:val="WW8Num3z0"/>
    <w:qFormat/>
  </w:style>
  <w:style w:type="character" w:customStyle="1" w:styleId="WW8Num4z0">
    <w:name w:val="WW8Num4z0"/>
    <w:qFormat/>
    <w:rPr>
      <w:rFonts w:ascii="Times" w:hAnsi="Times" w:cs="Times"/>
      <w:b/>
      <w:i w:val="0"/>
      <w:sz w:val="22"/>
    </w:rPr>
  </w:style>
  <w:style w:type="character" w:customStyle="1" w:styleId="WW8Num5z0">
    <w:name w:val="WW8Num5z0"/>
    <w:qFormat/>
    <w:rPr>
      <w:rFonts w:ascii="Times" w:hAnsi="Times" w:cs="Times"/>
      <w:b/>
      <w:i w:val="0"/>
      <w:sz w:val="22"/>
    </w:rPr>
  </w:style>
  <w:style w:type="character" w:customStyle="1" w:styleId="WW8Num5z1">
    <w:name w:val="WW8Num5z1"/>
    <w:qFormat/>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style>
  <w:style w:type="character" w:customStyle="1" w:styleId="WW8Num13z0">
    <w:name w:val="WW8Num13z0"/>
    <w:qFormat/>
  </w:style>
  <w:style w:type="character" w:customStyle="1" w:styleId="WW8Num14z0">
    <w:name w:val="WW8Num14z0"/>
    <w:qFormat/>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3z0">
    <w:name w:val="WW8Num23z0"/>
    <w:qFormat/>
  </w:style>
  <w:style w:type="character" w:customStyle="1" w:styleId="WW8Num24z0">
    <w:name w:val="WW8Num24z0"/>
    <w:qFormat/>
  </w:style>
  <w:style w:type="character" w:customStyle="1" w:styleId="WW8Num26z0">
    <w:name w:val="WW8Num26z0"/>
    <w:qFormat/>
    <w:rPr>
      <w:rFonts w:ascii="Symbol"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7z0">
    <w:name w:val="WW8Num27z0"/>
    <w:qFormat/>
  </w:style>
  <w:style w:type="character" w:customStyle="1" w:styleId="EndnoteCharacters">
    <w:name w:val="Endnote Characters"/>
    <w:qFormat/>
    <w:rPr>
      <w:vertAlign w:val="superscript"/>
    </w:rPr>
  </w:style>
  <w:style w:type="character" w:customStyle="1" w:styleId="FootnoteCharacters">
    <w:name w:val="Footnote Characters"/>
    <w:qFormat/>
    <w:rPr>
      <w:sz w:val="16"/>
      <w:szCs w:val="16"/>
      <w:vertAlign w:val="superscript"/>
    </w:rPr>
  </w:style>
  <w:style w:type="character" w:styleId="Numrodepage">
    <w:name w:val="page number"/>
    <w:rPr>
      <w:rFonts w:ascii="Palatino;Book Antiqua" w:hAnsi="Palatino;Book Antiqua" w:cs="Palatino;Book Antiqua"/>
    </w:rPr>
  </w:style>
  <w:style w:type="character" w:styleId="Hyperlien">
    <w:name w:val="Hyperlink"/>
    <w:uiPriority w:val="99"/>
    <w:rPr>
      <w:color w:val="0000FF"/>
      <w:u w:val="single"/>
    </w:rPr>
  </w:style>
  <w:style w:type="character" w:styleId="Accentuation">
    <w:name w:val="Emphasis"/>
    <w:qFormat/>
    <w:rPr>
      <w:i/>
      <w:iCs/>
    </w:rPr>
  </w:style>
  <w:style w:type="character" w:customStyle="1" w:styleId="CarCar">
    <w:name w:val="Car Car"/>
    <w:qFormat/>
    <w:rPr>
      <w:rFonts w:ascii="Arial Black" w:hAnsi="Arial Black" w:cs="Arial Black"/>
      <w:spacing w:val="-30"/>
      <w:kern w:val="2"/>
      <w:sz w:val="40"/>
      <w:lang w:val="fr-CA" w:bidi="ar-SA"/>
    </w:rPr>
  </w:style>
  <w:style w:type="character" w:customStyle="1" w:styleId="CarCar3">
    <w:name w:val="Car Car3"/>
    <w:qFormat/>
    <w:rPr>
      <w:smallCaps/>
      <w:sz w:val="52"/>
      <w:szCs w:val="52"/>
    </w:rPr>
  </w:style>
  <w:style w:type="character" w:customStyle="1" w:styleId="CarCar4">
    <w:name w:val="Car Car4"/>
    <w:qFormat/>
    <w:rPr>
      <w:rFonts w:ascii="Times" w:hAnsi="Times" w:cs="Times"/>
      <w:b/>
      <w:bCs/>
      <w:kern w:val="2"/>
      <w:sz w:val="22"/>
      <w:szCs w:val="22"/>
      <w:lang w:val="fr-CA" w:bidi="ar-SA"/>
    </w:rPr>
  </w:style>
  <w:style w:type="character" w:customStyle="1" w:styleId="CarCar2">
    <w:name w:val="Car Car2"/>
    <w:qFormat/>
    <w:rPr>
      <w:rFonts w:ascii="Times" w:hAnsi="Times" w:cs="Times"/>
      <w:sz w:val="22"/>
      <w:szCs w:val="22"/>
      <w:lang w:val="fr-CA"/>
    </w:rPr>
  </w:style>
  <w:style w:type="character" w:styleId="Lienvisit">
    <w:name w:val="FollowedHyperlink"/>
    <w:rPr>
      <w:color w:val="800080"/>
      <w:u w:val="single"/>
    </w:rPr>
  </w:style>
  <w:style w:type="character" w:customStyle="1" w:styleId="libelleod1">
    <w:name w:val="libelleod1"/>
    <w:qFormat/>
    <w:rPr>
      <w:rFonts w:cs="Times New Roman"/>
      <w:b/>
      <w:bCs/>
    </w:rPr>
  </w:style>
  <w:style w:type="character" w:customStyle="1" w:styleId="Titre5Car">
    <w:name w:val="Titre 5 Car"/>
    <w:qFormat/>
    <w:rPr>
      <w:rFonts w:ascii="Times" w:hAnsi="Times" w:cs="Times"/>
      <w:b/>
      <w:bCs/>
      <w:sz w:val="22"/>
      <w:szCs w:val="22"/>
      <w:lang w:val="fr-CA" w:bidi="ar-SA"/>
    </w:rPr>
  </w:style>
  <w:style w:type="character" w:customStyle="1" w:styleId="TextedebullesCar">
    <w:name w:val="Texte de bulles Car"/>
    <w:qFormat/>
    <w:rPr>
      <w:rFonts w:ascii="Tahoma" w:hAnsi="Tahoma" w:cs="Tahoma"/>
      <w:sz w:val="16"/>
      <w:szCs w:val="16"/>
    </w:rPr>
  </w:style>
  <w:style w:type="character" w:customStyle="1" w:styleId="PieddepageCar">
    <w:name w:val="Pied de page Car"/>
    <w:qFormat/>
    <w:rPr>
      <w:rFonts w:ascii="Times" w:hAnsi="Times" w:cs="Times"/>
      <w:sz w:val="22"/>
      <w:szCs w:val="22"/>
    </w:rPr>
  </w:style>
  <w:style w:type="character" w:styleId="Mentionnonrsolue">
    <w:name w:val="Unresolved Mention"/>
    <w:uiPriority w:val="99"/>
    <w:qFormat/>
    <w:rPr>
      <w:color w:val="605E5C"/>
      <w:shd w:val="clear" w:color="auto" w:fill="E1DFDD"/>
    </w:rPr>
  </w:style>
  <w:style w:type="character" w:styleId="Marquedecommentaire">
    <w:name w:val="annotation reference"/>
    <w:qFormat/>
    <w:rPr>
      <w:sz w:val="16"/>
      <w:szCs w:val="16"/>
    </w:rPr>
  </w:style>
  <w:style w:type="character" w:customStyle="1" w:styleId="CommentaireCar">
    <w:name w:val="Commentaire Car"/>
    <w:qFormat/>
    <w:rPr>
      <w:rFonts w:ascii="Times" w:hAnsi="Times" w:cs="Times"/>
      <w:lang w:val="fr-CA"/>
    </w:rPr>
  </w:style>
  <w:style w:type="character" w:customStyle="1" w:styleId="ObjetducommentaireCar">
    <w:name w:val="Objet du commentaire Car"/>
    <w:qFormat/>
    <w:rPr>
      <w:rFonts w:ascii="Times" w:hAnsi="Times" w:cs="Times"/>
      <w:b/>
      <w:bCs/>
      <w:lang w:val="fr-CA"/>
    </w:rPr>
  </w:style>
  <w:style w:type="character" w:styleId="lev">
    <w:name w:val="Strong"/>
    <w:qFormat/>
    <w:rPr>
      <w:b/>
      <w:bCs/>
    </w:rPr>
  </w:style>
  <w:style w:type="character" w:customStyle="1" w:styleId="IndexLink">
    <w:name w:val="Index Link"/>
    <w:qFormat/>
  </w:style>
  <w:style w:type="paragraph" w:customStyle="1" w:styleId="Heading">
    <w:name w:val="Heading"/>
    <w:basedOn w:val="Normal"/>
    <w:next w:val="Sous-titre"/>
    <w:qFormat/>
    <w:pPr>
      <w:keepNext/>
      <w:keepLines/>
      <w:pBdr>
        <w:bottom w:val="single" w:sz="6" w:space="16" w:color="000000"/>
      </w:pBdr>
      <w:spacing w:before="220" w:after="60" w:line="320" w:lineRule="atLeast"/>
      <w:ind w:left="0"/>
      <w:jc w:val="left"/>
      <w:outlineLvl w:val="9"/>
    </w:pPr>
    <w:rPr>
      <w:rFonts w:ascii="Arial Black" w:hAnsi="Arial Black" w:cs="Times New Roman"/>
      <w:spacing w:val="-30"/>
      <w:kern w:val="2"/>
      <w:sz w:val="40"/>
      <w:szCs w:val="20"/>
    </w:rPr>
  </w:style>
  <w:style w:type="paragraph" w:styleId="Corpsdetexte">
    <w:name w:val="Body Text"/>
    <w:basedOn w:val="Normal"/>
    <w:pPr>
      <w:ind w:left="0"/>
      <w:jc w:val="left"/>
    </w:pPr>
    <w:rPr>
      <w:b/>
      <w:bCs/>
    </w:rPr>
  </w:style>
  <w:style w:type="paragraph" w:styleId="Liste">
    <w:name w:val="List"/>
    <w:basedOn w:val="Normal"/>
    <w:pPr>
      <w:ind w:left="283" w:hanging="283"/>
    </w:pPr>
  </w:style>
  <w:style w:type="paragraph" w:styleId="Lgende">
    <w:name w:val="caption"/>
    <w:basedOn w:val="Normal"/>
    <w:next w:val="Normal"/>
    <w:qFormat/>
    <w:pPr>
      <w:spacing w:before="120" w:after="120"/>
    </w:pPr>
    <w:rPr>
      <w:b/>
      <w:bCs/>
    </w:rPr>
  </w:style>
  <w:style w:type="paragraph" w:customStyle="1" w:styleId="Index">
    <w:name w:val="Index"/>
    <w:basedOn w:val="Normal"/>
    <w:qFormat/>
    <w:pPr>
      <w:suppressLineNumbers/>
    </w:pPr>
    <w:rPr>
      <w:rFonts w:cs="FreeSans"/>
    </w:rPr>
  </w:style>
  <w:style w:type="paragraph" w:styleId="Retraitcorpsdetexte3">
    <w:name w:val="Body Text Indent 3"/>
    <w:basedOn w:val="Normal"/>
    <w:qFormat/>
    <w:pPr>
      <w:spacing w:line="240" w:lineRule="atLeast"/>
      <w:ind w:firstLine="23"/>
      <w:jc w:val="left"/>
    </w:pPr>
  </w:style>
  <w:style w:type="paragraph" w:styleId="TM3">
    <w:name w:val="toc 3"/>
    <w:basedOn w:val="Normal"/>
    <w:next w:val="Normal"/>
    <w:uiPriority w:val="39"/>
    <w:pPr>
      <w:tabs>
        <w:tab w:val="right" w:leader="dot" w:pos="8504"/>
      </w:tabs>
      <w:ind w:left="1860" w:right="850" w:hanging="760"/>
    </w:pPr>
  </w:style>
  <w:style w:type="paragraph" w:styleId="TM2">
    <w:name w:val="toc 2"/>
    <w:basedOn w:val="Normal"/>
    <w:next w:val="Normal"/>
    <w:uiPriority w:val="39"/>
    <w:pPr>
      <w:tabs>
        <w:tab w:val="right" w:leader="dot" w:pos="8504"/>
      </w:tabs>
      <w:spacing w:line="360" w:lineRule="atLeast"/>
      <w:ind w:left="1100" w:right="850" w:hanging="600"/>
    </w:pPr>
  </w:style>
  <w:style w:type="paragraph" w:styleId="TM1">
    <w:name w:val="toc 1"/>
    <w:basedOn w:val="Normal"/>
    <w:next w:val="Normal"/>
    <w:uiPriority w:val="39"/>
    <w:pPr>
      <w:tabs>
        <w:tab w:val="right" w:leader="dot" w:pos="8504"/>
      </w:tabs>
      <w:spacing w:line="480" w:lineRule="atLeast"/>
      <w:ind w:left="520" w:right="850" w:hanging="520"/>
    </w:pPr>
  </w:style>
  <w:style w:type="paragraph" w:customStyle="1" w:styleId="HeaderandFooter">
    <w:name w:val="Header and Footer"/>
    <w:basedOn w:val="Normal"/>
    <w:qFormat/>
    <w:pPr>
      <w:suppressLineNumbers/>
      <w:tabs>
        <w:tab w:val="center" w:pos="4819"/>
        <w:tab w:val="right" w:pos="9638"/>
      </w:tabs>
    </w:pPr>
  </w:style>
  <w:style w:type="paragraph" w:styleId="Pieddepage">
    <w:name w:val="footer"/>
    <w:basedOn w:val="Normal"/>
    <w:pPr>
      <w:tabs>
        <w:tab w:val="center" w:pos="4252"/>
        <w:tab w:val="right" w:pos="8504"/>
      </w:tabs>
    </w:pPr>
  </w:style>
  <w:style w:type="paragraph" w:styleId="En-tte">
    <w:name w:val="header"/>
    <w:basedOn w:val="Normal"/>
    <w:pPr>
      <w:tabs>
        <w:tab w:val="center" w:pos="4320"/>
        <w:tab w:val="right" w:pos="8640"/>
      </w:tabs>
    </w:pPr>
  </w:style>
  <w:style w:type="paragraph" w:styleId="Notedebasdepage">
    <w:name w:val="footnote text"/>
    <w:basedOn w:val="Normal"/>
    <w:rPr>
      <w:sz w:val="20"/>
      <w:szCs w:val="20"/>
    </w:rPr>
  </w:style>
  <w:style w:type="paragraph" w:styleId="Retraitcorpsdetexte">
    <w:name w:val="Body Text Indent"/>
    <w:basedOn w:val="Normal"/>
    <w:pPr>
      <w:ind w:left="520"/>
    </w:pPr>
  </w:style>
  <w:style w:type="paragraph" w:styleId="Retraitcorpsdetexte2">
    <w:name w:val="Body Text Indent 2"/>
    <w:basedOn w:val="Normal"/>
    <w:qFormat/>
    <w:pPr>
      <w:ind w:left="992"/>
      <w:outlineLvl w:val="1"/>
    </w:pPr>
  </w:style>
  <w:style w:type="paragraph" w:styleId="Listepuces">
    <w:name w:val="List Bullet"/>
    <w:basedOn w:val="Normal"/>
    <w:qFormat/>
    <w:pPr>
      <w:ind w:left="0"/>
    </w:pPr>
  </w:style>
  <w:style w:type="paragraph" w:customStyle="1" w:styleId="Style1">
    <w:name w:val="Style1"/>
    <w:basedOn w:val="Titre3"/>
    <w:qFormat/>
    <w:pPr>
      <w:outlineLvl w:val="9"/>
    </w:pPr>
  </w:style>
  <w:style w:type="paragraph" w:customStyle="1" w:styleId="Style2">
    <w:name w:val="Style2"/>
    <w:basedOn w:val="Style1"/>
    <w:qFormat/>
    <w:pPr>
      <w:numPr>
        <w:numId w:val="3"/>
      </w:numPr>
    </w:pPr>
  </w:style>
  <w:style w:type="paragraph" w:styleId="Corpsdetexte2">
    <w:name w:val="Body Text 2"/>
    <w:basedOn w:val="Normal"/>
    <w:qFormat/>
    <w:pPr>
      <w:ind w:left="0"/>
    </w:pPr>
    <w:rPr>
      <w:rFonts w:ascii="Helvetica" w:hAnsi="Helvetica" w:cs="Helvetica"/>
      <w:sz w:val="18"/>
      <w:szCs w:val="18"/>
    </w:rPr>
  </w:style>
  <w:style w:type="paragraph" w:styleId="Corpsdetexte3">
    <w:name w:val="Body Text 3"/>
    <w:basedOn w:val="Normal"/>
    <w:qFormat/>
    <w:pPr>
      <w:spacing w:line="360" w:lineRule="auto"/>
      <w:ind w:left="0" w:right="1190"/>
    </w:pPr>
    <w:rPr>
      <w:i/>
      <w:iCs/>
    </w:rPr>
  </w:style>
  <w:style w:type="paragraph" w:styleId="TM4">
    <w:name w:val="toc 4"/>
    <w:basedOn w:val="Normal"/>
    <w:next w:val="Normal"/>
    <w:uiPriority w:val="39"/>
    <w:pPr>
      <w:ind w:left="660"/>
    </w:pPr>
  </w:style>
  <w:style w:type="paragraph" w:styleId="TM5">
    <w:name w:val="toc 5"/>
    <w:basedOn w:val="Normal"/>
    <w:next w:val="Normal"/>
    <w:uiPriority w:val="39"/>
    <w:pPr>
      <w:ind w:left="880"/>
    </w:pPr>
  </w:style>
  <w:style w:type="paragraph" w:styleId="TM6">
    <w:name w:val="toc 6"/>
    <w:basedOn w:val="Normal"/>
    <w:next w:val="Normal"/>
    <w:uiPriority w:val="39"/>
    <w:pPr>
      <w:ind w:left="1100"/>
    </w:pPr>
  </w:style>
  <w:style w:type="paragraph" w:styleId="TM7">
    <w:name w:val="toc 7"/>
    <w:basedOn w:val="Normal"/>
    <w:next w:val="Normal"/>
    <w:uiPriority w:val="39"/>
    <w:pPr>
      <w:ind w:left="1320"/>
    </w:pPr>
  </w:style>
  <w:style w:type="paragraph" w:styleId="TM8">
    <w:name w:val="toc 8"/>
    <w:basedOn w:val="Normal"/>
    <w:next w:val="Normal"/>
    <w:uiPriority w:val="39"/>
    <w:pPr>
      <w:ind w:left="1540"/>
    </w:pPr>
  </w:style>
  <w:style w:type="paragraph" w:styleId="TM9">
    <w:name w:val="toc 9"/>
    <w:basedOn w:val="Normal"/>
    <w:next w:val="Normal"/>
    <w:uiPriority w:val="39"/>
    <w:pPr>
      <w:ind w:left="1760"/>
    </w:pPr>
  </w:style>
  <w:style w:type="paragraph" w:styleId="Normalcentr">
    <w:name w:val="Block Text"/>
    <w:basedOn w:val="Normal"/>
    <w:qFormat/>
    <w:pPr>
      <w:tabs>
        <w:tab w:val="right" w:leader="dot" w:pos="8504"/>
      </w:tabs>
      <w:ind w:left="1418" w:right="900" w:hanging="1418"/>
    </w:pPr>
  </w:style>
  <w:style w:type="paragraph" w:styleId="Notedefin">
    <w:name w:val="endnote text"/>
    <w:basedOn w:val="Normal"/>
    <w:rPr>
      <w:sz w:val="20"/>
      <w:szCs w:val="20"/>
    </w:rPr>
  </w:style>
  <w:style w:type="paragraph" w:styleId="Liste2">
    <w:name w:val="List 2"/>
    <w:basedOn w:val="Normal"/>
    <w:qFormat/>
    <w:pPr>
      <w:ind w:left="566" w:hanging="283"/>
    </w:pPr>
  </w:style>
  <w:style w:type="paragraph" w:styleId="Listepuces2">
    <w:name w:val="List Bullet 2"/>
    <w:basedOn w:val="Normal"/>
    <w:qFormat/>
    <w:pPr>
      <w:numPr>
        <w:numId w:val="2"/>
      </w:numPr>
    </w:pPr>
  </w:style>
  <w:style w:type="paragraph" w:styleId="Listecontinue2">
    <w:name w:val="List Continue 2"/>
    <w:basedOn w:val="Normal"/>
    <w:qFormat/>
    <w:pPr>
      <w:spacing w:after="120"/>
      <w:ind w:left="566"/>
    </w:pPr>
  </w:style>
  <w:style w:type="paragraph" w:customStyle="1" w:styleId="Adressedest">
    <w:name w:val="Adresse dest."/>
    <w:basedOn w:val="Normal"/>
    <w:qFormat/>
  </w:style>
  <w:style w:type="paragraph" w:customStyle="1" w:styleId="lattention">
    <w:name w:val="À l'attention"/>
    <w:basedOn w:val="Corpsdetexte"/>
    <w:qFormat/>
  </w:style>
  <w:style w:type="paragraph" w:styleId="NormalWeb">
    <w:name w:val="Normal (Web)"/>
    <w:basedOn w:val="Normal"/>
    <w:qFormat/>
    <w:pPr>
      <w:spacing w:before="100" w:after="100"/>
      <w:ind w:left="0"/>
      <w:jc w:val="left"/>
      <w:outlineLvl w:val="9"/>
    </w:pPr>
    <w:rPr>
      <w:rFonts w:ascii="Times New Roman" w:hAnsi="Times New Roman" w:cs="Times New Roman"/>
      <w:sz w:val="24"/>
      <w:szCs w:val="24"/>
      <w:lang w:val="fr-FR"/>
    </w:rPr>
  </w:style>
  <w:style w:type="paragraph" w:customStyle="1" w:styleId="Enttedetableau">
    <w:name w:val="Entête de tableau"/>
    <w:basedOn w:val="Normal"/>
    <w:qFormat/>
    <w:pPr>
      <w:spacing w:before="60"/>
      <w:ind w:left="0"/>
      <w:jc w:val="center"/>
      <w:outlineLvl w:val="9"/>
    </w:pPr>
    <w:rPr>
      <w:rFonts w:ascii="Arial Black" w:hAnsi="Arial Black" w:cs="Times New Roman"/>
      <w:spacing w:val="-5"/>
      <w:sz w:val="16"/>
      <w:szCs w:val="20"/>
    </w:rPr>
  </w:style>
  <w:style w:type="paragraph" w:styleId="Sous-titre">
    <w:name w:val="Subtitle"/>
    <w:basedOn w:val="Heading"/>
    <w:next w:val="Corpsdetexte"/>
    <w:uiPriority w:val="11"/>
    <w:qFormat/>
    <w:pPr>
      <w:spacing w:before="60" w:after="120" w:line="340" w:lineRule="atLeast"/>
    </w:pPr>
    <w:rPr>
      <w:rFonts w:ascii="Arial" w:hAnsi="Arial" w:cs="Arial"/>
      <w:b/>
      <w:i/>
      <w:spacing w:val="-16"/>
      <w:sz w:val="32"/>
    </w:rPr>
  </w:style>
  <w:style w:type="paragraph" w:customStyle="1" w:styleId="Textedetableau">
    <w:name w:val="Texte de tableau"/>
    <w:basedOn w:val="Normal"/>
    <w:qFormat/>
    <w:pPr>
      <w:spacing w:before="60"/>
      <w:ind w:left="0"/>
      <w:jc w:val="left"/>
      <w:outlineLvl w:val="9"/>
    </w:pPr>
    <w:rPr>
      <w:rFonts w:ascii="Arial" w:hAnsi="Arial" w:cs="Times New Roman"/>
      <w:spacing w:val="-5"/>
      <w:sz w:val="16"/>
      <w:szCs w:val="20"/>
    </w:rPr>
  </w:style>
  <w:style w:type="paragraph" w:styleId="Paragraphedeliste">
    <w:name w:val="List Paragraph"/>
    <w:basedOn w:val="Normal"/>
    <w:qFormat/>
    <w:pPr>
      <w:spacing w:after="200" w:line="276" w:lineRule="auto"/>
      <w:ind w:left="720"/>
      <w:contextualSpacing/>
      <w:jc w:val="left"/>
      <w:outlineLvl w:val="9"/>
    </w:pPr>
    <w:rPr>
      <w:rFonts w:ascii="Cambria" w:eastAsia="Calibri" w:hAnsi="Cambria" w:cs="Times New Roman"/>
      <w:lang w:val="en-US" w:bidi="en-US"/>
    </w:rPr>
  </w:style>
  <w:style w:type="paragraph" w:customStyle="1" w:styleId="desc">
    <w:name w:val="desc"/>
    <w:basedOn w:val="Normal"/>
    <w:qFormat/>
    <w:pPr>
      <w:spacing w:before="100" w:after="100"/>
      <w:ind w:left="0"/>
      <w:jc w:val="left"/>
      <w:outlineLvl w:val="9"/>
    </w:pPr>
    <w:rPr>
      <w:rFonts w:ascii="Times New Roman" w:eastAsia="Calibri" w:hAnsi="Times New Roman" w:cs="Times New Roman"/>
      <w:sz w:val="24"/>
      <w:szCs w:val="24"/>
    </w:rPr>
  </w:style>
  <w:style w:type="paragraph" w:styleId="Textedebulles">
    <w:name w:val="Balloon Text"/>
    <w:basedOn w:val="Normal"/>
    <w:qFormat/>
    <w:rPr>
      <w:rFonts w:ascii="Tahoma" w:hAnsi="Tahoma" w:cs="Times New Roman"/>
      <w:sz w:val="16"/>
      <w:szCs w:val="16"/>
      <w:lang w:val="en-US"/>
    </w:rPr>
  </w:style>
  <w:style w:type="paragraph" w:styleId="Commentaire">
    <w:name w:val="annotation text"/>
    <w:basedOn w:val="Normal"/>
    <w:qFormat/>
    <w:rPr>
      <w:sz w:val="20"/>
      <w:szCs w:val="20"/>
    </w:rPr>
  </w:style>
  <w:style w:type="paragraph" w:styleId="Objetducommentaire">
    <w:name w:val="annotation subject"/>
    <w:basedOn w:val="Commentaire"/>
    <w:next w:val="Commentaire"/>
    <w:qFormat/>
    <w:rPr>
      <w:b/>
      <w:bCs/>
    </w:rPr>
  </w:style>
  <w:style w:type="paragraph" w:styleId="Rvision">
    <w:name w:val="Revision"/>
    <w:qFormat/>
    <w:pPr>
      <w:suppressAutoHyphens/>
    </w:pPr>
    <w:rPr>
      <w:rFonts w:ascii="Times" w:eastAsia="MS Mincho" w:hAnsi="Times" w:cs="Times"/>
      <w:sz w:val="22"/>
      <w:szCs w:val="22"/>
      <w:lang w:val="fr-CA" w:eastAsia="zh-CN"/>
    </w:rPr>
  </w:style>
  <w:style w:type="paragraph" w:styleId="En-ttedetabledesmatires">
    <w:name w:val="TOC Heading"/>
    <w:basedOn w:val="Titre1"/>
    <w:next w:val="Normal"/>
    <w:uiPriority w:val="39"/>
    <w:qFormat/>
    <w:pPr>
      <w:keepLines/>
      <w:numPr>
        <w:numId w:val="0"/>
      </w:numPr>
      <w:spacing w:after="0" w:line="256" w:lineRule="auto"/>
      <w:jc w:val="left"/>
      <w:outlineLvl w:val="9"/>
    </w:pPr>
    <w:rPr>
      <w:rFonts w:ascii="Aptos Display" w:eastAsia="Times New Roman" w:hAnsi="Aptos Display" w:cs="Times New Roman"/>
      <w:b w:val="0"/>
      <w:bCs w:val="0"/>
      <w:color w:val="0F4761"/>
      <w:kern w:val="0"/>
      <w:sz w:val="32"/>
      <w:szCs w:val="32"/>
      <w:lang w:val="fr-FR"/>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character" w:customStyle="1" w:styleId="Titre2Car">
    <w:name w:val="Titre 2 Car"/>
    <w:link w:val="Titre2"/>
    <w:uiPriority w:val="9"/>
    <w:rsid w:val="00927E59"/>
    <w:rPr>
      <w:rFonts w:ascii="Times" w:eastAsia="MS Mincho" w:hAnsi="Times" w:cs="Times"/>
      <w:b/>
      <w:bCs/>
      <w:sz w:val="22"/>
      <w:szCs w:val="22"/>
      <w:lang w:val="fr-CA"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16/j.ijcip.2024.100721" TargetMode="External"/><Relationship Id="rId21" Type="http://schemas.openxmlformats.org/officeDocument/2006/relationships/hyperlink" Target="https://doi.org/10.1016/j.anucene.2024.110491" TargetMode="External"/><Relationship Id="rId42" Type="http://schemas.openxmlformats.org/officeDocument/2006/relationships/hyperlink" Target="https://www.cnsc-ccsn.gc.ca/fra/acts-and-regulations/regulatory-documents/published/html/regdoc2-5-2-v2-1/" TargetMode="External"/><Relationship Id="rId47" Type="http://schemas.openxmlformats.org/officeDocument/2006/relationships/hyperlink" Target="https://www.asme.org/codes-standards/find-codes-standards/standard-for-verification-and-validation-in-computational-fluid-dynamics-and-heat-transfer" TargetMode="External"/><Relationship Id="rId63" Type="http://schemas.openxmlformats.org/officeDocument/2006/relationships/hyperlink" Target="https://www.iso.org/fr/standard/78743.html" TargetMode="External"/><Relationship Id="rId68" Type="http://schemas.openxmlformats.org/officeDocument/2006/relationships/hyperlink" Target="https://www.uqac.ca/registraire/wp-content/uploads/2026/02/AUTOMNE-2026.pdf"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github.com/casella/ThermoPower" TargetMode="External"/><Relationship Id="rId11" Type="http://schemas.openxmlformats.org/officeDocument/2006/relationships/image" Target="media/image1.jpeg"/><Relationship Id="rId24" Type="http://schemas.openxmlformats.org/officeDocument/2006/relationships/hyperlink" Target="https://doi.org/10.1016/j.pnucene.2024.105177" TargetMode="External"/><Relationship Id="rId32" Type="http://schemas.openxmlformats.org/officeDocument/2006/relationships/hyperlink" Target="https://patents.google.com/patent/CN118228587A/en" TargetMode="External"/><Relationship Id="rId37" Type="http://schemas.openxmlformats.org/officeDocument/2006/relationships/hyperlink" Target="https://www.oiq.qc.ca/lordre/politiques-lois-et-reglements/lois-et-reglements-entourant-la-pratique-du-genie/" TargetMode="External"/><Relationship Id="rId40" Type="http://schemas.openxmlformats.org/officeDocument/2006/relationships/hyperlink" Target="https://laws-lois.justice.gc.ca/fra/reglements/DORS-2000-204/index.html" TargetMode="External"/><Relationship Id="rId45" Type="http://schemas.openxmlformats.org/officeDocument/2006/relationships/hyperlink" Target="https://www.iso.org/fr/standard/78176.html" TargetMode="External"/><Relationship Id="rId53" Type="http://schemas.openxmlformats.org/officeDocument/2006/relationships/hyperlink" Target="https://webstore.iec.ch/en/publication/76309" TargetMode="External"/><Relationship Id="rId58" Type="http://schemas.openxmlformats.org/officeDocument/2006/relationships/hyperlink" Target="http://gpp.oiq.qc.ca/Methodes_d_identification_des_dangers_et_d_analyse_des_risques.htm" TargetMode="External"/><Relationship Id="rId66" Type="http://schemas.openxmlformats.org/officeDocument/2006/relationships/hyperlink" Target="https://www.canada.ca/fr/commission-surete-nucleaire/nouvelles/2016/06/la-ccsn-delivre-un-permis-de-declassement-pour-l-installation-de-gentilly-2.html" TargetMode="External"/><Relationship Id="rId5" Type="http://schemas.openxmlformats.org/officeDocument/2006/relationships/numbering" Target="numbering.xml"/><Relationship Id="rId61" Type="http://schemas.openxmlformats.org/officeDocument/2006/relationships/hyperlink" Target="https://web.aacei.org/docs/default-source/toc/toc_18r-97.pdf" TargetMode="External"/><Relationship Id="rId19" Type="http://schemas.openxmlformats.org/officeDocument/2006/relationships/hyperlink" Target="https://www.cnsc-ccsn.gc.ca/fra/acts-and-regulations/regulatory-documents/published/html/regdoc2-1-1/" TargetMode="External"/><Relationship Id="rId14" Type="http://schemas.openxmlformats.org/officeDocument/2006/relationships/image" Target="media/image4.png"/><Relationship Id="rId22" Type="http://schemas.openxmlformats.org/officeDocument/2006/relationships/hyperlink" Target="https://doi.org/10.1016/j.apenergy.2025.126922" TargetMode="External"/><Relationship Id="rId27" Type="http://schemas.openxmlformats.org/officeDocument/2006/relationships/hyperlink" Target="https://www.ansys.com/en-gb/products/digital-twin/ansys-twin-builder" TargetMode="External"/><Relationship Id="rId30" Type="http://schemas.openxmlformats.org/officeDocument/2006/relationships/hyperlink" Target="https://www.nrc.gov/about-nrc/regulatory/research/safetycodes" TargetMode="External"/><Relationship Id="rId35" Type="http://schemas.openxmlformats.org/officeDocument/2006/relationships/hyperlink" Target="https://patents.google.com/patent/US12093818B2/en" TargetMode="External"/><Relationship Id="rId43" Type="http://schemas.openxmlformats.org/officeDocument/2006/relationships/hyperlink" Target="https://www.iso.org/fr/standard/81702.html" TargetMode="External"/><Relationship Id="rId48" Type="http://schemas.openxmlformats.org/officeDocument/2006/relationships/hyperlink" Target="https://standards.ieee.org/ieee/1012/7324" TargetMode="External"/><Relationship Id="rId56" Type="http://schemas.openxmlformats.org/officeDocument/2006/relationships/hyperlink" Target="https://www.iso.org/fr/standard/82875.html" TargetMode="External"/><Relationship Id="rId64" Type="http://schemas.openxmlformats.org/officeDocument/2006/relationships/hyperlink" Target="https://www-pub.iaea.org/MTCD/Publications/PDF/Pub1495_web.pdf" TargetMode="External"/><Relationship Id="rId69"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webstore.iec.ch/en/publication/32900"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yperlink" Target="https://doi.org/10.3390/s25164963" TargetMode="External"/><Relationship Id="rId33" Type="http://schemas.openxmlformats.org/officeDocument/2006/relationships/hyperlink" Target="https://patents.google.com/patent/CN118779601A/en" TargetMode="External"/><Relationship Id="rId38" Type="http://schemas.openxmlformats.org/officeDocument/2006/relationships/hyperlink" Target="https://laws-lois.justice.gc.ca/fra/lois/N-28.3/index.html" TargetMode="External"/><Relationship Id="rId46" Type="http://schemas.openxmlformats.org/officeDocument/2006/relationships/hyperlink" Target="https://www.iso.org/fr/standard/65694.html" TargetMode="External"/><Relationship Id="rId59" Type="http://schemas.openxmlformats.org/officeDocument/2006/relationships/hyperlink" Target="https://www.legisquebec.gouv.qc.ca/fr/document/rc/I-9,%20r.%206%20/" TargetMode="External"/><Relationship Id="rId67" Type="http://schemas.openxmlformats.org/officeDocument/2006/relationships/hyperlink" Target="https://afg.quebec/documentation/publications" TargetMode="External"/><Relationship Id="rId20" Type="http://schemas.openxmlformats.org/officeDocument/2006/relationships/hyperlink" Target="https://www.iso.org/fr/standard/90219.html" TargetMode="External"/><Relationship Id="rId41" Type="http://schemas.openxmlformats.org/officeDocument/2006/relationships/hyperlink" Target="https://www.csagroup.org/store/product/2428461/" TargetMode="External"/><Relationship Id="rId54" Type="http://schemas.openxmlformats.org/officeDocument/2006/relationships/hyperlink" Target="https://webstore.iec.ch/en/publication/3795" TargetMode="External"/><Relationship Id="rId62" Type="http://schemas.openxmlformats.org/officeDocument/2006/relationships/hyperlink" Target="https://webstore.iec.ch/publication/61109" TargetMode="External"/><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doi.org/10.1016/j.jmsy.2021.02.010" TargetMode="External"/><Relationship Id="rId28" Type="http://schemas.openxmlformats.org/officeDocument/2006/relationships/hyperlink" Target="https://www.siemens.com/en-us/products/simcenter/systems-simulation/amesim/" TargetMode="External"/><Relationship Id="rId36" Type="http://schemas.openxmlformats.org/officeDocument/2006/relationships/hyperlink" Target="https://www.legisquebec.gouv.qc.ca/fr/document/lc/I-9" TargetMode="External"/><Relationship Id="rId49" Type="http://schemas.openxmlformats.org/officeDocument/2006/relationships/hyperlink" Target="https://www.iso.org/fr/standard/77520.html" TargetMode="External"/><Relationship Id="rId57" Type="http://schemas.openxmlformats.org/officeDocument/2006/relationships/hyperlink" Target="https://www.iso.org/fr/standard/80585.html" TargetMode="External"/><Relationship Id="rId10" Type="http://schemas.openxmlformats.org/officeDocument/2006/relationships/endnotes" Target="endnotes.xml"/><Relationship Id="rId31" Type="http://schemas.openxmlformats.org/officeDocument/2006/relationships/hyperlink" Target="https://patents.google.com/patent/CN118709527B/en" TargetMode="External"/><Relationship Id="rId44" Type="http://schemas.openxmlformats.org/officeDocument/2006/relationships/hyperlink" Target="https://www.iso.org/fr/standard/75066.html" TargetMode="External"/><Relationship Id="rId52" Type="http://schemas.openxmlformats.org/officeDocument/2006/relationships/hyperlink" Target="https://webstore.iec.ch/en/publication/26131" TargetMode="External"/><Relationship Id="rId60" Type="http://schemas.openxmlformats.org/officeDocument/2006/relationships/hyperlink" Target="https://www.un.org/sustainabledevelopment/fr/objectifs-de-developpement-durable/" TargetMode="External"/><Relationship Id="rId65" Type="http://schemas.openxmlformats.org/officeDocument/2006/relationships/hyperlink" Target="https://www-pub.iaea.org/MTCD/Publications/PDF/TRS384_scr.pdf"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www.iso.org/fr/standard/72089.html" TargetMode="External"/><Relationship Id="rId39" Type="http://schemas.openxmlformats.org/officeDocument/2006/relationships/hyperlink" Target="https://laws-lois.justice.gc.ca/fra/reglements/DORS-2000-202/index.html" TargetMode="External"/><Relationship Id="rId34" Type="http://schemas.openxmlformats.org/officeDocument/2006/relationships/hyperlink" Target="https://patents.google.com/patent/CN118068765A/en" TargetMode="External"/><Relationship Id="rId50" Type="http://schemas.openxmlformats.org/officeDocument/2006/relationships/hyperlink" Target="https://webstore.iec.ch/en/publication/32904" TargetMode="External"/><Relationship Id="rId55" Type="http://schemas.openxmlformats.org/officeDocument/2006/relationships/hyperlink" Target="https://webstore.iec.ch/en/publication/30172"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CADAF5620CD54AA5F65188030E7CD3" ma:contentTypeVersion="3" ma:contentTypeDescription="Crée un document." ma:contentTypeScope="" ma:versionID="58294c6d4a74a5a8f505087f6adebe93">
  <xsd:schema xmlns:xsd="http://www.w3.org/2001/XMLSchema" xmlns:xs="http://www.w3.org/2001/XMLSchema" xmlns:p="http://schemas.microsoft.com/office/2006/metadata/properties" xmlns:ns2="cca4720d-7861-448a-906e-9eecdd53594f" targetNamespace="http://schemas.microsoft.com/office/2006/metadata/properties" ma:root="true" ma:fieldsID="83fcd88ce5d98e92350d7fdd1631802f" ns2:_="">
    <xsd:import namespace="cca4720d-7861-448a-906e-9eecdd53594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a4720d-7861-448a-906e-9eecdd5359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1A051-324B-48A8-884D-EB851ED9DA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a4720d-7861-448a-906e-9eecdd5359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16BBB1-BC8A-42BC-B73B-FD6A3B525F14}">
  <ds:schemaRefs>
    <ds:schemaRef ds:uri="http://schemas.microsoft.com/sharepoint/v3/contenttype/forms"/>
  </ds:schemaRefs>
</ds:datastoreItem>
</file>

<file path=customXml/itemProps3.xml><?xml version="1.0" encoding="utf-8"?>
<ds:datastoreItem xmlns:ds="http://schemas.openxmlformats.org/officeDocument/2006/customXml" ds:itemID="{056760C4-E648-448F-8CEE-670A281FDE3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6CCB4AD-D83F-4CBB-B16E-59EC1CFA3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62</Pages>
  <Words>23296</Words>
  <Characters>128131</Characters>
  <Application>Microsoft Office Word</Application>
  <DocSecurity>0</DocSecurity>
  <Lines>1067</Lines>
  <Paragraphs>302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 Sawadogo</dc:creator>
  <cp:lastModifiedBy>Christian Sawadogo</cp:lastModifiedBy>
  <cp:revision>2</cp:revision>
  <dcterms:created xsi:type="dcterms:W3CDTF">2026-09-30T18:39:00Z</dcterms:created>
  <dcterms:modified xsi:type="dcterms:W3CDTF">2026-09-30T18:39:00Z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2016-09-26T21:09:00Z</dcterms:created>
  <dc:creator>Service informatique LAB 3-519</dc:creator>
  <dc:description/>
  <cp:keywords/>
  <dc:language>en-US</dc:language>
  <cp:lastModifiedBy>Christian Sawadogo</cp:lastModifiedBy>
  <cp:lastPrinted>2016-09-26T17:09:00Z</cp:lastPrinted>
  <dcterms:modified xsi:type="dcterms:W3CDTF">2026-09-20T16:31:00Z</dcterms:modified>
  <cp:revision>36</cp:revision>
  <dc:subject/>
  <dc:title>Plan de cours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0x010100A2CADAF5620CD54AA5F65188030E7CD3</vt:lpwstr>
  </property>
</Properties>
</file>