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EC77" w14:textId="77777777" w:rsidR="00F50D70" w:rsidRPr="00BE4F47" w:rsidRDefault="002A1CE1" w:rsidP="008E113B">
      <w:pPr>
        <w:keepNext/>
        <w:spacing w:line="360" w:lineRule="auto"/>
        <w:ind w:left="0"/>
        <w:outlineLvl w:val="9"/>
        <w:rPr>
          <w:rFonts w:ascii="Aptos" w:hAnsi="Aptos" w:cs="Arial"/>
          <w:b/>
          <w:sz w:val="40"/>
        </w:rPr>
      </w:pPr>
      <w:r>
        <w:rPr>
          <w:rFonts w:ascii="Aptos" w:hAnsi="Aptos"/>
          <w:noProof/>
        </w:rPr>
        <w:drawing>
          <wp:inline distT="0" distB="0" distL="0" distR="0" wp14:anchorId="29CEB848" wp14:editId="28EA24B1">
            <wp:extent cx="2225040" cy="133350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1">
                      <a:extLst>
                        <a:ext uri="{28A0092B-C50C-407E-A947-70E740481C1C}">
                          <a14:useLocalDpi xmlns:a14="http://schemas.microsoft.com/office/drawing/2010/main" val="0"/>
                        </a:ext>
                      </a:extLst>
                    </a:blip>
                    <a:srcRect l="-11" t="-18" r="-11" b="-18"/>
                    <a:stretch>
                      <a:fillRect/>
                    </a:stretch>
                  </pic:blipFill>
                  <pic:spPr bwMode="auto">
                    <a:xfrm>
                      <a:off x="0" y="0"/>
                      <a:ext cx="2225040" cy="1333500"/>
                    </a:xfrm>
                    <a:prstGeom prst="rect">
                      <a:avLst/>
                    </a:prstGeom>
                    <a:noFill/>
                    <a:ln>
                      <a:noFill/>
                    </a:ln>
                  </pic:spPr>
                </pic:pic>
              </a:graphicData>
            </a:graphic>
          </wp:inline>
        </w:drawing>
      </w:r>
      <w:r w:rsidR="00273A91" w:rsidRPr="00BE4F47">
        <w:rPr>
          <w:rFonts w:ascii="Aptos" w:eastAsia="Times" w:hAnsi="Aptos"/>
          <w:b/>
          <w:sz w:val="40"/>
        </w:rPr>
        <w:t xml:space="preserve"> </w:t>
      </w:r>
    </w:p>
    <w:p w14:paraId="720C4C7F" w14:textId="77777777" w:rsidR="00F50D70" w:rsidRPr="00BE4F47" w:rsidRDefault="00F50D70" w:rsidP="008E113B">
      <w:pPr>
        <w:spacing w:line="360" w:lineRule="auto"/>
        <w:ind w:left="0"/>
        <w:outlineLvl w:val="9"/>
        <w:rPr>
          <w:rFonts w:ascii="Aptos" w:hAnsi="Aptos" w:cs="Arial"/>
          <w:b/>
          <w:sz w:val="40"/>
        </w:rPr>
      </w:pPr>
    </w:p>
    <w:p w14:paraId="5CDF97F9" w14:textId="77777777" w:rsidR="00F50D70" w:rsidRPr="00BE4F47" w:rsidRDefault="00137D7F" w:rsidP="008E113B">
      <w:pPr>
        <w:pBdr>
          <w:bottom w:val="single" w:sz="6" w:space="1" w:color="000000"/>
        </w:pBdr>
        <w:spacing w:line="360" w:lineRule="auto"/>
        <w:ind w:left="0" w:right="-77"/>
        <w:jc w:val="right"/>
        <w:outlineLvl w:val="9"/>
        <w:rPr>
          <w:rFonts w:ascii="Aptos" w:hAnsi="Aptos" w:cs="Arial"/>
          <w:b/>
          <w:sz w:val="24"/>
          <w:szCs w:val="24"/>
        </w:rPr>
      </w:pPr>
      <w:r w:rsidRPr="00BE4F47">
        <w:rPr>
          <w:rFonts w:ascii="Aptos" w:eastAsia="Calibri" w:hAnsi="Aptos" w:cs="Calibri"/>
          <w:b/>
          <w:color w:val="1A1A19"/>
          <w:sz w:val="20"/>
          <w:szCs w:val="20"/>
        </w:rPr>
        <w:t>MODULE D’INGÉNIERIE</w:t>
      </w:r>
    </w:p>
    <w:p w14:paraId="08D624C5" w14:textId="77777777" w:rsidR="00F50D70" w:rsidRPr="00BE4F47" w:rsidRDefault="00137D7F" w:rsidP="008E113B">
      <w:pPr>
        <w:pBdr>
          <w:bottom w:val="single" w:sz="6" w:space="1" w:color="000000"/>
        </w:pBdr>
        <w:spacing w:line="360" w:lineRule="auto"/>
        <w:ind w:left="0" w:right="-77"/>
        <w:jc w:val="right"/>
        <w:outlineLvl w:val="9"/>
        <w:rPr>
          <w:rFonts w:ascii="Aptos" w:hAnsi="Aptos" w:cs="Arial"/>
          <w:b/>
          <w:sz w:val="24"/>
          <w:szCs w:val="24"/>
        </w:rPr>
      </w:pPr>
      <w:r w:rsidRPr="00BE4F47">
        <w:rPr>
          <w:rFonts w:ascii="Aptos" w:eastAsia="Calibri" w:hAnsi="Aptos" w:cs="Calibri"/>
          <w:b/>
          <w:color w:val="1A1A19"/>
          <w:sz w:val="20"/>
          <w:szCs w:val="20"/>
        </w:rPr>
        <w:t>GÉNIE INFORMATIQUE</w:t>
      </w:r>
    </w:p>
    <w:p w14:paraId="1A4D4FF8" w14:textId="3E52B72C" w:rsidR="00F50D70" w:rsidRPr="00BE4F47" w:rsidRDefault="00137D7F" w:rsidP="008E113B">
      <w:pPr>
        <w:pBdr>
          <w:bottom w:val="single" w:sz="6" w:space="1" w:color="000000"/>
        </w:pBdr>
        <w:spacing w:line="360" w:lineRule="auto"/>
        <w:ind w:left="0" w:right="-77"/>
        <w:jc w:val="right"/>
        <w:outlineLvl w:val="9"/>
        <w:rPr>
          <w:rFonts w:ascii="Aptos" w:hAnsi="Aptos" w:cs="Arial"/>
        </w:rPr>
      </w:pPr>
      <w:r w:rsidRPr="00BE4F47">
        <w:rPr>
          <w:rFonts w:ascii="Aptos" w:eastAsia="Calibri" w:hAnsi="Aptos" w:cs="Calibri"/>
          <w:b/>
          <w:color w:val="1A1A19"/>
          <w:sz w:val="20"/>
          <w:szCs w:val="20"/>
        </w:rPr>
        <w:t>6GEN</w:t>
      </w:r>
      <w:r w:rsidR="00F355AE" w:rsidRPr="00BE4F47">
        <w:rPr>
          <w:rFonts w:ascii="Aptos" w:eastAsia="Calibri" w:hAnsi="Aptos" w:cs="Calibri"/>
          <w:b/>
          <w:color w:val="1A1A19"/>
          <w:sz w:val="20"/>
          <w:szCs w:val="20"/>
        </w:rPr>
        <w:t xml:space="preserve">135 </w:t>
      </w:r>
      <w:r w:rsidR="002F3B50" w:rsidRPr="00BE4F47">
        <w:rPr>
          <w:rFonts w:ascii="Aptos" w:eastAsia="Calibri" w:hAnsi="Aptos" w:cs="Calibri"/>
          <w:b/>
          <w:color w:val="1A1A19"/>
          <w:sz w:val="20"/>
          <w:szCs w:val="20"/>
        </w:rPr>
        <w:t>· INGÉNIERIE</w:t>
      </w:r>
      <w:r w:rsidRPr="00BE4F47">
        <w:rPr>
          <w:rFonts w:ascii="Aptos" w:eastAsia="Calibri" w:hAnsi="Aptos" w:cs="Calibri"/>
          <w:b/>
          <w:color w:val="1A1A19"/>
          <w:sz w:val="20"/>
          <w:szCs w:val="20"/>
        </w:rPr>
        <w:t> : MÉTHODES ET PRATIQUE II</w:t>
      </w:r>
    </w:p>
    <w:p w14:paraId="23018BA0" w14:textId="77777777" w:rsidR="00F50D70" w:rsidRPr="00BE4F47" w:rsidRDefault="00F50D70" w:rsidP="008E113B">
      <w:pPr>
        <w:spacing w:line="360" w:lineRule="auto"/>
        <w:outlineLvl w:val="9"/>
        <w:rPr>
          <w:rFonts w:ascii="Aptos" w:hAnsi="Aptos" w:cs="Arial"/>
        </w:rPr>
      </w:pPr>
    </w:p>
    <w:p w14:paraId="0D564B40" w14:textId="77777777" w:rsidR="00F50D70" w:rsidRPr="00BE4F47" w:rsidRDefault="00137D7F" w:rsidP="008E113B">
      <w:pPr>
        <w:pStyle w:val="Heading"/>
        <w:pBdr>
          <w:bottom w:val="single" w:sz="4" w:space="24" w:color="000000"/>
        </w:pBdr>
        <w:spacing w:after="0" w:line="360" w:lineRule="auto"/>
        <w:jc w:val="right"/>
        <w:rPr>
          <w:rFonts w:ascii="Aptos" w:hAnsi="Aptos"/>
        </w:rPr>
      </w:pPr>
      <w:r w:rsidRPr="00BE4F47">
        <w:rPr>
          <w:rFonts w:ascii="Aptos" w:hAnsi="Aptos"/>
        </w:rPr>
        <w:t>Plan de projet</w:t>
      </w:r>
    </w:p>
    <w:p w14:paraId="42918CB9" w14:textId="77777777" w:rsidR="00F50D70" w:rsidRPr="00BE4F47" w:rsidRDefault="00F50D70" w:rsidP="008E113B">
      <w:pPr>
        <w:spacing w:line="360" w:lineRule="auto"/>
        <w:outlineLvl w:val="9"/>
        <w:rPr>
          <w:rFonts w:ascii="Aptos" w:hAnsi="Aptos"/>
        </w:rPr>
      </w:pPr>
    </w:p>
    <w:p w14:paraId="64D07111" w14:textId="77777777" w:rsidR="00F50D70" w:rsidRPr="00BE4F47" w:rsidRDefault="00F50D70" w:rsidP="008E113B">
      <w:pPr>
        <w:spacing w:line="360" w:lineRule="auto"/>
        <w:ind w:left="0"/>
        <w:outlineLvl w:val="9"/>
        <w:rPr>
          <w:rFonts w:ascii="Aptos" w:hAnsi="Aptos"/>
        </w:rPr>
      </w:pPr>
    </w:p>
    <w:p w14:paraId="2B8E8D8A" w14:textId="77777777" w:rsidR="00F50D70" w:rsidRPr="00BE4F47" w:rsidRDefault="00137D7F" w:rsidP="008E113B">
      <w:pPr>
        <w:pStyle w:val="Heading"/>
        <w:spacing w:after="0" w:line="360" w:lineRule="auto"/>
        <w:jc w:val="center"/>
        <w:rPr>
          <w:rFonts w:ascii="Aptos" w:hAnsi="Aptos" w:cs="Arial"/>
          <w:b/>
          <w:sz w:val="28"/>
          <w:szCs w:val="28"/>
        </w:rPr>
      </w:pPr>
      <w:r w:rsidRPr="00BE4F47">
        <w:rPr>
          <w:rFonts w:ascii="Aptos" w:hAnsi="Aptos" w:cs="Arial"/>
          <w:b/>
          <w:sz w:val="28"/>
          <w:szCs w:val="28"/>
        </w:rPr>
        <w:t>Projet :</w:t>
      </w:r>
    </w:p>
    <w:p w14:paraId="16D8C459" w14:textId="77777777" w:rsidR="00F50D70" w:rsidRPr="00BE4F47" w:rsidRDefault="00137D7F" w:rsidP="008E113B">
      <w:pPr>
        <w:pStyle w:val="Heading"/>
        <w:spacing w:after="0" w:line="360" w:lineRule="auto"/>
        <w:jc w:val="center"/>
        <w:rPr>
          <w:rFonts w:ascii="Aptos" w:hAnsi="Aptos" w:cs="Arial"/>
          <w:b/>
          <w:sz w:val="28"/>
          <w:szCs w:val="28"/>
        </w:rPr>
      </w:pPr>
      <w:r w:rsidRPr="00BE4F47">
        <w:rPr>
          <w:rFonts w:ascii="Aptos" w:hAnsi="Aptos" w:cs="Arial"/>
          <w:b/>
          <w:sz w:val="28"/>
          <w:szCs w:val="28"/>
        </w:rPr>
        <w:t>Jumeau numérique de surveillance d’une boucle thermohydraulique</w:t>
      </w:r>
    </w:p>
    <w:p w14:paraId="14F13C50" w14:textId="77777777" w:rsidR="00F50D70" w:rsidRPr="00BE4F47" w:rsidRDefault="00F50D70" w:rsidP="008E113B">
      <w:pPr>
        <w:spacing w:line="360" w:lineRule="auto"/>
        <w:outlineLvl w:val="9"/>
        <w:rPr>
          <w:rFonts w:ascii="Aptos" w:hAnsi="Aptos" w:cs="Arial"/>
          <w:b/>
          <w:sz w:val="28"/>
          <w:szCs w:val="28"/>
        </w:rPr>
      </w:pPr>
    </w:p>
    <w:p w14:paraId="05A38276" w14:textId="77777777" w:rsidR="00F50D70" w:rsidRPr="00BE4F47" w:rsidRDefault="00F50D70" w:rsidP="008E113B">
      <w:pPr>
        <w:spacing w:line="360" w:lineRule="auto"/>
        <w:outlineLvl w:val="9"/>
        <w:rPr>
          <w:rFonts w:ascii="Aptos" w:hAnsi="Aptos"/>
        </w:rPr>
      </w:pPr>
    </w:p>
    <w:p w14:paraId="6CD0A196" w14:textId="77777777" w:rsidR="00F50D70" w:rsidRPr="00BE4F47" w:rsidRDefault="00F50D70" w:rsidP="008E113B">
      <w:pPr>
        <w:spacing w:line="360" w:lineRule="auto"/>
        <w:outlineLvl w:val="9"/>
        <w:rPr>
          <w:rFonts w:ascii="Aptos" w:hAnsi="Aptos"/>
        </w:rPr>
      </w:pPr>
    </w:p>
    <w:p w14:paraId="1AD3E497" w14:textId="77777777" w:rsidR="00F50D70" w:rsidRPr="00BE4F47" w:rsidRDefault="00137D7F" w:rsidP="008E113B">
      <w:pPr>
        <w:spacing w:line="360" w:lineRule="auto"/>
        <w:ind w:left="0"/>
        <w:jc w:val="center"/>
        <w:outlineLvl w:val="9"/>
        <w:rPr>
          <w:rFonts w:ascii="Aptos" w:hAnsi="Aptos"/>
          <w:sz w:val="24"/>
          <w:szCs w:val="24"/>
        </w:rPr>
      </w:pPr>
      <w:r w:rsidRPr="00BE4F47">
        <w:rPr>
          <w:rFonts w:ascii="Aptos" w:eastAsia="Calibri" w:hAnsi="Aptos" w:cs="Calibri"/>
          <w:color w:val="1A1A19"/>
          <w:sz w:val="20"/>
          <w:szCs w:val="20"/>
        </w:rPr>
        <w:t>Préparé par</w:t>
      </w:r>
    </w:p>
    <w:p w14:paraId="4DF53A50" w14:textId="77777777" w:rsidR="00F50D70" w:rsidRPr="00BE4F47" w:rsidRDefault="00F50D70" w:rsidP="008E113B">
      <w:pPr>
        <w:spacing w:line="360" w:lineRule="auto"/>
        <w:ind w:left="0"/>
        <w:outlineLvl w:val="9"/>
        <w:rPr>
          <w:rFonts w:ascii="Aptos" w:hAnsi="Aptos"/>
          <w:sz w:val="24"/>
          <w:szCs w:val="24"/>
        </w:rPr>
      </w:pPr>
    </w:p>
    <w:p w14:paraId="53CAF783"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Christian Kévin Sawadogo, Abdoul Raouf Kabré, Rayane Arèmou Akorede Alimi, Ibrahima Diallo, Aboubacar Sidiki Yansané, Djasra Wilson Thoroum, Jérémie Arno Tchawo Soppewe et Abdramane Dramé</w:t>
      </w:r>
    </w:p>
    <w:p w14:paraId="2C863E5F" w14:textId="77777777" w:rsidR="00F50D70" w:rsidRPr="00BE4F47" w:rsidRDefault="00F50D70" w:rsidP="008E113B">
      <w:pPr>
        <w:spacing w:line="360" w:lineRule="auto"/>
        <w:ind w:left="0"/>
        <w:outlineLvl w:val="9"/>
        <w:rPr>
          <w:rFonts w:ascii="Aptos" w:hAnsi="Aptos"/>
        </w:rPr>
      </w:pPr>
    </w:p>
    <w:p w14:paraId="35139DED" w14:textId="77777777" w:rsidR="00F50D70" w:rsidRPr="00BE4F47" w:rsidRDefault="00F50D70" w:rsidP="008E113B">
      <w:pPr>
        <w:spacing w:line="360" w:lineRule="auto"/>
        <w:ind w:left="0"/>
        <w:outlineLvl w:val="9"/>
        <w:rPr>
          <w:rFonts w:ascii="Aptos" w:hAnsi="Aptos"/>
        </w:rPr>
      </w:pPr>
    </w:p>
    <w:p w14:paraId="4C9E57A7" w14:textId="77777777" w:rsidR="00F50D70" w:rsidRPr="00BE4F47" w:rsidRDefault="00F50D70" w:rsidP="008E113B">
      <w:pPr>
        <w:spacing w:line="360" w:lineRule="auto"/>
        <w:ind w:left="0"/>
        <w:outlineLvl w:val="9"/>
        <w:rPr>
          <w:rFonts w:ascii="Aptos" w:hAnsi="Aptos"/>
        </w:rPr>
      </w:pPr>
    </w:p>
    <w:p w14:paraId="7195713D"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Pour</w:t>
      </w:r>
    </w:p>
    <w:p w14:paraId="0D262D9F" w14:textId="77777777" w:rsidR="00F50D70" w:rsidRPr="00BE4F47" w:rsidRDefault="00F50D70" w:rsidP="008E113B">
      <w:pPr>
        <w:spacing w:line="360" w:lineRule="auto"/>
        <w:ind w:left="0"/>
        <w:jc w:val="center"/>
        <w:outlineLvl w:val="9"/>
        <w:rPr>
          <w:rFonts w:ascii="Aptos" w:hAnsi="Aptos"/>
        </w:rPr>
      </w:pPr>
    </w:p>
    <w:p w14:paraId="0CB0D500"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(PROMOTEUR)</w:t>
      </w:r>
    </w:p>
    <w:p w14:paraId="43829A2B"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lastRenderedPageBreak/>
        <w:t>HYDRO-QUÉBEC  (client fictif du scénario de cours)</w:t>
      </w:r>
    </w:p>
    <w:p w14:paraId="04614675" w14:textId="77777777" w:rsidR="00F50D70" w:rsidRPr="00BE4F47" w:rsidRDefault="00F50D70" w:rsidP="008E113B">
      <w:pPr>
        <w:spacing w:line="360" w:lineRule="auto"/>
        <w:ind w:left="0"/>
        <w:jc w:val="center"/>
        <w:outlineLvl w:val="9"/>
        <w:rPr>
          <w:rFonts w:ascii="Aptos" w:hAnsi="Aptos"/>
        </w:rPr>
      </w:pPr>
    </w:p>
    <w:p w14:paraId="22D89A06" w14:textId="77777777" w:rsidR="00F50D70" w:rsidRPr="00BE4F47" w:rsidRDefault="00F50D70" w:rsidP="008E113B">
      <w:pPr>
        <w:spacing w:line="360" w:lineRule="auto"/>
        <w:ind w:left="0"/>
        <w:jc w:val="center"/>
        <w:outlineLvl w:val="9"/>
        <w:rPr>
          <w:rFonts w:ascii="Aptos" w:hAnsi="Aptos"/>
        </w:rPr>
      </w:pPr>
    </w:p>
    <w:p w14:paraId="6A998F66"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2 octobre 2026</w:t>
      </w:r>
    </w:p>
    <w:p w14:paraId="201F373D" w14:textId="77777777" w:rsidR="00F50D70" w:rsidRPr="00BE4F47" w:rsidRDefault="00F50D70" w:rsidP="008E113B">
      <w:pPr>
        <w:spacing w:line="360" w:lineRule="auto"/>
        <w:ind w:left="0"/>
        <w:outlineLvl w:val="9"/>
        <w:rPr>
          <w:rFonts w:ascii="Aptos" w:hAnsi="Aptos"/>
        </w:rPr>
      </w:pPr>
    </w:p>
    <w:p w14:paraId="6896EA50" w14:textId="77777777" w:rsidR="00F50D70" w:rsidRPr="00BE4F47" w:rsidRDefault="00F50D70" w:rsidP="008E113B">
      <w:pPr>
        <w:spacing w:line="360" w:lineRule="auto"/>
        <w:ind w:left="0"/>
        <w:jc w:val="center"/>
        <w:outlineLvl w:val="9"/>
        <w:rPr>
          <w:rFonts w:ascii="Aptos" w:hAnsi="Aptos"/>
        </w:rPr>
      </w:pPr>
    </w:p>
    <w:p w14:paraId="00A7E006" w14:textId="77777777" w:rsidR="00F50D70" w:rsidRPr="00BE4F47" w:rsidRDefault="00F50D70" w:rsidP="008E113B">
      <w:pPr>
        <w:spacing w:line="360" w:lineRule="auto"/>
        <w:ind w:left="0"/>
        <w:jc w:val="center"/>
        <w:outlineLvl w:val="9"/>
        <w:rPr>
          <w:rFonts w:ascii="Aptos" w:hAnsi="Aptos"/>
        </w:rPr>
      </w:pPr>
    </w:p>
    <w:p w14:paraId="4349FB4E" w14:textId="77777777" w:rsidR="00F50D70" w:rsidRPr="00BE4F47" w:rsidRDefault="00F50D70" w:rsidP="008E113B">
      <w:pPr>
        <w:spacing w:line="360" w:lineRule="auto"/>
        <w:ind w:left="0"/>
        <w:jc w:val="center"/>
        <w:outlineLvl w:val="9"/>
        <w:rPr>
          <w:rFonts w:ascii="Aptos" w:hAnsi="Aptos"/>
        </w:rPr>
      </w:pPr>
    </w:p>
    <w:p w14:paraId="083AB0DD" w14:textId="77777777" w:rsidR="00F50D70" w:rsidRPr="00BE4F47" w:rsidRDefault="00F50D70" w:rsidP="008E113B">
      <w:pPr>
        <w:tabs>
          <w:tab w:val="left" w:pos="5670"/>
        </w:tabs>
        <w:spacing w:line="360" w:lineRule="auto"/>
        <w:ind w:left="0"/>
        <w:outlineLvl w:val="9"/>
        <w:rPr>
          <w:rFonts w:ascii="Aptos" w:hAnsi="Aptos"/>
        </w:rPr>
      </w:pPr>
    </w:p>
    <w:p w14:paraId="4E9FBED7" w14:textId="77777777" w:rsidR="00F50D70" w:rsidRPr="00BE4F47" w:rsidRDefault="00137D7F" w:rsidP="008E113B">
      <w:pPr>
        <w:tabs>
          <w:tab w:val="left" w:pos="5670"/>
        </w:tabs>
        <w:spacing w:line="360" w:lineRule="auto"/>
        <w:ind w:left="0"/>
        <w:outlineLvl w:val="9"/>
        <w:rPr>
          <w:rFonts w:ascii="Aptos" w:hAnsi="Aptos"/>
        </w:rPr>
      </w:pPr>
      <w:r w:rsidRPr="00BE4F47">
        <w:rPr>
          <w:rFonts w:ascii="Aptos" w:eastAsia="Calibri" w:hAnsi="Aptos" w:cs="Calibri"/>
          <w:color w:val="1A1A19"/>
          <w:sz w:val="20"/>
          <w:szCs w:val="20"/>
        </w:rPr>
        <w:t>CONSEILLER :  Martin Otis, ing.</w:t>
      </w:r>
    </w:p>
    <w:p w14:paraId="61690C8E" w14:textId="77777777" w:rsidR="00F50D70" w:rsidRPr="00BE4F47" w:rsidRDefault="00F50D70" w:rsidP="008E113B">
      <w:pPr>
        <w:tabs>
          <w:tab w:val="left" w:pos="5670"/>
        </w:tabs>
        <w:spacing w:line="360" w:lineRule="auto"/>
        <w:ind w:left="0"/>
        <w:outlineLvl w:val="9"/>
        <w:rPr>
          <w:rFonts w:ascii="Aptos" w:hAnsi="Aptos"/>
        </w:rPr>
      </w:pPr>
    </w:p>
    <w:p w14:paraId="1613843F" w14:textId="77777777" w:rsidR="00F50D70" w:rsidRPr="00BE4F47" w:rsidRDefault="00F50D70" w:rsidP="008E113B">
      <w:pPr>
        <w:tabs>
          <w:tab w:val="left" w:pos="5670"/>
        </w:tabs>
        <w:spacing w:line="360" w:lineRule="auto"/>
        <w:ind w:left="0"/>
        <w:outlineLvl w:val="9"/>
        <w:rPr>
          <w:rFonts w:ascii="Aptos" w:hAnsi="Aptos"/>
        </w:rPr>
      </w:pPr>
    </w:p>
    <w:p w14:paraId="05C52481" w14:textId="77777777" w:rsidR="00F50D70" w:rsidRPr="00BE4F47" w:rsidRDefault="00F50D70" w:rsidP="008E113B">
      <w:pPr>
        <w:spacing w:line="360" w:lineRule="auto"/>
        <w:ind w:left="0"/>
        <w:outlineLvl w:val="9"/>
        <w:rPr>
          <w:rFonts w:ascii="Aptos" w:hAnsi="Aptos"/>
        </w:rPr>
      </w:pPr>
    </w:p>
    <w:p w14:paraId="77162481" w14:textId="77777777" w:rsidR="00F50D70" w:rsidRPr="00BE4F47" w:rsidRDefault="00F50D70" w:rsidP="008E113B">
      <w:pPr>
        <w:spacing w:line="360" w:lineRule="auto"/>
        <w:outlineLvl w:val="9"/>
        <w:rPr>
          <w:rFonts w:ascii="Aptos" w:hAnsi="Aptos"/>
        </w:rPr>
      </w:pPr>
    </w:p>
    <w:p w14:paraId="2783592F" w14:textId="77777777" w:rsidR="00F50D70" w:rsidRPr="00BE4F47" w:rsidRDefault="00F50D70" w:rsidP="008E113B">
      <w:pPr>
        <w:spacing w:line="360" w:lineRule="auto"/>
        <w:outlineLvl w:val="9"/>
        <w:rPr>
          <w:rFonts w:ascii="Aptos" w:hAnsi="Aptos"/>
        </w:rPr>
      </w:pPr>
    </w:p>
    <w:p w14:paraId="75011E56" w14:textId="77777777" w:rsidR="00F50D70" w:rsidRPr="00BE4F47" w:rsidRDefault="00F50D70" w:rsidP="008E113B">
      <w:pPr>
        <w:spacing w:line="360" w:lineRule="auto"/>
        <w:outlineLvl w:val="9"/>
        <w:rPr>
          <w:rFonts w:ascii="Aptos" w:hAnsi="Aptos"/>
        </w:rPr>
      </w:pPr>
    </w:p>
    <w:p w14:paraId="46F5C746" w14:textId="77777777" w:rsidR="00F50D70" w:rsidRPr="00BE4F47" w:rsidRDefault="00F50D70" w:rsidP="008E113B">
      <w:pPr>
        <w:spacing w:line="360" w:lineRule="auto"/>
        <w:outlineLvl w:val="9"/>
        <w:rPr>
          <w:rFonts w:ascii="Aptos" w:hAnsi="Aptos"/>
        </w:rPr>
      </w:pPr>
    </w:p>
    <w:tbl>
      <w:tblPr>
        <w:tblW w:w="7020" w:type="dxa"/>
        <w:tblInd w:w="648" w:type="dxa"/>
        <w:tblLayout w:type="fixed"/>
        <w:tblLook w:val="04A0" w:firstRow="1" w:lastRow="0" w:firstColumn="1" w:lastColumn="0" w:noHBand="0" w:noVBand="1"/>
      </w:tblPr>
      <w:tblGrid>
        <w:gridCol w:w="2154"/>
        <w:gridCol w:w="4866"/>
      </w:tblGrid>
      <w:tr w:rsidR="00F50D70" w:rsidRPr="00BE4F47" w14:paraId="0AA2A24C" w14:textId="77777777">
        <w:tc>
          <w:tcPr>
            <w:tcW w:w="7020" w:type="dxa"/>
            <w:gridSpan w:val="2"/>
            <w:tcBorders>
              <w:top w:val="single" w:sz="6" w:space="0" w:color="000000"/>
              <w:left w:val="single" w:sz="6" w:space="0" w:color="000000"/>
              <w:bottom w:val="single" w:sz="4" w:space="0" w:color="000000"/>
              <w:right w:val="single" w:sz="6" w:space="0" w:color="000000"/>
            </w:tcBorders>
          </w:tcPr>
          <w:p w14:paraId="5DEA8FFC" w14:textId="77777777" w:rsidR="00F50D70" w:rsidRPr="00BE4F47" w:rsidRDefault="00137D7F" w:rsidP="008E113B">
            <w:pPr>
              <w:pStyle w:val="Enttedetableau"/>
              <w:spacing w:before="20" w:after="20"/>
              <w:rPr>
                <w:rFonts w:ascii="Aptos" w:hAnsi="Aptos"/>
              </w:rPr>
            </w:pPr>
            <w:r w:rsidRPr="00BE4F47">
              <w:rPr>
                <w:rFonts w:ascii="Aptos" w:hAnsi="Aptos" w:cs="Arial"/>
                <w:b/>
                <w:sz w:val="20"/>
              </w:rPr>
              <w:t>Approbation de la proposition de services pour diffusion</w:t>
            </w:r>
          </w:p>
        </w:tc>
      </w:tr>
      <w:tr w:rsidR="00F50D70" w:rsidRPr="00BE4F47" w14:paraId="45FF45FF" w14:textId="77777777">
        <w:tc>
          <w:tcPr>
            <w:tcW w:w="2154" w:type="dxa"/>
            <w:tcBorders>
              <w:left w:val="single" w:sz="6" w:space="0" w:color="000000"/>
            </w:tcBorders>
          </w:tcPr>
          <w:p w14:paraId="1C38F8BB" w14:textId="77777777" w:rsidR="00F50D70" w:rsidRPr="00BE4F47" w:rsidRDefault="00137D7F" w:rsidP="008E113B">
            <w:pPr>
              <w:pStyle w:val="Textedetableau"/>
              <w:spacing w:before="20" w:after="20"/>
              <w:rPr>
                <w:rFonts w:ascii="Aptos" w:hAnsi="Aptos"/>
              </w:rPr>
            </w:pPr>
            <w:r w:rsidRPr="00BE4F47">
              <w:rPr>
                <w:rFonts w:ascii="Aptos" w:hAnsi="Aptos"/>
                <w:sz w:val="20"/>
              </w:rPr>
              <w:t>Nom du conseiller</w:t>
            </w:r>
          </w:p>
        </w:tc>
        <w:tc>
          <w:tcPr>
            <w:tcW w:w="4866" w:type="dxa"/>
            <w:tcBorders>
              <w:right w:val="single" w:sz="6" w:space="0" w:color="000000"/>
            </w:tcBorders>
          </w:tcPr>
          <w:p w14:paraId="50AADD79" w14:textId="77777777" w:rsidR="00F50D70" w:rsidRPr="00BE4F47" w:rsidRDefault="00F50D70" w:rsidP="008E113B">
            <w:pPr>
              <w:pStyle w:val="Textedetableau"/>
              <w:snapToGrid w:val="0"/>
              <w:spacing w:before="20" w:after="20"/>
              <w:rPr>
                <w:rFonts w:ascii="Aptos" w:hAnsi="Aptos"/>
                <w:sz w:val="20"/>
              </w:rPr>
            </w:pPr>
          </w:p>
        </w:tc>
      </w:tr>
      <w:tr w:rsidR="00F50D70" w:rsidRPr="00BE4F47" w14:paraId="1AD1F6E8" w14:textId="77777777">
        <w:tc>
          <w:tcPr>
            <w:tcW w:w="2154" w:type="dxa"/>
            <w:tcBorders>
              <w:left w:val="single" w:sz="6" w:space="0" w:color="000000"/>
            </w:tcBorders>
          </w:tcPr>
          <w:p w14:paraId="6D2D15B6" w14:textId="77777777" w:rsidR="00F50D70" w:rsidRPr="00BE4F47" w:rsidRDefault="00137D7F" w:rsidP="008E113B">
            <w:pPr>
              <w:pStyle w:val="Textedetableau"/>
              <w:spacing w:before="20" w:after="20"/>
              <w:rPr>
                <w:rFonts w:ascii="Aptos" w:hAnsi="Aptos"/>
                <w:sz w:val="20"/>
              </w:rPr>
            </w:pPr>
            <w:r w:rsidRPr="00BE4F47">
              <w:rPr>
                <w:rFonts w:ascii="Aptos" w:hAnsi="Aptos"/>
                <w:sz w:val="20"/>
              </w:rPr>
              <w:t>Date</w:t>
            </w:r>
          </w:p>
        </w:tc>
        <w:tc>
          <w:tcPr>
            <w:tcW w:w="4866" w:type="dxa"/>
            <w:tcBorders>
              <w:right w:val="single" w:sz="6" w:space="0" w:color="000000"/>
            </w:tcBorders>
          </w:tcPr>
          <w:p w14:paraId="75A6CB4B" w14:textId="77777777" w:rsidR="00F50D70" w:rsidRPr="00BE4F47" w:rsidRDefault="00F50D70" w:rsidP="008E113B">
            <w:pPr>
              <w:pStyle w:val="Textedetableau"/>
              <w:snapToGrid w:val="0"/>
              <w:spacing w:before="20" w:after="20"/>
              <w:rPr>
                <w:rFonts w:ascii="Aptos" w:hAnsi="Aptos"/>
                <w:sz w:val="20"/>
              </w:rPr>
            </w:pPr>
          </w:p>
        </w:tc>
      </w:tr>
      <w:tr w:rsidR="00F50D70" w:rsidRPr="00BE4F47" w14:paraId="5A813CBB" w14:textId="77777777">
        <w:tc>
          <w:tcPr>
            <w:tcW w:w="2154" w:type="dxa"/>
            <w:tcBorders>
              <w:left w:val="single" w:sz="6" w:space="0" w:color="000000"/>
              <w:bottom w:val="single" w:sz="4" w:space="0" w:color="000000"/>
            </w:tcBorders>
          </w:tcPr>
          <w:p w14:paraId="03F9E319" w14:textId="77777777" w:rsidR="00F50D70" w:rsidRPr="00BE4F47" w:rsidRDefault="00137D7F" w:rsidP="008E113B">
            <w:pPr>
              <w:pStyle w:val="Textedetableau"/>
              <w:spacing w:before="20" w:after="20"/>
              <w:rPr>
                <w:rFonts w:ascii="Aptos" w:hAnsi="Aptos"/>
                <w:sz w:val="20"/>
              </w:rPr>
            </w:pPr>
            <w:r w:rsidRPr="00BE4F47">
              <w:rPr>
                <w:rFonts w:ascii="Aptos" w:hAnsi="Aptos"/>
                <w:sz w:val="20"/>
              </w:rPr>
              <w:t>Signature</w:t>
            </w:r>
          </w:p>
        </w:tc>
        <w:tc>
          <w:tcPr>
            <w:tcW w:w="4866" w:type="dxa"/>
            <w:tcBorders>
              <w:bottom w:val="single" w:sz="4" w:space="0" w:color="000000"/>
              <w:right w:val="single" w:sz="6" w:space="0" w:color="000000"/>
            </w:tcBorders>
          </w:tcPr>
          <w:p w14:paraId="2489EE21" w14:textId="77777777" w:rsidR="00F50D70" w:rsidRPr="00BE4F47" w:rsidRDefault="00F50D70" w:rsidP="008E113B">
            <w:pPr>
              <w:pStyle w:val="Textedetableau"/>
              <w:snapToGrid w:val="0"/>
              <w:spacing w:before="20" w:after="20"/>
              <w:rPr>
                <w:rFonts w:ascii="Aptos" w:hAnsi="Aptos"/>
                <w:sz w:val="20"/>
              </w:rPr>
            </w:pPr>
          </w:p>
        </w:tc>
      </w:tr>
    </w:tbl>
    <w:p w14:paraId="2B03BC7C" w14:textId="77777777" w:rsidR="00F50D70" w:rsidRPr="00BE4F47" w:rsidRDefault="00F50D70" w:rsidP="008E113B">
      <w:pPr>
        <w:spacing w:line="360" w:lineRule="auto"/>
        <w:outlineLvl w:val="9"/>
        <w:rPr>
          <w:rFonts w:ascii="Aptos" w:hAnsi="Aptos"/>
        </w:rPr>
      </w:pPr>
    </w:p>
    <w:p w14:paraId="49629FC3" w14:textId="77777777" w:rsidR="00F50D70" w:rsidRPr="00BE4F47" w:rsidRDefault="00F50D70" w:rsidP="008E113B">
      <w:pPr>
        <w:spacing w:line="360" w:lineRule="auto"/>
        <w:ind w:left="0"/>
        <w:outlineLvl w:val="9"/>
        <w:rPr>
          <w:rFonts w:ascii="Aptos" w:hAnsi="Aptos"/>
        </w:rPr>
      </w:pPr>
    </w:p>
    <w:p w14:paraId="6797D6F3" w14:textId="77777777" w:rsidR="00F50D70" w:rsidRPr="00BE4F47" w:rsidRDefault="00F50D70" w:rsidP="008E113B">
      <w:pPr>
        <w:spacing w:line="360" w:lineRule="auto"/>
        <w:ind w:left="0"/>
        <w:outlineLvl w:val="9"/>
        <w:rPr>
          <w:rFonts w:ascii="Aptos" w:eastAsia="DengXian Light" w:hAnsi="Aptos"/>
          <w:b/>
          <w:bCs/>
          <w:color w:val="2F5496"/>
          <w:sz w:val="32"/>
          <w:szCs w:val="32"/>
          <w:lang w:eastAsia="en-US"/>
        </w:rPr>
      </w:pPr>
    </w:p>
    <w:p w14:paraId="471E23AF" w14:textId="77777777" w:rsidR="00F50D70" w:rsidRPr="00BE4F47" w:rsidRDefault="00137D7F" w:rsidP="008E113B">
      <w:pPr>
        <w:spacing w:line="360" w:lineRule="auto"/>
        <w:ind w:left="0"/>
        <w:outlineLvl w:val="9"/>
        <w:rPr>
          <w:rFonts w:ascii="Aptos" w:eastAsia="DengXian Light" w:hAnsi="Aptos"/>
          <w:bCs/>
          <w:color w:val="2F5496"/>
          <w:sz w:val="32"/>
          <w:szCs w:val="32"/>
          <w:lang w:eastAsia="en-US"/>
        </w:rPr>
      </w:pPr>
      <w:r w:rsidRPr="00BE4F47">
        <w:rPr>
          <w:rFonts w:ascii="Aptos" w:eastAsia="Calibri" w:hAnsi="Aptos" w:cs="Calibri"/>
          <w:bCs/>
          <w:color w:val="1A1A19"/>
          <w:sz w:val="20"/>
          <w:szCs w:val="20"/>
          <w:lang w:eastAsia="en-US"/>
        </w:rPr>
        <w:t>Historique des révisions</w:t>
      </w:r>
    </w:p>
    <w:tbl>
      <w:tblPr>
        <w:tblW w:w="9054" w:type="dxa"/>
        <w:tblLayout w:type="fixed"/>
        <w:tblLook w:val="04A0" w:firstRow="1" w:lastRow="0" w:firstColumn="1" w:lastColumn="0" w:noHBand="0" w:noVBand="1"/>
      </w:tblPr>
      <w:tblGrid>
        <w:gridCol w:w="2250"/>
        <w:gridCol w:w="2263"/>
        <w:gridCol w:w="2282"/>
        <w:gridCol w:w="2259"/>
      </w:tblGrid>
      <w:tr w:rsidR="00F50D70" w:rsidRPr="00BE4F47" w14:paraId="7F0B08DC" w14:textId="77777777">
        <w:tc>
          <w:tcPr>
            <w:tcW w:w="2126" w:type="dxa"/>
            <w:tcBorders>
              <w:top w:val="single" w:sz="4" w:space="0" w:color="000000"/>
              <w:left w:val="single" w:sz="4" w:space="0" w:color="000000"/>
              <w:bottom w:val="single" w:sz="4" w:space="0" w:color="000000"/>
              <w:right w:val="single" w:sz="4" w:space="0" w:color="000000"/>
            </w:tcBorders>
            <w:shd w:val="clear" w:color="auto" w:fill="C5E0B3"/>
          </w:tcPr>
          <w:p w14:paraId="6A4BD0A1"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Date</w:t>
            </w:r>
          </w:p>
        </w:tc>
        <w:tc>
          <w:tcPr>
            <w:tcW w:w="2139" w:type="dxa"/>
            <w:tcBorders>
              <w:top w:val="single" w:sz="4" w:space="0" w:color="000000"/>
              <w:left w:val="single" w:sz="4" w:space="0" w:color="000000"/>
              <w:bottom w:val="single" w:sz="4" w:space="0" w:color="000000"/>
              <w:right w:val="single" w:sz="4" w:space="0" w:color="000000"/>
            </w:tcBorders>
            <w:shd w:val="clear" w:color="auto" w:fill="C5E0B3"/>
          </w:tcPr>
          <w:p w14:paraId="798FAB71"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Version</w:t>
            </w:r>
          </w:p>
        </w:tc>
        <w:tc>
          <w:tcPr>
            <w:tcW w:w="2157" w:type="dxa"/>
            <w:tcBorders>
              <w:top w:val="single" w:sz="4" w:space="0" w:color="000000"/>
              <w:left w:val="single" w:sz="4" w:space="0" w:color="000000"/>
              <w:bottom w:val="single" w:sz="4" w:space="0" w:color="000000"/>
              <w:right w:val="single" w:sz="4" w:space="0" w:color="000000"/>
            </w:tcBorders>
            <w:shd w:val="clear" w:color="auto" w:fill="C5E0B3"/>
          </w:tcPr>
          <w:p w14:paraId="17B11107"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Description</w:t>
            </w:r>
          </w:p>
        </w:tc>
        <w:tc>
          <w:tcPr>
            <w:tcW w:w="2135" w:type="dxa"/>
            <w:tcBorders>
              <w:top w:val="single" w:sz="4" w:space="0" w:color="000000"/>
              <w:left w:val="single" w:sz="4" w:space="0" w:color="000000"/>
              <w:bottom w:val="single" w:sz="4" w:space="0" w:color="000000"/>
              <w:right w:val="single" w:sz="4" w:space="0" w:color="000000"/>
            </w:tcBorders>
            <w:shd w:val="clear" w:color="auto" w:fill="C5E0B3"/>
          </w:tcPr>
          <w:p w14:paraId="7EE7007F"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Auteur</w:t>
            </w:r>
          </w:p>
        </w:tc>
      </w:tr>
      <w:tr w:rsidR="00F50D70" w:rsidRPr="00BE4F47" w14:paraId="622E64D5" w14:textId="77777777">
        <w:tc>
          <w:tcPr>
            <w:tcW w:w="2126" w:type="dxa"/>
            <w:tcBorders>
              <w:top w:val="single" w:sz="4" w:space="0" w:color="000000"/>
              <w:left w:val="single" w:sz="4" w:space="0" w:color="000000"/>
              <w:bottom w:val="single" w:sz="4" w:space="0" w:color="000000"/>
              <w:right w:val="single" w:sz="4" w:space="0" w:color="000000"/>
            </w:tcBorders>
          </w:tcPr>
          <w:p w14:paraId="655FE285" w14:textId="77777777" w:rsidR="00F50D70" w:rsidRPr="00BE4F47" w:rsidRDefault="00137D7F" w:rsidP="008E113B">
            <w:pPr>
              <w:snapToGrid w:val="0"/>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2 octobre 2026</w:t>
            </w:r>
          </w:p>
        </w:tc>
        <w:tc>
          <w:tcPr>
            <w:tcW w:w="2139" w:type="dxa"/>
            <w:tcBorders>
              <w:top w:val="single" w:sz="4" w:space="0" w:color="000000"/>
              <w:left w:val="single" w:sz="4" w:space="0" w:color="000000"/>
              <w:bottom w:val="single" w:sz="4" w:space="0" w:color="000000"/>
              <w:right w:val="single" w:sz="4" w:space="0" w:color="000000"/>
            </w:tcBorders>
          </w:tcPr>
          <w:p w14:paraId="2A81F93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1.0</w:t>
            </w:r>
          </w:p>
        </w:tc>
        <w:tc>
          <w:tcPr>
            <w:tcW w:w="2157" w:type="dxa"/>
            <w:tcBorders>
              <w:top w:val="single" w:sz="4" w:space="0" w:color="000000"/>
              <w:left w:val="single" w:sz="4" w:space="0" w:color="000000"/>
              <w:bottom w:val="single" w:sz="4" w:space="0" w:color="000000"/>
              <w:right w:val="single" w:sz="4" w:space="0" w:color="000000"/>
            </w:tcBorders>
          </w:tcPr>
          <w:p w14:paraId="5743425F"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Première version consolidée du plan de projet.</w:t>
            </w:r>
          </w:p>
        </w:tc>
        <w:tc>
          <w:tcPr>
            <w:tcW w:w="2135" w:type="dxa"/>
            <w:tcBorders>
              <w:top w:val="single" w:sz="4" w:space="0" w:color="000000"/>
              <w:left w:val="single" w:sz="4" w:space="0" w:color="000000"/>
              <w:bottom w:val="single" w:sz="4" w:space="0" w:color="000000"/>
              <w:right w:val="single" w:sz="4" w:space="0" w:color="000000"/>
            </w:tcBorders>
          </w:tcPr>
          <w:p w14:paraId="4A560C9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Christian Kévin Sawadogo</w:t>
            </w:r>
          </w:p>
        </w:tc>
      </w:tr>
    </w:tbl>
    <w:p w14:paraId="6FFB84A2" w14:textId="77777777" w:rsidR="00F50D70" w:rsidRPr="00BE4F47" w:rsidRDefault="00F50D70" w:rsidP="008E113B">
      <w:pPr>
        <w:keepLines/>
        <w:spacing w:before="240" w:line="360" w:lineRule="auto"/>
        <w:ind w:left="0"/>
        <w:jc w:val="left"/>
        <w:outlineLvl w:val="0"/>
        <w:rPr>
          <w:rFonts w:ascii="Aptos" w:eastAsia="DengXian Light" w:hAnsi="Aptos" w:cs="Times New Roman"/>
          <w:color w:val="2F5496"/>
          <w:sz w:val="32"/>
          <w:szCs w:val="32"/>
          <w:lang w:eastAsia="en-US"/>
        </w:rPr>
      </w:pPr>
    </w:p>
    <w:p w14:paraId="1F1C1B23" w14:textId="77777777" w:rsidR="00F50D70" w:rsidRPr="00BE4F47" w:rsidRDefault="00137D7F" w:rsidP="008E113B">
      <w:pPr>
        <w:spacing w:line="360" w:lineRule="auto"/>
        <w:ind w:left="0"/>
        <w:outlineLvl w:val="9"/>
        <w:rPr>
          <w:rFonts w:ascii="Aptos" w:eastAsia="DengXian Light" w:hAnsi="Aptos"/>
          <w:bCs/>
          <w:color w:val="2F5496"/>
          <w:sz w:val="32"/>
          <w:szCs w:val="32"/>
          <w:lang w:eastAsia="en-US"/>
        </w:rPr>
      </w:pPr>
      <w:bookmarkStart w:id="0" w:name="__RefHeading___Toc240715052"/>
      <w:bookmarkEnd w:id="0"/>
      <w:r w:rsidRPr="00BE4F47">
        <w:rPr>
          <w:rFonts w:ascii="Aptos" w:eastAsia="Calibri" w:hAnsi="Aptos" w:cs="Calibri"/>
          <w:bCs/>
          <w:color w:val="1A1A19"/>
          <w:sz w:val="20"/>
          <w:szCs w:val="20"/>
          <w:lang w:eastAsia="en-US"/>
        </w:rPr>
        <w:t>Définitions</w:t>
      </w:r>
    </w:p>
    <w:tbl>
      <w:tblPr>
        <w:tblW w:w="9054" w:type="dxa"/>
        <w:tblLayout w:type="fixed"/>
        <w:tblLook w:val="04A0" w:firstRow="1" w:lastRow="0" w:firstColumn="1" w:lastColumn="0" w:noHBand="0" w:noVBand="1"/>
      </w:tblPr>
      <w:tblGrid>
        <w:gridCol w:w="2434"/>
        <w:gridCol w:w="6620"/>
      </w:tblGrid>
      <w:tr w:rsidR="00F50D70" w:rsidRPr="00BE4F47" w14:paraId="45B04663" w14:textId="77777777">
        <w:tc>
          <w:tcPr>
            <w:tcW w:w="2300" w:type="dxa"/>
            <w:tcBorders>
              <w:top w:val="single" w:sz="4" w:space="0" w:color="000000"/>
              <w:left w:val="single" w:sz="4" w:space="0" w:color="000000"/>
              <w:bottom w:val="single" w:sz="4" w:space="0" w:color="000000"/>
              <w:right w:val="single" w:sz="4" w:space="0" w:color="000000"/>
            </w:tcBorders>
            <w:shd w:val="clear" w:color="auto" w:fill="C5E0B3"/>
          </w:tcPr>
          <w:p w14:paraId="1449D0EE"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Terme</w:t>
            </w:r>
          </w:p>
        </w:tc>
        <w:tc>
          <w:tcPr>
            <w:tcW w:w="6257" w:type="dxa"/>
            <w:tcBorders>
              <w:top w:val="single" w:sz="4" w:space="0" w:color="000000"/>
              <w:left w:val="single" w:sz="4" w:space="0" w:color="000000"/>
              <w:bottom w:val="single" w:sz="4" w:space="0" w:color="000000"/>
              <w:right w:val="single" w:sz="4" w:space="0" w:color="000000"/>
            </w:tcBorders>
            <w:shd w:val="clear" w:color="auto" w:fill="C5E0B3"/>
          </w:tcPr>
          <w:p w14:paraId="6EE0EB50"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Définition</w:t>
            </w:r>
          </w:p>
        </w:tc>
      </w:tr>
      <w:tr w:rsidR="00F50D70" w:rsidRPr="00BE4F47" w14:paraId="61FB179C" w14:textId="77777777">
        <w:tc>
          <w:tcPr>
            <w:tcW w:w="2300" w:type="dxa"/>
            <w:tcBorders>
              <w:top w:val="single" w:sz="4" w:space="0" w:color="000000"/>
              <w:left w:val="single" w:sz="4" w:space="0" w:color="000000"/>
              <w:bottom w:val="single" w:sz="4" w:space="0" w:color="000000"/>
              <w:right w:val="single" w:sz="4" w:space="0" w:color="000000"/>
            </w:tcBorders>
          </w:tcPr>
          <w:p w14:paraId="16891437"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Jumeau numérique</w:t>
            </w:r>
          </w:p>
        </w:tc>
        <w:tc>
          <w:tcPr>
            <w:tcW w:w="6257" w:type="dxa"/>
            <w:tcBorders>
              <w:top w:val="single" w:sz="4" w:space="0" w:color="000000"/>
              <w:left w:val="single" w:sz="4" w:space="0" w:color="000000"/>
              <w:bottom w:val="single" w:sz="4" w:space="0" w:color="000000"/>
              <w:right w:val="single" w:sz="4" w:space="0" w:color="000000"/>
            </w:tcBorders>
          </w:tcPr>
          <w:p w14:paraId="23D94A1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Modèle numérique d’un système réel qui reproduit son comportement et permet de l’étudier sans agir sur lui. Ici, les données qui l’alimentent sont simulées et le prototype n’agit sur aucune installation.</w:t>
            </w:r>
          </w:p>
        </w:tc>
      </w:tr>
      <w:tr w:rsidR="00F50D70" w:rsidRPr="00BE4F47" w14:paraId="491260C4" w14:textId="77777777">
        <w:tc>
          <w:tcPr>
            <w:tcW w:w="2300" w:type="dxa"/>
            <w:tcBorders>
              <w:top w:val="single" w:sz="4" w:space="0" w:color="000000"/>
              <w:left w:val="single" w:sz="4" w:space="0" w:color="000000"/>
              <w:bottom w:val="single" w:sz="4" w:space="0" w:color="000000"/>
              <w:right w:val="single" w:sz="4" w:space="0" w:color="000000"/>
            </w:tcBorders>
          </w:tcPr>
          <w:p w14:paraId="78C5A6A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lastRenderedPageBreak/>
              <w:t>Boucle thermohydraulique</w:t>
            </w:r>
          </w:p>
        </w:tc>
        <w:tc>
          <w:tcPr>
            <w:tcW w:w="6257" w:type="dxa"/>
            <w:tcBorders>
              <w:top w:val="single" w:sz="4" w:space="0" w:color="000000"/>
              <w:left w:val="single" w:sz="4" w:space="0" w:color="000000"/>
              <w:bottom w:val="single" w:sz="4" w:space="0" w:color="000000"/>
              <w:right w:val="single" w:sz="4" w:space="0" w:color="000000"/>
            </w:tcBorders>
          </w:tcPr>
          <w:p w14:paraId="5197D6A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Circuit fermé où un fluide transporte de la chaleur. Ici, une version simplifiée d’un système de refroidissement, décrite à la section 1.</w:t>
            </w:r>
          </w:p>
        </w:tc>
      </w:tr>
      <w:tr w:rsidR="00F50D70" w:rsidRPr="00BE4F47" w14:paraId="6EE3BD0F" w14:textId="77777777">
        <w:tc>
          <w:tcPr>
            <w:tcW w:w="2300" w:type="dxa"/>
            <w:tcBorders>
              <w:top w:val="single" w:sz="4" w:space="0" w:color="000000"/>
              <w:left w:val="single" w:sz="4" w:space="0" w:color="000000"/>
              <w:bottom w:val="single" w:sz="4" w:space="0" w:color="000000"/>
              <w:right w:val="single" w:sz="4" w:space="0" w:color="000000"/>
            </w:tcBorders>
          </w:tcPr>
          <w:p w14:paraId="61171D7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GEMMA</w:t>
            </w:r>
          </w:p>
        </w:tc>
        <w:tc>
          <w:tcPr>
            <w:tcW w:w="6257" w:type="dxa"/>
            <w:tcBorders>
              <w:top w:val="single" w:sz="4" w:space="0" w:color="000000"/>
              <w:left w:val="single" w:sz="4" w:space="0" w:color="000000"/>
              <w:bottom w:val="single" w:sz="4" w:space="0" w:color="000000"/>
              <w:right w:val="single" w:sz="4" w:space="0" w:color="000000"/>
            </w:tcBorders>
          </w:tcPr>
          <w:p w14:paraId="4ED2250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Guide d’étude des modes de marche et d’arrêt. Logigramme qui recense les états de fonctionnement, d’arrêt et de défaillance d’un système.</w:t>
            </w:r>
          </w:p>
        </w:tc>
      </w:tr>
      <w:tr w:rsidR="00F50D70" w:rsidRPr="00BE4F47" w14:paraId="3630838A" w14:textId="77777777">
        <w:tc>
          <w:tcPr>
            <w:tcW w:w="2300" w:type="dxa"/>
            <w:tcBorders>
              <w:top w:val="single" w:sz="4" w:space="0" w:color="000000"/>
              <w:left w:val="single" w:sz="4" w:space="0" w:color="000000"/>
              <w:bottom w:val="single" w:sz="4" w:space="0" w:color="000000"/>
              <w:right w:val="single" w:sz="4" w:space="0" w:color="000000"/>
            </w:tcBorders>
          </w:tcPr>
          <w:p w14:paraId="31D8CCC8"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Jalon</w:t>
            </w:r>
          </w:p>
        </w:tc>
        <w:tc>
          <w:tcPr>
            <w:tcW w:w="6257" w:type="dxa"/>
            <w:tcBorders>
              <w:top w:val="single" w:sz="4" w:space="0" w:color="000000"/>
              <w:left w:val="single" w:sz="4" w:space="0" w:color="000000"/>
              <w:bottom w:val="single" w:sz="4" w:space="0" w:color="000000"/>
              <w:right w:val="single" w:sz="4" w:space="0" w:color="000000"/>
            </w:tcBorders>
          </w:tcPr>
          <w:p w14:paraId="6534D08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Point de contrôle assorti d’un livrable identifié. Il est franchi ou il ne l’est pas, sans état intermédiaire.</w:t>
            </w:r>
          </w:p>
        </w:tc>
      </w:tr>
      <w:tr w:rsidR="00F50D70" w:rsidRPr="00BE4F47" w14:paraId="288F99C9" w14:textId="77777777">
        <w:tc>
          <w:tcPr>
            <w:tcW w:w="2300" w:type="dxa"/>
            <w:tcBorders>
              <w:top w:val="single" w:sz="4" w:space="0" w:color="000000"/>
              <w:left w:val="single" w:sz="4" w:space="0" w:color="000000"/>
              <w:bottom w:val="single" w:sz="4" w:space="0" w:color="000000"/>
              <w:right w:val="single" w:sz="4" w:space="0" w:color="000000"/>
            </w:tcBorders>
          </w:tcPr>
          <w:p w14:paraId="7E331D5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Lot de travail</w:t>
            </w:r>
          </w:p>
        </w:tc>
        <w:tc>
          <w:tcPr>
            <w:tcW w:w="6257" w:type="dxa"/>
            <w:tcBorders>
              <w:top w:val="single" w:sz="4" w:space="0" w:color="000000"/>
              <w:left w:val="single" w:sz="4" w:space="0" w:color="000000"/>
              <w:bottom w:val="single" w:sz="4" w:space="0" w:color="000000"/>
              <w:right w:val="single" w:sz="4" w:space="0" w:color="000000"/>
            </w:tcBorders>
          </w:tcPr>
          <w:p w14:paraId="09F8CAF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Bloc de travail délimité dans la structure de découpage, avec son effort et son responsable. Les lots du projet sont L1 à L9, définis à la section 8.</w:t>
            </w:r>
          </w:p>
        </w:tc>
      </w:tr>
      <w:tr w:rsidR="00F50D70" w:rsidRPr="00BE4F47" w14:paraId="4AE2BD95" w14:textId="77777777">
        <w:tc>
          <w:tcPr>
            <w:tcW w:w="2300" w:type="dxa"/>
            <w:tcBorders>
              <w:top w:val="single" w:sz="4" w:space="0" w:color="000000"/>
              <w:left w:val="single" w:sz="4" w:space="0" w:color="000000"/>
              <w:bottom w:val="single" w:sz="4" w:space="0" w:color="000000"/>
              <w:right w:val="single" w:sz="4" w:space="0" w:color="000000"/>
            </w:tcBorders>
          </w:tcPr>
          <w:p w14:paraId="280B7A0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Classe d’estimation</w:t>
            </w:r>
          </w:p>
        </w:tc>
        <w:tc>
          <w:tcPr>
            <w:tcW w:w="6257" w:type="dxa"/>
            <w:tcBorders>
              <w:top w:val="single" w:sz="4" w:space="0" w:color="000000"/>
              <w:left w:val="single" w:sz="4" w:space="0" w:color="000000"/>
              <w:bottom w:val="single" w:sz="4" w:space="0" w:color="000000"/>
              <w:right w:val="single" w:sz="4" w:space="0" w:color="000000"/>
            </w:tcBorders>
          </w:tcPr>
          <w:p w14:paraId="5B5444D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Niveau de précision d’une estimation de coûts, selon la part du projet déjà définie au moment de l’estimer. La classe 5 est la moins précise.</w:t>
            </w:r>
          </w:p>
        </w:tc>
      </w:tr>
      <w:tr w:rsidR="00F50D70" w:rsidRPr="00BE4F47" w14:paraId="41E8979F" w14:textId="77777777">
        <w:tc>
          <w:tcPr>
            <w:tcW w:w="2300" w:type="dxa"/>
            <w:tcBorders>
              <w:top w:val="single" w:sz="4" w:space="0" w:color="000000"/>
              <w:left w:val="single" w:sz="4" w:space="0" w:color="000000"/>
              <w:bottom w:val="single" w:sz="4" w:space="0" w:color="000000"/>
              <w:right w:val="single" w:sz="4" w:space="0" w:color="000000"/>
            </w:tcBorders>
          </w:tcPr>
          <w:p w14:paraId="778FDB2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Coût de revient</w:t>
            </w:r>
          </w:p>
        </w:tc>
        <w:tc>
          <w:tcPr>
            <w:tcW w:w="6257" w:type="dxa"/>
            <w:tcBorders>
              <w:top w:val="single" w:sz="4" w:space="0" w:color="000000"/>
              <w:left w:val="single" w:sz="4" w:space="0" w:color="000000"/>
              <w:bottom w:val="single" w:sz="4" w:space="0" w:color="000000"/>
              <w:right w:val="single" w:sz="4" w:space="0" w:color="000000"/>
            </w:tcBorders>
          </w:tcPr>
          <w:p w14:paraId="64D7B28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Ce qu’une heure de travail coûte à l’équipe. À distinguer du prix facturé au client, qui comprend en plus la marge.</w:t>
            </w:r>
          </w:p>
        </w:tc>
      </w:tr>
      <w:tr w:rsidR="00F50D70" w:rsidRPr="00BE4F47" w14:paraId="20EB5BC4" w14:textId="77777777">
        <w:tc>
          <w:tcPr>
            <w:tcW w:w="2300" w:type="dxa"/>
            <w:tcBorders>
              <w:top w:val="single" w:sz="4" w:space="0" w:color="000000"/>
              <w:left w:val="single" w:sz="4" w:space="0" w:color="000000"/>
              <w:bottom w:val="single" w:sz="4" w:space="0" w:color="000000"/>
              <w:right w:val="single" w:sz="4" w:space="0" w:color="000000"/>
            </w:tcBorders>
          </w:tcPr>
          <w:p w14:paraId="130D798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Valeur acquise</w:t>
            </w:r>
          </w:p>
        </w:tc>
        <w:tc>
          <w:tcPr>
            <w:tcW w:w="6257" w:type="dxa"/>
            <w:tcBorders>
              <w:top w:val="single" w:sz="4" w:space="0" w:color="000000"/>
              <w:left w:val="single" w:sz="4" w:space="0" w:color="000000"/>
              <w:bottom w:val="single" w:sz="4" w:space="0" w:color="000000"/>
              <w:right w:val="single" w:sz="4" w:space="0" w:color="000000"/>
            </w:tcBorders>
          </w:tcPr>
          <w:p w14:paraId="06FC879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Valeur du travail réellement réalisé à une date donnée, exprimée en dollars, comparée à ce qui était prévu.</w:t>
            </w:r>
          </w:p>
        </w:tc>
      </w:tr>
      <w:tr w:rsidR="00F50D70" w:rsidRPr="00BE4F47" w14:paraId="0B95FB63" w14:textId="77777777">
        <w:tc>
          <w:tcPr>
            <w:tcW w:w="2300" w:type="dxa"/>
            <w:tcBorders>
              <w:top w:val="single" w:sz="4" w:space="0" w:color="000000"/>
              <w:left w:val="single" w:sz="4" w:space="0" w:color="000000"/>
              <w:bottom w:val="single" w:sz="4" w:space="0" w:color="000000"/>
              <w:right w:val="single" w:sz="4" w:space="0" w:color="000000"/>
            </w:tcBorders>
          </w:tcPr>
          <w:p w14:paraId="002C3DD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vérifiable</w:t>
            </w:r>
          </w:p>
        </w:tc>
        <w:tc>
          <w:tcPr>
            <w:tcW w:w="6257" w:type="dxa"/>
            <w:tcBorders>
              <w:top w:val="single" w:sz="4" w:space="0" w:color="000000"/>
              <w:left w:val="single" w:sz="4" w:space="0" w:color="000000"/>
              <w:bottom w:val="single" w:sz="4" w:space="0" w:color="000000"/>
              <w:right w:val="single" w:sz="4" w:space="0" w:color="000000"/>
            </w:tcBorders>
          </w:tcPr>
          <w:p w14:paraId="3C4DB14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formulée de façon à ce qu’un essai ou une inspection puisse établir si elle est satisfaite ou non.</w:t>
            </w:r>
          </w:p>
        </w:tc>
      </w:tr>
    </w:tbl>
    <w:p w14:paraId="13D9AEA1" w14:textId="77777777" w:rsidR="00F50D70" w:rsidRPr="00BE4F47" w:rsidRDefault="00F50D70" w:rsidP="008E113B">
      <w:pPr>
        <w:keepLines/>
        <w:spacing w:before="240" w:line="360" w:lineRule="auto"/>
        <w:ind w:left="0"/>
        <w:jc w:val="left"/>
        <w:outlineLvl w:val="0"/>
        <w:rPr>
          <w:rFonts w:ascii="Aptos" w:eastAsia="DengXian Light" w:hAnsi="Aptos" w:cs="Times New Roman"/>
          <w:color w:val="2F5496"/>
          <w:sz w:val="32"/>
          <w:szCs w:val="32"/>
          <w:lang w:eastAsia="en-US"/>
        </w:rPr>
      </w:pPr>
    </w:p>
    <w:p w14:paraId="210D09AB" w14:textId="77777777" w:rsidR="00F50D70" w:rsidRPr="00BE4F47" w:rsidRDefault="00137D7F" w:rsidP="008E113B">
      <w:pPr>
        <w:spacing w:line="360" w:lineRule="auto"/>
        <w:ind w:left="0"/>
        <w:outlineLvl w:val="9"/>
        <w:rPr>
          <w:rFonts w:ascii="Aptos" w:eastAsia="DengXian Light" w:hAnsi="Aptos"/>
          <w:bCs/>
          <w:color w:val="2F5496"/>
          <w:sz w:val="32"/>
          <w:szCs w:val="32"/>
          <w:lang w:eastAsia="en-US"/>
        </w:rPr>
      </w:pPr>
      <w:bookmarkStart w:id="1" w:name="__RefHeading___Toc240715053"/>
      <w:bookmarkEnd w:id="1"/>
      <w:r w:rsidRPr="00BE4F47">
        <w:rPr>
          <w:rFonts w:ascii="Aptos" w:eastAsia="Calibri" w:hAnsi="Aptos" w:cs="Calibri"/>
          <w:bCs/>
          <w:color w:val="1A1A19"/>
          <w:sz w:val="20"/>
          <w:szCs w:val="20"/>
          <w:lang w:eastAsia="en-US"/>
        </w:rPr>
        <w:t>Abréviations/acronymes</w:t>
      </w:r>
    </w:p>
    <w:tbl>
      <w:tblPr>
        <w:tblW w:w="9054" w:type="dxa"/>
        <w:tblLayout w:type="fixed"/>
        <w:tblLook w:val="04A0" w:firstRow="1" w:lastRow="0" w:firstColumn="1" w:lastColumn="0" w:noHBand="0" w:noVBand="1"/>
      </w:tblPr>
      <w:tblGrid>
        <w:gridCol w:w="1812"/>
        <w:gridCol w:w="7242"/>
      </w:tblGrid>
      <w:tr w:rsidR="00F50D70" w:rsidRPr="00BE4F47" w14:paraId="689B249C" w14:textId="77777777">
        <w:tc>
          <w:tcPr>
            <w:tcW w:w="1713" w:type="dxa"/>
            <w:tcBorders>
              <w:top w:val="single" w:sz="4" w:space="0" w:color="000000"/>
              <w:left w:val="single" w:sz="4" w:space="0" w:color="000000"/>
              <w:bottom w:val="single" w:sz="4" w:space="0" w:color="000000"/>
              <w:right w:val="single" w:sz="4" w:space="0" w:color="000000"/>
            </w:tcBorders>
            <w:shd w:val="clear" w:color="auto" w:fill="C5E0B3"/>
          </w:tcPr>
          <w:p w14:paraId="0C389AEC"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Abré./Acro.</w:t>
            </w:r>
          </w:p>
        </w:tc>
        <w:tc>
          <w:tcPr>
            <w:tcW w:w="6844" w:type="dxa"/>
            <w:tcBorders>
              <w:top w:val="single" w:sz="4" w:space="0" w:color="000000"/>
              <w:left w:val="single" w:sz="4" w:space="0" w:color="000000"/>
              <w:bottom w:val="single" w:sz="4" w:space="0" w:color="000000"/>
              <w:right w:val="single" w:sz="4" w:space="0" w:color="000000"/>
            </w:tcBorders>
            <w:shd w:val="clear" w:color="auto" w:fill="C5E0B3"/>
          </w:tcPr>
          <w:p w14:paraId="729C133E"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Définition</w:t>
            </w:r>
          </w:p>
        </w:tc>
      </w:tr>
      <w:tr w:rsidR="00F50D70" w:rsidRPr="00DE097D" w14:paraId="1331B0C0" w14:textId="77777777">
        <w:tc>
          <w:tcPr>
            <w:tcW w:w="1713" w:type="dxa"/>
            <w:tcBorders>
              <w:top w:val="single" w:sz="4" w:space="0" w:color="000000"/>
              <w:left w:val="single" w:sz="4" w:space="0" w:color="000000"/>
              <w:bottom w:val="single" w:sz="4" w:space="0" w:color="000000"/>
              <w:right w:val="single" w:sz="4" w:space="0" w:color="000000"/>
            </w:tcBorders>
          </w:tcPr>
          <w:p w14:paraId="22D874E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AACE</w:t>
            </w:r>
          </w:p>
        </w:tc>
        <w:tc>
          <w:tcPr>
            <w:tcW w:w="6844" w:type="dxa"/>
            <w:tcBorders>
              <w:top w:val="single" w:sz="4" w:space="0" w:color="000000"/>
              <w:left w:val="single" w:sz="4" w:space="0" w:color="000000"/>
              <w:bottom w:val="single" w:sz="4" w:space="0" w:color="000000"/>
              <w:right w:val="single" w:sz="4" w:space="0" w:color="000000"/>
            </w:tcBorders>
          </w:tcPr>
          <w:p w14:paraId="6508870B" w14:textId="77777777" w:rsidR="00F50D70" w:rsidRPr="00BE4F47" w:rsidRDefault="00137D7F" w:rsidP="008E113B">
            <w:pPr>
              <w:snapToGrid w:val="0"/>
              <w:spacing w:before="20" w:after="20"/>
              <w:ind w:left="0"/>
              <w:jc w:val="left"/>
              <w:outlineLvl w:val="9"/>
              <w:rPr>
                <w:rFonts w:ascii="Aptos" w:eastAsia="Calibri" w:hAnsi="Aptos" w:cs="Times New Roman"/>
                <w:lang w:val="en-CA" w:eastAsia="en-US"/>
              </w:rPr>
            </w:pPr>
            <w:r w:rsidRPr="00BE4F47">
              <w:rPr>
                <w:rFonts w:ascii="Aptos" w:eastAsia="Calibri" w:hAnsi="Aptos" w:cs="Times New Roman"/>
                <w:lang w:val="en-CA" w:eastAsia="en-US"/>
              </w:rPr>
              <w:t>Association for the Advancement of Cost Engineering</w:t>
            </w:r>
          </w:p>
        </w:tc>
      </w:tr>
      <w:tr w:rsidR="00F50D70" w:rsidRPr="00BE4F47" w14:paraId="3FF59581" w14:textId="77777777">
        <w:tc>
          <w:tcPr>
            <w:tcW w:w="1713" w:type="dxa"/>
            <w:tcBorders>
              <w:top w:val="single" w:sz="4" w:space="0" w:color="000000"/>
              <w:left w:val="single" w:sz="4" w:space="0" w:color="000000"/>
              <w:bottom w:val="single" w:sz="4" w:space="0" w:color="000000"/>
              <w:right w:val="single" w:sz="4" w:space="0" w:color="000000"/>
            </w:tcBorders>
          </w:tcPr>
          <w:p w14:paraId="2A4F51F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AIEA</w:t>
            </w:r>
          </w:p>
        </w:tc>
        <w:tc>
          <w:tcPr>
            <w:tcW w:w="6844" w:type="dxa"/>
            <w:tcBorders>
              <w:top w:val="single" w:sz="4" w:space="0" w:color="000000"/>
              <w:left w:val="single" w:sz="4" w:space="0" w:color="000000"/>
              <w:bottom w:val="single" w:sz="4" w:space="0" w:color="000000"/>
              <w:right w:val="single" w:sz="4" w:space="0" w:color="000000"/>
            </w:tcBorders>
          </w:tcPr>
          <w:p w14:paraId="40094DA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Agence internationale de l’énergie atomique</w:t>
            </w:r>
          </w:p>
        </w:tc>
      </w:tr>
      <w:tr w:rsidR="00F50D70" w:rsidRPr="00DE097D" w14:paraId="10F717E2" w14:textId="77777777">
        <w:tc>
          <w:tcPr>
            <w:tcW w:w="1713" w:type="dxa"/>
            <w:tcBorders>
              <w:top w:val="single" w:sz="4" w:space="0" w:color="000000"/>
              <w:left w:val="single" w:sz="4" w:space="0" w:color="000000"/>
              <w:bottom w:val="single" w:sz="4" w:space="0" w:color="000000"/>
              <w:right w:val="single" w:sz="4" w:space="0" w:color="000000"/>
            </w:tcBorders>
          </w:tcPr>
          <w:p w14:paraId="4B753D6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ASME</w:t>
            </w:r>
          </w:p>
        </w:tc>
        <w:tc>
          <w:tcPr>
            <w:tcW w:w="6844" w:type="dxa"/>
            <w:tcBorders>
              <w:top w:val="single" w:sz="4" w:space="0" w:color="000000"/>
              <w:left w:val="single" w:sz="4" w:space="0" w:color="000000"/>
              <w:bottom w:val="single" w:sz="4" w:space="0" w:color="000000"/>
              <w:right w:val="single" w:sz="4" w:space="0" w:color="000000"/>
            </w:tcBorders>
          </w:tcPr>
          <w:p w14:paraId="6BC21D9E" w14:textId="77777777" w:rsidR="00F50D70" w:rsidRPr="00BE4F47" w:rsidRDefault="00137D7F" w:rsidP="008E113B">
            <w:pPr>
              <w:snapToGrid w:val="0"/>
              <w:spacing w:before="20" w:after="20"/>
              <w:ind w:left="0"/>
              <w:jc w:val="left"/>
              <w:outlineLvl w:val="9"/>
              <w:rPr>
                <w:rFonts w:ascii="Aptos" w:eastAsia="Calibri" w:hAnsi="Aptos" w:cs="Times New Roman"/>
                <w:lang w:val="en-CA" w:eastAsia="en-US"/>
              </w:rPr>
            </w:pPr>
            <w:r w:rsidRPr="00BE4F47">
              <w:rPr>
                <w:rFonts w:ascii="Aptos" w:eastAsia="Calibri" w:hAnsi="Aptos" w:cs="Times New Roman"/>
                <w:lang w:val="en-CA" w:eastAsia="en-US"/>
              </w:rPr>
              <w:t>American Society of Mechanical Engineers</w:t>
            </w:r>
          </w:p>
        </w:tc>
      </w:tr>
      <w:tr w:rsidR="00F50D70" w:rsidRPr="00BE4F47" w14:paraId="2CA5935E" w14:textId="77777777">
        <w:tc>
          <w:tcPr>
            <w:tcW w:w="1713" w:type="dxa"/>
            <w:tcBorders>
              <w:top w:val="single" w:sz="4" w:space="0" w:color="000000"/>
              <w:left w:val="single" w:sz="4" w:space="0" w:color="000000"/>
              <w:bottom w:val="single" w:sz="4" w:space="0" w:color="000000"/>
              <w:right w:val="single" w:sz="4" w:space="0" w:color="000000"/>
            </w:tcBorders>
          </w:tcPr>
          <w:p w14:paraId="725BF8B7"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CCSN</w:t>
            </w:r>
          </w:p>
        </w:tc>
        <w:tc>
          <w:tcPr>
            <w:tcW w:w="6844" w:type="dxa"/>
            <w:tcBorders>
              <w:top w:val="single" w:sz="4" w:space="0" w:color="000000"/>
              <w:left w:val="single" w:sz="4" w:space="0" w:color="000000"/>
              <w:bottom w:val="single" w:sz="4" w:space="0" w:color="000000"/>
              <w:right w:val="single" w:sz="4" w:space="0" w:color="000000"/>
            </w:tcBorders>
          </w:tcPr>
          <w:p w14:paraId="4D61667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Commission canadienne de sûreté nucléaire</w:t>
            </w:r>
          </w:p>
        </w:tc>
      </w:tr>
      <w:tr w:rsidR="00F50D70" w:rsidRPr="00BE4F47" w14:paraId="6F8100DC" w14:textId="77777777">
        <w:tc>
          <w:tcPr>
            <w:tcW w:w="1713" w:type="dxa"/>
            <w:tcBorders>
              <w:top w:val="single" w:sz="4" w:space="0" w:color="000000"/>
              <w:left w:val="single" w:sz="4" w:space="0" w:color="000000"/>
              <w:bottom w:val="single" w:sz="4" w:space="0" w:color="000000"/>
              <w:right w:val="single" w:sz="4" w:space="0" w:color="000000"/>
            </w:tcBorders>
          </w:tcPr>
          <w:p w14:paraId="67133B5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CSA</w:t>
            </w:r>
          </w:p>
        </w:tc>
        <w:tc>
          <w:tcPr>
            <w:tcW w:w="6844" w:type="dxa"/>
            <w:tcBorders>
              <w:top w:val="single" w:sz="4" w:space="0" w:color="000000"/>
              <w:left w:val="single" w:sz="4" w:space="0" w:color="000000"/>
              <w:bottom w:val="single" w:sz="4" w:space="0" w:color="000000"/>
              <w:right w:val="single" w:sz="4" w:space="0" w:color="000000"/>
            </w:tcBorders>
          </w:tcPr>
          <w:p w14:paraId="67D8494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Groupe CSA, Association canadienne de normalisation</w:t>
            </w:r>
          </w:p>
        </w:tc>
      </w:tr>
      <w:tr w:rsidR="00F50D70" w:rsidRPr="00BE4F47" w14:paraId="7FB7B89E" w14:textId="77777777">
        <w:tc>
          <w:tcPr>
            <w:tcW w:w="1713" w:type="dxa"/>
            <w:tcBorders>
              <w:top w:val="single" w:sz="4" w:space="0" w:color="000000"/>
              <w:left w:val="single" w:sz="4" w:space="0" w:color="000000"/>
              <w:bottom w:val="single" w:sz="4" w:space="0" w:color="000000"/>
              <w:right w:val="single" w:sz="4" w:space="0" w:color="000000"/>
            </w:tcBorders>
          </w:tcPr>
          <w:p w14:paraId="430AFBB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EX-C</w:t>
            </w:r>
          </w:p>
        </w:tc>
        <w:tc>
          <w:tcPr>
            <w:tcW w:w="6844" w:type="dxa"/>
            <w:tcBorders>
              <w:top w:val="single" w:sz="4" w:space="0" w:color="000000"/>
              <w:left w:val="single" w:sz="4" w:space="0" w:color="000000"/>
              <w:bottom w:val="single" w:sz="4" w:space="0" w:color="000000"/>
              <w:right w:val="single" w:sz="4" w:space="0" w:color="000000"/>
            </w:tcBorders>
          </w:tcPr>
          <w:p w14:paraId="1767AF2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de périmètre ou de contrainte (registre de la section 1)</w:t>
            </w:r>
          </w:p>
        </w:tc>
      </w:tr>
      <w:tr w:rsidR="00F50D70" w:rsidRPr="00BE4F47" w14:paraId="5C4B6D61" w14:textId="77777777">
        <w:tc>
          <w:tcPr>
            <w:tcW w:w="1713" w:type="dxa"/>
            <w:tcBorders>
              <w:top w:val="single" w:sz="4" w:space="0" w:color="000000"/>
              <w:left w:val="single" w:sz="4" w:space="0" w:color="000000"/>
              <w:bottom w:val="single" w:sz="4" w:space="0" w:color="000000"/>
              <w:right w:val="single" w:sz="4" w:space="0" w:color="000000"/>
            </w:tcBorders>
          </w:tcPr>
          <w:p w14:paraId="463287D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EX-F</w:t>
            </w:r>
          </w:p>
        </w:tc>
        <w:tc>
          <w:tcPr>
            <w:tcW w:w="6844" w:type="dxa"/>
            <w:tcBorders>
              <w:top w:val="single" w:sz="4" w:space="0" w:color="000000"/>
              <w:left w:val="single" w:sz="4" w:space="0" w:color="000000"/>
              <w:bottom w:val="single" w:sz="4" w:space="0" w:color="000000"/>
              <w:right w:val="single" w:sz="4" w:space="0" w:color="000000"/>
            </w:tcBorders>
          </w:tcPr>
          <w:p w14:paraId="1B9272D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fonctionnelle (registre de la section 1)</w:t>
            </w:r>
          </w:p>
        </w:tc>
      </w:tr>
      <w:tr w:rsidR="00F50D70" w:rsidRPr="00BE4F47" w14:paraId="5F876B23" w14:textId="77777777">
        <w:tc>
          <w:tcPr>
            <w:tcW w:w="1713" w:type="dxa"/>
            <w:tcBorders>
              <w:top w:val="single" w:sz="4" w:space="0" w:color="000000"/>
              <w:left w:val="single" w:sz="4" w:space="0" w:color="000000"/>
              <w:bottom w:val="single" w:sz="4" w:space="0" w:color="000000"/>
              <w:right w:val="single" w:sz="4" w:space="0" w:color="000000"/>
            </w:tcBorders>
          </w:tcPr>
          <w:p w14:paraId="54AFF79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EX-Q</w:t>
            </w:r>
          </w:p>
        </w:tc>
        <w:tc>
          <w:tcPr>
            <w:tcW w:w="6844" w:type="dxa"/>
            <w:tcBorders>
              <w:top w:val="single" w:sz="4" w:space="0" w:color="000000"/>
              <w:left w:val="single" w:sz="4" w:space="0" w:color="000000"/>
              <w:bottom w:val="single" w:sz="4" w:space="0" w:color="000000"/>
              <w:right w:val="single" w:sz="4" w:space="0" w:color="000000"/>
            </w:tcBorders>
          </w:tcPr>
          <w:p w14:paraId="7DB9E4B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de qualité (registre de la section 1)</w:t>
            </w:r>
          </w:p>
        </w:tc>
      </w:tr>
      <w:tr w:rsidR="00F50D70" w:rsidRPr="00BE4F47" w14:paraId="614DBF06" w14:textId="77777777">
        <w:tc>
          <w:tcPr>
            <w:tcW w:w="1713" w:type="dxa"/>
            <w:tcBorders>
              <w:top w:val="single" w:sz="4" w:space="0" w:color="000000"/>
              <w:left w:val="single" w:sz="4" w:space="0" w:color="000000"/>
              <w:bottom w:val="single" w:sz="4" w:space="0" w:color="000000"/>
              <w:right w:val="single" w:sz="4" w:space="0" w:color="000000"/>
            </w:tcBorders>
          </w:tcPr>
          <w:p w14:paraId="6925FBE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GEMMA</w:t>
            </w:r>
          </w:p>
        </w:tc>
        <w:tc>
          <w:tcPr>
            <w:tcW w:w="6844" w:type="dxa"/>
            <w:tcBorders>
              <w:top w:val="single" w:sz="4" w:space="0" w:color="000000"/>
              <w:left w:val="single" w:sz="4" w:space="0" w:color="000000"/>
              <w:bottom w:val="single" w:sz="4" w:space="0" w:color="000000"/>
              <w:right w:val="single" w:sz="4" w:space="0" w:color="000000"/>
            </w:tcBorders>
          </w:tcPr>
          <w:p w14:paraId="713D8CC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Guide d’étude des modes de marche et d’arrêt</w:t>
            </w:r>
          </w:p>
        </w:tc>
      </w:tr>
      <w:tr w:rsidR="00F50D70" w:rsidRPr="00BE4F47" w14:paraId="3D43FE15" w14:textId="77777777">
        <w:tc>
          <w:tcPr>
            <w:tcW w:w="1713" w:type="dxa"/>
            <w:tcBorders>
              <w:top w:val="single" w:sz="4" w:space="0" w:color="000000"/>
              <w:left w:val="single" w:sz="4" w:space="0" w:color="000000"/>
              <w:bottom w:val="single" w:sz="4" w:space="0" w:color="000000"/>
              <w:right w:val="single" w:sz="4" w:space="0" w:color="000000"/>
            </w:tcBorders>
          </w:tcPr>
          <w:p w14:paraId="7EA62D3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IEC</w:t>
            </w:r>
          </w:p>
        </w:tc>
        <w:tc>
          <w:tcPr>
            <w:tcW w:w="6844" w:type="dxa"/>
            <w:tcBorders>
              <w:top w:val="single" w:sz="4" w:space="0" w:color="000000"/>
              <w:left w:val="single" w:sz="4" w:space="0" w:color="000000"/>
              <w:bottom w:val="single" w:sz="4" w:space="0" w:color="000000"/>
              <w:right w:val="single" w:sz="4" w:space="0" w:color="000000"/>
            </w:tcBorders>
          </w:tcPr>
          <w:p w14:paraId="482136E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International Electrotechnical Commission</w:t>
            </w:r>
          </w:p>
        </w:tc>
      </w:tr>
      <w:tr w:rsidR="00F50D70" w:rsidRPr="00DE097D" w14:paraId="2E343864" w14:textId="77777777">
        <w:tc>
          <w:tcPr>
            <w:tcW w:w="1713" w:type="dxa"/>
            <w:tcBorders>
              <w:top w:val="single" w:sz="4" w:space="0" w:color="000000"/>
              <w:left w:val="single" w:sz="4" w:space="0" w:color="000000"/>
              <w:bottom w:val="single" w:sz="4" w:space="0" w:color="000000"/>
              <w:right w:val="single" w:sz="4" w:space="0" w:color="000000"/>
            </w:tcBorders>
          </w:tcPr>
          <w:p w14:paraId="74772E03"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IEEE</w:t>
            </w:r>
          </w:p>
        </w:tc>
        <w:tc>
          <w:tcPr>
            <w:tcW w:w="6844" w:type="dxa"/>
            <w:tcBorders>
              <w:top w:val="single" w:sz="4" w:space="0" w:color="000000"/>
              <w:left w:val="single" w:sz="4" w:space="0" w:color="000000"/>
              <w:bottom w:val="single" w:sz="4" w:space="0" w:color="000000"/>
              <w:right w:val="single" w:sz="4" w:space="0" w:color="000000"/>
            </w:tcBorders>
          </w:tcPr>
          <w:p w14:paraId="1B2D26BF" w14:textId="77777777" w:rsidR="00F50D70" w:rsidRPr="00BE4F47" w:rsidRDefault="00137D7F" w:rsidP="008E113B">
            <w:pPr>
              <w:snapToGrid w:val="0"/>
              <w:spacing w:before="20" w:after="20"/>
              <w:ind w:left="0"/>
              <w:jc w:val="left"/>
              <w:outlineLvl w:val="9"/>
              <w:rPr>
                <w:rFonts w:ascii="Aptos" w:eastAsia="Calibri" w:hAnsi="Aptos" w:cs="Times New Roman"/>
                <w:lang w:val="en-CA" w:eastAsia="en-US"/>
              </w:rPr>
            </w:pPr>
            <w:r w:rsidRPr="00BE4F47">
              <w:rPr>
                <w:rFonts w:ascii="Aptos" w:eastAsia="Calibri" w:hAnsi="Aptos" w:cs="Times New Roman"/>
                <w:lang w:val="en-CA" w:eastAsia="en-US"/>
              </w:rPr>
              <w:t>Institute of Electrical and Electronics Engineers</w:t>
            </w:r>
          </w:p>
        </w:tc>
      </w:tr>
      <w:tr w:rsidR="00F50D70" w:rsidRPr="00BE4F47" w14:paraId="749FE795" w14:textId="77777777">
        <w:tc>
          <w:tcPr>
            <w:tcW w:w="1713" w:type="dxa"/>
            <w:tcBorders>
              <w:top w:val="single" w:sz="4" w:space="0" w:color="000000"/>
              <w:left w:val="single" w:sz="4" w:space="0" w:color="000000"/>
              <w:bottom w:val="single" w:sz="4" w:space="0" w:color="000000"/>
              <w:right w:val="single" w:sz="4" w:space="0" w:color="000000"/>
            </w:tcBorders>
          </w:tcPr>
          <w:p w14:paraId="2464275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IHM</w:t>
            </w:r>
          </w:p>
        </w:tc>
        <w:tc>
          <w:tcPr>
            <w:tcW w:w="6844" w:type="dxa"/>
            <w:tcBorders>
              <w:top w:val="single" w:sz="4" w:space="0" w:color="000000"/>
              <w:left w:val="single" w:sz="4" w:space="0" w:color="000000"/>
              <w:bottom w:val="single" w:sz="4" w:space="0" w:color="000000"/>
              <w:right w:val="single" w:sz="4" w:space="0" w:color="000000"/>
            </w:tcBorders>
          </w:tcPr>
          <w:p w14:paraId="3146651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Interface homme-machine</w:t>
            </w:r>
          </w:p>
        </w:tc>
      </w:tr>
      <w:tr w:rsidR="00F50D70" w:rsidRPr="00BE4F47" w14:paraId="2FE55E33" w14:textId="77777777">
        <w:tc>
          <w:tcPr>
            <w:tcW w:w="1713" w:type="dxa"/>
            <w:tcBorders>
              <w:top w:val="single" w:sz="4" w:space="0" w:color="000000"/>
              <w:left w:val="single" w:sz="4" w:space="0" w:color="000000"/>
              <w:bottom w:val="single" w:sz="4" w:space="0" w:color="000000"/>
              <w:right w:val="single" w:sz="4" w:space="0" w:color="000000"/>
            </w:tcBorders>
          </w:tcPr>
          <w:p w14:paraId="358437F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ISO</w:t>
            </w:r>
          </w:p>
        </w:tc>
        <w:tc>
          <w:tcPr>
            <w:tcW w:w="6844" w:type="dxa"/>
            <w:tcBorders>
              <w:top w:val="single" w:sz="4" w:space="0" w:color="000000"/>
              <w:left w:val="single" w:sz="4" w:space="0" w:color="000000"/>
              <w:bottom w:val="single" w:sz="4" w:space="0" w:color="000000"/>
              <w:right w:val="single" w:sz="4" w:space="0" w:color="000000"/>
            </w:tcBorders>
          </w:tcPr>
          <w:p w14:paraId="2C64BE4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Organisation internationale de normalisation</w:t>
            </w:r>
          </w:p>
        </w:tc>
      </w:tr>
      <w:tr w:rsidR="00F50D70" w:rsidRPr="00BE4F47" w14:paraId="778E3D3B" w14:textId="77777777">
        <w:tc>
          <w:tcPr>
            <w:tcW w:w="1713" w:type="dxa"/>
            <w:tcBorders>
              <w:top w:val="single" w:sz="4" w:space="0" w:color="000000"/>
              <w:left w:val="single" w:sz="4" w:space="0" w:color="000000"/>
              <w:bottom w:val="single" w:sz="4" w:space="0" w:color="000000"/>
              <w:right w:val="single" w:sz="4" w:space="0" w:color="000000"/>
            </w:tcBorders>
          </w:tcPr>
          <w:p w14:paraId="0D5B964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LFS</w:t>
            </w:r>
          </w:p>
        </w:tc>
        <w:tc>
          <w:tcPr>
            <w:tcW w:w="6844" w:type="dxa"/>
            <w:tcBorders>
              <w:top w:val="single" w:sz="4" w:space="0" w:color="000000"/>
              <w:left w:val="single" w:sz="4" w:space="0" w:color="000000"/>
              <w:bottom w:val="single" w:sz="4" w:space="0" w:color="000000"/>
              <w:right w:val="single" w:sz="4" w:space="0" w:color="000000"/>
            </w:tcBorders>
          </w:tcPr>
          <w:p w14:paraId="0DA11423"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Large File Storage, extension de Git pour les fichiers volumineux</w:t>
            </w:r>
          </w:p>
        </w:tc>
      </w:tr>
      <w:tr w:rsidR="00F50D70" w:rsidRPr="00BE4F47" w14:paraId="1D1AEAD7" w14:textId="77777777">
        <w:tc>
          <w:tcPr>
            <w:tcW w:w="1713" w:type="dxa"/>
            <w:tcBorders>
              <w:top w:val="single" w:sz="4" w:space="0" w:color="000000"/>
              <w:left w:val="single" w:sz="4" w:space="0" w:color="000000"/>
              <w:bottom w:val="single" w:sz="4" w:space="0" w:color="000000"/>
              <w:right w:val="single" w:sz="4" w:space="0" w:color="000000"/>
            </w:tcBorders>
          </w:tcPr>
          <w:p w14:paraId="1569B128"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NRC</w:t>
            </w:r>
          </w:p>
        </w:tc>
        <w:tc>
          <w:tcPr>
            <w:tcW w:w="6844" w:type="dxa"/>
            <w:tcBorders>
              <w:top w:val="single" w:sz="4" w:space="0" w:color="000000"/>
              <w:left w:val="single" w:sz="4" w:space="0" w:color="000000"/>
              <w:bottom w:val="single" w:sz="4" w:space="0" w:color="000000"/>
              <w:right w:val="single" w:sz="4" w:space="0" w:color="000000"/>
            </w:tcBorders>
          </w:tcPr>
          <w:p w14:paraId="12BDF98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Nuclear Regulatory Commission des États-Unis</w:t>
            </w:r>
          </w:p>
        </w:tc>
      </w:tr>
      <w:tr w:rsidR="00F50D70" w:rsidRPr="00BE4F47" w14:paraId="6CCEAC9F" w14:textId="77777777">
        <w:tc>
          <w:tcPr>
            <w:tcW w:w="1713" w:type="dxa"/>
            <w:tcBorders>
              <w:top w:val="single" w:sz="4" w:space="0" w:color="000000"/>
              <w:left w:val="single" w:sz="4" w:space="0" w:color="000000"/>
              <w:bottom w:val="single" w:sz="4" w:space="0" w:color="000000"/>
              <w:right w:val="single" w:sz="4" w:space="0" w:color="000000"/>
            </w:tcBorders>
          </w:tcPr>
          <w:p w14:paraId="58FDE66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OPC UA</w:t>
            </w:r>
          </w:p>
        </w:tc>
        <w:tc>
          <w:tcPr>
            <w:tcW w:w="6844" w:type="dxa"/>
            <w:tcBorders>
              <w:top w:val="single" w:sz="4" w:space="0" w:color="000000"/>
              <w:left w:val="single" w:sz="4" w:space="0" w:color="000000"/>
              <w:bottom w:val="single" w:sz="4" w:space="0" w:color="000000"/>
              <w:right w:val="single" w:sz="4" w:space="0" w:color="000000"/>
            </w:tcBorders>
          </w:tcPr>
          <w:p w14:paraId="1F7BD608"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OPC Unified Architecture, norme d’interopérabilité industrielle</w:t>
            </w:r>
          </w:p>
        </w:tc>
      </w:tr>
      <w:tr w:rsidR="00F50D70" w:rsidRPr="00BE4F47" w14:paraId="49D4916C" w14:textId="77777777">
        <w:tc>
          <w:tcPr>
            <w:tcW w:w="1713" w:type="dxa"/>
            <w:tcBorders>
              <w:top w:val="single" w:sz="4" w:space="0" w:color="000000"/>
              <w:left w:val="single" w:sz="4" w:space="0" w:color="000000"/>
              <w:bottom w:val="single" w:sz="4" w:space="0" w:color="000000"/>
              <w:right w:val="single" w:sz="4" w:space="0" w:color="000000"/>
            </w:tcBorders>
          </w:tcPr>
          <w:p w14:paraId="58EB5863"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RACI</w:t>
            </w:r>
          </w:p>
        </w:tc>
        <w:tc>
          <w:tcPr>
            <w:tcW w:w="6844" w:type="dxa"/>
            <w:tcBorders>
              <w:top w:val="single" w:sz="4" w:space="0" w:color="000000"/>
              <w:left w:val="single" w:sz="4" w:space="0" w:color="000000"/>
              <w:bottom w:val="single" w:sz="4" w:space="0" w:color="000000"/>
              <w:right w:val="single" w:sz="4" w:space="0" w:color="000000"/>
            </w:tcBorders>
          </w:tcPr>
          <w:p w14:paraId="57AAADA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Responsable, Approbateur, Consulté, Informé</w:t>
            </w:r>
          </w:p>
        </w:tc>
      </w:tr>
      <w:tr w:rsidR="00F50D70" w:rsidRPr="00BE4F47" w14:paraId="11ECCED0" w14:textId="77777777">
        <w:tc>
          <w:tcPr>
            <w:tcW w:w="1713" w:type="dxa"/>
            <w:tcBorders>
              <w:top w:val="single" w:sz="4" w:space="0" w:color="000000"/>
              <w:left w:val="single" w:sz="4" w:space="0" w:color="000000"/>
              <w:bottom w:val="single" w:sz="4" w:space="0" w:color="000000"/>
              <w:right w:val="single" w:sz="4" w:space="0" w:color="000000"/>
            </w:tcBorders>
          </w:tcPr>
          <w:p w14:paraId="7ADBA71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RBS</w:t>
            </w:r>
          </w:p>
        </w:tc>
        <w:tc>
          <w:tcPr>
            <w:tcW w:w="6844" w:type="dxa"/>
            <w:tcBorders>
              <w:top w:val="single" w:sz="4" w:space="0" w:color="000000"/>
              <w:left w:val="single" w:sz="4" w:space="0" w:color="000000"/>
              <w:bottom w:val="single" w:sz="4" w:space="0" w:color="000000"/>
              <w:right w:val="single" w:sz="4" w:space="0" w:color="000000"/>
            </w:tcBorders>
          </w:tcPr>
          <w:p w14:paraId="57A5E27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Structure de découpage des risques</w:t>
            </w:r>
          </w:p>
        </w:tc>
      </w:tr>
      <w:tr w:rsidR="00F50D70" w:rsidRPr="00BE4F47" w14:paraId="7F17D3B5" w14:textId="77777777">
        <w:tc>
          <w:tcPr>
            <w:tcW w:w="1713" w:type="dxa"/>
            <w:tcBorders>
              <w:top w:val="single" w:sz="4" w:space="0" w:color="000000"/>
              <w:left w:val="single" w:sz="4" w:space="0" w:color="000000"/>
              <w:bottom w:val="single" w:sz="4" w:space="0" w:color="000000"/>
              <w:right w:val="single" w:sz="4" w:space="0" w:color="000000"/>
            </w:tcBorders>
          </w:tcPr>
          <w:p w14:paraId="44C6B92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REGDOC</w:t>
            </w:r>
          </w:p>
        </w:tc>
        <w:tc>
          <w:tcPr>
            <w:tcW w:w="6844" w:type="dxa"/>
            <w:tcBorders>
              <w:top w:val="single" w:sz="4" w:space="0" w:color="000000"/>
              <w:left w:val="single" w:sz="4" w:space="0" w:color="000000"/>
              <w:bottom w:val="single" w:sz="4" w:space="0" w:color="000000"/>
              <w:right w:val="single" w:sz="4" w:space="0" w:color="000000"/>
            </w:tcBorders>
          </w:tcPr>
          <w:p w14:paraId="16BA2B3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Document d’application de la réglementation de la CCSN</w:t>
            </w:r>
          </w:p>
        </w:tc>
      </w:tr>
      <w:tr w:rsidR="00F50D70" w:rsidRPr="00BE4F47" w14:paraId="663377D1" w14:textId="77777777">
        <w:tc>
          <w:tcPr>
            <w:tcW w:w="1713" w:type="dxa"/>
            <w:tcBorders>
              <w:top w:val="single" w:sz="4" w:space="0" w:color="000000"/>
              <w:left w:val="single" w:sz="4" w:space="0" w:color="000000"/>
              <w:bottom w:val="single" w:sz="4" w:space="0" w:color="000000"/>
              <w:right w:val="single" w:sz="4" w:space="0" w:color="000000"/>
            </w:tcBorders>
          </w:tcPr>
          <w:p w14:paraId="4FC1470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RLRQ</w:t>
            </w:r>
          </w:p>
        </w:tc>
        <w:tc>
          <w:tcPr>
            <w:tcW w:w="6844" w:type="dxa"/>
            <w:tcBorders>
              <w:top w:val="single" w:sz="4" w:space="0" w:color="000000"/>
              <w:left w:val="single" w:sz="4" w:space="0" w:color="000000"/>
              <w:bottom w:val="single" w:sz="4" w:space="0" w:color="000000"/>
              <w:right w:val="single" w:sz="4" w:space="0" w:color="000000"/>
            </w:tcBorders>
          </w:tcPr>
          <w:p w14:paraId="44CF77C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Recueil des lois et des règlements du Québec</w:t>
            </w:r>
          </w:p>
        </w:tc>
      </w:tr>
      <w:tr w:rsidR="00F50D70" w:rsidRPr="00BE4F47" w14:paraId="1B0C26FD" w14:textId="77777777">
        <w:tc>
          <w:tcPr>
            <w:tcW w:w="1713" w:type="dxa"/>
            <w:tcBorders>
              <w:top w:val="single" w:sz="4" w:space="0" w:color="000000"/>
              <w:left w:val="single" w:sz="4" w:space="0" w:color="000000"/>
              <w:bottom w:val="single" w:sz="4" w:space="0" w:color="000000"/>
              <w:right w:val="single" w:sz="4" w:space="0" w:color="000000"/>
            </w:tcBorders>
          </w:tcPr>
          <w:p w14:paraId="5021CFF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RP, RT</w:t>
            </w:r>
          </w:p>
        </w:tc>
        <w:tc>
          <w:tcPr>
            <w:tcW w:w="6844" w:type="dxa"/>
            <w:tcBorders>
              <w:top w:val="single" w:sz="4" w:space="0" w:color="000000"/>
              <w:left w:val="single" w:sz="4" w:space="0" w:color="000000"/>
              <w:bottom w:val="single" w:sz="4" w:space="0" w:color="000000"/>
              <w:right w:val="single" w:sz="4" w:space="0" w:color="000000"/>
            </w:tcBorders>
          </w:tcPr>
          <w:p w14:paraId="3C33673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Risque de projet, risque de produit (registres de la section 7)</w:t>
            </w:r>
          </w:p>
        </w:tc>
      </w:tr>
      <w:tr w:rsidR="00F50D70" w:rsidRPr="00BE4F47" w14:paraId="136546CF" w14:textId="77777777">
        <w:tc>
          <w:tcPr>
            <w:tcW w:w="1713" w:type="dxa"/>
            <w:tcBorders>
              <w:top w:val="single" w:sz="4" w:space="0" w:color="000000"/>
              <w:left w:val="single" w:sz="4" w:space="0" w:color="000000"/>
              <w:bottom w:val="single" w:sz="4" w:space="0" w:color="000000"/>
              <w:right w:val="single" w:sz="4" w:space="0" w:color="000000"/>
            </w:tcBorders>
          </w:tcPr>
          <w:p w14:paraId="5F887B4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SCADA</w:t>
            </w:r>
          </w:p>
        </w:tc>
        <w:tc>
          <w:tcPr>
            <w:tcW w:w="6844" w:type="dxa"/>
            <w:tcBorders>
              <w:top w:val="single" w:sz="4" w:space="0" w:color="000000"/>
              <w:left w:val="single" w:sz="4" w:space="0" w:color="000000"/>
              <w:bottom w:val="single" w:sz="4" w:space="0" w:color="000000"/>
              <w:right w:val="single" w:sz="4" w:space="0" w:color="000000"/>
            </w:tcBorders>
          </w:tcPr>
          <w:p w14:paraId="11EEDB7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Système de télésurveillance et d’acquisition de données</w:t>
            </w:r>
          </w:p>
        </w:tc>
      </w:tr>
      <w:tr w:rsidR="00F50D70" w:rsidRPr="00BE4F47" w14:paraId="14C6A4D3" w14:textId="77777777">
        <w:tc>
          <w:tcPr>
            <w:tcW w:w="1713" w:type="dxa"/>
            <w:tcBorders>
              <w:top w:val="single" w:sz="4" w:space="0" w:color="000000"/>
              <w:left w:val="single" w:sz="4" w:space="0" w:color="000000"/>
              <w:bottom w:val="single" w:sz="4" w:space="0" w:color="000000"/>
              <w:right w:val="single" w:sz="4" w:space="0" w:color="000000"/>
            </w:tcBorders>
          </w:tcPr>
          <w:p w14:paraId="2F5A34F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lastRenderedPageBreak/>
              <w:t>UML</w:t>
            </w:r>
          </w:p>
        </w:tc>
        <w:tc>
          <w:tcPr>
            <w:tcW w:w="6844" w:type="dxa"/>
            <w:tcBorders>
              <w:top w:val="single" w:sz="4" w:space="0" w:color="000000"/>
              <w:left w:val="single" w:sz="4" w:space="0" w:color="000000"/>
              <w:bottom w:val="single" w:sz="4" w:space="0" w:color="000000"/>
              <w:right w:val="single" w:sz="4" w:space="0" w:color="000000"/>
            </w:tcBorders>
          </w:tcPr>
          <w:p w14:paraId="32AF93D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Unified Modeling Language, langage de modélisation</w:t>
            </w:r>
          </w:p>
        </w:tc>
      </w:tr>
      <w:tr w:rsidR="00F50D70" w:rsidRPr="00BE4F47" w14:paraId="5FF0012B" w14:textId="77777777">
        <w:tc>
          <w:tcPr>
            <w:tcW w:w="1713" w:type="dxa"/>
            <w:tcBorders>
              <w:top w:val="single" w:sz="4" w:space="0" w:color="000000"/>
              <w:left w:val="single" w:sz="4" w:space="0" w:color="000000"/>
              <w:bottom w:val="single" w:sz="4" w:space="0" w:color="000000"/>
              <w:right w:val="single" w:sz="4" w:space="0" w:color="000000"/>
            </w:tcBorders>
          </w:tcPr>
          <w:p w14:paraId="042FDB9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UQAC</w:t>
            </w:r>
          </w:p>
        </w:tc>
        <w:tc>
          <w:tcPr>
            <w:tcW w:w="6844" w:type="dxa"/>
            <w:tcBorders>
              <w:top w:val="single" w:sz="4" w:space="0" w:color="000000"/>
              <w:left w:val="single" w:sz="4" w:space="0" w:color="000000"/>
              <w:bottom w:val="single" w:sz="4" w:space="0" w:color="000000"/>
              <w:right w:val="single" w:sz="4" w:space="0" w:color="000000"/>
            </w:tcBorders>
          </w:tcPr>
          <w:p w14:paraId="3B08E96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Université du Québec à Chicoutimi</w:t>
            </w:r>
          </w:p>
        </w:tc>
      </w:tr>
      <w:tr w:rsidR="00F50D70" w:rsidRPr="00BE4F47" w14:paraId="231ABA4C" w14:textId="77777777">
        <w:tc>
          <w:tcPr>
            <w:tcW w:w="1713" w:type="dxa"/>
            <w:tcBorders>
              <w:top w:val="single" w:sz="4" w:space="0" w:color="000000"/>
              <w:left w:val="single" w:sz="4" w:space="0" w:color="000000"/>
              <w:bottom w:val="single" w:sz="4" w:space="0" w:color="000000"/>
              <w:right w:val="single" w:sz="4" w:space="0" w:color="000000"/>
            </w:tcBorders>
          </w:tcPr>
          <w:p w14:paraId="23ADFBB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V&amp;V</w:t>
            </w:r>
          </w:p>
        </w:tc>
        <w:tc>
          <w:tcPr>
            <w:tcW w:w="6844" w:type="dxa"/>
            <w:tcBorders>
              <w:top w:val="single" w:sz="4" w:space="0" w:color="000000"/>
              <w:left w:val="single" w:sz="4" w:space="0" w:color="000000"/>
              <w:bottom w:val="single" w:sz="4" w:space="0" w:color="000000"/>
              <w:right w:val="single" w:sz="4" w:space="0" w:color="000000"/>
            </w:tcBorders>
          </w:tcPr>
          <w:p w14:paraId="649E2C6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Vérification et validation</w:t>
            </w:r>
          </w:p>
        </w:tc>
      </w:tr>
    </w:tbl>
    <w:p w14:paraId="2CB00D6D" w14:textId="77777777" w:rsidR="00F50D70" w:rsidRDefault="00137D7F" w:rsidP="008E113B">
      <w:pPr>
        <w:spacing w:line="360" w:lineRule="auto"/>
        <w:ind w:left="0"/>
        <w:outlineLvl w:val="9"/>
        <w:rPr>
          <w:rFonts w:ascii="Aptos" w:hAnsi="Aptos"/>
        </w:rPr>
      </w:pPr>
      <w:r w:rsidRPr="00BE4F47">
        <w:rPr>
          <w:rFonts w:ascii="Aptos" w:hAnsi="Aptos"/>
        </w:rPr>
        <w:br w:type="page"/>
      </w:r>
    </w:p>
    <w:sdt>
      <w:sdtPr>
        <w:rPr>
          <w:rFonts w:ascii="Times" w:eastAsia="MS Mincho" w:hAnsi="Times" w:cs="Times"/>
          <w:color w:val="auto"/>
          <w:sz w:val="22"/>
          <w:szCs w:val="22"/>
          <w:lang w:val="fr-CA"/>
        </w:rPr>
        <w:id w:val="-2112120358"/>
        <w:docPartObj>
          <w:docPartGallery w:val="Table of Contents"/>
          <w:docPartUnique/>
        </w:docPartObj>
      </w:sdtPr>
      <w:sdtEndPr>
        <w:rPr>
          <w:b/>
          <w:bCs/>
        </w:rPr>
      </w:sdtEndPr>
      <w:sdtContent>
        <w:p w14:paraId="78FFE7D6" w14:textId="77777777" w:rsidR="006D5CA3" w:rsidRDefault="006D5CA3">
          <w:pPr>
            <w:pStyle w:val="En-ttedetabledesmatires"/>
          </w:pPr>
          <w:r>
            <w:rPr>
              <w:lang w:val="fr-CA"/>
            </w:rPr>
            <w:t>Table des matières</w:t>
          </w:r>
        </w:p>
        <w:p w14:paraId="0CF2D169" w14:textId="24ADD907" w:rsidR="00DE097D" w:rsidRDefault="006D5CA3">
          <w:pPr>
            <w:pStyle w:val="TM4"/>
            <w:tabs>
              <w:tab w:val="right" w:leader="dot" w:pos="8828"/>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"1-4" \h \z \u </w:instrText>
          </w:r>
          <w:r>
            <w:fldChar w:fldCharType="separate"/>
          </w:r>
          <w:hyperlink w:anchor="_Toc241707679" w:history="1">
            <w:r w:rsidR="00DE097D" w:rsidRPr="004E70F0">
              <w:rPr>
                <w:rStyle w:val="Hyperlien"/>
                <w:noProof/>
                <w:lang w:eastAsia="en-US"/>
              </w:rPr>
              <w:t>Résumé exécutif</w:t>
            </w:r>
            <w:r w:rsidR="00DE097D">
              <w:rPr>
                <w:noProof/>
                <w:webHidden/>
              </w:rPr>
              <w:tab/>
            </w:r>
            <w:r w:rsidR="00DE097D">
              <w:rPr>
                <w:noProof/>
                <w:webHidden/>
              </w:rPr>
              <w:fldChar w:fldCharType="begin"/>
            </w:r>
            <w:r w:rsidR="00DE097D">
              <w:rPr>
                <w:noProof/>
                <w:webHidden/>
              </w:rPr>
              <w:instrText xml:space="preserve"> PAGEREF _Toc241707679 \h </w:instrText>
            </w:r>
            <w:r w:rsidR="00DE097D">
              <w:rPr>
                <w:noProof/>
                <w:webHidden/>
              </w:rPr>
            </w:r>
            <w:r w:rsidR="00DE097D">
              <w:rPr>
                <w:noProof/>
                <w:webHidden/>
              </w:rPr>
              <w:fldChar w:fldCharType="separate"/>
            </w:r>
            <w:r w:rsidR="00DE097D">
              <w:rPr>
                <w:noProof/>
                <w:webHidden/>
              </w:rPr>
              <w:t>35</w:t>
            </w:r>
            <w:r w:rsidR="00DE097D">
              <w:rPr>
                <w:noProof/>
                <w:webHidden/>
              </w:rPr>
              <w:fldChar w:fldCharType="end"/>
            </w:r>
          </w:hyperlink>
        </w:p>
        <w:p w14:paraId="071B7203" w14:textId="59CACC82"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687" w:history="1">
            <w:r w:rsidRPr="004E70F0">
              <w:rPr>
                <w:rStyle w:val="Hyperlien"/>
                <w:noProof/>
              </w:rPr>
              <w:t>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rFonts w:ascii="Aptos" w:hAnsi="Aptos"/>
                <w:noProof/>
              </w:rPr>
              <w:t>Analyse des besoins du client et des exigences des différents intervenants</w:t>
            </w:r>
            <w:r>
              <w:rPr>
                <w:noProof/>
                <w:webHidden/>
              </w:rPr>
              <w:tab/>
            </w:r>
            <w:r>
              <w:rPr>
                <w:noProof/>
                <w:webHidden/>
              </w:rPr>
              <w:fldChar w:fldCharType="begin"/>
            </w:r>
            <w:r>
              <w:rPr>
                <w:noProof/>
                <w:webHidden/>
              </w:rPr>
              <w:instrText xml:space="preserve"> PAGEREF _Toc241707687 \h </w:instrText>
            </w:r>
            <w:r>
              <w:rPr>
                <w:noProof/>
                <w:webHidden/>
              </w:rPr>
            </w:r>
            <w:r>
              <w:rPr>
                <w:noProof/>
                <w:webHidden/>
              </w:rPr>
              <w:fldChar w:fldCharType="separate"/>
            </w:r>
            <w:r>
              <w:rPr>
                <w:noProof/>
                <w:webHidden/>
              </w:rPr>
              <w:t>36</w:t>
            </w:r>
            <w:r>
              <w:rPr>
                <w:noProof/>
                <w:webHidden/>
              </w:rPr>
              <w:fldChar w:fldCharType="end"/>
            </w:r>
          </w:hyperlink>
        </w:p>
        <w:p w14:paraId="480D3ECE" w14:textId="7DBD31A6"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689" w:history="1">
            <w:r w:rsidRPr="004E70F0">
              <w:rPr>
                <w:rStyle w:val="Hyperlien"/>
                <w:noProof/>
              </w:rPr>
              <w:t>1.1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Contexte et mandat</w:t>
            </w:r>
            <w:r>
              <w:rPr>
                <w:noProof/>
                <w:webHidden/>
              </w:rPr>
              <w:tab/>
            </w:r>
            <w:r>
              <w:rPr>
                <w:noProof/>
                <w:webHidden/>
              </w:rPr>
              <w:fldChar w:fldCharType="begin"/>
            </w:r>
            <w:r>
              <w:rPr>
                <w:noProof/>
                <w:webHidden/>
              </w:rPr>
              <w:instrText xml:space="preserve"> PAGEREF _Toc241707689 \h </w:instrText>
            </w:r>
            <w:r>
              <w:rPr>
                <w:noProof/>
                <w:webHidden/>
              </w:rPr>
            </w:r>
            <w:r>
              <w:rPr>
                <w:noProof/>
                <w:webHidden/>
              </w:rPr>
              <w:fldChar w:fldCharType="separate"/>
            </w:r>
            <w:r>
              <w:rPr>
                <w:noProof/>
                <w:webHidden/>
              </w:rPr>
              <w:t>36</w:t>
            </w:r>
            <w:r>
              <w:rPr>
                <w:noProof/>
                <w:webHidden/>
              </w:rPr>
              <w:fldChar w:fldCharType="end"/>
            </w:r>
          </w:hyperlink>
        </w:p>
        <w:p w14:paraId="2A6D2FA8" w14:textId="1A199D5C"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698" w:history="1">
            <w:r w:rsidRPr="004E70F0">
              <w:rPr>
                <w:rStyle w:val="Hyperlien"/>
                <w:noProof/>
              </w:rPr>
              <w:t>1.2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Parties prenantes</w:t>
            </w:r>
            <w:r>
              <w:rPr>
                <w:noProof/>
                <w:webHidden/>
              </w:rPr>
              <w:tab/>
            </w:r>
            <w:r>
              <w:rPr>
                <w:noProof/>
                <w:webHidden/>
              </w:rPr>
              <w:fldChar w:fldCharType="begin"/>
            </w:r>
            <w:r>
              <w:rPr>
                <w:noProof/>
                <w:webHidden/>
              </w:rPr>
              <w:instrText xml:space="preserve"> PAGEREF _Toc241707698 \h </w:instrText>
            </w:r>
            <w:r>
              <w:rPr>
                <w:noProof/>
                <w:webHidden/>
              </w:rPr>
            </w:r>
            <w:r>
              <w:rPr>
                <w:noProof/>
                <w:webHidden/>
              </w:rPr>
              <w:fldChar w:fldCharType="separate"/>
            </w:r>
            <w:r>
              <w:rPr>
                <w:noProof/>
                <w:webHidden/>
              </w:rPr>
              <w:t>36</w:t>
            </w:r>
            <w:r>
              <w:rPr>
                <w:noProof/>
                <w:webHidden/>
              </w:rPr>
              <w:fldChar w:fldCharType="end"/>
            </w:r>
          </w:hyperlink>
        </w:p>
        <w:p w14:paraId="33030445" w14:textId="36161904"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01" w:history="1">
            <w:r w:rsidRPr="004E70F0">
              <w:rPr>
                <w:rStyle w:val="Hyperlien"/>
                <w:noProof/>
              </w:rPr>
              <w:t>1.3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Besoins et douleurs</w:t>
            </w:r>
            <w:r>
              <w:rPr>
                <w:noProof/>
                <w:webHidden/>
              </w:rPr>
              <w:tab/>
            </w:r>
            <w:r>
              <w:rPr>
                <w:noProof/>
                <w:webHidden/>
              </w:rPr>
              <w:fldChar w:fldCharType="begin"/>
            </w:r>
            <w:r>
              <w:rPr>
                <w:noProof/>
                <w:webHidden/>
              </w:rPr>
              <w:instrText xml:space="preserve"> PAGEREF _Toc241707701 \h </w:instrText>
            </w:r>
            <w:r>
              <w:rPr>
                <w:noProof/>
                <w:webHidden/>
              </w:rPr>
            </w:r>
            <w:r>
              <w:rPr>
                <w:noProof/>
                <w:webHidden/>
              </w:rPr>
              <w:fldChar w:fldCharType="separate"/>
            </w:r>
            <w:r>
              <w:rPr>
                <w:noProof/>
                <w:webHidden/>
              </w:rPr>
              <w:t>37</w:t>
            </w:r>
            <w:r>
              <w:rPr>
                <w:noProof/>
                <w:webHidden/>
              </w:rPr>
              <w:fldChar w:fldCharType="end"/>
            </w:r>
          </w:hyperlink>
        </w:p>
        <w:p w14:paraId="1D476ABE" w14:textId="3F7008F6"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14" w:history="1">
            <w:r w:rsidRPr="004E70F0">
              <w:rPr>
                <w:rStyle w:val="Hyperlien"/>
                <w:noProof/>
              </w:rPr>
              <w:t>1.4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Modes de fonctionnement et analyse fonctionnelle</w:t>
            </w:r>
            <w:r>
              <w:rPr>
                <w:noProof/>
                <w:webHidden/>
              </w:rPr>
              <w:tab/>
            </w:r>
            <w:r>
              <w:rPr>
                <w:noProof/>
                <w:webHidden/>
              </w:rPr>
              <w:fldChar w:fldCharType="begin"/>
            </w:r>
            <w:r>
              <w:rPr>
                <w:noProof/>
                <w:webHidden/>
              </w:rPr>
              <w:instrText xml:space="preserve"> PAGEREF _Toc241707714 \h </w:instrText>
            </w:r>
            <w:r>
              <w:rPr>
                <w:noProof/>
                <w:webHidden/>
              </w:rPr>
            </w:r>
            <w:r>
              <w:rPr>
                <w:noProof/>
                <w:webHidden/>
              </w:rPr>
              <w:fldChar w:fldCharType="separate"/>
            </w:r>
            <w:r>
              <w:rPr>
                <w:noProof/>
                <w:webHidden/>
              </w:rPr>
              <w:t>39</w:t>
            </w:r>
            <w:r>
              <w:rPr>
                <w:noProof/>
                <w:webHidden/>
              </w:rPr>
              <w:fldChar w:fldCharType="end"/>
            </w:r>
          </w:hyperlink>
        </w:p>
        <w:p w14:paraId="236A043B" w14:textId="45A890C3" w:rsidR="00DE097D" w:rsidRDefault="00DE097D" w:rsidP="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26" w:history="1">
            <w:r w:rsidRPr="004E70F0">
              <w:rPr>
                <w:rStyle w:val="Hyperlien"/>
                <w:noProof/>
              </w:rPr>
              <w:t>1.5</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Périmètre inclus/exclus</w:t>
            </w:r>
            <w:r>
              <w:rPr>
                <w:noProof/>
                <w:webHidden/>
              </w:rPr>
              <w:tab/>
            </w:r>
            <w:r>
              <w:rPr>
                <w:noProof/>
                <w:webHidden/>
              </w:rPr>
              <w:fldChar w:fldCharType="begin"/>
            </w:r>
            <w:r>
              <w:rPr>
                <w:noProof/>
                <w:webHidden/>
              </w:rPr>
              <w:instrText xml:space="preserve"> PAGEREF _Toc241707726 \h </w:instrText>
            </w:r>
            <w:r>
              <w:rPr>
                <w:noProof/>
                <w:webHidden/>
              </w:rPr>
            </w:r>
            <w:r>
              <w:rPr>
                <w:noProof/>
                <w:webHidden/>
              </w:rPr>
              <w:fldChar w:fldCharType="separate"/>
            </w:r>
            <w:r>
              <w:rPr>
                <w:noProof/>
                <w:webHidden/>
              </w:rPr>
              <w:t>41</w:t>
            </w:r>
            <w:r>
              <w:rPr>
                <w:noProof/>
                <w:webHidden/>
              </w:rPr>
              <w:fldChar w:fldCharType="end"/>
            </w:r>
          </w:hyperlink>
        </w:p>
        <w:p w14:paraId="35310415" w14:textId="2DD5BF97"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29" w:history="1">
            <w:r w:rsidRPr="004E70F0">
              <w:rPr>
                <w:rStyle w:val="Hyperlien"/>
                <w:noProof/>
              </w:rPr>
              <w:t>1.6</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Hypothèses</w:t>
            </w:r>
            <w:r>
              <w:rPr>
                <w:noProof/>
                <w:webHidden/>
              </w:rPr>
              <w:tab/>
            </w:r>
            <w:r>
              <w:rPr>
                <w:noProof/>
                <w:webHidden/>
              </w:rPr>
              <w:fldChar w:fldCharType="begin"/>
            </w:r>
            <w:r>
              <w:rPr>
                <w:noProof/>
                <w:webHidden/>
              </w:rPr>
              <w:instrText xml:space="preserve"> PAGEREF _Toc241707729 \h </w:instrText>
            </w:r>
            <w:r>
              <w:rPr>
                <w:noProof/>
                <w:webHidden/>
              </w:rPr>
            </w:r>
            <w:r>
              <w:rPr>
                <w:noProof/>
                <w:webHidden/>
              </w:rPr>
              <w:fldChar w:fldCharType="separate"/>
            </w:r>
            <w:r>
              <w:rPr>
                <w:noProof/>
                <w:webHidden/>
              </w:rPr>
              <w:t>41</w:t>
            </w:r>
            <w:r>
              <w:rPr>
                <w:noProof/>
                <w:webHidden/>
              </w:rPr>
              <w:fldChar w:fldCharType="end"/>
            </w:r>
          </w:hyperlink>
        </w:p>
        <w:p w14:paraId="3B504146" w14:textId="6F30222D"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31" w:history="1">
            <w:r w:rsidRPr="004E70F0">
              <w:rPr>
                <w:rStyle w:val="Hyperlien"/>
                <w:noProof/>
              </w:rPr>
              <w:t>1.7</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Registre des exigences</w:t>
            </w:r>
            <w:r>
              <w:rPr>
                <w:noProof/>
                <w:webHidden/>
              </w:rPr>
              <w:tab/>
            </w:r>
            <w:r>
              <w:rPr>
                <w:noProof/>
                <w:webHidden/>
              </w:rPr>
              <w:fldChar w:fldCharType="begin"/>
            </w:r>
            <w:r>
              <w:rPr>
                <w:noProof/>
                <w:webHidden/>
              </w:rPr>
              <w:instrText xml:space="preserve"> PAGEREF _Toc241707731 \h </w:instrText>
            </w:r>
            <w:r>
              <w:rPr>
                <w:noProof/>
                <w:webHidden/>
              </w:rPr>
            </w:r>
            <w:r>
              <w:rPr>
                <w:noProof/>
                <w:webHidden/>
              </w:rPr>
              <w:fldChar w:fldCharType="separate"/>
            </w:r>
            <w:r>
              <w:rPr>
                <w:noProof/>
                <w:webHidden/>
              </w:rPr>
              <w:t>42</w:t>
            </w:r>
            <w:r>
              <w:rPr>
                <w:noProof/>
                <w:webHidden/>
              </w:rPr>
              <w:fldChar w:fldCharType="end"/>
            </w:r>
          </w:hyperlink>
        </w:p>
        <w:p w14:paraId="10E4DC25" w14:textId="0F8417B8" w:rsidR="00DE097D" w:rsidRDefault="00DE097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7732" w:history="1">
            <w:r w:rsidRPr="004E70F0">
              <w:rPr>
                <w:rStyle w:val="Hyperlien"/>
                <w:noProof/>
                <w:lang w:eastAsia="fr-FR"/>
              </w:rPr>
              <w:t>1.7.1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lang w:eastAsia="fr-FR"/>
              </w:rPr>
              <w:t>Méthodes et convention de rédaction</w:t>
            </w:r>
            <w:r>
              <w:rPr>
                <w:noProof/>
                <w:webHidden/>
              </w:rPr>
              <w:tab/>
            </w:r>
            <w:r>
              <w:rPr>
                <w:noProof/>
                <w:webHidden/>
              </w:rPr>
              <w:fldChar w:fldCharType="begin"/>
            </w:r>
            <w:r>
              <w:rPr>
                <w:noProof/>
                <w:webHidden/>
              </w:rPr>
              <w:instrText xml:space="preserve"> PAGEREF _Toc241707732 \h </w:instrText>
            </w:r>
            <w:r>
              <w:rPr>
                <w:noProof/>
                <w:webHidden/>
              </w:rPr>
            </w:r>
            <w:r>
              <w:rPr>
                <w:noProof/>
                <w:webHidden/>
              </w:rPr>
              <w:fldChar w:fldCharType="separate"/>
            </w:r>
            <w:r>
              <w:rPr>
                <w:noProof/>
                <w:webHidden/>
              </w:rPr>
              <w:t>42</w:t>
            </w:r>
            <w:r>
              <w:rPr>
                <w:noProof/>
                <w:webHidden/>
              </w:rPr>
              <w:fldChar w:fldCharType="end"/>
            </w:r>
          </w:hyperlink>
        </w:p>
        <w:p w14:paraId="1FFA9D16" w14:textId="4A813ADE" w:rsidR="00DE097D" w:rsidRDefault="00DE097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7737" w:history="1">
            <w:r w:rsidRPr="004E70F0">
              <w:rPr>
                <w:rStyle w:val="Hyperlien"/>
                <w:noProof/>
                <w:lang w:eastAsia="fr-FR"/>
              </w:rPr>
              <w:t>1.7.2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Exigences fonctionnelles</w:t>
            </w:r>
            <w:r>
              <w:rPr>
                <w:noProof/>
                <w:webHidden/>
              </w:rPr>
              <w:tab/>
            </w:r>
            <w:r>
              <w:rPr>
                <w:noProof/>
                <w:webHidden/>
              </w:rPr>
              <w:fldChar w:fldCharType="begin"/>
            </w:r>
            <w:r>
              <w:rPr>
                <w:noProof/>
                <w:webHidden/>
              </w:rPr>
              <w:instrText xml:space="preserve"> PAGEREF _Toc241707737 \h </w:instrText>
            </w:r>
            <w:r>
              <w:rPr>
                <w:noProof/>
                <w:webHidden/>
              </w:rPr>
            </w:r>
            <w:r>
              <w:rPr>
                <w:noProof/>
                <w:webHidden/>
              </w:rPr>
              <w:fldChar w:fldCharType="separate"/>
            </w:r>
            <w:r>
              <w:rPr>
                <w:noProof/>
                <w:webHidden/>
              </w:rPr>
              <w:t>42</w:t>
            </w:r>
            <w:r>
              <w:rPr>
                <w:noProof/>
                <w:webHidden/>
              </w:rPr>
              <w:fldChar w:fldCharType="end"/>
            </w:r>
          </w:hyperlink>
        </w:p>
        <w:p w14:paraId="18286AB8" w14:textId="2987D94A" w:rsidR="00DE097D" w:rsidRDefault="00DE097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7739" w:history="1">
            <w:r w:rsidRPr="004E70F0">
              <w:rPr>
                <w:rStyle w:val="Hyperlien"/>
                <w:noProof/>
                <w:lang w:eastAsia="fr-FR"/>
              </w:rPr>
              <w:t>1.7.3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Exigences de qualité</w:t>
            </w:r>
            <w:r>
              <w:rPr>
                <w:noProof/>
                <w:webHidden/>
              </w:rPr>
              <w:tab/>
            </w:r>
            <w:r>
              <w:rPr>
                <w:noProof/>
                <w:webHidden/>
              </w:rPr>
              <w:fldChar w:fldCharType="begin"/>
            </w:r>
            <w:r>
              <w:rPr>
                <w:noProof/>
                <w:webHidden/>
              </w:rPr>
              <w:instrText xml:space="preserve"> PAGEREF _Toc241707739 \h </w:instrText>
            </w:r>
            <w:r>
              <w:rPr>
                <w:noProof/>
                <w:webHidden/>
              </w:rPr>
            </w:r>
            <w:r>
              <w:rPr>
                <w:noProof/>
                <w:webHidden/>
              </w:rPr>
              <w:fldChar w:fldCharType="separate"/>
            </w:r>
            <w:r>
              <w:rPr>
                <w:noProof/>
                <w:webHidden/>
              </w:rPr>
              <w:t>43</w:t>
            </w:r>
            <w:r>
              <w:rPr>
                <w:noProof/>
                <w:webHidden/>
              </w:rPr>
              <w:fldChar w:fldCharType="end"/>
            </w:r>
          </w:hyperlink>
        </w:p>
        <w:p w14:paraId="6277B2F4" w14:textId="008E6ACC" w:rsidR="00DE097D" w:rsidRDefault="00DE097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7742" w:history="1">
            <w:r w:rsidRPr="004E70F0">
              <w:rPr>
                <w:rStyle w:val="Hyperlien"/>
                <w:noProof/>
                <w:lang w:eastAsia="fr-FR"/>
              </w:rPr>
              <w:t>1.7.4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Exigences de périmètre et de contrainte</w:t>
            </w:r>
            <w:r>
              <w:rPr>
                <w:noProof/>
                <w:webHidden/>
              </w:rPr>
              <w:tab/>
            </w:r>
            <w:r>
              <w:rPr>
                <w:noProof/>
                <w:webHidden/>
              </w:rPr>
              <w:fldChar w:fldCharType="begin"/>
            </w:r>
            <w:r>
              <w:rPr>
                <w:noProof/>
                <w:webHidden/>
              </w:rPr>
              <w:instrText xml:space="preserve"> PAGEREF _Toc241707742 \h </w:instrText>
            </w:r>
            <w:r>
              <w:rPr>
                <w:noProof/>
                <w:webHidden/>
              </w:rPr>
            </w:r>
            <w:r>
              <w:rPr>
                <w:noProof/>
                <w:webHidden/>
              </w:rPr>
              <w:fldChar w:fldCharType="separate"/>
            </w:r>
            <w:r>
              <w:rPr>
                <w:noProof/>
                <w:webHidden/>
              </w:rPr>
              <w:t>44</w:t>
            </w:r>
            <w:r>
              <w:rPr>
                <w:noProof/>
                <w:webHidden/>
              </w:rPr>
              <w:fldChar w:fldCharType="end"/>
            </w:r>
          </w:hyperlink>
        </w:p>
        <w:p w14:paraId="5BB665DB" w14:textId="3B386FEC"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745" w:history="1">
            <w:r w:rsidRPr="004E70F0">
              <w:rPr>
                <w:rStyle w:val="Hyperlien"/>
                <w:noProof/>
              </w:rPr>
              <w:t>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Description des livrables du projet</w:t>
            </w:r>
            <w:r>
              <w:rPr>
                <w:noProof/>
                <w:webHidden/>
              </w:rPr>
              <w:tab/>
            </w:r>
            <w:r>
              <w:rPr>
                <w:noProof/>
                <w:webHidden/>
              </w:rPr>
              <w:fldChar w:fldCharType="begin"/>
            </w:r>
            <w:r>
              <w:rPr>
                <w:noProof/>
                <w:webHidden/>
              </w:rPr>
              <w:instrText xml:space="preserve"> PAGEREF _Toc241707745 \h </w:instrText>
            </w:r>
            <w:r>
              <w:rPr>
                <w:noProof/>
                <w:webHidden/>
              </w:rPr>
            </w:r>
            <w:r>
              <w:rPr>
                <w:noProof/>
                <w:webHidden/>
              </w:rPr>
              <w:fldChar w:fldCharType="separate"/>
            </w:r>
            <w:r>
              <w:rPr>
                <w:noProof/>
                <w:webHidden/>
              </w:rPr>
              <w:t>45</w:t>
            </w:r>
            <w:r>
              <w:rPr>
                <w:noProof/>
                <w:webHidden/>
              </w:rPr>
              <w:fldChar w:fldCharType="end"/>
            </w:r>
          </w:hyperlink>
        </w:p>
        <w:p w14:paraId="4A202C9A" w14:textId="1490E577"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47" w:history="1">
            <w:r w:rsidRPr="004E70F0">
              <w:rPr>
                <w:rStyle w:val="Hyperlien"/>
                <w:noProof/>
              </w:rPr>
              <w:t>2.1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Livrables techniques</w:t>
            </w:r>
            <w:r>
              <w:rPr>
                <w:noProof/>
                <w:webHidden/>
              </w:rPr>
              <w:tab/>
            </w:r>
            <w:r>
              <w:rPr>
                <w:noProof/>
                <w:webHidden/>
              </w:rPr>
              <w:fldChar w:fldCharType="begin"/>
            </w:r>
            <w:r>
              <w:rPr>
                <w:noProof/>
                <w:webHidden/>
              </w:rPr>
              <w:instrText xml:space="preserve"> PAGEREF _Toc241707747 \h </w:instrText>
            </w:r>
            <w:r>
              <w:rPr>
                <w:noProof/>
                <w:webHidden/>
              </w:rPr>
            </w:r>
            <w:r>
              <w:rPr>
                <w:noProof/>
                <w:webHidden/>
              </w:rPr>
              <w:fldChar w:fldCharType="separate"/>
            </w:r>
            <w:r>
              <w:rPr>
                <w:noProof/>
                <w:webHidden/>
              </w:rPr>
              <w:t>45</w:t>
            </w:r>
            <w:r>
              <w:rPr>
                <w:noProof/>
                <w:webHidden/>
              </w:rPr>
              <w:fldChar w:fldCharType="end"/>
            </w:r>
          </w:hyperlink>
        </w:p>
        <w:p w14:paraId="300A8D68" w14:textId="6426FFC8"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52" w:history="1">
            <w:r w:rsidRPr="004E70F0">
              <w:rPr>
                <w:rStyle w:val="Hyperlien"/>
                <w:noProof/>
              </w:rPr>
              <w:t>2.2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Livrables de gestion</w:t>
            </w:r>
            <w:r>
              <w:rPr>
                <w:noProof/>
                <w:webHidden/>
              </w:rPr>
              <w:tab/>
            </w:r>
            <w:r>
              <w:rPr>
                <w:noProof/>
                <w:webHidden/>
              </w:rPr>
              <w:fldChar w:fldCharType="begin"/>
            </w:r>
            <w:r>
              <w:rPr>
                <w:noProof/>
                <w:webHidden/>
              </w:rPr>
              <w:instrText xml:space="preserve"> PAGEREF _Toc241707752 \h </w:instrText>
            </w:r>
            <w:r>
              <w:rPr>
                <w:noProof/>
                <w:webHidden/>
              </w:rPr>
            </w:r>
            <w:r>
              <w:rPr>
                <w:noProof/>
                <w:webHidden/>
              </w:rPr>
              <w:fldChar w:fldCharType="separate"/>
            </w:r>
            <w:r>
              <w:rPr>
                <w:noProof/>
                <w:webHidden/>
              </w:rPr>
              <w:t>45</w:t>
            </w:r>
            <w:r>
              <w:rPr>
                <w:noProof/>
                <w:webHidden/>
              </w:rPr>
              <w:fldChar w:fldCharType="end"/>
            </w:r>
          </w:hyperlink>
        </w:p>
        <w:p w14:paraId="342F5A84" w14:textId="2FC66A98"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55" w:history="1">
            <w:r w:rsidRPr="004E70F0">
              <w:rPr>
                <w:rStyle w:val="Hyperlien"/>
                <w:noProof/>
              </w:rPr>
              <w:t>2.3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Tableau des livrables</w:t>
            </w:r>
            <w:r>
              <w:rPr>
                <w:noProof/>
                <w:webHidden/>
              </w:rPr>
              <w:tab/>
            </w:r>
            <w:r>
              <w:rPr>
                <w:noProof/>
                <w:webHidden/>
              </w:rPr>
              <w:fldChar w:fldCharType="begin"/>
            </w:r>
            <w:r>
              <w:rPr>
                <w:noProof/>
                <w:webHidden/>
              </w:rPr>
              <w:instrText xml:space="preserve"> PAGEREF _Toc241707755 \h </w:instrText>
            </w:r>
            <w:r>
              <w:rPr>
                <w:noProof/>
                <w:webHidden/>
              </w:rPr>
            </w:r>
            <w:r>
              <w:rPr>
                <w:noProof/>
                <w:webHidden/>
              </w:rPr>
              <w:fldChar w:fldCharType="separate"/>
            </w:r>
            <w:r>
              <w:rPr>
                <w:noProof/>
                <w:webHidden/>
              </w:rPr>
              <w:t>45</w:t>
            </w:r>
            <w:r>
              <w:rPr>
                <w:noProof/>
                <w:webHidden/>
              </w:rPr>
              <w:fldChar w:fldCharType="end"/>
            </w:r>
          </w:hyperlink>
        </w:p>
        <w:p w14:paraId="50476E30" w14:textId="6369B143"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58" w:history="1">
            <w:r w:rsidRPr="004E70F0">
              <w:rPr>
                <w:rStyle w:val="Hyperlien"/>
                <w:noProof/>
              </w:rPr>
              <w:t>2.4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Domaine de validité et exclusions</w:t>
            </w:r>
            <w:r>
              <w:rPr>
                <w:noProof/>
                <w:webHidden/>
              </w:rPr>
              <w:tab/>
            </w:r>
            <w:r>
              <w:rPr>
                <w:noProof/>
                <w:webHidden/>
              </w:rPr>
              <w:fldChar w:fldCharType="begin"/>
            </w:r>
            <w:r>
              <w:rPr>
                <w:noProof/>
                <w:webHidden/>
              </w:rPr>
              <w:instrText xml:space="preserve"> PAGEREF _Toc241707758 \h </w:instrText>
            </w:r>
            <w:r>
              <w:rPr>
                <w:noProof/>
                <w:webHidden/>
              </w:rPr>
            </w:r>
            <w:r>
              <w:rPr>
                <w:noProof/>
                <w:webHidden/>
              </w:rPr>
              <w:fldChar w:fldCharType="separate"/>
            </w:r>
            <w:r>
              <w:rPr>
                <w:noProof/>
                <w:webHidden/>
              </w:rPr>
              <w:t>46</w:t>
            </w:r>
            <w:r>
              <w:rPr>
                <w:noProof/>
                <w:webHidden/>
              </w:rPr>
              <w:fldChar w:fldCharType="end"/>
            </w:r>
          </w:hyperlink>
        </w:p>
        <w:p w14:paraId="7FE17482" w14:textId="791EC2A6"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763" w:history="1">
            <w:r w:rsidRPr="004E70F0">
              <w:rPr>
                <w:rStyle w:val="Hyperlien"/>
                <w:noProof/>
              </w:rPr>
              <w:t>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Description de l’équipe</w:t>
            </w:r>
            <w:r>
              <w:rPr>
                <w:noProof/>
                <w:webHidden/>
              </w:rPr>
              <w:tab/>
            </w:r>
            <w:r>
              <w:rPr>
                <w:noProof/>
                <w:webHidden/>
              </w:rPr>
              <w:fldChar w:fldCharType="begin"/>
            </w:r>
            <w:r>
              <w:rPr>
                <w:noProof/>
                <w:webHidden/>
              </w:rPr>
              <w:instrText xml:space="preserve"> PAGEREF _Toc241707763 \h </w:instrText>
            </w:r>
            <w:r>
              <w:rPr>
                <w:noProof/>
                <w:webHidden/>
              </w:rPr>
            </w:r>
            <w:r>
              <w:rPr>
                <w:noProof/>
                <w:webHidden/>
              </w:rPr>
              <w:fldChar w:fldCharType="separate"/>
            </w:r>
            <w:r>
              <w:rPr>
                <w:noProof/>
                <w:webHidden/>
              </w:rPr>
              <w:t>47</w:t>
            </w:r>
            <w:r>
              <w:rPr>
                <w:noProof/>
                <w:webHidden/>
              </w:rPr>
              <w:fldChar w:fldCharType="end"/>
            </w:r>
          </w:hyperlink>
        </w:p>
        <w:p w14:paraId="0B1552FE" w14:textId="1E57B4E8"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68" w:history="1">
            <w:r w:rsidRPr="004E70F0">
              <w:rPr>
                <w:rStyle w:val="Hyperlien"/>
                <w:noProof/>
              </w:rPr>
              <w:t>3.2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Rôles et responsabilités</w:t>
            </w:r>
            <w:r>
              <w:rPr>
                <w:noProof/>
                <w:webHidden/>
              </w:rPr>
              <w:tab/>
            </w:r>
            <w:r>
              <w:rPr>
                <w:noProof/>
                <w:webHidden/>
              </w:rPr>
              <w:fldChar w:fldCharType="begin"/>
            </w:r>
            <w:r>
              <w:rPr>
                <w:noProof/>
                <w:webHidden/>
              </w:rPr>
              <w:instrText xml:space="preserve"> PAGEREF _Toc241707768 \h </w:instrText>
            </w:r>
            <w:r>
              <w:rPr>
                <w:noProof/>
                <w:webHidden/>
              </w:rPr>
            </w:r>
            <w:r>
              <w:rPr>
                <w:noProof/>
                <w:webHidden/>
              </w:rPr>
              <w:fldChar w:fldCharType="separate"/>
            </w:r>
            <w:r>
              <w:rPr>
                <w:noProof/>
                <w:webHidden/>
              </w:rPr>
              <w:t>47</w:t>
            </w:r>
            <w:r>
              <w:rPr>
                <w:noProof/>
                <w:webHidden/>
              </w:rPr>
              <w:fldChar w:fldCharType="end"/>
            </w:r>
          </w:hyperlink>
        </w:p>
        <w:p w14:paraId="22F0D640" w14:textId="61D77616"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772" w:history="1">
            <w:r w:rsidRPr="004E70F0">
              <w:rPr>
                <w:rStyle w:val="Hyperlien"/>
                <w:noProof/>
              </w:rPr>
              <w:t>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Stratégie de contrôle des versions</w:t>
            </w:r>
            <w:r>
              <w:rPr>
                <w:noProof/>
                <w:webHidden/>
              </w:rPr>
              <w:tab/>
            </w:r>
            <w:r>
              <w:rPr>
                <w:noProof/>
                <w:webHidden/>
              </w:rPr>
              <w:fldChar w:fldCharType="begin"/>
            </w:r>
            <w:r>
              <w:rPr>
                <w:noProof/>
                <w:webHidden/>
              </w:rPr>
              <w:instrText xml:space="preserve"> PAGEREF _Toc241707772 \h </w:instrText>
            </w:r>
            <w:r>
              <w:rPr>
                <w:noProof/>
                <w:webHidden/>
              </w:rPr>
            </w:r>
            <w:r>
              <w:rPr>
                <w:noProof/>
                <w:webHidden/>
              </w:rPr>
              <w:fldChar w:fldCharType="separate"/>
            </w:r>
            <w:r>
              <w:rPr>
                <w:noProof/>
                <w:webHidden/>
              </w:rPr>
              <w:t>48</w:t>
            </w:r>
            <w:r>
              <w:rPr>
                <w:noProof/>
                <w:webHidden/>
              </w:rPr>
              <w:fldChar w:fldCharType="end"/>
            </w:r>
          </w:hyperlink>
        </w:p>
        <w:p w14:paraId="3DA2122F" w14:textId="414B2B8F"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81" w:history="1">
            <w:r w:rsidRPr="004E70F0">
              <w:rPr>
                <w:rStyle w:val="Hyperlien"/>
                <w:noProof/>
              </w:rPr>
              <w:t>4.2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Inventaire de l’information à gérer</w:t>
            </w:r>
            <w:r>
              <w:rPr>
                <w:noProof/>
                <w:webHidden/>
              </w:rPr>
              <w:tab/>
            </w:r>
            <w:r>
              <w:rPr>
                <w:noProof/>
                <w:webHidden/>
              </w:rPr>
              <w:fldChar w:fldCharType="begin"/>
            </w:r>
            <w:r>
              <w:rPr>
                <w:noProof/>
                <w:webHidden/>
              </w:rPr>
              <w:instrText xml:space="preserve"> PAGEREF _Toc241707781 \h </w:instrText>
            </w:r>
            <w:r>
              <w:rPr>
                <w:noProof/>
                <w:webHidden/>
              </w:rPr>
            </w:r>
            <w:r>
              <w:rPr>
                <w:noProof/>
                <w:webHidden/>
              </w:rPr>
              <w:fldChar w:fldCharType="separate"/>
            </w:r>
            <w:r>
              <w:rPr>
                <w:noProof/>
                <w:webHidden/>
              </w:rPr>
              <w:t>49</w:t>
            </w:r>
            <w:r>
              <w:rPr>
                <w:noProof/>
                <w:webHidden/>
              </w:rPr>
              <w:fldChar w:fldCharType="end"/>
            </w:r>
          </w:hyperlink>
        </w:p>
        <w:p w14:paraId="2851B645" w14:textId="2F92AF15"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85" w:history="1">
            <w:r w:rsidRPr="004E70F0">
              <w:rPr>
                <w:rStyle w:val="Hyperlien"/>
                <w:noProof/>
              </w:rPr>
              <w:t>4.3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Outils retenus</w:t>
            </w:r>
            <w:r>
              <w:rPr>
                <w:noProof/>
                <w:webHidden/>
              </w:rPr>
              <w:tab/>
            </w:r>
            <w:r>
              <w:rPr>
                <w:noProof/>
                <w:webHidden/>
              </w:rPr>
              <w:fldChar w:fldCharType="begin"/>
            </w:r>
            <w:r>
              <w:rPr>
                <w:noProof/>
                <w:webHidden/>
              </w:rPr>
              <w:instrText xml:space="preserve"> PAGEREF _Toc241707785 \h </w:instrText>
            </w:r>
            <w:r>
              <w:rPr>
                <w:noProof/>
                <w:webHidden/>
              </w:rPr>
            </w:r>
            <w:r>
              <w:rPr>
                <w:noProof/>
                <w:webHidden/>
              </w:rPr>
              <w:fldChar w:fldCharType="separate"/>
            </w:r>
            <w:r>
              <w:rPr>
                <w:noProof/>
                <w:webHidden/>
              </w:rPr>
              <w:t>49</w:t>
            </w:r>
            <w:r>
              <w:rPr>
                <w:noProof/>
                <w:webHidden/>
              </w:rPr>
              <w:fldChar w:fldCharType="end"/>
            </w:r>
          </w:hyperlink>
        </w:p>
        <w:p w14:paraId="59E6AD33" w14:textId="7296631C"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88" w:history="1">
            <w:r w:rsidRPr="004E70F0">
              <w:rPr>
                <w:rStyle w:val="Hyperlien"/>
                <w:noProof/>
              </w:rPr>
              <w:t>4.4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Flux de travail et revue par les pairs</w:t>
            </w:r>
            <w:r>
              <w:rPr>
                <w:noProof/>
                <w:webHidden/>
              </w:rPr>
              <w:tab/>
            </w:r>
            <w:r>
              <w:rPr>
                <w:noProof/>
                <w:webHidden/>
              </w:rPr>
              <w:fldChar w:fldCharType="begin"/>
            </w:r>
            <w:r>
              <w:rPr>
                <w:noProof/>
                <w:webHidden/>
              </w:rPr>
              <w:instrText xml:space="preserve"> PAGEREF _Toc241707788 \h </w:instrText>
            </w:r>
            <w:r>
              <w:rPr>
                <w:noProof/>
                <w:webHidden/>
              </w:rPr>
            </w:r>
            <w:r>
              <w:rPr>
                <w:noProof/>
                <w:webHidden/>
              </w:rPr>
              <w:fldChar w:fldCharType="separate"/>
            </w:r>
            <w:r>
              <w:rPr>
                <w:noProof/>
                <w:webHidden/>
              </w:rPr>
              <w:t>50</w:t>
            </w:r>
            <w:r>
              <w:rPr>
                <w:noProof/>
                <w:webHidden/>
              </w:rPr>
              <w:fldChar w:fldCharType="end"/>
            </w:r>
          </w:hyperlink>
        </w:p>
        <w:p w14:paraId="0B43312C" w14:textId="4974BF88" w:rsidR="00DE097D" w:rsidRDefault="00DE097D" w:rsidP="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793" w:history="1">
            <w:r w:rsidRPr="004E70F0">
              <w:rPr>
                <w:rStyle w:val="Hyperlien"/>
                <w:noProof/>
              </w:rPr>
              <w:t>5.</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Revue de l’état de l’art</w:t>
            </w:r>
            <w:r>
              <w:rPr>
                <w:noProof/>
                <w:webHidden/>
              </w:rPr>
              <w:tab/>
            </w:r>
            <w:r>
              <w:rPr>
                <w:noProof/>
                <w:webHidden/>
              </w:rPr>
              <w:fldChar w:fldCharType="begin"/>
            </w:r>
            <w:r>
              <w:rPr>
                <w:noProof/>
                <w:webHidden/>
              </w:rPr>
              <w:instrText xml:space="preserve"> PAGEREF _Toc241707793 \h </w:instrText>
            </w:r>
            <w:r>
              <w:rPr>
                <w:noProof/>
                <w:webHidden/>
              </w:rPr>
            </w:r>
            <w:r>
              <w:rPr>
                <w:noProof/>
                <w:webHidden/>
              </w:rPr>
              <w:fldChar w:fldCharType="separate"/>
            </w:r>
            <w:r>
              <w:rPr>
                <w:noProof/>
                <w:webHidden/>
              </w:rPr>
              <w:t>50</w:t>
            </w:r>
            <w:r>
              <w:rPr>
                <w:noProof/>
                <w:webHidden/>
              </w:rPr>
              <w:fldChar w:fldCharType="end"/>
            </w:r>
          </w:hyperlink>
        </w:p>
        <w:p w14:paraId="3DDC3899" w14:textId="5E4F24FA" w:rsidR="00DE097D" w:rsidRDefault="00DE097D" w:rsidP="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95" w:history="1">
            <w:r w:rsidRPr="004E70F0">
              <w:rPr>
                <w:rStyle w:val="Hyperlien"/>
                <w:noProof/>
              </w:rPr>
              <w:t>5.1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Méthode de recherche</w:t>
            </w:r>
            <w:r>
              <w:rPr>
                <w:noProof/>
                <w:webHidden/>
              </w:rPr>
              <w:tab/>
            </w:r>
            <w:r>
              <w:rPr>
                <w:noProof/>
                <w:webHidden/>
              </w:rPr>
              <w:fldChar w:fldCharType="begin"/>
            </w:r>
            <w:r>
              <w:rPr>
                <w:noProof/>
                <w:webHidden/>
              </w:rPr>
              <w:instrText xml:space="preserve"> PAGEREF _Toc241707795 \h </w:instrText>
            </w:r>
            <w:r>
              <w:rPr>
                <w:noProof/>
                <w:webHidden/>
              </w:rPr>
            </w:r>
            <w:r>
              <w:rPr>
                <w:noProof/>
                <w:webHidden/>
              </w:rPr>
              <w:fldChar w:fldCharType="separate"/>
            </w:r>
            <w:r>
              <w:rPr>
                <w:noProof/>
                <w:webHidden/>
              </w:rPr>
              <w:t>50</w:t>
            </w:r>
            <w:r>
              <w:rPr>
                <w:noProof/>
                <w:webHidden/>
              </w:rPr>
              <w:fldChar w:fldCharType="end"/>
            </w:r>
          </w:hyperlink>
        </w:p>
        <w:p w14:paraId="44741348" w14:textId="526CF6EF"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799" w:history="1">
            <w:r w:rsidRPr="004E70F0">
              <w:rPr>
                <w:rStyle w:val="Hyperlien"/>
                <w:noProof/>
              </w:rPr>
              <w:t>5.2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Ce qui existe</w:t>
            </w:r>
            <w:r>
              <w:rPr>
                <w:noProof/>
                <w:webHidden/>
              </w:rPr>
              <w:tab/>
            </w:r>
            <w:r>
              <w:rPr>
                <w:noProof/>
                <w:webHidden/>
              </w:rPr>
              <w:fldChar w:fldCharType="begin"/>
            </w:r>
            <w:r>
              <w:rPr>
                <w:noProof/>
                <w:webHidden/>
              </w:rPr>
              <w:instrText xml:space="preserve"> PAGEREF _Toc241707799 \h </w:instrText>
            </w:r>
            <w:r>
              <w:rPr>
                <w:noProof/>
                <w:webHidden/>
              </w:rPr>
            </w:r>
            <w:r>
              <w:rPr>
                <w:noProof/>
                <w:webHidden/>
              </w:rPr>
              <w:fldChar w:fldCharType="separate"/>
            </w:r>
            <w:r>
              <w:rPr>
                <w:noProof/>
                <w:webHidden/>
              </w:rPr>
              <w:t>51</w:t>
            </w:r>
            <w:r>
              <w:rPr>
                <w:noProof/>
                <w:webHidden/>
              </w:rPr>
              <w:fldChar w:fldCharType="end"/>
            </w:r>
          </w:hyperlink>
        </w:p>
        <w:p w14:paraId="676FDB7E" w14:textId="3E19A86C"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35" w:history="1">
            <w:r w:rsidRPr="004E70F0">
              <w:rPr>
                <w:rStyle w:val="Hyperlien"/>
                <w:noProof/>
              </w:rPr>
              <w:t>5.3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Brevets, droits et redevances</w:t>
            </w:r>
            <w:r>
              <w:rPr>
                <w:noProof/>
                <w:webHidden/>
              </w:rPr>
              <w:tab/>
            </w:r>
            <w:r>
              <w:rPr>
                <w:noProof/>
                <w:webHidden/>
              </w:rPr>
              <w:fldChar w:fldCharType="begin"/>
            </w:r>
            <w:r>
              <w:rPr>
                <w:noProof/>
                <w:webHidden/>
              </w:rPr>
              <w:instrText xml:space="preserve"> PAGEREF _Toc241707835 \h </w:instrText>
            </w:r>
            <w:r>
              <w:rPr>
                <w:noProof/>
                <w:webHidden/>
              </w:rPr>
            </w:r>
            <w:r>
              <w:rPr>
                <w:noProof/>
                <w:webHidden/>
              </w:rPr>
              <w:fldChar w:fldCharType="separate"/>
            </w:r>
            <w:r>
              <w:rPr>
                <w:noProof/>
                <w:webHidden/>
              </w:rPr>
              <w:t>54</w:t>
            </w:r>
            <w:r>
              <w:rPr>
                <w:noProof/>
                <w:webHidden/>
              </w:rPr>
              <w:fldChar w:fldCharType="end"/>
            </w:r>
          </w:hyperlink>
        </w:p>
        <w:p w14:paraId="5FB91EE2" w14:textId="6E02605E"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46" w:history="1">
            <w:r w:rsidRPr="004E70F0">
              <w:rPr>
                <w:rStyle w:val="Hyperlien"/>
                <w:noProof/>
              </w:rPr>
              <w:t>5.4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Positionnement du projet</w:t>
            </w:r>
            <w:r>
              <w:rPr>
                <w:noProof/>
                <w:webHidden/>
              </w:rPr>
              <w:tab/>
            </w:r>
            <w:r>
              <w:rPr>
                <w:noProof/>
                <w:webHidden/>
              </w:rPr>
              <w:fldChar w:fldCharType="begin"/>
            </w:r>
            <w:r>
              <w:rPr>
                <w:noProof/>
                <w:webHidden/>
              </w:rPr>
              <w:instrText xml:space="preserve"> PAGEREF _Toc241707846 \h </w:instrText>
            </w:r>
            <w:r>
              <w:rPr>
                <w:noProof/>
                <w:webHidden/>
              </w:rPr>
            </w:r>
            <w:r>
              <w:rPr>
                <w:noProof/>
                <w:webHidden/>
              </w:rPr>
              <w:fldChar w:fldCharType="separate"/>
            </w:r>
            <w:r>
              <w:rPr>
                <w:noProof/>
                <w:webHidden/>
              </w:rPr>
              <w:t>56</w:t>
            </w:r>
            <w:r>
              <w:rPr>
                <w:noProof/>
                <w:webHidden/>
              </w:rPr>
              <w:fldChar w:fldCharType="end"/>
            </w:r>
          </w:hyperlink>
        </w:p>
        <w:p w14:paraId="206726EB" w14:textId="469B3690"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53" w:history="1">
            <w:r w:rsidRPr="004E70F0">
              <w:rPr>
                <w:rStyle w:val="Hyperlien"/>
                <w:noProof/>
              </w:rPr>
              <w:t>5.5</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Lacunes de notre revue</w:t>
            </w:r>
            <w:r>
              <w:rPr>
                <w:noProof/>
                <w:webHidden/>
              </w:rPr>
              <w:tab/>
            </w:r>
            <w:r>
              <w:rPr>
                <w:noProof/>
                <w:webHidden/>
              </w:rPr>
              <w:fldChar w:fldCharType="begin"/>
            </w:r>
            <w:r>
              <w:rPr>
                <w:noProof/>
                <w:webHidden/>
              </w:rPr>
              <w:instrText xml:space="preserve"> PAGEREF _Toc241707853 \h </w:instrText>
            </w:r>
            <w:r>
              <w:rPr>
                <w:noProof/>
                <w:webHidden/>
              </w:rPr>
            </w:r>
            <w:r>
              <w:rPr>
                <w:noProof/>
                <w:webHidden/>
              </w:rPr>
              <w:fldChar w:fldCharType="separate"/>
            </w:r>
            <w:r>
              <w:rPr>
                <w:noProof/>
                <w:webHidden/>
              </w:rPr>
              <w:t>57</w:t>
            </w:r>
            <w:r>
              <w:rPr>
                <w:noProof/>
                <w:webHidden/>
              </w:rPr>
              <w:fldChar w:fldCharType="end"/>
            </w:r>
          </w:hyperlink>
        </w:p>
        <w:p w14:paraId="4FBB2B3E" w14:textId="4D369DA6"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859" w:history="1">
            <w:r w:rsidRPr="004E70F0">
              <w:rPr>
                <w:rStyle w:val="Hyperlien"/>
                <w:noProof/>
              </w:rPr>
              <w:t>6.</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Normes, codes et standards</w:t>
            </w:r>
            <w:r>
              <w:rPr>
                <w:noProof/>
                <w:webHidden/>
              </w:rPr>
              <w:tab/>
            </w:r>
            <w:r>
              <w:rPr>
                <w:noProof/>
                <w:webHidden/>
              </w:rPr>
              <w:fldChar w:fldCharType="begin"/>
            </w:r>
            <w:r>
              <w:rPr>
                <w:noProof/>
                <w:webHidden/>
              </w:rPr>
              <w:instrText xml:space="preserve"> PAGEREF _Toc241707859 \h </w:instrText>
            </w:r>
            <w:r>
              <w:rPr>
                <w:noProof/>
                <w:webHidden/>
              </w:rPr>
            </w:r>
            <w:r>
              <w:rPr>
                <w:noProof/>
                <w:webHidden/>
              </w:rPr>
              <w:fldChar w:fldCharType="separate"/>
            </w:r>
            <w:r>
              <w:rPr>
                <w:noProof/>
                <w:webHidden/>
              </w:rPr>
              <w:t>57</w:t>
            </w:r>
            <w:r>
              <w:rPr>
                <w:noProof/>
                <w:webHidden/>
              </w:rPr>
              <w:fldChar w:fldCharType="end"/>
            </w:r>
          </w:hyperlink>
        </w:p>
        <w:p w14:paraId="3D9D4F58" w14:textId="35B46C8E"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62" w:history="1">
            <w:r w:rsidRPr="004E70F0">
              <w:rPr>
                <w:rStyle w:val="Hyperlien"/>
                <w:noProof/>
              </w:rPr>
              <w:t>6.1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Cadre législatif</w:t>
            </w:r>
            <w:r>
              <w:rPr>
                <w:noProof/>
                <w:webHidden/>
              </w:rPr>
              <w:tab/>
            </w:r>
            <w:r>
              <w:rPr>
                <w:noProof/>
                <w:webHidden/>
              </w:rPr>
              <w:fldChar w:fldCharType="begin"/>
            </w:r>
            <w:r>
              <w:rPr>
                <w:noProof/>
                <w:webHidden/>
              </w:rPr>
              <w:instrText xml:space="preserve"> PAGEREF _Toc241707862 \h </w:instrText>
            </w:r>
            <w:r>
              <w:rPr>
                <w:noProof/>
                <w:webHidden/>
              </w:rPr>
            </w:r>
            <w:r>
              <w:rPr>
                <w:noProof/>
                <w:webHidden/>
              </w:rPr>
              <w:fldChar w:fldCharType="separate"/>
            </w:r>
            <w:r>
              <w:rPr>
                <w:noProof/>
                <w:webHidden/>
              </w:rPr>
              <w:t>58</w:t>
            </w:r>
            <w:r>
              <w:rPr>
                <w:noProof/>
                <w:webHidden/>
              </w:rPr>
              <w:fldChar w:fldCharType="end"/>
            </w:r>
          </w:hyperlink>
        </w:p>
        <w:p w14:paraId="2BEEA122" w14:textId="1BF650F3"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73" w:history="1">
            <w:r w:rsidRPr="004E70F0">
              <w:rPr>
                <w:rStyle w:val="Hyperlien"/>
                <w:noProof/>
              </w:rPr>
              <w:t>6.2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Cadre réglementaire</w:t>
            </w:r>
            <w:r>
              <w:rPr>
                <w:noProof/>
                <w:webHidden/>
              </w:rPr>
              <w:tab/>
            </w:r>
            <w:r>
              <w:rPr>
                <w:noProof/>
                <w:webHidden/>
              </w:rPr>
              <w:fldChar w:fldCharType="begin"/>
            </w:r>
            <w:r>
              <w:rPr>
                <w:noProof/>
                <w:webHidden/>
              </w:rPr>
              <w:instrText xml:space="preserve"> PAGEREF _Toc241707873 \h </w:instrText>
            </w:r>
            <w:r>
              <w:rPr>
                <w:noProof/>
                <w:webHidden/>
              </w:rPr>
            </w:r>
            <w:r>
              <w:rPr>
                <w:noProof/>
                <w:webHidden/>
              </w:rPr>
              <w:fldChar w:fldCharType="separate"/>
            </w:r>
            <w:r>
              <w:rPr>
                <w:noProof/>
                <w:webHidden/>
              </w:rPr>
              <w:t>59</w:t>
            </w:r>
            <w:r>
              <w:rPr>
                <w:noProof/>
                <w:webHidden/>
              </w:rPr>
              <w:fldChar w:fldCharType="end"/>
            </w:r>
          </w:hyperlink>
        </w:p>
        <w:p w14:paraId="0DD12BC3" w14:textId="7507A085"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77" w:history="1">
            <w:r w:rsidRPr="004E70F0">
              <w:rPr>
                <w:rStyle w:val="Hyperlien"/>
                <w:noProof/>
              </w:rPr>
              <w:t>6.3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Normes applicables</w:t>
            </w:r>
            <w:r>
              <w:rPr>
                <w:noProof/>
                <w:webHidden/>
              </w:rPr>
              <w:tab/>
            </w:r>
            <w:r>
              <w:rPr>
                <w:noProof/>
                <w:webHidden/>
              </w:rPr>
              <w:fldChar w:fldCharType="begin"/>
            </w:r>
            <w:r>
              <w:rPr>
                <w:noProof/>
                <w:webHidden/>
              </w:rPr>
              <w:instrText xml:space="preserve"> PAGEREF _Toc241707877 \h </w:instrText>
            </w:r>
            <w:r>
              <w:rPr>
                <w:noProof/>
                <w:webHidden/>
              </w:rPr>
            </w:r>
            <w:r>
              <w:rPr>
                <w:noProof/>
                <w:webHidden/>
              </w:rPr>
              <w:fldChar w:fldCharType="separate"/>
            </w:r>
            <w:r>
              <w:rPr>
                <w:noProof/>
                <w:webHidden/>
              </w:rPr>
              <w:t>59</w:t>
            </w:r>
            <w:r>
              <w:rPr>
                <w:noProof/>
                <w:webHidden/>
              </w:rPr>
              <w:fldChar w:fldCharType="end"/>
            </w:r>
          </w:hyperlink>
        </w:p>
        <w:p w14:paraId="5803EA69" w14:textId="088C8F1C"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83" w:history="1">
            <w:r w:rsidRPr="004E70F0">
              <w:rPr>
                <w:rStyle w:val="Hyperlien"/>
                <w:noProof/>
              </w:rPr>
              <w:t>6.4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Esprit des normes et dépassement</w:t>
            </w:r>
            <w:r>
              <w:rPr>
                <w:noProof/>
                <w:webHidden/>
              </w:rPr>
              <w:tab/>
            </w:r>
            <w:r>
              <w:rPr>
                <w:noProof/>
                <w:webHidden/>
              </w:rPr>
              <w:fldChar w:fldCharType="begin"/>
            </w:r>
            <w:r>
              <w:rPr>
                <w:noProof/>
                <w:webHidden/>
              </w:rPr>
              <w:instrText xml:space="preserve"> PAGEREF _Toc241707883 \h </w:instrText>
            </w:r>
            <w:r>
              <w:rPr>
                <w:noProof/>
                <w:webHidden/>
              </w:rPr>
            </w:r>
            <w:r>
              <w:rPr>
                <w:noProof/>
                <w:webHidden/>
              </w:rPr>
              <w:fldChar w:fldCharType="separate"/>
            </w:r>
            <w:r>
              <w:rPr>
                <w:noProof/>
                <w:webHidden/>
              </w:rPr>
              <w:t>62</w:t>
            </w:r>
            <w:r>
              <w:rPr>
                <w:noProof/>
                <w:webHidden/>
              </w:rPr>
              <w:fldChar w:fldCharType="end"/>
            </w:r>
          </w:hyperlink>
        </w:p>
        <w:p w14:paraId="6FDA19FC" w14:textId="54F24A34"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890" w:history="1">
            <w:r w:rsidRPr="004E70F0">
              <w:rPr>
                <w:rStyle w:val="Hyperlien"/>
                <w:noProof/>
              </w:rPr>
              <w:t>6.5</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Incidence sur la conception</w:t>
            </w:r>
            <w:r>
              <w:rPr>
                <w:noProof/>
                <w:webHidden/>
              </w:rPr>
              <w:tab/>
            </w:r>
            <w:r>
              <w:rPr>
                <w:noProof/>
                <w:webHidden/>
              </w:rPr>
              <w:fldChar w:fldCharType="begin"/>
            </w:r>
            <w:r>
              <w:rPr>
                <w:noProof/>
                <w:webHidden/>
              </w:rPr>
              <w:instrText xml:space="preserve"> PAGEREF _Toc241707890 \h </w:instrText>
            </w:r>
            <w:r>
              <w:rPr>
                <w:noProof/>
                <w:webHidden/>
              </w:rPr>
            </w:r>
            <w:r>
              <w:rPr>
                <w:noProof/>
                <w:webHidden/>
              </w:rPr>
              <w:fldChar w:fldCharType="separate"/>
            </w:r>
            <w:r>
              <w:rPr>
                <w:noProof/>
                <w:webHidden/>
              </w:rPr>
              <w:t>63</w:t>
            </w:r>
            <w:r>
              <w:rPr>
                <w:noProof/>
                <w:webHidden/>
              </w:rPr>
              <w:fldChar w:fldCharType="end"/>
            </w:r>
          </w:hyperlink>
        </w:p>
        <w:p w14:paraId="458AA7C3" w14:textId="05692614"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916" w:history="1">
            <w:r w:rsidRPr="004E70F0">
              <w:rPr>
                <w:rStyle w:val="Hyperlien"/>
                <w:noProof/>
              </w:rPr>
              <w:t>7.</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Impacts et gestion des risques</w:t>
            </w:r>
            <w:r>
              <w:rPr>
                <w:noProof/>
                <w:webHidden/>
              </w:rPr>
              <w:tab/>
            </w:r>
            <w:r>
              <w:rPr>
                <w:noProof/>
                <w:webHidden/>
              </w:rPr>
              <w:fldChar w:fldCharType="begin"/>
            </w:r>
            <w:r>
              <w:rPr>
                <w:noProof/>
                <w:webHidden/>
              </w:rPr>
              <w:instrText xml:space="preserve"> PAGEREF _Toc241707916 \h </w:instrText>
            </w:r>
            <w:r>
              <w:rPr>
                <w:noProof/>
                <w:webHidden/>
              </w:rPr>
            </w:r>
            <w:r>
              <w:rPr>
                <w:noProof/>
                <w:webHidden/>
              </w:rPr>
              <w:fldChar w:fldCharType="separate"/>
            </w:r>
            <w:r>
              <w:rPr>
                <w:noProof/>
                <w:webHidden/>
              </w:rPr>
              <w:t>65</w:t>
            </w:r>
            <w:r>
              <w:rPr>
                <w:noProof/>
                <w:webHidden/>
              </w:rPr>
              <w:fldChar w:fldCharType="end"/>
            </w:r>
          </w:hyperlink>
        </w:p>
        <w:p w14:paraId="326DCF41" w14:textId="0D08506A"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20" w:history="1">
            <w:r w:rsidRPr="004E70F0">
              <w:rPr>
                <w:rStyle w:val="Hyperlien"/>
                <w:noProof/>
              </w:rPr>
              <w:t>7.1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Impacts du projet</w:t>
            </w:r>
            <w:r>
              <w:rPr>
                <w:noProof/>
                <w:webHidden/>
              </w:rPr>
              <w:tab/>
            </w:r>
            <w:r>
              <w:rPr>
                <w:noProof/>
                <w:webHidden/>
              </w:rPr>
              <w:fldChar w:fldCharType="begin"/>
            </w:r>
            <w:r>
              <w:rPr>
                <w:noProof/>
                <w:webHidden/>
              </w:rPr>
              <w:instrText xml:space="preserve"> PAGEREF _Toc241707920 \h </w:instrText>
            </w:r>
            <w:r>
              <w:rPr>
                <w:noProof/>
                <w:webHidden/>
              </w:rPr>
            </w:r>
            <w:r>
              <w:rPr>
                <w:noProof/>
                <w:webHidden/>
              </w:rPr>
              <w:fldChar w:fldCharType="separate"/>
            </w:r>
            <w:r>
              <w:rPr>
                <w:noProof/>
                <w:webHidden/>
              </w:rPr>
              <w:t>65</w:t>
            </w:r>
            <w:r>
              <w:rPr>
                <w:noProof/>
                <w:webHidden/>
              </w:rPr>
              <w:fldChar w:fldCharType="end"/>
            </w:r>
          </w:hyperlink>
        </w:p>
        <w:p w14:paraId="19E1CABC" w14:textId="33FC7DC0"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46" w:history="1">
            <w:r w:rsidRPr="004E70F0">
              <w:rPr>
                <w:rStyle w:val="Hyperlien"/>
                <w:noProof/>
              </w:rPr>
              <w:t>7.2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Bénéfices, inconvénients et rôle de l’équipe</w:t>
            </w:r>
            <w:r>
              <w:rPr>
                <w:noProof/>
                <w:webHidden/>
              </w:rPr>
              <w:tab/>
            </w:r>
            <w:r>
              <w:rPr>
                <w:noProof/>
                <w:webHidden/>
              </w:rPr>
              <w:fldChar w:fldCharType="begin"/>
            </w:r>
            <w:r>
              <w:rPr>
                <w:noProof/>
                <w:webHidden/>
              </w:rPr>
              <w:instrText xml:space="preserve"> PAGEREF _Toc241707946 \h </w:instrText>
            </w:r>
            <w:r>
              <w:rPr>
                <w:noProof/>
                <w:webHidden/>
              </w:rPr>
            </w:r>
            <w:r>
              <w:rPr>
                <w:noProof/>
                <w:webHidden/>
              </w:rPr>
              <w:fldChar w:fldCharType="separate"/>
            </w:r>
            <w:r>
              <w:rPr>
                <w:noProof/>
                <w:webHidden/>
              </w:rPr>
              <w:t>68</w:t>
            </w:r>
            <w:r>
              <w:rPr>
                <w:noProof/>
                <w:webHidden/>
              </w:rPr>
              <w:fldChar w:fldCharType="end"/>
            </w:r>
          </w:hyperlink>
        </w:p>
        <w:p w14:paraId="19282BDF" w14:textId="5A44A3B6"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58" w:history="1">
            <w:r w:rsidRPr="004E70F0">
              <w:rPr>
                <w:rStyle w:val="Hyperlien"/>
                <w:noProof/>
              </w:rPr>
              <w:t>7.3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Méthode d’analyse des risques</w:t>
            </w:r>
            <w:r>
              <w:rPr>
                <w:noProof/>
                <w:webHidden/>
              </w:rPr>
              <w:tab/>
            </w:r>
            <w:r>
              <w:rPr>
                <w:noProof/>
                <w:webHidden/>
              </w:rPr>
              <w:fldChar w:fldCharType="begin"/>
            </w:r>
            <w:r>
              <w:rPr>
                <w:noProof/>
                <w:webHidden/>
              </w:rPr>
              <w:instrText xml:space="preserve"> PAGEREF _Toc241707958 \h </w:instrText>
            </w:r>
            <w:r>
              <w:rPr>
                <w:noProof/>
                <w:webHidden/>
              </w:rPr>
            </w:r>
            <w:r>
              <w:rPr>
                <w:noProof/>
                <w:webHidden/>
              </w:rPr>
              <w:fldChar w:fldCharType="separate"/>
            </w:r>
            <w:r>
              <w:rPr>
                <w:noProof/>
                <w:webHidden/>
              </w:rPr>
              <w:t>69</w:t>
            </w:r>
            <w:r>
              <w:rPr>
                <w:noProof/>
                <w:webHidden/>
              </w:rPr>
              <w:fldChar w:fldCharType="end"/>
            </w:r>
          </w:hyperlink>
        </w:p>
        <w:p w14:paraId="1ABF1C06" w14:textId="638F306B" w:rsidR="00DE097D" w:rsidRDefault="00DE097D" w:rsidP="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73" w:history="1">
            <w:r w:rsidRPr="004E70F0">
              <w:rPr>
                <w:rStyle w:val="Hyperlien"/>
                <w:noProof/>
              </w:rPr>
              <w:t>7.4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Registres des risques et profil</w:t>
            </w:r>
            <w:r>
              <w:rPr>
                <w:noProof/>
                <w:webHidden/>
              </w:rPr>
              <w:tab/>
            </w:r>
            <w:r>
              <w:rPr>
                <w:noProof/>
                <w:webHidden/>
              </w:rPr>
              <w:fldChar w:fldCharType="begin"/>
            </w:r>
            <w:r>
              <w:rPr>
                <w:noProof/>
                <w:webHidden/>
              </w:rPr>
              <w:instrText xml:space="preserve"> PAGEREF _Toc241707973 \h </w:instrText>
            </w:r>
            <w:r>
              <w:rPr>
                <w:noProof/>
                <w:webHidden/>
              </w:rPr>
            </w:r>
            <w:r>
              <w:rPr>
                <w:noProof/>
                <w:webHidden/>
              </w:rPr>
              <w:fldChar w:fldCharType="separate"/>
            </w:r>
            <w:r>
              <w:rPr>
                <w:noProof/>
                <w:webHidden/>
              </w:rPr>
              <w:t>71</w:t>
            </w:r>
            <w:r>
              <w:rPr>
                <w:noProof/>
                <w:webHidden/>
              </w:rPr>
              <w:fldChar w:fldCharType="end"/>
            </w:r>
          </w:hyperlink>
        </w:p>
        <w:p w14:paraId="4B0BA479" w14:textId="5BCE1E73"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88" w:history="1">
            <w:r w:rsidRPr="004E70F0">
              <w:rPr>
                <w:rStyle w:val="Hyperlien"/>
                <w:noProof/>
              </w:rPr>
              <w:t>7.5</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Matrice de couverture des contraintes du mandat</w:t>
            </w:r>
            <w:r>
              <w:rPr>
                <w:noProof/>
                <w:webHidden/>
              </w:rPr>
              <w:tab/>
            </w:r>
            <w:r>
              <w:rPr>
                <w:noProof/>
                <w:webHidden/>
              </w:rPr>
              <w:fldChar w:fldCharType="begin"/>
            </w:r>
            <w:r>
              <w:rPr>
                <w:noProof/>
                <w:webHidden/>
              </w:rPr>
              <w:instrText xml:space="preserve"> PAGEREF _Toc241707988 \h </w:instrText>
            </w:r>
            <w:r>
              <w:rPr>
                <w:noProof/>
                <w:webHidden/>
              </w:rPr>
            </w:r>
            <w:r>
              <w:rPr>
                <w:noProof/>
                <w:webHidden/>
              </w:rPr>
              <w:fldChar w:fldCharType="separate"/>
            </w:r>
            <w:r>
              <w:rPr>
                <w:noProof/>
                <w:webHidden/>
              </w:rPr>
              <w:t>75</w:t>
            </w:r>
            <w:r>
              <w:rPr>
                <w:noProof/>
                <w:webHidden/>
              </w:rPr>
              <w:fldChar w:fldCharType="end"/>
            </w:r>
          </w:hyperlink>
        </w:p>
        <w:p w14:paraId="4AE7EF7B" w14:textId="52D207AD"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7991" w:history="1">
            <w:r w:rsidRPr="004E70F0">
              <w:rPr>
                <w:rStyle w:val="Hyperlien"/>
                <w:noProof/>
              </w:rPr>
              <w:t>8.</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Estimation des ressources nécessaires au projet</w:t>
            </w:r>
            <w:r>
              <w:rPr>
                <w:noProof/>
                <w:webHidden/>
              </w:rPr>
              <w:tab/>
            </w:r>
            <w:r>
              <w:rPr>
                <w:noProof/>
                <w:webHidden/>
              </w:rPr>
              <w:fldChar w:fldCharType="begin"/>
            </w:r>
            <w:r>
              <w:rPr>
                <w:noProof/>
                <w:webHidden/>
              </w:rPr>
              <w:instrText xml:space="preserve"> PAGEREF _Toc241707991 \h </w:instrText>
            </w:r>
            <w:r>
              <w:rPr>
                <w:noProof/>
                <w:webHidden/>
              </w:rPr>
            </w:r>
            <w:r>
              <w:rPr>
                <w:noProof/>
                <w:webHidden/>
              </w:rPr>
              <w:fldChar w:fldCharType="separate"/>
            </w:r>
            <w:r>
              <w:rPr>
                <w:noProof/>
                <w:webHidden/>
              </w:rPr>
              <w:t>76</w:t>
            </w:r>
            <w:r>
              <w:rPr>
                <w:noProof/>
                <w:webHidden/>
              </w:rPr>
              <w:fldChar w:fldCharType="end"/>
            </w:r>
          </w:hyperlink>
        </w:p>
        <w:p w14:paraId="76EF7305" w14:textId="0B3BA113"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93" w:history="1">
            <w:r w:rsidRPr="004E70F0">
              <w:rPr>
                <w:rStyle w:val="Hyperlien"/>
                <w:noProof/>
              </w:rPr>
              <w:t>8.1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Méthode d’estimation et classe de l’estimation</w:t>
            </w:r>
            <w:r>
              <w:rPr>
                <w:noProof/>
                <w:webHidden/>
              </w:rPr>
              <w:tab/>
            </w:r>
            <w:r>
              <w:rPr>
                <w:noProof/>
                <w:webHidden/>
              </w:rPr>
              <w:fldChar w:fldCharType="begin"/>
            </w:r>
            <w:r>
              <w:rPr>
                <w:noProof/>
                <w:webHidden/>
              </w:rPr>
              <w:instrText xml:space="preserve"> PAGEREF _Toc241707993 \h </w:instrText>
            </w:r>
            <w:r>
              <w:rPr>
                <w:noProof/>
                <w:webHidden/>
              </w:rPr>
            </w:r>
            <w:r>
              <w:rPr>
                <w:noProof/>
                <w:webHidden/>
              </w:rPr>
              <w:fldChar w:fldCharType="separate"/>
            </w:r>
            <w:r>
              <w:rPr>
                <w:noProof/>
                <w:webHidden/>
              </w:rPr>
              <w:t>76</w:t>
            </w:r>
            <w:r>
              <w:rPr>
                <w:noProof/>
                <w:webHidden/>
              </w:rPr>
              <w:fldChar w:fldCharType="end"/>
            </w:r>
          </w:hyperlink>
        </w:p>
        <w:p w14:paraId="02AF9D2B" w14:textId="17E1C614"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7999" w:history="1">
            <w:r w:rsidRPr="004E70F0">
              <w:rPr>
                <w:rStyle w:val="Hyperlien"/>
                <w:noProof/>
              </w:rPr>
              <w:t>8.2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Registre des hypothèses</w:t>
            </w:r>
            <w:r>
              <w:rPr>
                <w:noProof/>
                <w:webHidden/>
              </w:rPr>
              <w:tab/>
            </w:r>
            <w:r>
              <w:rPr>
                <w:noProof/>
                <w:webHidden/>
              </w:rPr>
              <w:fldChar w:fldCharType="begin"/>
            </w:r>
            <w:r>
              <w:rPr>
                <w:noProof/>
                <w:webHidden/>
              </w:rPr>
              <w:instrText xml:space="preserve"> PAGEREF _Toc241707999 \h </w:instrText>
            </w:r>
            <w:r>
              <w:rPr>
                <w:noProof/>
                <w:webHidden/>
              </w:rPr>
            </w:r>
            <w:r>
              <w:rPr>
                <w:noProof/>
                <w:webHidden/>
              </w:rPr>
              <w:fldChar w:fldCharType="separate"/>
            </w:r>
            <w:r>
              <w:rPr>
                <w:noProof/>
                <w:webHidden/>
              </w:rPr>
              <w:t>77</w:t>
            </w:r>
            <w:r>
              <w:rPr>
                <w:noProof/>
                <w:webHidden/>
              </w:rPr>
              <w:fldChar w:fldCharType="end"/>
            </w:r>
          </w:hyperlink>
        </w:p>
        <w:p w14:paraId="5EAA52A5" w14:textId="1E289DB9"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8002" w:history="1">
            <w:r w:rsidRPr="004E70F0">
              <w:rPr>
                <w:rStyle w:val="Hyperlien"/>
                <w:noProof/>
              </w:rPr>
              <w:t>8.3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Ressources humaines</w:t>
            </w:r>
            <w:r>
              <w:rPr>
                <w:noProof/>
                <w:webHidden/>
              </w:rPr>
              <w:tab/>
            </w:r>
            <w:r>
              <w:rPr>
                <w:noProof/>
                <w:webHidden/>
              </w:rPr>
              <w:fldChar w:fldCharType="begin"/>
            </w:r>
            <w:r>
              <w:rPr>
                <w:noProof/>
                <w:webHidden/>
              </w:rPr>
              <w:instrText xml:space="preserve"> PAGEREF _Toc241708002 \h </w:instrText>
            </w:r>
            <w:r>
              <w:rPr>
                <w:noProof/>
                <w:webHidden/>
              </w:rPr>
            </w:r>
            <w:r>
              <w:rPr>
                <w:noProof/>
                <w:webHidden/>
              </w:rPr>
              <w:fldChar w:fldCharType="separate"/>
            </w:r>
            <w:r>
              <w:rPr>
                <w:noProof/>
                <w:webHidden/>
              </w:rPr>
              <w:t>78</w:t>
            </w:r>
            <w:r>
              <w:rPr>
                <w:noProof/>
                <w:webHidden/>
              </w:rPr>
              <w:fldChar w:fldCharType="end"/>
            </w:r>
          </w:hyperlink>
        </w:p>
        <w:p w14:paraId="19F0E199" w14:textId="0B77DDC5"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8006" w:history="1">
            <w:r w:rsidRPr="004E70F0">
              <w:rPr>
                <w:rStyle w:val="Hyperlien"/>
                <w:noProof/>
              </w:rPr>
              <w:t>8.4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Ressources matérielles et d’infrastructure</w:t>
            </w:r>
            <w:r>
              <w:rPr>
                <w:noProof/>
                <w:webHidden/>
              </w:rPr>
              <w:tab/>
            </w:r>
            <w:r>
              <w:rPr>
                <w:noProof/>
                <w:webHidden/>
              </w:rPr>
              <w:fldChar w:fldCharType="begin"/>
            </w:r>
            <w:r>
              <w:rPr>
                <w:noProof/>
                <w:webHidden/>
              </w:rPr>
              <w:instrText xml:space="preserve"> PAGEREF _Toc241708006 \h </w:instrText>
            </w:r>
            <w:r>
              <w:rPr>
                <w:noProof/>
                <w:webHidden/>
              </w:rPr>
            </w:r>
            <w:r>
              <w:rPr>
                <w:noProof/>
                <w:webHidden/>
              </w:rPr>
              <w:fldChar w:fldCharType="separate"/>
            </w:r>
            <w:r>
              <w:rPr>
                <w:noProof/>
                <w:webHidden/>
              </w:rPr>
              <w:t>78</w:t>
            </w:r>
            <w:r>
              <w:rPr>
                <w:noProof/>
                <w:webHidden/>
              </w:rPr>
              <w:fldChar w:fldCharType="end"/>
            </w:r>
          </w:hyperlink>
        </w:p>
        <w:p w14:paraId="29C4A25C" w14:textId="4FF8D370"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8009" w:history="1">
            <w:r w:rsidRPr="004E70F0">
              <w:rPr>
                <w:rStyle w:val="Hyperlien"/>
                <w:noProof/>
              </w:rPr>
              <w:t>8.5</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Ressources logicielles envisagées</w:t>
            </w:r>
            <w:r>
              <w:rPr>
                <w:noProof/>
                <w:webHidden/>
              </w:rPr>
              <w:tab/>
            </w:r>
            <w:r>
              <w:rPr>
                <w:noProof/>
                <w:webHidden/>
              </w:rPr>
              <w:fldChar w:fldCharType="begin"/>
            </w:r>
            <w:r>
              <w:rPr>
                <w:noProof/>
                <w:webHidden/>
              </w:rPr>
              <w:instrText xml:space="preserve"> PAGEREF _Toc241708009 \h </w:instrText>
            </w:r>
            <w:r>
              <w:rPr>
                <w:noProof/>
                <w:webHidden/>
              </w:rPr>
            </w:r>
            <w:r>
              <w:rPr>
                <w:noProof/>
                <w:webHidden/>
              </w:rPr>
              <w:fldChar w:fldCharType="separate"/>
            </w:r>
            <w:r>
              <w:rPr>
                <w:noProof/>
                <w:webHidden/>
              </w:rPr>
              <w:t>79</w:t>
            </w:r>
            <w:r>
              <w:rPr>
                <w:noProof/>
                <w:webHidden/>
              </w:rPr>
              <w:fldChar w:fldCharType="end"/>
            </w:r>
          </w:hyperlink>
        </w:p>
        <w:p w14:paraId="1D1B43F1" w14:textId="1995393A"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8012" w:history="1">
            <w:r w:rsidRPr="004E70F0">
              <w:rPr>
                <w:rStyle w:val="Hyperlien"/>
                <w:noProof/>
              </w:rPr>
              <w:t>8.6</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Ressources informationnelles et normatives</w:t>
            </w:r>
            <w:r>
              <w:rPr>
                <w:noProof/>
                <w:webHidden/>
              </w:rPr>
              <w:tab/>
            </w:r>
            <w:r>
              <w:rPr>
                <w:noProof/>
                <w:webHidden/>
              </w:rPr>
              <w:fldChar w:fldCharType="begin"/>
            </w:r>
            <w:r>
              <w:rPr>
                <w:noProof/>
                <w:webHidden/>
              </w:rPr>
              <w:instrText xml:space="preserve"> PAGEREF _Toc241708012 \h </w:instrText>
            </w:r>
            <w:r>
              <w:rPr>
                <w:noProof/>
                <w:webHidden/>
              </w:rPr>
            </w:r>
            <w:r>
              <w:rPr>
                <w:noProof/>
                <w:webHidden/>
              </w:rPr>
              <w:fldChar w:fldCharType="separate"/>
            </w:r>
            <w:r>
              <w:rPr>
                <w:noProof/>
                <w:webHidden/>
              </w:rPr>
              <w:t>80</w:t>
            </w:r>
            <w:r>
              <w:rPr>
                <w:noProof/>
                <w:webHidden/>
              </w:rPr>
              <w:fldChar w:fldCharType="end"/>
            </w:r>
          </w:hyperlink>
        </w:p>
        <w:p w14:paraId="6D640E68" w14:textId="27F66E2E"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8016" w:history="1">
            <w:r w:rsidRPr="004E70F0">
              <w:rPr>
                <w:rStyle w:val="Hyperlien"/>
                <w:noProof/>
              </w:rPr>
              <w:t>9.</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Estimation préliminaire des coûts</w:t>
            </w:r>
            <w:r>
              <w:rPr>
                <w:noProof/>
                <w:webHidden/>
              </w:rPr>
              <w:tab/>
            </w:r>
            <w:r>
              <w:rPr>
                <w:noProof/>
                <w:webHidden/>
              </w:rPr>
              <w:fldChar w:fldCharType="begin"/>
            </w:r>
            <w:r>
              <w:rPr>
                <w:noProof/>
                <w:webHidden/>
              </w:rPr>
              <w:instrText xml:space="preserve"> PAGEREF _Toc241708016 \h </w:instrText>
            </w:r>
            <w:r>
              <w:rPr>
                <w:noProof/>
                <w:webHidden/>
              </w:rPr>
            </w:r>
            <w:r>
              <w:rPr>
                <w:noProof/>
                <w:webHidden/>
              </w:rPr>
              <w:fldChar w:fldCharType="separate"/>
            </w:r>
            <w:r>
              <w:rPr>
                <w:noProof/>
                <w:webHidden/>
              </w:rPr>
              <w:t>80</w:t>
            </w:r>
            <w:r>
              <w:rPr>
                <w:noProof/>
                <w:webHidden/>
              </w:rPr>
              <w:fldChar w:fldCharType="end"/>
            </w:r>
          </w:hyperlink>
        </w:p>
        <w:p w14:paraId="1E7242ED" w14:textId="632E23FC"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8024" w:history="1">
            <w:r w:rsidRPr="004E70F0">
              <w:rPr>
                <w:rStyle w:val="Hyperlien"/>
                <w:noProof/>
              </w:rPr>
              <w:t>9.1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Grille budgétaire</w:t>
            </w:r>
            <w:r>
              <w:rPr>
                <w:noProof/>
                <w:webHidden/>
              </w:rPr>
              <w:tab/>
            </w:r>
            <w:r>
              <w:rPr>
                <w:noProof/>
                <w:webHidden/>
              </w:rPr>
              <w:fldChar w:fldCharType="begin"/>
            </w:r>
            <w:r>
              <w:rPr>
                <w:noProof/>
                <w:webHidden/>
              </w:rPr>
              <w:instrText xml:space="preserve"> PAGEREF _Toc241708024 \h </w:instrText>
            </w:r>
            <w:r>
              <w:rPr>
                <w:noProof/>
                <w:webHidden/>
              </w:rPr>
            </w:r>
            <w:r>
              <w:rPr>
                <w:noProof/>
                <w:webHidden/>
              </w:rPr>
              <w:fldChar w:fldCharType="separate"/>
            </w:r>
            <w:r>
              <w:rPr>
                <w:noProof/>
                <w:webHidden/>
              </w:rPr>
              <w:t>81</w:t>
            </w:r>
            <w:r>
              <w:rPr>
                <w:noProof/>
                <w:webHidden/>
              </w:rPr>
              <w:fldChar w:fldCharType="end"/>
            </w:r>
          </w:hyperlink>
        </w:p>
        <w:p w14:paraId="6557848F" w14:textId="32E77397" w:rsidR="00DE097D" w:rsidRDefault="00DE097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708030" w:history="1">
            <w:r w:rsidRPr="004E70F0">
              <w:rPr>
                <w:rStyle w:val="Hyperlien"/>
                <w:noProof/>
              </w:rPr>
              <w:t>9.2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Répartition dans le temps et bordereau des prix</w:t>
            </w:r>
            <w:r>
              <w:rPr>
                <w:noProof/>
                <w:webHidden/>
              </w:rPr>
              <w:tab/>
            </w:r>
            <w:r>
              <w:rPr>
                <w:noProof/>
                <w:webHidden/>
              </w:rPr>
              <w:fldChar w:fldCharType="begin"/>
            </w:r>
            <w:r>
              <w:rPr>
                <w:noProof/>
                <w:webHidden/>
              </w:rPr>
              <w:instrText xml:space="preserve"> PAGEREF _Toc241708030 \h </w:instrText>
            </w:r>
            <w:r>
              <w:rPr>
                <w:noProof/>
                <w:webHidden/>
              </w:rPr>
            </w:r>
            <w:r>
              <w:rPr>
                <w:noProof/>
                <w:webHidden/>
              </w:rPr>
              <w:fldChar w:fldCharType="separate"/>
            </w:r>
            <w:r>
              <w:rPr>
                <w:noProof/>
                <w:webHidden/>
              </w:rPr>
              <w:t>83</w:t>
            </w:r>
            <w:r>
              <w:rPr>
                <w:noProof/>
                <w:webHidden/>
              </w:rPr>
              <w:fldChar w:fldCharType="end"/>
            </w:r>
          </w:hyperlink>
        </w:p>
        <w:p w14:paraId="2AA8D095" w14:textId="6E603CC3" w:rsidR="00DE097D" w:rsidRDefault="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8039" w:history="1">
            <w:r w:rsidRPr="004E70F0">
              <w:rPr>
                <w:rStyle w:val="Hyperlien"/>
                <w:noProof/>
              </w:rPr>
              <w:t>10.</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Échéancier préliminaire</w:t>
            </w:r>
            <w:r>
              <w:rPr>
                <w:noProof/>
                <w:webHidden/>
              </w:rPr>
              <w:tab/>
            </w:r>
            <w:r>
              <w:rPr>
                <w:noProof/>
                <w:webHidden/>
              </w:rPr>
              <w:fldChar w:fldCharType="begin"/>
            </w:r>
            <w:r>
              <w:rPr>
                <w:noProof/>
                <w:webHidden/>
              </w:rPr>
              <w:instrText xml:space="preserve"> PAGEREF _Toc241708039 \h </w:instrText>
            </w:r>
            <w:r>
              <w:rPr>
                <w:noProof/>
                <w:webHidden/>
              </w:rPr>
            </w:r>
            <w:r>
              <w:rPr>
                <w:noProof/>
                <w:webHidden/>
              </w:rPr>
              <w:fldChar w:fldCharType="separate"/>
            </w:r>
            <w:r>
              <w:rPr>
                <w:noProof/>
                <w:webHidden/>
              </w:rPr>
              <w:t>84</w:t>
            </w:r>
            <w:r>
              <w:rPr>
                <w:noProof/>
                <w:webHidden/>
              </w:rPr>
              <w:fldChar w:fldCharType="end"/>
            </w:r>
          </w:hyperlink>
        </w:p>
        <w:p w14:paraId="7E3E9639" w14:textId="7246DBCF" w:rsidR="00DE097D" w:rsidRDefault="00DE097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8041" w:history="1">
            <w:r w:rsidRPr="004E70F0">
              <w:rPr>
                <w:rStyle w:val="Hyperlien"/>
                <w:noProof/>
              </w:rPr>
              <w:t>10.1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Structure de découpage du projet</w:t>
            </w:r>
            <w:r>
              <w:rPr>
                <w:noProof/>
                <w:webHidden/>
              </w:rPr>
              <w:tab/>
            </w:r>
            <w:r>
              <w:rPr>
                <w:noProof/>
                <w:webHidden/>
              </w:rPr>
              <w:fldChar w:fldCharType="begin"/>
            </w:r>
            <w:r>
              <w:rPr>
                <w:noProof/>
                <w:webHidden/>
              </w:rPr>
              <w:instrText xml:space="preserve"> PAGEREF _Toc241708041 \h </w:instrText>
            </w:r>
            <w:r>
              <w:rPr>
                <w:noProof/>
                <w:webHidden/>
              </w:rPr>
            </w:r>
            <w:r>
              <w:rPr>
                <w:noProof/>
                <w:webHidden/>
              </w:rPr>
              <w:fldChar w:fldCharType="separate"/>
            </w:r>
            <w:r>
              <w:rPr>
                <w:noProof/>
                <w:webHidden/>
              </w:rPr>
              <w:t>84</w:t>
            </w:r>
            <w:r>
              <w:rPr>
                <w:noProof/>
                <w:webHidden/>
              </w:rPr>
              <w:fldChar w:fldCharType="end"/>
            </w:r>
          </w:hyperlink>
        </w:p>
        <w:p w14:paraId="2EAAC8DF" w14:textId="211983DE" w:rsidR="00DE097D" w:rsidRDefault="00DE097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8047" w:history="1">
            <w:r w:rsidRPr="004E70F0">
              <w:rPr>
                <w:rStyle w:val="Hyperlien"/>
                <w:noProof/>
              </w:rPr>
              <w:t>10.2</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Base de calendrier et capacité de l’équipe</w:t>
            </w:r>
            <w:r>
              <w:rPr>
                <w:noProof/>
                <w:webHidden/>
              </w:rPr>
              <w:tab/>
            </w:r>
            <w:r>
              <w:rPr>
                <w:noProof/>
                <w:webHidden/>
              </w:rPr>
              <w:fldChar w:fldCharType="begin"/>
            </w:r>
            <w:r>
              <w:rPr>
                <w:noProof/>
                <w:webHidden/>
              </w:rPr>
              <w:instrText xml:space="preserve"> PAGEREF _Toc241708047 \h </w:instrText>
            </w:r>
            <w:r>
              <w:rPr>
                <w:noProof/>
                <w:webHidden/>
              </w:rPr>
            </w:r>
            <w:r>
              <w:rPr>
                <w:noProof/>
                <w:webHidden/>
              </w:rPr>
              <w:fldChar w:fldCharType="separate"/>
            </w:r>
            <w:r>
              <w:rPr>
                <w:noProof/>
                <w:webHidden/>
              </w:rPr>
              <w:t>85</w:t>
            </w:r>
            <w:r>
              <w:rPr>
                <w:noProof/>
                <w:webHidden/>
              </w:rPr>
              <w:fldChar w:fldCharType="end"/>
            </w:r>
          </w:hyperlink>
        </w:p>
        <w:p w14:paraId="1B9059F6" w14:textId="65949FDB" w:rsidR="00DE097D" w:rsidRDefault="00DE097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8051" w:history="1">
            <w:r w:rsidRPr="004E70F0">
              <w:rPr>
                <w:rStyle w:val="Hyperlien"/>
                <w:noProof/>
              </w:rPr>
              <w:t>10.3</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Découpage en phases, jalons et livrables</w:t>
            </w:r>
            <w:r>
              <w:rPr>
                <w:noProof/>
                <w:webHidden/>
              </w:rPr>
              <w:tab/>
            </w:r>
            <w:r>
              <w:rPr>
                <w:noProof/>
                <w:webHidden/>
              </w:rPr>
              <w:fldChar w:fldCharType="begin"/>
            </w:r>
            <w:r>
              <w:rPr>
                <w:noProof/>
                <w:webHidden/>
              </w:rPr>
              <w:instrText xml:space="preserve"> PAGEREF _Toc241708051 \h </w:instrText>
            </w:r>
            <w:r>
              <w:rPr>
                <w:noProof/>
                <w:webHidden/>
              </w:rPr>
            </w:r>
            <w:r>
              <w:rPr>
                <w:noProof/>
                <w:webHidden/>
              </w:rPr>
              <w:fldChar w:fldCharType="separate"/>
            </w:r>
            <w:r>
              <w:rPr>
                <w:noProof/>
                <w:webHidden/>
              </w:rPr>
              <w:t>86</w:t>
            </w:r>
            <w:r>
              <w:rPr>
                <w:noProof/>
                <w:webHidden/>
              </w:rPr>
              <w:fldChar w:fldCharType="end"/>
            </w:r>
          </w:hyperlink>
        </w:p>
        <w:p w14:paraId="094ED49E" w14:textId="0CB21593" w:rsidR="00DE097D" w:rsidRDefault="00DE097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708057" w:history="1">
            <w:r w:rsidRPr="004E70F0">
              <w:rPr>
                <w:rStyle w:val="Hyperlien"/>
                <w:noProof/>
              </w:rPr>
              <w:t>10.4</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Représentation graphique</w:t>
            </w:r>
            <w:r>
              <w:rPr>
                <w:noProof/>
                <w:webHidden/>
              </w:rPr>
              <w:tab/>
            </w:r>
            <w:r>
              <w:rPr>
                <w:noProof/>
                <w:webHidden/>
              </w:rPr>
              <w:fldChar w:fldCharType="begin"/>
            </w:r>
            <w:r>
              <w:rPr>
                <w:noProof/>
                <w:webHidden/>
              </w:rPr>
              <w:instrText xml:space="preserve"> PAGEREF _Toc241708057 \h </w:instrText>
            </w:r>
            <w:r>
              <w:rPr>
                <w:noProof/>
                <w:webHidden/>
              </w:rPr>
            </w:r>
            <w:r>
              <w:rPr>
                <w:noProof/>
                <w:webHidden/>
              </w:rPr>
              <w:fldChar w:fldCharType="separate"/>
            </w:r>
            <w:r>
              <w:rPr>
                <w:noProof/>
                <w:webHidden/>
              </w:rPr>
              <w:t>87</w:t>
            </w:r>
            <w:r>
              <w:rPr>
                <w:noProof/>
                <w:webHidden/>
              </w:rPr>
              <w:fldChar w:fldCharType="end"/>
            </w:r>
          </w:hyperlink>
        </w:p>
        <w:p w14:paraId="31ACEA8D" w14:textId="3056A759" w:rsidR="00DE097D" w:rsidRDefault="00DE097D">
          <w:pPr>
            <w:pStyle w:val="TM4"/>
            <w:tabs>
              <w:tab w:val="right" w:leader="dot" w:pos="8828"/>
            </w:tabs>
            <w:rPr>
              <w:rFonts w:asciiTheme="minorHAnsi" w:eastAsiaTheme="minorEastAsia" w:hAnsiTheme="minorHAnsi" w:cstheme="minorBidi"/>
              <w:noProof/>
              <w:kern w:val="2"/>
              <w:sz w:val="24"/>
              <w:szCs w:val="24"/>
              <w:lang w:val="fr-FR" w:eastAsia="fr-FR"/>
              <w14:ligatures w14:val="standardContextual"/>
            </w:rPr>
          </w:pPr>
          <w:hyperlink w:anchor="_Toc241708065" w:history="1">
            <w:r w:rsidRPr="004E70F0">
              <w:rPr>
                <w:rStyle w:val="Hyperlien"/>
                <w:noProof/>
                <w:lang w:eastAsia="en-US"/>
              </w:rPr>
              <w:t>Conclusion</w:t>
            </w:r>
            <w:r>
              <w:rPr>
                <w:noProof/>
                <w:webHidden/>
              </w:rPr>
              <w:tab/>
            </w:r>
            <w:r>
              <w:rPr>
                <w:noProof/>
                <w:webHidden/>
              </w:rPr>
              <w:fldChar w:fldCharType="begin"/>
            </w:r>
            <w:r>
              <w:rPr>
                <w:noProof/>
                <w:webHidden/>
              </w:rPr>
              <w:instrText xml:space="preserve"> PAGEREF _Toc241708065 \h </w:instrText>
            </w:r>
            <w:r>
              <w:rPr>
                <w:noProof/>
                <w:webHidden/>
              </w:rPr>
            </w:r>
            <w:r>
              <w:rPr>
                <w:noProof/>
                <w:webHidden/>
              </w:rPr>
              <w:fldChar w:fldCharType="separate"/>
            </w:r>
            <w:r>
              <w:rPr>
                <w:noProof/>
                <w:webHidden/>
              </w:rPr>
              <w:t>87</w:t>
            </w:r>
            <w:r>
              <w:rPr>
                <w:noProof/>
                <w:webHidden/>
              </w:rPr>
              <w:fldChar w:fldCharType="end"/>
            </w:r>
          </w:hyperlink>
        </w:p>
        <w:p w14:paraId="711C0A05" w14:textId="385F6B8D" w:rsidR="006D5CA3" w:rsidRPr="004631CD" w:rsidRDefault="00DE097D" w:rsidP="00DE097D">
          <w:pPr>
            <w:pStyle w:val="TM1"/>
            <w:rPr>
              <w:rFonts w:asciiTheme="minorHAnsi" w:eastAsiaTheme="minorEastAsia" w:hAnsiTheme="minorHAnsi" w:cstheme="minorBidi"/>
              <w:noProof/>
              <w:kern w:val="2"/>
              <w:sz w:val="24"/>
              <w:szCs w:val="24"/>
              <w:lang w:val="fr-FR" w:eastAsia="fr-FR"/>
              <w14:ligatures w14:val="standardContextual"/>
            </w:rPr>
          </w:pPr>
          <w:hyperlink w:anchor="_Toc241708069" w:history="1">
            <w:r w:rsidRPr="004E70F0">
              <w:rPr>
                <w:rStyle w:val="Hyperlien"/>
                <w:noProof/>
              </w:rPr>
              <w:t>11.</w:t>
            </w:r>
            <w:r>
              <w:rPr>
                <w:rFonts w:asciiTheme="minorHAnsi" w:eastAsiaTheme="minorEastAsia" w:hAnsiTheme="minorHAnsi" w:cstheme="minorBidi"/>
                <w:noProof/>
                <w:kern w:val="2"/>
                <w:sz w:val="24"/>
                <w:szCs w:val="24"/>
                <w:lang w:val="fr-FR" w:eastAsia="fr-FR"/>
                <w14:ligatures w14:val="standardContextual"/>
              </w:rPr>
              <w:tab/>
            </w:r>
            <w:r w:rsidRPr="004E70F0">
              <w:rPr>
                <w:rStyle w:val="Hyperlien"/>
                <w:noProof/>
              </w:rPr>
              <w:t>Références pertinentes au projet</w:t>
            </w:r>
            <w:r>
              <w:rPr>
                <w:noProof/>
                <w:webHidden/>
              </w:rPr>
              <w:tab/>
            </w:r>
            <w:r>
              <w:rPr>
                <w:noProof/>
                <w:webHidden/>
              </w:rPr>
              <w:fldChar w:fldCharType="begin"/>
            </w:r>
            <w:r>
              <w:rPr>
                <w:noProof/>
                <w:webHidden/>
              </w:rPr>
              <w:instrText xml:space="preserve"> PAGEREF _Toc241708069 \h </w:instrText>
            </w:r>
            <w:r>
              <w:rPr>
                <w:noProof/>
                <w:webHidden/>
              </w:rPr>
            </w:r>
            <w:r>
              <w:rPr>
                <w:noProof/>
                <w:webHidden/>
              </w:rPr>
              <w:fldChar w:fldCharType="separate"/>
            </w:r>
            <w:r>
              <w:rPr>
                <w:noProof/>
                <w:webHidden/>
              </w:rPr>
              <w:t>88</w:t>
            </w:r>
            <w:r>
              <w:rPr>
                <w:noProof/>
                <w:webHidden/>
              </w:rPr>
              <w:fldChar w:fldCharType="end"/>
            </w:r>
          </w:hyperlink>
          <w:r w:rsidR="006D5CA3">
            <w:rPr>
              <w:b/>
              <w:bCs/>
            </w:rPr>
            <w:fldChar w:fldCharType="end"/>
          </w:r>
        </w:p>
      </w:sdtContent>
    </w:sdt>
    <w:p w14:paraId="5BB9580D" w14:textId="77777777" w:rsidR="006D5CA3" w:rsidRPr="00BE4F47" w:rsidRDefault="006D5CA3" w:rsidP="008E113B">
      <w:pPr>
        <w:spacing w:line="360" w:lineRule="auto"/>
        <w:ind w:left="0"/>
        <w:outlineLvl w:val="9"/>
        <w:rPr>
          <w:rFonts w:ascii="Aptos" w:hAnsi="Aptos"/>
        </w:rPr>
      </w:pPr>
    </w:p>
    <w:p w14:paraId="7073DCD6" w14:textId="77777777" w:rsidR="00F50D70" w:rsidRPr="00BE4F47" w:rsidRDefault="00F50D70" w:rsidP="008E113B">
      <w:pPr>
        <w:pStyle w:val="Sous-titre"/>
        <w:pBdr>
          <w:bottom w:val="nil"/>
        </w:pBdr>
        <w:spacing w:line="360" w:lineRule="auto"/>
        <w:rPr>
          <w:rFonts w:ascii="Aptos" w:hAnsi="Aptos" w:cs="Times"/>
          <w:i w:val="0"/>
          <w:sz w:val="24"/>
          <w:szCs w:val="40"/>
        </w:rPr>
      </w:pPr>
    </w:p>
    <w:p w14:paraId="27EBF016" w14:textId="77777777" w:rsidR="00F50D70" w:rsidRPr="00BE4F47" w:rsidRDefault="00137D7F" w:rsidP="008E113B">
      <w:pPr>
        <w:pStyle w:val="Titre4"/>
        <w:spacing w:line="360" w:lineRule="auto"/>
        <w:rPr>
          <w:rFonts w:eastAsia="DengXian Light"/>
          <w:color w:val="2F5496"/>
          <w:sz w:val="32"/>
          <w:szCs w:val="32"/>
          <w:lang w:eastAsia="en-US"/>
        </w:rPr>
      </w:pPr>
      <w:bookmarkStart w:id="2" w:name="_Toc241707679"/>
      <w:r w:rsidRPr="00BE4F47">
        <w:rPr>
          <w:lang w:eastAsia="en-US"/>
        </w:rPr>
        <w:t>Résumé exécutif</w:t>
      </w:r>
      <w:bookmarkEnd w:id="2"/>
    </w:p>
    <w:p w14:paraId="216636AA" w14:textId="77777777" w:rsidR="00F50D70" w:rsidRPr="00BE4F47" w:rsidRDefault="00137D7F" w:rsidP="008E113B">
      <w:pPr>
        <w:spacing w:after="130" w:line="360" w:lineRule="auto"/>
        <w:ind w:left="360"/>
        <w:rPr>
          <w:rFonts w:ascii="Aptos" w:hAnsi="Aptos"/>
        </w:rPr>
      </w:pPr>
      <w:bookmarkStart w:id="3" w:name="_Toc241082759"/>
      <w:bookmarkStart w:id="4" w:name="_Toc241669972"/>
      <w:bookmarkStart w:id="5" w:name="_Toc241707680"/>
      <w:r w:rsidRPr="00BE4F47">
        <w:rPr>
          <w:rFonts w:ascii="Aptos" w:eastAsia="Calibri" w:hAnsi="Aptos" w:cs="Calibri"/>
          <w:color w:val="1A1A19"/>
          <w:sz w:val="20"/>
          <w:szCs w:val="20"/>
        </w:rPr>
        <w:t>Hydro-Québec, client fictif du scénario de cours, envisage la remise en service de la centrale Gentilly-2. Une telle décision suppose de comprendre le comportement des systèmes de la centrale dans des conditions que l’on ne peut pas provoquer sur une installation réelle sans risque. Le projet répond à ce besoin par un jumeau numérique de surveillance appliqué à une boucle thermohydraulique simplifiée, inspirée du système de refroidissement.</w:t>
      </w:r>
      <w:bookmarkEnd w:id="3"/>
      <w:bookmarkEnd w:id="4"/>
      <w:bookmarkEnd w:id="5"/>
    </w:p>
    <w:p w14:paraId="694BD3D9" w14:textId="77777777" w:rsidR="00F50D70" w:rsidRPr="00BE4F47" w:rsidRDefault="00137D7F" w:rsidP="008E113B">
      <w:pPr>
        <w:spacing w:after="130" w:line="360" w:lineRule="auto"/>
        <w:ind w:left="360"/>
        <w:rPr>
          <w:rFonts w:ascii="Aptos" w:hAnsi="Aptos"/>
        </w:rPr>
      </w:pPr>
      <w:bookmarkStart w:id="6" w:name="_Toc241082760"/>
      <w:bookmarkStart w:id="7" w:name="_Toc241669973"/>
      <w:bookmarkStart w:id="8" w:name="_Toc241707681"/>
      <w:r w:rsidRPr="00BE4F47">
        <w:rPr>
          <w:rFonts w:ascii="Aptos" w:eastAsia="Calibri" w:hAnsi="Aptos" w:cs="Calibri"/>
          <w:color w:val="1A1A19"/>
          <w:sz w:val="20"/>
          <w:szCs w:val="20"/>
        </w:rPr>
        <w:t>Le problème à résoudre tient en deux points : étudier des scénarios de défaillance de façon reproductible, et savoir dans quelles conditions les informations produites par un modèle numérique sont assez fiables pour servir d’aide à la décision.</w:t>
      </w:r>
      <w:bookmarkEnd w:id="6"/>
      <w:bookmarkEnd w:id="7"/>
      <w:bookmarkEnd w:id="8"/>
    </w:p>
    <w:p w14:paraId="1D0B1F99" w14:textId="6199C777" w:rsidR="00F50D70" w:rsidRPr="00BE4F47" w:rsidRDefault="00137D7F" w:rsidP="008E113B">
      <w:pPr>
        <w:spacing w:after="130" w:line="360" w:lineRule="auto"/>
        <w:ind w:left="360"/>
        <w:rPr>
          <w:rFonts w:ascii="Aptos" w:hAnsi="Aptos"/>
        </w:rPr>
      </w:pPr>
      <w:bookmarkStart w:id="9" w:name="_Toc241082761"/>
      <w:bookmarkStart w:id="10" w:name="_Toc241669974"/>
      <w:bookmarkStart w:id="11" w:name="_Toc241707682"/>
      <w:r w:rsidRPr="00BE4F47">
        <w:rPr>
          <w:rFonts w:ascii="Aptos" w:eastAsia="Calibri" w:hAnsi="Aptos" w:cs="Calibri"/>
          <w:color w:val="1A1A19"/>
          <w:sz w:val="20"/>
          <w:szCs w:val="20"/>
        </w:rPr>
        <w:t>L’objectif directeur est de démontrer, sur un prototype vérifié et validé, qu’un jumeau numérique peut détecter une dérive sur trois variables de procédé, exprimer son niveau de confiance, et déclarer explicitement son incertitude, la décision demeurant celle de l’opérateur.</w:t>
      </w:r>
      <w:bookmarkEnd w:id="9"/>
      <w:bookmarkEnd w:id="10"/>
      <w:bookmarkEnd w:id="11"/>
    </w:p>
    <w:p w14:paraId="4EC7FC69" w14:textId="77777777" w:rsidR="00F50D70" w:rsidRPr="00BE4F47" w:rsidRDefault="00137D7F" w:rsidP="008E113B">
      <w:pPr>
        <w:spacing w:after="130" w:line="360" w:lineRule="auto"/>
        <w:ind w:left="360"/>
        <w:rPr>
          <w:rFonts w:ascii="Aptos" w:hAnsi="Aptos"/>
        </w:rPr>
      </w:pPr>
      <w:bookmarkStart w:id="12" w:name="_Toc241082762"/>
      <w:bookmarkStart w:id="13" w:name="_Toc241669975"/>
      <w:bookmarkStart w:id="14" w:name="_Toc241707683"/>
      <w:r w:rsidRPr="00BE4F47">
        <w:rPr>
          <w:rFonts w:ascii="Aptos" w:eastAsia="Calibri" w:hAnsi="Aptos" w:cs="Calibri"/>
          <w:color w:val="1A1A19"/>
          <w:sz w:val="20"/>
          <w:szCs w:val="20"/>
        </w:rPr>
        <w:lastRenderedPageBreak/>
        <w:t>L’impact principal du projet est la protection du public. Les scénarios dangereux sont étudiés sur un modèle plutôt que sur une installation, et le système annonce ses limites au lieu de présenter un état incertain comme normal. Cet impact est détaillé à la section 7.</w:t>
      </w:r>
      <w:bookmarkEnd w:id="12"/>
      <w:bookmarkEnd w:id="13"/>
      <w:bookmarkEnd w:id="14"/>
    </w:p>
    <w:p w14:paraId="692B1B17" w14:textId="77777777" w:rsidR="00F50D70" w:rsidRPr="00BE4F47" w:rsidRDefault="00137D7F" w:rsidP="008E113B">
      <w:pPr>
        <w:spacing w:after="130" w:line="360" w:lineRule="auto"/>
        <w:ind w:left="360"/>
        <w:rPr>
          <w:rFonts w:ascii="Aptos" w:hAnsi="Aptos"/>
        </w:rPr>
      </w:pPr>
      <w:bookmarkStart w:id="15" w:name="_Toc241082763"/>
      <w:bookmarkStart w:id="16" w:name="_Toc241669976"/>
      <w:bookmarkStart w:id="17" w:name="_Toc241707684"/>
      <w:r w:rsidRPr="00BE4F47">
        <w:rPr>
          <w:rFonts w:ascii="Aptos" w:eastAsia="Calibri" w:hAnsi="Aptos" w:cs="Calibri"/>
          <w:color w:val="1A1A19"/>
          <w:sz w:val="20"/>
          <w:szCs w:val="20"/>
        </w:rPr>
        <w:t>Le mandat mobilise huit étudiants en génie pour 1 080 heures. Le coût du mandat s’établit à 59 400 $, contingence de 10 % comprise. Le prix porté au bordereau, bénéfice de l’équipe compris, est de 68 310 $. Avec la réserve du propriétaire, l’estimé initial total atteint 71 725,50 $. L’estimation est de classe 5 au sens de l’AACE, employée par analogie, avec la fourchette que cette classe implique.</w:t>
      </w:r>
      <w:bookmarkEnd w:id="15"/>
      <w:bookmarkEnd w:id="16"/>
      <w:bookmarkEnd w:id="17"/>
    </w:p>
    <w:p w14:paraId="35BB1E1E" w14:textId="77777777" w:rsidR="00F50D70" w:rsidRPr="00BE4F47" w:rsidRDefault="00137D7F" w:rsidP="008E113B">
      <w:pPr>
        <w:spacing w:after="130" w:line="360" w:lineRule="auto"/>
        <w:ind w:left="360"/>
        <w:rPr>
          <w:rFonts w:ascii="Aptos" w:hAnsi="Aptos"/>
        </w:rPr>
      </w:pPr>
      <w:bookmarkStart w:id="18" w:name="_Toc241082764"/>
      <w:bookmarkStart w:id="19" w:name="_Toc241669977"/>
      <w:bookmarkStart w:id="20" w:name="_Toc241707685"/>
      <w:r w:rsidRPr="00BE4F47">
        <w:rPr>
          <w:rFonts w:ascii="Aptos" w:eastAsia="Calibri" w:hAnsi="Aptos" w:cs="Calibri"/>
          <w:color w:val="1A1A19"/>
          <w:sz w:val="20"/>
          <w:szCs w:val="20"/>
        </w:rPr>
        <w:t>L’équipe formule trois recommandations : accepter le mandat dans le périmètre défini à la section 1 ; conserver un banc d’essai numérique plutôt qu’une boucle physique, un banc physique faisant basculer le projet dans une autre classe de budget ; maintenir les activités de vérification et de validation avant toute réduction de contenu si les ressources deviennent insuffisantes.</w:t>
      </w:r>
      <w:bookmarkEnd w:id="18"/>
      <w:bookmarkEnd w:id="19"/>
      <w:bookmarkEnd w:id="20"/>
    </w:p>
    <w:p w14:paraId="667F39CA" w14:textId="77777777" w:rsidR="00F50D70" w:rsidRPr="00136F18" w:rsidRDefault="00137D7F" w:rsidP="008E113B">
      <w:pPr>
        <w:spacing w:after="130" w:line="360" w:lineRule="auto"/>
        <w:ind w:left="360"/>
        <w:rPr>
          <w:rFonts w:ascii="Aptos" w:hAnsi="Aptos"/>
        </w:rPr>
      </w:pPr>
      <w:bookmarkStart w:id="21" w:name="_Toc241082765"/>
      <w:bookmarkStart w:id="22" w:name="_Toc241669978"/>
      <w:bookmarkStart w:id="23" w:name="_Toc241707686"/>
      <w:r w:rsidRPr="00BE4F47">
        <w:rPr>
          <w:rFonts w:ascii="Aptos" w:eastAsia="Calibri" w:hAnsi="Aptos" w:cs="Calibri"/>
          <w:color w:val="1A1A19"/>
          <w:sz w:val="20"/>
          <w:szCs w:val="20"/>
        </w:rPr>
        <w:t>Le projet est jugé faisable dans l’enveloppe de 1 080 heures, à trois conditions : le gel des exigences au jalon J1, le maintien de l’effectif de huit membres, et l’acceptation par le client du domaine de validité annoncé à la section 2.</w:t>
      </w:r>
      <w:bookmarkEnd w:id="21"/>
      <w:bookmarkEnd w:id="22"/>
      <w:bookmarkEnd w:id="23"/>
    </w:p>
    <w:p w14:paraId="39D8F2DE" w14:textId="77777777" w:rsidR="00F50D70" w:rsidRPr="00BE4F47" w:rsidRDefault="00F50D70" w:rsidP="008E113B">
      <w:pPr>
        <w:spacing w:line="360" w:lineRule="auto"/>
        <w:rPr>
          <w:rFonts w:ascii="Aptos" w:eastAsia="Times New Roman" w:hAnsi="Aptos" w:cs="Times New Roman"/>
          <w:b/>
          <w:bCs/>
          <w:kern w:val="2"/>
          <w:sz w:val="24"/>
          <w:szCs w:val="24"/>
          <w:lang w:val="fr-FR" w:eastAsia="en-US"/>
        </w:rPr>
      </w:pPr>
    </w:p>
    <w:p w14:paraId="52EA0B7C" w14:textId="77777777" w:rsidR="00F50D70" w:rsidRPr="00BE4F47" w:rsidRDefault="00137D7F" w:rsidP="008E113B">
      <w:pPr>
        <w:pStyle w:val="Sous-titre"/>
        <w:pBdr>
          <w:bottom w:val="nil"/>
        </w:pBdr>
        <w:spacing w:line="360" w:lineRule="auto"/>
        <w:rPr>
          <w:rFonts w:ascii="Aptos" w:eastAsia="Arial" w:hAnsi="Aptos"/>
          <w:sz w:val="24"/>
        </w:rPr>
      </w:pPr>
      <w:r w:rsidRPr="00BE4F47">
        <w:rPr>
          <w:rFonts w:ascii="Aptos" w:eastAsia="Arial" w:hAnsi="Aptos"/>
          <w:sz w:val="24"/>
        </w:rPr>
        <w:t xml:space="preserve"> </w:t>
      </w:r>
      <w:r w:rsidRPr="00BE4F47">
        <w:rPr>
          <w:rFonts w:ascii="Aptos" w:hAnsi="Aptos"/>
        </w:rPr>
        <w:br w:type="page"/>
      </w:r>
    </w:p>
    <w:p w14:paraId="77C76FE8" w14:textId="77777777" w:rsidR="00F50D70" w:rsidRPr="00BE4F47" w:rsidRDefault="00F50D70" w:rsidP="008E113B">
      <w:pPr>
        <w:spacing w:line="360" w:lineRule="auto"/>
        <w:ind w:left="0"/>
        <w:outlineLvl w:val="9"/>
        <w:rPr>
          <w:rFonts w:ascii="Aptos" w:hAnsi="Aptos"/>
          <w:sz w:val="24"/>
        </w:rPr>
      </w:pPr>
    </w:p>
    <w:p w14:paraId="391D0BA5" w14:textId="77777777" w:rsidR="00F50D70" w:rsidRPr="00BE4F47" w:rsidRDefault="00137D7F" w:rsidP="008E113B">
      <w:pPr>
        <w:pStyle w:val="Titre1"/>
        <w:spacing w:line="360" w:lineRule="auto"/>
        <w:rPr>
          <w:rFonts w:ascii="Aptos" w:hAnsi="Aptos"/>
        </w:rPr>
      </w:pPr>
      <w:bookmarkStart w:id="24" w:name="__RefHeading___Toc240715054"/>
      <w:bookmarkStart w:id="25" w:name="_Toc241707687"/>
      <w:bookmarkEnd w:id="24"/>
      <w:r w:rsidRPr="00BE4F47">
        <w:rPr>
          <w:rFonts w:ascii="Aptos" w:hAnsi="Aptos"/>
        </w:rPr>
        <w:t>Analyse des besoins du client et des exigences des différents intervenants</w:t>
      </w:r>
      <w:bookmarkEnd w:id="25"/>
    </w:p>
    <w:p w14:paraId="2A54963B" w14:textId="77777777" w:rsidR="00F50D70" w:rsidRPr="00BE4F47" w:rsidRDefault="00137D7F" w:rsidP="008E113B">
      <w:pPr>
        <w:spacing w:before="200" w:after="130" w:line="360" w:lineRule="auto"/>
        <w:ind w:left="360"/>
        <w:rPr>
          <w:rFonts w:ascii="Aptos" w:hAnsi="Aptos"/>
        </w:rPr>
      </w:pPr>
      <w:bookmarkStart w:id="26" w:name="_Toc241082767"/>
      <w:bookmarkStart w:id="27" w:name="_Toc241669980"/>
      <w:bookmarkStart w:id="28" w:name="_Toc241707688"/>
      <w:r w:rsidRPr="00BE4F47">
        <w:rPr>
          <w:rFonts w:ascii="Aptos" w:hAnsi="Aptos"/>
          <w:color w:val="1A1A19"/>
          <w:sz w:val="20"/>
          <w:szCs w:val="20"/>
        </w:rPr>
        <w:t>Cette section établit ce à quoi le système doit répondre, du contexte du client jusqu’aux exigences vérifiables.</w:t>
      </w:r>
      <w:bookmarkEnd w:id="26"/>
      <w:bookmarkEnd w:id="27"/>
      <w:bookmarkEnd w:id="28"/>
    </w:p>
    <w:p w14:paraId="0A140E62" w14:textId="77777777" w:rsidR="00F50D70" w:rsidRPr="00BE4F47" w:rsidRDefault="00137D7F" w:rsidP="008E113B">
      <w:pPr>
        <w:pStyle w:val="Titre2"/>
        <w:spacing w:line="360" w:lineRule="auto"/>
      </w:pPr>
      <w:bookmarkStart w:id="29" w:name="__RefHeading___Toc240715055"/>
      <w:bookmarkStart w:id="30" w:name="_Toc241707689"/>
      <w:bookmarkEnd w:id="29"/>
      <w:r w:rsidRPr="00BE4F47">
        <w:t>Contexte et mandat</w:t>
      </w:r>
      <w:bookmarkEnd w:id="30"/>
    </w:p>
    <w:p w14:paraId="3E787AE0" w14:textId="77777777" w:rsidR="00F50D70" w:rsidRPr="00BE4F47" w:rsidRDefault="00137D7F" w:rsidP="008E113B">
      <w:pPr>
        <w:spacing w:after="130" w:line="360" w:lineRule="auto"/>
        <w:ind w:left="360"/>
        <w:rPr>
          <w:rFonts w:ascii="Aptos" w:hAnsi="Aptos"/>
        </w:rPr>
      </w:pPr>
      <w:bookmarkStart w:id="31" w:name="_Toc241669982"/>
      <w:bookmarkStart w:id="32" w:name="_Toc241707690"/>
      <w:r w:rsidRPr="00BE4F47">
        <w:rPr>
          <w:rFonts w:ascii="Aptos" w:hAnsi="Aptos"/>
          <w:color w:val="1A1A19"/>
          <w:sz w:val="20"/>
          <w:szCs w:val="20"/>
        </w:rPr>
        <w:t>Le projet repose sur un scénario fictif construit pour le cours. Hydro-Québec y agit comme client fictif et envisage la remise en service de la centrale Gentilly-2. Ni le mandat ni les travaux décrits ici ne correspondent à un projet réel de l’entreprise.</w:t>
      </w:r>
      <w:bookmarkEnd w:id="31"/>
      <w:bookmarkEnd w:id="32"/>
    </w:p>
    <w:p w14:paraId="2F0EC2D6" w14:textId="77777777" w:rsidR="00F50D70" w:rsidRPr="00BE4F47" w:rsidRDefault="00137D7F" w:rsidP="008E113B">
      <w:pPr>
        <w:spacing w:after="130" w:line="360" w:lineRule="auto"/>
        <w:ind w:left="360"/>
        <w:rPr>
          <w:rFonts w:ascii="Aptos" w:hAnsi="Aptos"/>
        </w:rPr>
      </w:pPr>
      <w:bookmarkStart w:id="33" w:name="_Toc241082770"/>
      <w:bookmarkStart w:id="34" w:name="_Toc241669983"/>
      <w:bookmarkStart w:id="35" w:name="_Toc241707691"/>
      <w:r w:rsidRPr="00BE4F47">
        <w:rPr>
          <w:rFonts w:ascii="Aptos" w:hAnsi="Aptos"/>
          <w:color w:val="1A1A19"/>
          <w:sz w:val="20"/>
          <w:szCs w:val="20"/>
        </w:rPr>
        <w:t>Après un long arrêt, une remise en service pose des questions sur le comportement des systèmes dans différentes conditions. Certains scénarios de défaillance sont risqués à reproduire sur une installation réelle. Le client a besoin d’un moyen de les étudier sans exposer les équipements, les travailleurs ou le public.</w:t>
      </w:r>
      <w:bookmarkEnd w:id="33"/>
      <w:bookmarkEnd w:id="34"/>
      <w:bookmarkEnd w:id="35"/>
    </w:p>
    <w:p w14:paraId="64554EF3" w14:textId="77777777" w:rsidR="00F50D70" w:rsidRPr="00BE4F47" w:rsidRDefault="00137D7F" w:rsidP="008E113B">
      <w:pPr>
        <w:spacing w:after="130" w:line="360" w:lineRule="auto"/>
        <w:ind w:left="360"/>
        <w:rPr>
          <w:rFonts w:ascii="Aptos" w:hAnsi="Aptos"/>
        </w:rPr>
      </w:pPr>
      <w:bookmarkStart w:id="36" w:name="_Toc241082771"/>
      <w:bookmarkStart w:id="37" w:name="_Toc241669984"/>
      <w:bookmarkStart w:id="38" w:name="_Toc241707692"/>
      <w:r w:rsidRPr="00BE4F47">
        <w:rPr>
          <w:rFonts w:ascii="Aptos" w:hAnsi="Aptos"/>
          <w:color w:val="1A1A19"/>
          <w:sz w:val="20"/>
          <w:szCs w:val="20"/>
        </w:rPr>
        <w:t>Le mandat confié à l’équipe porte sur une boucle thermohydraulique simplifiée, inspirée du système de refroidissement. Nous ne reproduirons pas l’ensemble de Gentilly-2. Nous étudierons différents états de fonctionnement à partir de trois paramètres : la température, la pression et le débit.</w:t>
      </w:r>
      <w:bookmarkEnd w:id="36"/>
      <w:bookmarkEnd w:id="37"/>
      <w:bookmarkEnd w:id="38"/>
    </w:p>
    <w:p w14:paraId="44FA64E2" w14:textId="27D13F74" w:rsidR="00F50D70" w:rsidRPr="00BE4F47" w:rsidRDefault="00137D7F" w:rsidP="008E113B">
      <w:pPr>
        <w:spacing w:after="130" w:line="360" w:lineRule="auto"/>
        <w:ind w:left="360"/>
        <w:rPr>
          <w:rFonts w:ascii="Aptos" w:hAnsi="Aptos"/>
        </w:rPr>
      </w:pPr>
      <w:bookmarkStart w:id="39" w:name="_Toc241082773"/>
      <w:bookmarkStart w:id="40" w:name="_Toc241669985"/>
      <w:bookmarkStart w:id="41" w:name="_Toc241707693"/>
      <w:r w:rsidRPr="00BE4F47">
        <w:rPr>
          <w:rFonts w:ascii="Aptos" w:hAnsi="Aptos"/>
          <w:color w:val="1A1A19"/>
          <w:sz w:val="20"/>
          <w:szCs w:val="20"/>
        </w:rPr>
        <w:t>Le projet est de complexité moyenne à élevée pour une équipe de premier cycle. Trois facteurs l’expliquent :</w:t>
      </w:r>
      <w:bookmarkEnd w:id="39"/>
      <w:bookmarkEnd w:id="40"/>
      <w:bookmarkEnd w:id="41"/>
    </w:p>
    <w:p w14:paraId="54FD0246" w14:textId="77777777" w:rsidR="00F50D70" w:rsidRPr="00BE4F47" w:rsidRDefault="00137D7F" w:rsidP="008E113B">
      <w:pPr>
        <w:numPr>
          <w:ilvl w:val="0"/>
          <w:numId w:val="20"/>
        </w:numPr>
        <w:spacing w:after="130" w:line="360" w:lineRule="auto"/>
        <w:ind w:left="720"/>
        <w:rPr>
          <w:rFonts w:ascii="Aptos" w:hAnsi="Aptos"/>
          <w:lang w:val="fr-FR"/>
        </w:rPr>
      </w:pPr>
      <w:bookmarkStart w:id="42" w:name="_Toc241669986"/>
      <w:bookmarkStart w:id="43" w:name="_Toc241707694"/>
      <w:r w:rsidRPr="00BE4F47">
        <w:rPr>
          <w:rFonts w:ascii="Aptos" w:hAnsi="Aptos"/>
          <w:color w:val="1A1A19"/>
          <w:sz w:val="20"/>
          <w:szCs w:val="20"/>
        </w:rPr>
        <w:t>Le contenu : le prototype demande cinq disciplines, soit la thermohydraulique, le génie logiciel, la statistique, les facteurs humains et la cybersécurité. Aucune n’est optionnelle, et un défaut dans l’une fausse le résultat des autres.</w:t>
      </w:r>
      <w:bookmarkEnd w:id="42"/>
      <w:bookmarkEnd w:id="43"/>
    </w:p>
    <w:p w14:paraId="094D1EE9" w14:textId="77777777" w:rsidR="00F50D70" w:rsidRPr="00BE4F47" w:rsidRDefault="00137D7F" w:rsidP="008E113B">
      <w:pPr>
        <w:numPr>
          <w:ilvl w:val="0"/>
          <w:numId w:val="20"/>
        </w:numPr>
        <w:spacing w:after="130" w:line="360" w:lineRule="auto"/>
        <w:ind w:left="720"/>
        <w:rPr>
          <w:rFonts w:ascii="Aptos" w:hAnsi="Aptos"/>
          <w:lang w:val="fr-FR"/>
        </w:rPr>
      </w:pPr>
      <w:bookmarkStart w:id="44" w:name="_Toc241669987"/>
      <w:bookmarkStart w:id="45" w:name="_Toc241707695"/>
      <w:r w:rsidRPr="00BE4F47">
        <w:rPr>
          <w:rFonts w:ascii="Aptos" w:hAnsi="Aptos"/>
          <w:color w:val="1A1A19"/>
          <w:sz w:val="20"/>
          <w:szCs w:val="20"/>
        </w:rPr>
        <w:t>L’organisation : nous sommes huit à travailler sur ce projet, en parallèle de nos autres cours. La coordination demande un effort à part entière.</w:t>
      </w:r>
      <w:bookmarkEnd w:id="44"/>
      <w:bookmarkEnd w:id="45"/>
    </w:p>
    <w:p w14:paraId="6EA77E33" w14:textId="77777777" w:rsidR="00F50D70" w:rsidRPr="00BE4F47" w:rsidRDefault="00137D7F" w:rsidP="008E113B">
      <w:pPr>
        <w:numPr>
          <w:ilvl w:val="0"/>
          <w:numId w:val="20"/>
        </w:numPr>
        <w:spacing w:after="130" w:line="360" w:lineRule="auto"/>
        <w:ind w:left="720"/>
        <w:rPr>
          <w:rFonts w:ascii="Aptos" w:hAnsi="Aptos"/>
          <w:lang w:val="fr-FR"/>
        </w:rPr>
      </w:pPr>
      <w:bookmarkStart w:id="46" w:name="_Toc241669988"/>
      <w:bookmarkStart w:id="47" w:name="_Toc241707696"/>
      <w:r w:rsidRPr="00BE4F47">
        <w:rPr>
          <w:rFonts w:ascii="Aptos" w:hAnsi="Aptos"/>
          <w:color w:val="1A1A19"/>
          <w:sz w:val="20"/>
          <w:szCs w:val="20"/>
        </w:rPr>
        <w:t>La validation : faute de banc physique, le jumeau sera comparé à un autre modèle numérique. La démonstration portera donc sur la cohérence entre deux modèles, pas sur une mesure réelle. Nous le signalerons dans nos conclusions.</w:t>
      </w:r>
      <w:bookmarkEnd w:id="46"/>
      <w:bookmarkEnd w:id="47"/>
    </w:p>
    <w:p w14:paraId="2AA15527" w14:textId="77777777" w:rsidR="00F50D70" w:rsidRPr="00BE4F47" w:rsidRDefault="00137D7F" w:rsidP="008E113B">
      <w:pPr>
        <w:spacing w:after="130" w:line="360" w:lineRule="auto"/>
        <w:ind w:left="360"/>
        <w:rPr>
          <w:rFonts w:ascii="Aptos" w:hAnsi="Aptos"/>
        </w:rPr>
      </w:pPr>
      <w:bookmarkStart w:id="48" w:name="_Toc241082774"/>
      <w:bookmarkStart w:id="49" w:name="_Toc241669989"/>
      <w:bookmarkStart w:id="50" w:name="_Toc241707697"/>
      <w:r w:rsidRPr="00BE4F47">
        <w:rPr>
          <w:rFonts w:ascii="Aptos" w:hAnsi="Aptos"/>
          <w:color w:val="1A1A19"/>
          <w:sz w:val="20"/>
          <w:szCs w:val="20"/>
        </w:rPr>
        <w:t>Le projet avancera de façon incrémentale. Le découpage en lots de travail est présenté à la section 8, celui en phases et en jalons à la section 10.</w:t>
      </w:r>
      <w:bookmarkEnd w:id="48"/>
      <w:bookmarkEnd w:id="49"/>
      <w:bookmarkEnd w:id="50"/>
    </w:p>
    <w:p w14:paraId="33AE280F" w14:textId="77777777" w:rsidR="00F50D70" w:rsidRPr="00BE4F47" w:rsidRDefault="00137D7F" w:rsidP="008E113B">
      <w:pPr>
        <w:pStyle w:val="Titre2"/>
        <w:spacing w:line="360" w:lineRule="auto"/>
      </w:pPr>
      <w:bookmarkStart w:id="51" w:name="__RefHeading___Toc240715059"/>
      <w:bookmarkStart w:id="52" w:name="_Toc241707698"/>
      <w:bookmarkEnd w:id="51"/>
      <w:r w:rsidRPr="00BE4F47">
        <w:t>Parties prenantes</w:t>
      </w:r>
      <w:bookmarkEnd w:id="52"/>
    </w:p>
    <w:p w14:paraId="3B4398BF" w14:textId="77777777" w:rsidR="00F50D70" w:rsidRPr="00BE4F47" w:rsidRDefault="00137D7F" w:rsidP="008E113B">
      <w:pPr>
        <w:spacing w:after="130" w:line="360" w:lineRule="auto"/>
        <w:ind w:left="360"/>
        <w:rPr>
          <w:rFonts w:ascii="Aptos" w:hAnsi="Aptos"/>
        </w:rPr>
      </w:pPr>
      <w:bookmarkStart w:id="53" w:name="_Toc241082777"/>
      <w:bookmarkStart w:id="54" w:name="_Toc241669991"/>
      <w:bookmarkStart w:id="55" w:name="_Toc241707699"/>
      <w:r w:rsidRPr="00BE4F47">
        <w:rPr>
          <w:rFonts w:ascii="Aptos" w:hAnsi="Aptos"/>
          <w:color w:val="1A1A19"/>
          <w:sz w:val="20"/>
          <w:szCs w:val="20"/>
        </w:rPr>
        <w:t>Cinq groupes de parties prenantes sont retenus. Chacun porte une attente qui se traduit par une contrainte sur le système. Le tableau 1-1 fait ce lien et renvoie aux exigences de la section 1.7.</w:t>
      </w:r>
      <w:bookmarkEnd w:id="53"/>
      <w:bookmarkEnd w:id="54"/>
      <w:bookmarkEnd w:id="55"/>
    </w:p>
    <w:p w14:paraId="2B47B44D" w14:textId="77777777" w:rsidR="00F50D70" w:rsidRPr="00BE4F47" w:rsidRDefault="00137D7F" w:rsidP="008E113B">
      <w:pPr>
        <w:pStyle w:val="Lgende"/>
        <w:keepNext/>
        <w:spacing w:line="360" w:lineRule="auto"/>
        <w:rPr>
          <w:rFonts w:ascii="Aptos" w:hAnsi="Aptos"/>
        </w:rPr>
      </w:pPr>
      <w:bookmarkStart w:id="56" w:name="_Toc241082778"/>
      <w:bookmarkStart w:id="57" w:name="_Toc241669992"/>
      <w:bookmarkStart w:id="58" w:name="_Toc241707700"/>
      <w:r w:rsidRPr="00BE4F47">
        <w:rPr>
          <w:rFonts w:ascii="Aptos" w:hAnsi="Aptos"/>
        </w:rPr>
        <w:lastRenderedPageBreak/>
        <w:t>Tableau 1-1. Parties prenantes, attentes et conséquences pour le système</w:t>
      </w:r>
      <w:bookmarkEnd w:id="56"/>
      <w:bookmarkEnd w:id="57"/>
      <w:bookmarkEnd w:id="58"/>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737"/>
        <w:gridCol w:w="3017"/>
        <w:gridCol w:w="3803"/>
      </w:tblGrid>
      <w:tr w:rsidR="00F50D70" w:rsidRPr="00BE4F47" w14:paraId="123292EC" w14:textId="77777777" w:rsidTr="0036725C">
        <w:trPr>
          <w:trHeight w:val="227"/>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8DCAA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Partie prenante</w:t>
            </w:r>
          </w:p>
        </w:tc>
        <w:tc>
          <w:tcPr>
            <w:tcW w:w="301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4837A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Attente principale</w:t>
            </w:r>
          </w:p>
        </w:tc>
        <w:tc>
          <w:tcPr>
            <w:tcW w:w="3803"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30FDA3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Conséquence pour le système</w:t>
            </w:r>
          </w:p>
        </w:tc>
      </w:tr>
      <w:tr w:rsidR="00F50D70" w:rsidRPr="00BE4F47" w14:paraId="7CF279DB" w14:textId="77777777">
        <w:trPr>
          <w:cantSplit/>
          <w:trHeight w:val="415"/>
        </w:trPr>
        <w:tc>
          <w:tcPr>
            <w:tcW w:w="1737" w:type="dxa"/>
            <w:tcBorders>
              <w:top w:val="single" w:sz="4" w:space="0" w:color="000000"/>
              <w:left w:val="single" w:sz="4" w:space="0" w:color="000000"/>
              <w:bottom w:val="single" w:sz="4" w:space="0" w:color="000000"/>
              <w:right w:val="single" w:sz="4" w:space="0" w:color="000000"/>
            </w:tcBorders>
          </w:tcPr>
          <w:p w14:paraId="393B2AA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Hydro-Québec (client fictif)</w:t>
            </w:r>
          </w:p>
        </w:tc>
        <w:tc>
          <w:tcPr>
            <w:tcW w:w="3017" w:type="dxa"/>
            <w:tcBorders>
              <w:top w:val="single" w:sz="4" w:space="0" w:color="000000"/>
              <w:left w:val="single" w:sz="4" w:space="0" w:color="000000"/>
              <w:bottom w:val="single" w:sz="4" w:space="0" w:color="000000"/>
              <w:right w:val="single" w:sz="4" w:space="0" w:color="000000"/>
            </w:tcBorders>
          </w:tcPr>
          <w:p w14:paraId="2DDFF4A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Étudier des scénarios de fonctionnement et de défaillance sans les provoquer sur l’installation.</w:t>
            </w:r>
          </w:p>
        </w:tc>
        <w:tc>
          <w:tcPr>
            <w:tcW w:w="3803" w:type="dxa"/>
            <w:tcBorders>
              <w:top w:val="single" w:sz="4" w:space="0" w:color="000000"/>
              <w:left w:val="single" w:sz="4" w:space="0" w:color="000000"/>
              <w:bottom w:val="single" w:sz="4" w:space="0" w:color="000000"/>
              <w:right w:val="single" w:sz="4" w:space="0" w:color="000000"/>
            </w:tcBorders>
          </w:tcPr>
          <w:p w14:paraId="03B976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doit rejouer des scénarios de défaillance de façon reproductible (EX-F-02).</w:t>
            </w:r>
          </w:p>
        </w:tc>
      </w:tr>
      <w:tr w:rsidR="00F50D70" w:rsidRPr="00BE4F47" w14:paraId="0AB1884A" w14:textId="77777777">
        <w:trPr>
          <w:cantSplit/>
          <w:trHeight w:val="602"/>
        </w:trPr>
        <w:tc>
          <w:tcPr>
            <w:tcW w:w="1737" w:type="dxa"/>
            <w:tcBorders>
              <w:top w:val="single" w:sz="4" w:space="0" w:color="000000"/>
              <w:left w:val="single" w:sz="4" w:space="0" w:color="000000"/>
              <w:bottom w:val="single" w:sz="4" w:space="0" w:color="000000"/>
              <w:right w:val="single" w:sz="4" w:space="0" w:color="000000"/>
            </w:tcBorders>
          </w:tcPr>
          <w:p w14:paraId="7D39BC0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Ingénieurs et opérateurs</w:t>
            </w:r>
          </w:p>
        </w:tc>
        <w:tc>
          <w:tcPr>
            <w:tcW w:w="3017" w:type="dxa"/>
            <w:tcBorders>
              <w:top w:val="single" w:sz="4" w:space="0" w:color="000000"/>
              <w:left w:val="single" w:sz="4" w:space="0" w:color="000000"/>
              <w:bottom w:val="single" w:sz="4" w:space="0" w:color="000000"/>
              <w:right w:val="single" w:sz="4" w:space="0" w:color="000000"/>
            </w:tcBorders>
          </w:tcPr>
          <w:p w14:paraId="2AEFEB02" w14:textId="2C7651A4"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Comprendre pourquoi le système produit une recommandation, et non recevoir seulement un verdict.</w:t>
            </w:r>
          </w:p>
        </w:tc>
        <w:tc>
          <w:tcPr>
            <w:tcW w:w="3803" w:type="dxa"/>
            <w:tcBorders>
              <w:top w:val="single" w:sz="4" w:space="0" w:color="000000"/>
              <w:left w:val="single" w:sz="4" w:space="0" w:color="000000"/>
              <w:bottom w:val="single" w:sz="4" w:space="0" w:color="000000"/>
              <w:right w:val="single" w:sz="4" w:space="0" w:color="000000"/>
            </w:tcBorders>
          </w:tcPr>
          <w:p w14:paraId="51176C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Affichage des variables ayant contribué à la détection (EX-F-05) et du niveau de confiance (EX-F-07).</w:t>
            </w:r>
          </w:p>
        </w:tc>
      </w:tr>
      <w:tr w:rsidR="00F50D70" w:rsidRPr="00BE4F47" w14:paraId="6B28534D" w14:textId="77777777">
        <w:trPr>
          <w:cantSplit/>
          <w:trHeight w:val="425"/>
        </w:trPr>
        <w:tc>
          <w:tcPr>
            <w:tcW w:w="1737" w:type="dxa"/>
            <w:tcBorders>
              <w:top w:val="single" w:sz="4" w:space="0" w:color="000000"/>
              <w:left w:val="single" w:sz="4" w:space="0" w:color="000000"/>
              <w:bottom w:val="single" w:sz="4" w:space="0" w:color="000000"/>
              <w:right w:val="single" w:sz="4" w:space="0" w:color="000000"/>
            </w:tcBorders>
          </w:tcPr>
          <w:p w14:paraId="57C625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Responsables de la sûreté</w:t>
            </w:r>
          </w:p>
        </w:tc>
        <w:tc>
          <w:tcPr>
            <w:tcW w:w="3017" w:type="dxa"/>
            <w:tcBorders>
              <w:top w:val="single" w:sz="4" w:space="0" w:color="000000"/>
              <w:left w:val="single" w:sz="4" w:space="0" w:color="000000"/>
              <w:bottom w:val="single" w:sz="4" w:space="0" w:color="000000"/>
              <w:right w:val="single" w:sz="4" w:space="0" w:color="000000"/>
            </w:tcBorders>
          </w:tcPr>
          <w:p w14:paraId="67871C1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Connaître les limites du système et les cas où il peut se tromper.</w:t>
            </w:r>
          </w:p>
        </w:tc>
        <w:tc>
          <w:tcPr>
            <w:tcW w:w="3803" w:type="dxa"/>
            <w:tcBorders>
              <w:top w:val="single" w:sz="4" w:space="0" w:color="000000"/>
              <w:left w:val="single" w:sz="4" w:space="0" w:color="000000"/>
              <w:bottom w:val="single" w:sz="4" w:space="0" w:color="000000"/>
              <w:right w:val="single" w:sz="4" w:space="0" w:color="000000"/>
            </w:tcBorders>
          </w:tcPr>
          <w:p w14:paraId="454E629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 incertain » explicite en cas de données manquantes (EX-F-06) ; limites documentées (EX-C-01).</w:t>
            </w:r>
          </w:p>
        </w:tc>
      </w:tr>
      <w:tr w:rsidR="00F50D70" w:rsidRPr="00BE4F47" w14:paraId="5E1CE088" w14:textId="77777777">
        <w:trPr>
          <w:cantSplit/>
          <w:trHeight w:val="415"/>
        </w:trPr>
        <w:tc>
          <w:tcPr>
            <w:tcW w:w="1737" w:type="dxa"/>
            <w:tcBorders>
              <w:top w:val="single" w:sz="4" w:space="0" w:color="000000"/>
              <w:left w:val="single" w:sz="4" w:space="0" w:color="000000"/>
              <w:bottom w:val="single" w:sz="4" w:space="0" w:color="000000"/>
              <w:right w:val="single" w:sz="4" w:space="0" w:color="000000"/>
            </w:tcBorders>
          </w:tcPr>
          <w:p w14:paraId="0510B0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Autorités réglementaires (CCSN)</w:t>
            </w:r>
          </w:p>
        </w:tc>
        <w:tc>
          <w:tcPr>
            <w:tcW w:w="3017" w:type="dxa"/>
            <w:tcBorders>
              <w:top w:val="single" w:sz="4" w:space="0" w:color="000000"/>
              <w:left w:val="single" w:sz="4" w:space="0" w:color="000000"/>
              <w:bottom w:val="single" w:sz="4" w:space="0" w:color="000000"/>
              <w:right w:val="single" w:sz="4" w:space="0" w:color="000000"/>
            </w:tcBorders>
          </w:tcPr>
          <w:p w14:paraId="6C419EE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Traçabilité des données et gestion documentaire.</w:t>
            </w:r>
          </w:p>
        </w:tc>
        <w:tc>
          <w:tcPr>
            <w:tcW w:w="3803" w:type="dxa"/>
            <w:tcBorders>
              <w:top w:val="single" w:sz="4" w:space="0" w:color="000000"/>
              <w:left w:val="single" w:sz="4" w:space="0" w:color="000000"/>
              <w:bottom w:val="single" w:sz="4" w:space="0" w:color="000000"/>
              <w:right w:val="single" w:sz="4" w:space="0" w:color="000000"/>
            </w:tcBorders>
          </w:tcPr>
          <w:p w14:paraId="2C79F7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Journalisation horodatée de toute acquisition et de tout changement d’état (EX-F-10).</w:t>
            </w:r>
          </w:p>
        </w:tc>
      </w:tr>
      <w:tr w:rsidR="00F50D70" w:rsidRPr="00BE4F47" w14:paraId="16B4E455" w14:textId="77777777">
        <w:trPr>
          <w:cantSplit/>
          <w:trHeight w:val="602"/>
        </w:trPr>
        <w:tc>
          <w:tcPr>
            <w:tcW w:w="1737" w:type="dxa"/>
            <w:tcBorders>
              <w:top w:val="single" w:sz="4" w:space="0" w:color="000000"/>
              <w:left w:val="single" w:sz="4" w:space="0" w:color="000000"/>
              <w:bottom w:val="single" w:sz="4" w:space="0" w:color="000000"/>
              <w:right w:val="single" w:sz="4" w:space="0" w:color="000000"/>
            </w:tcBorders>
          </w:tcPr>
          <w:p w14:paraId="14DE987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Population et communautés</w:t>
            </w:r>
          </w:p>
        </w:tc>
        <w:tc>
          <w:tcPr>
            <w:tcW w:w="3017" w:type="dxa"/>
            <w:tcBorders>
              <w:top w:val="single" w:sz="4" w:space="0" w:color="000000"/>
              <w:left w:val="single" w:sz="4" w:space="0" w:color="000000"/>
              <w:bottom w:val="single" w:sz="4" w:space="0" w:color="000000"/>
              <w:right w:val="single" w:sz="4" w:space="0" w:color="000000"/>
            </w:tcBorders>
          </w:tcPr>
          <w:p w14:paraId="3A8C365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Confiance, transparence et responsabilité dans l’usage d’un outil numérique en contexte nucléaire.</w:t>
            </w:r>
          </w:p>
        </w:tc>
        <w:tc>
          <w:tcPr>
            <w:tcW w:w="3803" w:type="dxa"/>
            <w:tcBorders>
              <w:top w:val="single" w:sz="4" w:space="0" w:color="000000"/>
              <w:left w:val="single" w:sz="4" w:space="0" w:color="000000"/>
              <w:bottom w:val="single" w:sz="4" w:space="0" w:color="000000"/>
              <w:right w:val="single" w:sz="4" w:space="0" w:color="000000"/>
            </w:tcBorders>
          </w:tcPr>
          <w:p w14:paraId="300DA6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décision finale demeure humaine (EX-F-08) ; les enjeux sont traités au rapport final (EX-C-03).</w:t>
            </w:r>
          </w:p>
        </w:tc>
      </w:tr>
    </w:tbl>
    <w:p w14:paraId="367E46CB" w14:textId="77777777" w:rsidR="00F50D70" w:rsidRPr="00BE4F47" w:rsidRDefault="00137D7F" w:rsidP="008E113B">
      <w:pPr>
        <w:pStyle w:val="Titre2"/>
        <w:spacing w:line="360" w:lineRule="auto"/>
      </w:pPr>
      <w:bookmarkStart w:id="59" w:name="__RefHeading___Toc240715061"/>
      <w:bookmarkStart w:id="60" w:name="_Toc241707701"/>
      <w:bookmarkEnd w:id="59"/>
      <w:r w:rsidRPr="00BE4F47">
        <w:t>Besoins et douleurs</w:t>
      </w:r>
      <w:bookmarkEnd w:id="60"/>
    </w:p>
    <w:p w14:paraId="256E9BAF" w14:textId="77777777" w:rsidR="00F50D70" w:rsidRPr="00BE4F47" w:rsidRDefault="00137D7F" w:rsidP="008E113B">
      <w:pPr>
        <w:spacing w:before="200" w:after="130" w:line="360" w:lineRule="auto"/>
        <w:ind w:left="360"/>
        <w:rPr>
          <w:rFonts w:ascii="Aptos" w:hAnsi="Aptos"/>
        </w:rPr>
      </w:pPr>
      <w:bookmarkStart w:id="61" w:name="_Toc241082780"/>
      <w:bookmarkStart w:id="62" w:name="_Toc241669994"/>
      <w:bookmarkStart w:id="63" w:name="_Toc241707702"/>
      <w:r w:rsidRPr="00BE4F47">
        <w:rPr>
          <w:rFonts w:ascii="Aptos" w:hAnsi="Aptos"/>
          <w:color w:val="1A1A19"/>
          <w:sz w:val="20"/>
          <w:szCs w:val="20"/>
        </w:rPr>
        <w:t>Le client a besoin de tester des scénarios de fonctionnement et de défaillance sans les provoquer sur l’installation. Il a aussi besoin de savoir dans quelles conditions les résultats du système sont assez fiables pour aider une décision.</w:t>
      </w:r>
      <w:bookmarkEnd w:id="61"/>
      <w:bookmarkEnd w:id="62"/>
      <w:bookmarkEnd w:id="63"/>
    </w:p>
    <w:p w14:paraId="1F575C6C" w14:textId="77777777" w:rsidR="00F50D70" w:rsidRPr="00BE4F47" w:rsidRDefault="00137D7F" w:rsidP="008E113B">
      <w:pPr>
        <w:spacing w:after="130" w:line="360" w:lineRule="auto"/>
        <w:ind w:left="360"/>
        <w:rPr>
          <w:rFonts w:ascii="Aptos" w:hAnsi="Aptos"/>
        </w:rPr>
      </w:pPr>
      <w:bookmarkStart w:id="64" w:name="_Toc241082781"/>
      <w:bookmarkStart w:id="65" w:name="_Toc241669995"/>
      <w:bookmarkStart w:id="66" w:name="_Toc241707703"/>
      <w:r w:rsidRPr="00BE4F47">
        <w:rPr>
          <w:rFonts w:ascii="Aptos" w:hAnsi="Aptos"/>
          <w:color w:val="1A1A19"/>
          <w:sz w:val="20"/>
          <w:szCs w:val="20"/>
        </w:rPr>
        <w:t>Les ingénieurs et les opérateurs ne veulent pas seulement un verdict « normal » ou « anormal ». Ils veulent voir les variables qui ont mené à ce verdict, et être avertis quand les données ne permettent pas de conclure. La décision reste la leur, car le système ne commande pas l’installation.</w:t>
      </w:r>
      <w:bookmarkEnd w:id="64"/>
      <w:bookmarkEnd w:id="65"/>
      <w:bookmarkEnd w:id="66"/>
    </w:p>
    <w:p w14:paraId="75815886" w14:textId="77777777" w:rsidR="00F50D70" w:rsidRPr="00BE4F47" w:rsidRDefault="00137D7F" w:rsidP="008E113B">
      <w:pPr>
        <w:spacing w:after="130" w:line="360" w:lineRule="auto"/>
        <w:ind w:left="360"/>
        <w:rPr>
          <w:rFonts w:ascii="Aptos" w:hAnsi="Aptos"/>
        </w:rPr>
      </w:pPr>
      <w:bookmarkStart w:id="67" w:name="_Toc241082782"/>
      <w:bookmarkStart w:id="68" w:name="_Toc241669996"/>
      <w:bookmarkStart w:id="69" w:name="_Toc241707704"/>
      <w:r w:rsidRPr="00BE4F47">
        <w:rPr>
          <w:rFonts w:ascii="Aptos" w:hAnsi="Aptos"/>
          <w:color w:val="1A1A19"/>
          <w:sz w:val="20"/>
          <w:szCs w:val="20"/>
        </w:rPr>
        <w:t>Du côté de la sûreté, trois situations posent problème : une anomalie réelle non détectée, un capteur qui donne une valeur fausse, et des données absentes au moment où l’opérateur en a besoin. Dans ces cas, le système doit signaler l’incertitude au lieu d’afficher un état normal.</w:t>
      </w:r>
      <w:bookmarkEnd w:id="67"/>
      <w:bookmarkEnd w:id="68"/>
      <w:bookmarkEnd w:id="69"/>
    </w:p>
    <w:p w14:paraId="7E2DFCD8" w14:textId="77777777" w:rsidR="00006655" w:rsidRPr="00BE4F47" w:rsidRDefault="00137D7F" w:rsidP="008E113B">
      <w:pPr>
        <w:spacing w:after="130" w:line="360" w:lineRule="auto"/>
        <w:ind w:left="360"/>
        <w:rPr>
          <w:rFonts w:ascii="Aptos" w:hAnsi="Aptos"/>
        </w:rPr>
      </w:pPr>
      <w:bookmarkStart w:id="70" w:name="_Toc241082783"/>
      <w:bookmarkStart w:id="71" w:name="_Toc241669997"/>
      <w:bookmarkStart w:id="72" w:name="_Toc241707705"/>
      <w:r w:rsidRPr="00BE4F47">
        <w:rPr>
          <w:rFonts w:ascii="Aptos" w:hAnsi="Aptos"/>
          <w:color w:val="1A1A19"/>
          <w:sz w:val="20"/>
          <w:szCs w:val="20"/>
        </w:rPr>
        <w:t>La population est aussi concernée. Un outil d’aide à la décision en contexte nucléaire soulève des questions de confiance, de transparence et de responsabilité. Le projet doit donc traiter les limites d’emploi du système, pas seulement ses performances techniques.</w:t>
      </w:r>
      <w:bookmarkStart w:id="73" w:name="__RefHeading___Toc240715066"/>
      <w:bookmarkEnd w:id="70"/>
      <w:bookmarkEnd w:id="71"/>
      <w:bookmarkEnd w:id="72"/>
      <w:bookmarkEnd w:id="73"/>
    </w:p>
    <w:p w14:paraId="7F3D647D" w14:textId="77777777" w:rsidR="00F50D70" w:rsidRPr="00BE4F47" w:rsidRDefault="00137D7F" w:rsidP="008E113B">
      <w:pPr>
        <w:spacing w:after="130" w:line="360" w:lineRule="auto"/>
        <w:ind w:left="360"/>
        <w:rPr>
          <w:rFonts w:ascii="Aptos" w:hAnsi="Aptos"/>
        </w:rPr>
      </w:pPr>
      <w:bookmarkStart w:id="74" w:name="_Toc241082785"/>
      <w:bookmarkStart w:id="75" w:name="_Toc241669998"/>
      <w:bookmarkStart w:id="76" w:name="_Toc241707706"/>
      <w:r w:rsidRPr="00BE4F47">
        <w:rPr>
          <w:rFonts w:ascii="Aptos" w:hAnsi="Aptos"/>
          <w:color w:val="1A1A19"/>
          <w:sz w:val="20"/>
          <w:szCs w:val="20"/>
        </w:rPr>
        <w:t>Ces besoins se ramènent à un objectif directeur et à cinq sous-objectifs.</w:t>
      </w:r>
      <w:bookmarkEnd w:id="74"/>
      <w:bookmarkEnd w:id="75"/>
      <w:bookmarkEnd w:id="76"/>
    </w:p>
    <w:p w14:paraId="71450199" w14:textId="77777777" w:rsidR="00F50D70" w:rsidRPr="00BE4F47" w:rsidRDefault="00137D7F" w:rsidP="008E113B">
      <w:pPr>
        <w:spacing w:after="130" w:line="360" w:lineRule="auto"/>
        <w:ind w:left="360"/>
        <w:rPr>
          <w:rFonts w:ascii="Aptos" w:hAnsi="Aptos"/>
        </w:rPr>
      </w:pPr>
      <w:bookmarkStart w:id="77" w:name="_Toc241082786"/>
      <w:bookmarkStart w:id="78" w:name="_Toc241669999"/>
      <w:bookmarkStart w:id="79" w:name="_Toc241707707"/>
      <w:r w:rsidRPr="00BE4F47">
        <w:rPr>
          <w:rFonts w:ascii="Aptos" w:hAnsi="Aptos"/>
          <w:b/>
          <w:color w:val="1A1A19"/>
          <w:sz w:val="20"/>
          <w:szCs w:val="20"/>
        </w:rPr>
        <w:t>Objectif directeur : démontrer, sur un prototype vérifié et validé, qu’un jumeau numérique d’une boucle thermohydraulique simplifiée peut détecter une dérive sur la température, la pression et le débit. Le prototype doit aussi exprimer le niveau de confiance de son résultat, et déclarer son incertitude quand les données ne permettent pas de conclure. La décision demeure celle de l’opérateur.</w:t>
      </w:r>
      <w:bookmarkEnd w:id="77"/>
      <w:bookmarkEnd w:id="78"/>
      <w:bookmarkEnd w:id="79"/>
    </w:p>
    <w:p w14:paraId="7F5B43E3" w14:textId="77777777" w:rsidR="00F50D70" w:rsidRPr="00BE4F47" w:rsidRDefault="00137D7F" w:rsidP="008E113B">
      <w:pPr>
        <w:pStyle w:val="Lgende"/>
        <w:keepNext/>
        <w:spacing w:line="360" w:lineRule="auto"/>
        <w:rPr>
          <w:rFonts w:ascii="Aptos" w:hAnsi="Aptos"/>
        </w:rPr>
      </w:pPr>
      <w:bookmarkStart w:id="80" w:name="_Toc241082787"/>
      <w:bookmarkStart w:id="81" w:name="_Toc241670000"/>
      <w:bookmarkStart w:id="82" w:name="_Toc241707708"/>
      <w:r w:rsidRPr="00BE4F47">
        <w:rPr>
          <w:rFonts w:ascii="Aptos" w:hAnsi="Aptos"/>
        </w:rPr>
        <w:lastRenderedPageBreak/>
        <w:t>Tableau 1-2. Sous-objectifs du projet et exigences correspondantes</w:t>
      </w:r>
      <w:bookmarkEnd w:id="80"/>
      <w:bookmarkEnd w:id="81"/>
      <w:bookmarkEnd w:id="82"/>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4000"/>
        <w:gridCol w:w="2300"/>
        <w:gridCol w:w="1557"/>
      </w:tblGrid>
      <w:tr w:rsidR="00F50D70" w:rsidRPr="00BE4F47" w14:paraId="20DD534F" w14:textId="77777777" w:rsidTr="0036725C">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B485E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Réf.</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2647B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Sous-objectif</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3EA30B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Exigences couvertes</w:t>
            </w:r>
          </w:p>
        </w:tc>
        <w:tc>
          <w:tcPr>
            <w:tcW w:w="15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A5B6FC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r>
      <w:tr w:rsidR="00F50D70" w:rsidRPr="00BE4F47" w14:paraId="5FAB821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5D1C1F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SO-1</w:t>
            </w:r>
          </w:p>
        </w:tc>
        <w:tc>
          <w:tcPr>
            <w:tcW w:w="4000" w:type="dxa"/>
            <w:tcBorders>
              <w:top w:val="single" w:sz="4" w:space="0" w:color="000000"/>
              <w:left w:val="single" w:sz="4" w:space="0" w:color="000000"/>
              <w:bottom w:val="single" w:sz="4" w:space="0" w:color="000000"/>
              <w:right w:val="single" w:sz="4" w:space="0" w:color="000000"/>
            </w:tcBorders>
          </w:tcPr>
          <w:p w14:paraId="3B0AC0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Disposer d’un modèle de la boucle et d’un modèle de référence indépendant, dont l’écart est quantifié.</w:t>
            </w:r>
          </w:p>
        </w:tc>
        <w:tc>
          <w:tcPr>
            <w:tcW w:w="2300" w:type="dxa"/>
            <w:tcBorders>
              <w:top w:val="single" w:sz="4" w:space="0" w:color="000000"/>
              <w:left w:val="single" w:sz="4" w:space="0" w:color="000000"/>
              <w:bottom w:val="single" w:sz="4" w:space="0" w:color="000000"/>
              <w:right w:val="single" w:sz="4" w:space="0" w:color="000000"/>
            </w:tcBorders>
          </w:tcPr>
          <w:p w14:paraId="267689B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EX-F-01, EX-F-07</w:t>
            </w:r>
          </w:p>
        </w:tc>
        <w:tc>
          <w:tcPr>
            <w:tcW w:w="1557" w:type="dxa"/>
            <w:tcBorders>
              <w:top w:val="single" w:sz="4" w:space="0" w:color="000000"/>
              <w:left w:val="single" w:sz="4" w:space="0" w:color="000000"/>
              <w:bottom w:val="single" w:sz="4" w:space="0" w:color="000000"/>
              <w:right w:val="single" w:sz="4" w:space="0" w:color="000000"/>
            </w:tcBorders>
          </w:tcPr>
          <w:p w14:paraId="2C8E06E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L4</w:t>
            </w:r>
          </w:p>
        </w:tc>
      </w:tr>
      <w:tr w:rsidR="00F50D70" w:rsidRPr="00BE4F47" w14:paraId="4AB67A24"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51AA92B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SO-2</w:t>
            </w:r>
          </w:p>
        </w:tc>
        <w:tc>
          <w:tcPr>
            <w:tcW w:w="4000" w:type="dxa"/>
            <w:tcBorders>
              <w:top w:val="single" w:sz="4" w:space="0" w:color="000000"/>
              <w:left w:val="single" w:sz="4" w:space="0" w:color="000000"/>
              <w:bottom w:val="single" w:sz="4" w:space="0" w:color="000000"/>
              <w:right w:val="single" w:sz="4" w:space="0" w:color="000000"/>
            </w:tcBorders>
          </w:tcPr>
          <w:p w14:paraId="17CB08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Rejouer des scénarios de fonctionnement et de défaillance de façon reproductible.</w:t>
            </w:r>
          </w:p>
        </w:tc>
        <w:tc>
          <w:tcPr>
            <w:tcW w:w="2300" w:type="dxa"/>
            <w:tcBorders>
              <w:top w:val="single" w:sz="4" w:space="0" w:color="000000"/>
              <w:left w:val="single" w:sz="4" w:space="0" w:color="000000"/>
              <w:bottom w:val="single" w:sz="4" w:space="0" w:color="000000"/>
              <w:right w:val="single" w:sz="4" w:space="0" w:color="000000"/>
            </w:tcBorders>
          </w:tcPr>
          <w:p w14:paraId="6307E7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EX-F-02, EX-F-03</w:t>
            </w:r>
          </w:p>
        </w:tc>
        <w:tc>
          <w:tcPr>
            <w:tcW w:w="1557" w:type="dxa"/>
            <w:tcBorders>
              <w:top w:val="single" w:sz="4" w:space="0" w:color="000000"/>
              <w:left w:val="single" w:sz="4" w:space="0" w:color="000000"/>
              <w:bottom w:val="single" w:sz="4" w:space="0" w:color="000000"/>
              <w:right w:val="single" w:sz="4" w:space="0" w:color="000000"/>
            </w:tcBorders>
          </w:tcPr>
          <w:p w14:paraId="41573C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r>
      <w:tr w:rsidR="00F50D70" w:rsidRPr="00BE4F47" w14:paraId="3E17EE7C"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55788E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SO-3</w:t>
            </w:r>
          </w:p>
        </w:tc>
        <w:tc>
          <w:tcPr>
            <w:tcW w:w="4000" w:type="dxa"/>
            <w:tcBorders>
              <w:top w:val="single" w:sz="4" w:space="0" w:color="000000"/>
              <w:left w:val="single" w:sz="4" w:space="0" w:color="000000"/>
              <w:bottom w:val="single" w:sz="4" w:space="0" w:color="000000"/>
              <w:right w:val="single" w:sz="4" w:space="0" w:color="000000"/>
            </w:tcBorders>
          </w:tcPr>
          <w:p w14:paraId="0D061C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Détecter une dérive et quantifier l’incertitude associée au diagnostic.</w:t>
            </w:r>
          </w:p>
        </w:tc>
        <w:tc>
          <w:tcPr>
            <w:tcW w:w="2300" w:type="dxa"/>
            <w:tcBorders>
              <w:top w:val="single" w:sz="4" w:space="0" w:color="000000"/>
              <w:left w:val="single" w:sz="4" w:space="0" w:color="000000"/>
              <w:bottom w:val="single" w:sz="4" w:space="0" w:color="000000"/>
              <w:right w:val="single" w:sz="4" w:space="0" w:color="000000"/>
            </w:tcBorders>
          </w:tcPr>
          <w:p w14:paraId="3E906B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EX-F-04 à EX-F-07, EX-F-11</w:t>
            </w:r>
          </w:p>
        </w:tc>
        <w:tc>
          <w:tcPr>
            <w:tcW w:w="1557" w:type="dxa"/>
            <w:tcBorders>
              <w:top w:val="single" w:sz="4" w:space="0" w:color="000000"/>
              <w:left w:val="single" w:sz="4" w:space="0" w:color="000000"/>
              <w:bottom w:val="single" w:sz="4" w:space="0" w:color="000000"/>
              <w:right w:val="single" w:sz="4" w:space="0" w:color="000000"/>
            </w:tcBorders>
          </w:tcPr>
          <w:p w14:paraId="457F42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w:t>
            </w:r>
          </w:p>
        </w:tc>
      </w:tr>
      <w:tr w:rsidR="00F50D70" w:rsidRPr="00BE4F47" w14:paraId="099FA92A"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3724DB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SO-4</w:t>
            </w:r>
          </w:p>
        </w:tc>
        <w:tc>
          <w:tcPr>
            <w:tcW w:w="4000" w:type="dxa"/>
            <w:tcBorders>
              <w:top w:val="single" w:sz="4" w:space="0" w:color="000000"/>
              <w:left w:val="single" w:sz="4" w:space="0" w:color="000000"/>
              <w:bottom w:val="single" w:sz="4" w:space="0" w:color="000000"/>
              <w:right w:val="single" w:sz="4" w:space="0" w:color="000000"/>
            </w:tcBorders>
          </w:tcPr>
          <w:p w14:paraId="1C009A9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Rendre le résultat interprétable par un opérateur, sans jamais commander l’installation.</w:t>
            </w:r>
          </w:p>
        </w:tc>
        <w:tc>
          <w:tcPr>
            <w:tcW w:w="2300" w:type="dxa"/>
            <w:tcBorders>
              <w:top w:val="single" w:sz="4" w:space="0" w:color="000000"/>
              <w:left w:val="single" w:sz="4" w:space="0" w:color="000000"/>
              <w:bottom w:val="single" w:sz="4" w:space="0" w:color="000000"/>
              <w:right w:val="single" w:sz="4" w:space="0" w:color="000000"/>
            </w:tcBorders>
          </w:tcPr>
          <w:p w14:paraId="5E3651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EX-F-05, EX-F-08, EX-F-09, EX-Q-03</w:t>
            </w:r>
          </w:p>
        </w:tc>
        <w:tc>
          <w:tcPr>
            <w:tcW w:w="1557" w:type="dxa"/>
            <w:tcBorders>
              <w:top w:val="single" w:sz="4" w:space="0" w:color="000000"/>
              <w:left w:val="single" w:sz="4" w:space="0" w:color="000000"/>
              <w:bottom w:val="single" w:sz="4" w:space="0" w:color="000000"/>
              <w:right w:val="single" w:sz="4" w:space="0" w:color="000000"/>
            </w:tcBorders>
          </w:tcPr>
          <w:p w14:paraId="64F442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r>
      <w:tr w:rsidR="00F50D70" w:rsidRPr="00BE4F47" w14:paraId="43FF6F23"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4D295E0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SO-5</w:t>
            </w:r>
          </w:p>
        </w:tc>
        <w:tc>
          <w:tcPr>
            <w:tcW w:w="4000" w:type="dxa"/>
            <w:tcBorders>
              <w:top w:val="single" w:sz="4" w:space="0" w:color="000000"/>
              <w:left w:val="single" w:sz="4" w:space="0" w:color="000000"/>
              <w:bottom w:val="single" w:sz="4" w:space="0" w:color="000000"/>
              <w:right w:val="single" w:sz="4" w:space="0" w:color="000000"/>
            </w:tcBorders>
          </w:tcPr>
          <w:p w14:paraId="47097EC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Assurer la traçabilité et l’intégrité des données et des essais.</w:t>
            </w:r>
          </w:p>
        </w:tc>
        <w:tc>
          <w:tcPr>
            <w:tcW w:w="2300" w:type="dxa"/>
            <w:tcBorders>
              <w:top w:val="single" w:sz="4" w:space="0" w:color="000000"/>
              <w:left w:val="single" w:sz="4" w:space="0" w:color="000000"/>
              <w:bottom w:val="single" w:sz="4" w:space="0" w:color="000000"/>
              <w:right w:val="single" w:sz="4" w:space="0" w:color="000000"/>
            </w:tcBorders>
          </w:tcPr>
          <w:p w14:paraId="525237C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EX-F-10, EX-Q-02, EX-Q-04, EX-Q-05</w:t>
            </w:r>
          </w:p>
        </w:tc>
        <w:tc>
          <w:tcPr>
            <w:tcW w:w="1557" w:type="dxa"/>
            <w:tcBorders>
              <w:top w:val="single" w:sz="4" w:space="0" w:color="000000"/>
              <w:left w:val="single" w:sz="4" w:space="0" w:color="000000"/>
              <w:bottom w:val="single" w:sz="4" w:space="0" w:color="000000"/>
              <w:right w:val="single" w:sz="4" w:space="0" w:color="000000"/>
            </w:tcBorders>
          </w:tcPr>
          <w:p w14:paraId="37333ED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L5, L9</w:t>
            </w:r>
          </w:p>
        </w:tc>
      </w:tr>
    </w:tbl>
    <w:p w14:paraId="39577D2A" w14:textId="77777777" w:rsidR="00F50D70" w:rsidRPr="00BE4F47" w:rsidRDefault="00137D7F" w:rsidP="008E113B">
      <w:pPr>
        <w:spacing w:before="200" w:after="130" w:line="360" w:lineRule="auto"/>
        <w:ind w:left="360"/>
        <w:rPr>
          <w:rFonts w:ascii="Aptos" w:hAnsi="Aptos"/>
        </w:rPr>
      </w:pPr>
      <w:bookmarkStart w:id="83" w:name="_Toc241082788"/>
      <w:bookmarkStart w:id="84" w:name="_Toc241670001"/>
      <w:bookmarkStart w:id="85" w:name="_Toc241707709"/>
      <w:r w:rsidRPr="00BE4F47">
        <w:rPr>
          <w:rFonts w:ascii="Aptos" w:hAnsi="Aptos"/>
          <w:color w:val="1A1A19"/>
          <w:sz w:val="20"/>
          <w:szCs w:val="20"/>
        </w:rPr>
        <w:t>Chaque sous-objectif est rattaché à au moins une exigence vérifiable et à au moins un lot de travail.</w:t>
      </w:r>
      <w:bookmarkEnd w:id="83"/>
      <w:bookmarkEnd w:id="84"/>
      <w:bookmarkEnd w:id="85"/>
    </w:p>
    <w:p w14:paraId="25CF197C" w14:textId="77777777" w:rsidR="00F50D70" w:rsidRPr="00BE4F47" w:rsidRDefault="00137D7F" w:rsidP="008E113B">
      <w:pPr>
        <w:spacing w:after="130" w:line="360" w:lineRule="auto"/>
        <w:ind w:left="360"/>
        <w:rPr>
          <w:rFonts w:ascii="Aptos" w:hAnsi="Aptos"/>
        </w:rPr>
      </w:pPr>
      <w:bookmarkStart w:id="86" w:name="_Toc241082807"/>
      <w:bookmarkStart w:id="87" w:name="_Toc241670002"/>
      <w:bookmarkStart w:id="88" w:name="_Toc241707710"/>
      <w:r w:rsidRPr="00BE4F47">
        <w:rPr>
          <w:rFonts w:ascii="Aptos" w:hAnsi="Aptos"/>
          <w:color w:val="1A1A19"/>
          <w:sz w:val="20"/>
          <w:szCs w:val="20"/>
        </w:rPr>
        <w:t>Tous les besoins n’ont pas le même poids. Si l’enveloppe d’heures devient insuffisante, il faudra savoir quoi réduire en premier. C’est le risque RP2 de la section 7. Le tableau 1-3 classe les besoins pour cela : l’urgence dit à quel jalon le besoin doit être couvert, l’importance dit ce qui arrive s’il ne l’est pas.</w:t>
      </w:r>
      <w:bookmarkEnd w:id="86"/>
      <w:bookmarkEnd w:id="87"/>
      <w:bookmarkEnd w:id="88"/>
    </w:p>
    <w:p w14:paraId="15116DDD" w14:textId="77777777" w:rsidR="00F50D70" w:rsidRPr="00BE4F47" w:rsidRDefault="00137D7F" w:rsidP="008E113B">
      <w:pPr>
        <w:pStyle w:val="Lgende"/>
        <w:keepNext/>
        <w:spacing w:line="360" w:lineRule="auto"/>
        <w:rPr>
          <w:rFonts w:ascii="Aptos" w:hAnsi="Aptos"/>
        </w:rPr>
      </w:pPr>
      <w:bookmarkStart w:id="89" w:name="_Toc241082808"/>
      <w:bookmarkStart w:id="90" w:name="_Toc241670003"/>
      <w:bookmarkStart w:id="91" w:name="_Toc241707711"/>
      <w:r w:rsidRPr="00BE4F47">
        <w:rPr>
          <w:rFonts w:ascii="Aptos" w:hAnsi="Aptos"/>
        </w:rPr>
        <w:t>Tableau 1-3. Priorisation des besoins par urgence et par importance</w:t>
      </w:r>
      <w:bookmarkEnd w:id="89"/>
      <w:bookmarkEnd w:id="90"/>
      <w:bookmarkEnd w:id="91"/>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2600"/>
        <w:gridCol w:w="1000"/>
        <w:gridCol w:w="1150"/>
        <w:gridCol w:w="3107"/>
      </w:tblGrid>
      <w:tr w:rsidR="00F50D70" w:rsidRPr="00BE4F47" w14:paraId="5AE060BA" w14:textId="77777777" w:rsidTr="0036725C">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8B06A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Rang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2E58D8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Besoin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B7407D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Urgence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D5E27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Importance</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02948F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Conséquence si non couvert</w:t>
            </w:r>
          </w:p>
        </w:tc>
      </w:tr>
      <w:tr w:rsidR="00F50D70" w:rsidRPr="00BE4F47" w14:paraId="66263B66"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CEBA03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1</w:t>
            </w:r>
          </w:p>
        </w:tc>
        <w:tc>
          <w:tcPr>
            <w:tcW w:w="2600" w:type="dxa"/>
            <w:tcBorders>
              <w:top w:val="single" w:sz="4" w:space="0" w:color="000000"/>
              <w:left w:val="single" w:sz="4" w:space="0" w:color="000000"/>
              <w:bottom w:val="single" w:sz="4" w:space="0" w:color="000000"/>
              <w:right w:val="single" w:sz="4" w:space="0" w:color="000000"/>
            </w:tcBorders>
          </w:tcPr>
          <w:p w14:paraId="266EB7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Rejouer des scénarios de défaillance de façon reproductible.</w:t>
            </w:r>
          </w:p>
        </w:tc>
        <w:tc>
          <w:tcPr>
            <w:tcW w:w="1000" w:type="dxa"/>
            <w:tcBorders>
              <w:top w:val="single" w:sz="4" w:space="0" w:color="000000"/>
              <w:left w:val="single" w:sz="4" w:space="0" w:color="000000"/>
              <w:bottom w:val="single" w:sz="4" w:space="0" w:color="000000"/>
              <w:right w:val="single" w:sz="4" w:space="0" w:color="000000"/>
            </w:tcBorders>
          </w:tcPr>
          <w:p w14:paraId="007129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150" w:type="dxa"/>
            <w:tcBorders>
              <w:top w:val="single" w:sz="4" w:space="0" w:color="000000"/>
              <w:left w:val="single" w:sz="4" w:space="0" w:color="000000"/>
              <w:bottom w:val="single" w:sz="4" w:space="0" w:color="000000"/>
              <w:right w:val="single" w:sz="4" w:space="0" w:color="000000"/>
            </w:tcBorders>
          </w:tcPr>
          <w:p w14:paraId="104FA4F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Critique</w:t>
            </w:r>
          </w:p>
        </w:tc>
        <w:tc>
          <w:tcPr>
            <w:tcW w:w="3107" w:type="dxa"/>
            <w:tcBorders>
              <w:top w:val="single" w:sz="4" w:space="0" w:color="000000"/>
              <w:left w:val="single" w:sz="4" w:space="0" w:color="000000"/>
              <w:bottom w:val="single" w:sz="4" w:space="0" w:color="000000"/>
              <w:right w:val="single" w:sz="4" w:space="0" w:color="000000"/>
            </w:tcBorders>
          </w:tcPr>
          <w:p w14:paraId="5A78C4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perd son objet. Aucun autre besoin n’a de sens sans celui-là.</w:t>
            </w:r>
          </w:p>
        </w:tc>
      </w:tr>
      <w:tr w:rsidR="00F50D70" w:rsidRPr="00BE4F47" w14:paraId="50B5A500"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3C1B5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2</w:t>
            </w:r>
          </w:p>
        </w:tc>
        <w:tc>
          <w:tcPr>
            <w:tcW w:w="2600" w:type="dxa"/>
            <w:tcBorders>
              <w:top w:val="single" w:sz="4" w:space="0" w:color="000000"/>
              <w:left w:val="single" w:sz="4" w:space="0" w:color="000000"/>
              <w:bottom w:val="single" w:sz="4" w:space="0" w:color="000000"/>
              <w:right w:val="single" w:sz="4" w:space="0" w:color="000000"/>
            </w:tcBorders>
          </w:tcPr>
          <w:p w14:paraId="194AF3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Signaler l’incertitude plutôt que présenter un état douteux comme normal.</w:t>
            </w:r>
          </w:p>
        </w:tc>
        <w:tc>
          <w:tcPr>
            <w:tcW w:w="1000" w:type="dxa"/>
            <w:tcBorders>
              <w:top w:val="single" w:sz="4" w:space="0" w:color="000000"/>
              <w:left w:val="single" w:sz="4" w:space="0" w:color="000000"/>
              <w:bottom w:val="single" w:sz="4" w:space="0" w:color="000000"/>
              <w:right w:val="single" w:sz="4" w:space="0" w:color="000000"/>
            </w:tcBorders>
          </w:tcPr>
          <w:p w14:paraId="6B6129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150" w:type="dxa"/>
            <w:tcBorders>
              <w:top w:val="single" w:sz="4" w:space="0" w:color="000000"/>
              <w:left w:val="single" w:sz="4" w:space="0" w:color="000000"/>
              <w:bottom w:val="single" w:sz="4" w:space="0" w:color="000000"/>
              <w:right w:val="single" w:sz="4" w:space="0" w:color="000000"/>
            </w:tcBorders>
          </w:tcPr>
          <w:p w14:paraId="097DEC2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Critique</w:t>
            </w:r>
          </w:p>
        </w:tc>
        <w:tc>
          <w:tcPr>
            <w:tcW w:w="3107" w:type="dxa"/>
            <w:tcBorders>
              <w:top w:val="single" w:sz="4" w:space="0" w:color="000000"/>
              <w:left w:val="single" w:sz="4" w:space="0" w:color="000000"/>
              <w:bottom w:val="single" w:sz="4" w:space="0" w:color="000000"/>
              <w:right w:val="single" w:sz="4" w:space="0" w:color="000000"/>
            </w:tcBorders>
          </w:tcPr>
          <w:p w14:paraId="3EDA1D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système devient dangereux à utiliser. C’est le cœur de la protection du public.</w:t>
            </w:r>
          </w:p>
        </w:tc>
      </w:tr>
      <w:tr w:rsidR="00F50D70" w:rsidRPr="00BE4F47" w14:paraId="39A5E910"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387C9F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3</w:t>
            </w:r>
          </w:p>
        </w:tc>
        <w:tc>
          <w:tcPr>
            <w:tcW w:w="2600" w:type="dxa"/>
            <w:tcBorders>
              <w:top w:val="single" w:sz="4" w:space="0" w:color="000000"/>
              <w:left w:val="single" w:sz="4" w:space="0" w:color="000000"/>
              <w:bottom w:val="single" w:sz="4" w:space="0" w:color="000000"/>
              <w:right w:val="single" w:sz="4" w:space="0" w:color="000000"/>
            </w:tcBorders>
          </w:tcPr>
          <w:p w14:paraId="6B5AED5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Comparer le comportement observé au comportement attendu.</w:t>
            </w:r>
          </w:p>
        </w:tc>
        <w:tc>
          <w:tcPr>
            <w:tcW w:w="1000" w:type="dxa"/>
            <w:tcBorders>
              <w:top w:val="single" w:sz="4" w:space="0" w:color="000000"/>
              <w:left w:val="single" w:sz="4" w:space="0" w:color="000000"/>
              <w:bottom w:val="single" w:sz="4" w:space="0" w:color="000000"/>
              <w:right w:val="single" w:sz="4" w:space="0" w:color="000000"/>
            </w:tcBorders>
          </w:tcPr>
          <w:p w14:paraId="1A4F93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150" w:type="dxa"/>
            <w:tcBorders>
              <w:top w:val="single" w:sz="4" w:space="0" w:color="000000"/>
              <w:left w:val="single" w:sz="4" w:space="0" w:color="000000"/>
              <w:bottom w:val="single" w:sz="4" w:space="0" w:color="000000"/>
              <w:right w:val="single" w:sz="4" w:space="0" w:color="000000"/>
            </w:tcBorders>
          </w:tcPr>
          <w:p w14:paraId="79ED67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Critique</w:t>
            </w:r>
          </w:p>
        </w:tc>
        <w:tc>
          <w:tcPr>
            <w:tcW w:w="3107" w:type="dxa"/>
            <w:tcBorders>
              <w:top w:val="single" w:sz="4" w:space="0" w:color="000000"/>
              <w:left w:val="single" w:sz="4" w:space="0" w:color="000000"/>
              <w:bottom w:val="single" w:sz="4" w:space="0" w:color="000000"/>
              <w:right w:val="single" w:sz="4" w:space="0" w:color="000000"/>
            </w:tcBorders>
          </w:tcPr>
          <w:p w14:paraId="23A630A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détection n’est possible.</w:t>
            </w:r>
          </w:p>
        </w:tc>
      </w:tr>
      <w:tr w:rsidR="00F50D70" w:rsidRPr="00BE4F47" w14:paraId="6AF3BF90"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CEAD59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4</w:t>
            </w:r>
          </w:p>
        </w:tc>
        <w:tc>
          <w:tcPr>
            <w:tcW w:w="2600" w:type="dxa"/>
            <w:tcBorders>
              <w:top w:val="single" w:sz="4" w:space="0" w:color="000000"/>
              <w:left w:val="single" w:sz="4" w:space="0" w:color="000000"/>
              <w:bottom w:val="single" w:sz="4" w:space="0" w:color="000000"/>
              <w:right w:val="single" w:sz="4" w:space="0" w:color="000000"/>
            </w:tcBorders>
          </w:tcPr>
          <w:p w14:paraId="4810E6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Expliquer pourquoi le système conclut, en montrant les variables contributrices.</w:t>
            </w:r>
          </w:p>
        </w:tc>
        <w:tc>
          <w:tcPr>
            <w:tcW w:w="1000" w:type="dxa"/>
            <w:tcBorders>
              <w:top w:val="single" w:sz="4" w:space="0" w:color="000000"/>
              <w:left w:val="single" w:sz="4" w:space="0" w:color="000000"/>
              <w:bottom w:val="single" w:sz="4" w:space="0" w:color="000000"/>
              <w:right w:val="single" w:sz="4" w:space="0" w:color="000000"/>
            </w:tcBorders>
          </w:tcPr>
          <w:p w14:paraId="4B613AF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150" w:type="dxa"/>
            <w:tcBorders>
              <w:top w:val="single" w:sz="4" w:space="0" w:color="000000"/>
              <w:left w:val="single" w:sz="4" w:space="0" w:color="000000"/>
              <w:bottom w:val="single" w:sz="4" w:space="0" w:color="000000"/>
              <w:right w:val="single" w:sz="4" w:space="0" w:color="000000"/>
            </w:tcBorders>
          </w:tcPr>
          <w:p w14:paraId="6C2032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Élevée</w:t>
            </w:r>
          </w:p>
        </w:tc>
        <w:tc>
          <w:tcPr>
            <w:tcW w:w="3107" w:type="dxa"/>
            <w:tcBorders>
              <w:top w:val="single" w:sz="4" w:space="0" w:color="000000"/>
              <w:left w:val="single" w:sz="4" w:space="0" w:color="000000"/>
              <w:bottom w:val="single" w:sz="4" w:space="0" w:color="000000"/>
              <w:right w:val="single" w:sz="4" w:space="0" w:color="000000"/>
            </w:tcBorders>
          </w:tcPr>
          <w:p w14:paraId="2A2F12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L’outil devient une boîte noire. Les opérateurs ne peuvent plus en répondre.</w:t>
            </w:r>
          </w:p>
        </w:tc>
      </w:tr>
      <w:tr w:rsidR="00F50D70" w:rsidRPr="00BE4F47" w14:paraId="5DB0CAA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408ED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5</w:t>
            </w:r>
          </w:p>
        </w:tc>
        <w:tc>
          <w:tcPr>
            <w:tcW w:w="2600" w:type="dxa"/>
            <w:tcBorders>
              <w:top w:val="single" w:sz="4" w:space="0" w:color="000000"/>
              <w:left w:val="single" w:sz="4" w:space="0" w:color="000000"/>
              <w:bottom w:val="single" w:sz="4" w:space="0" w:color="000000"/>
              <w:right w:val="single" w:sz="4" w:space="0" w:color="000000"/>
            </w:tcBorders>
          </w:tcPr>
          <w:p w14:paraId="058286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Journaliser toute acquisition et tout changement d’état.</w:t>
            </w:r>
          </w:p>
        </w:tc>
        <w:tc>
          <w:tcPr>
            <w:tcW w:w="1000" w:type="dxa"/>
            <w:tcBorders>
              <w:top w:val="single" w:sz="4" w:space="0" w:color="000000"/>
              <w:left w:val="single" w:sz="4" w:space="0" w:color="000000"/>
              <w:bottom w:val="single" w:sz="4" w:space="0" w:color="000000"/>
              <w:right w:val="single" w:sz="4" w:space="0" w:color="000000"/>
            </w:tcBorders>
          </w:tcPr>
          <w:p w14:paraId="7B6E6C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150" w:type="dxa"/>
            <w:tcBorders>
              <w:top w:val="single" w:sz="4" w:space="0" w:color="000000"/>
              <w:left w:val="single" w:sz="4" w:space="0" w:color="000000"/>
              <w:bottom w:val="single" w:sz="4" w:space="0" w:color="000000"/>
              <w:right w:val="single" w:sz="4" w:space="0" w:color="000000"/>
            </w:tcBorders>
          </w:tcPr>
          <w:p w14:paraId="563B192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Élevée</w:t>
            </w:r>
          </w:p>
        </w:tc>
        <w:tc>
          <w:tcPr>
            <w:tcW w:w="3107" w:type="dxa"/>
            <w:tcBorders>
              <w:top w:val="single" w:sz="4" w:space="0" w:color="000000"/>
              <w:left w:val="single" w:sz="4" w:space="0" w:color="000000"/>
              <w:bottom w:val="single" w:sz="4" w:space="0" w:color="000000"/>
              <w:right w:val="single" w:sz="4" w:space="0" w:color="000000"/>
            </w:tcBorders>
          </w:tcPr>
          <w:p w14:paraId="3441DC6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traçabilité attendue par le cadre réglementaire n’est plus démontrable.</w:t>
            </w:r>
          </w:p>
        </w:tc>
      </w:tr>
      <w:tr w:rsidR="00F50D70" w:rsidRPr="00BE4F47" w14:paraId="6858BFE5"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25A8E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6</w:t>
            </w:r>
          </w:p>
        </w:tc>
        <w:tc>
          <w:tcPr>
            <w:tcW w:w="2600" w:type="dxa"/>
            <w:tcBorders>
              <w:top w:val="single" w:sz="4" w:space="0" w:color="000000"/>
              <w:left w:val="single" w:sz="4" w:space="0" w:color="000000"/>
              <w:bottom w:val="single" w:sz="4" w:space="0" w:color="000000"/>
              <w:right w:val="single" w:sz="4" w:space="0" w:color="000000"/>
            </w:tcBorders>
          </w:tcPr>
          <w:p w14:paraId="47207D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Documenter le domaine de validité et les limites d’emploi.</w:t>
            </w:r>
          </w:p>
        </w:tc>
        <w:tc>
          <w:tcPr>
            <w:tcW w:w="1000" w:type="dxa"/>
            <w:tcBorders>
              <w:top w:val="single" w:sz="4" w:space="0" w:color="000000"/>
              <w:left w:val="single" w:sz="4" w:space="0" w:color="000000"/>
              <w:bottom w:val="single" w:sz="4" w:space="0" w:color="000000"/>
              <w:right w:val="single" w:sz="4" w:space="0" w:color="000000"/>
            </w:tcBorders>
          </w:tcPr>
          <w:p w14:paraId="4473055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J5</w:t>
            </w:r>
          </w:p>
        </w:tc>
        <w:tc>
          <w:tcPr>
            <w:tcW w:w="1150" w:type="dxa"/>
            <w:tcBorders>
              <w:top w:val="single" w:sz="4" w:space="0" w:color="000000"/>
              <w:left w:val="single" w:sz="4" w:space="0" w:color="000000"/>
              <w:bottom w:val="single" w:sz="4" w:space="0" w:color="000000"/>
              <w:right w:val="single" w:sz="4" w:space="0" w:color="000000"/>
            </w:tcBorders>
          </w:tcPr>
          <w:p w14:paraId="0BA131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Élevée</w:t>
            </w:r>
          </w:p>
        </w:tc>
        <w:tc>
          <w:tcPr>
            <w:tcW w:w="3107" w:type="dxa"/>
            <w:tcBorders>
              <w:top w:val="single" w:sz="4" w:space="0" w:color="000000"/>
              <w:left w:val="single" w:sz="4" w:space="0" w:color="000000"/>
              <w:bottom w:val="single" w:sz="4" w:space="0" w:color="000000"/>
              <w:right w:val="single" w:sz="4" w:space="0" w:color="000000"/>
            </w:tcBorders>
          </w:tcPr>
          <w:p w14:paraId="41F4D3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livrable ne peut pas être remis. C’est une obligation professionnelle, pas une option.</w:t>
            </w:r>
          </w:p>
        </w:tc>
      </w:tr>
      <w:tr w:rsidR="00F50D70" w:rsidRPr="00BE4F47" w14:paraId="23EB069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FC6B4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7</w:t>
            </w:r>
          </w:p>
        </w:tc>
        <w:tc>
          <w:tcPr>
            <w:tcW w:w="2600" w:type="dxa"/>
            <w:tcBorders>
              <w:top w:val="single" w:sz="4" w:space="0" w:color="000000"/>
              <w:left w:val="single" w:sz="4" w:space="0" w:color="000000"/>
              <w:bottom w:val="single" w:sz="4" w:space="0" w:color="000000"/>
              <w:right w:val="single" w:sz="4" w:space="0" w:color="000000"/>
            </w:tcBorders>
          </w:tcPr>
          <w:p w14:paraId="74FD989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Quantifier l’incertitude par une méthode statistique établie.</w:t>
            </w:r>
          </w:p>
        </w:tc>
        <w:tc>
          <w:tcPr>
            <w:tcW w:w="1000" w:type="dxa"/>
            <w:tcBorders>
              <w:top w:val="single" w:sz="4" w:space="0" w:color="000000"/>
              <w:left w:val="single" w:sz="4" w:space="0" w:color="000000"/>
              <w:bottom w:val="single" w:sz="4" w:space="0" w:color="000000"/>
              <w:right w:val="single" w:sz="4" w:space="0" w:color="000000"/>
            </w:tcBorders>
          </w:tcPr>
          <w:p w14:paraId="3FD4ED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J4</w:t>
            </w:r>
          </w:p>
        </w:tc>
        <w:tc>
          <w:tcPr>
            <w:tcW w:w="1150" w:type="dxa"/>
            <w:tcBorders>
              <w:top w:val="single" w:sz="4" w:space="0" w:color="000000"/>
              <w:left w:val="single" w:sz="4" w:space="0" w:color="000000"/>
              <w:bottom w:val="single" w:sz="4" w:space="0" w:color="000000"/>
              <w:right w:val="single" w:sz="4" w:space="0" w:color="000000"/>
            </w:tcBorders>
          </w:tcPr>
          <w:p w14:paraId="66A409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Moyenne</w:t>
            </w:r>
          </w:p>
        </w:tc>
        <w:tc>
          <w:tcPr>
            <w:tcW w:w="3107" w:type="dxa"/>
            <w:tcBorders>
              <w:top w:val="single" w:sz="4" w:space="0" w:color="000000"/>
              <w:left w:val="single" w:sz="4" w:space="0" w:color="000000"/>
              <w:bottom w:val="single" w:sz="4" w:space="0" w:color="000000"/>
              <w:right w:val="single" w:sz="4" w:space="0" w:color="000000"/>
            </w:tcBorders>
          </w:tcPr>
          <w:p w14:paraId="3E0369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niveau de confiance devient qualitatif. Le contenu est réductible si nécessaire.</w:t>
            </w:r>
          </w:p>
        </w:tc>
      </w:tr>
      <w:tr w:rsidR="00F50D70" w:rsidRPr="00BE4F47" w14:paraId="462BD81D"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A68860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8</w:t>
            </w:r>
          </w:p>
        </w:tc>
        <w:tc>
          <w:tcPr>
            <w:tcW w:w="2600" w:type="dxa"/>
            <w:tcBorders>
              <w:top w:val="single" w:sz="4" w:space="0" w:color="000000"/>
              <w:left w:val="single" w:sz="4" w:space="0" w:color="000000"/>
              <w:bottom w:val="single" w:sz="4" w:space="0" w:color="000000"/>
              <w:right w:val="single" w:sz="4" w:space="0" w:color="000000"/>
            </w:tcBorders>
          </w:tcPr>
          <w:p w14:paraId="66E9A2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Offrir une interface graphique aboutie.</w:t>
            </w:r>
          </w:p>
        </w:tc>
        <w:tc>
          <w:tcPr>
            <w:tcW w:w="1000" w:type="dxa"/>
            <w:tcBorders>
              <w:top w:val="single" w:sz="4" w:space="0" w:color="000000"/>
              <w:left w:val="single" w:sz="4" w:space="0" w:color="000000"/>
              <w:bottom w:val="single" w:sz="4" w:space="0" w:color="000000"/>
              <w:right w:val="single" w:sz="4" w:space="0" w:color="000000"/>
            </w:tcBorders>
          </w:tcPr>
          <w:p w14:paraId="2C00E74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J4</w:t>
            </w:r>
          </w:p>
        </w:tc>
        <w:tc>
          <w:tcPr>
            <w:tcW w:w="1150" w:type="dxa"/>
            <w:tcBorders>
              <w:top w:val="single" w:sz="4" w:space="0" w:color="000000"/>
              <w:left w:val="single" w:sz="4" w:space="0" w:color="000000"/>
              <w:bottom w:val="single" w:sz="4" w:space="0" w:color="000000"/>
              <w:right w:val="single" w:sz="4" w:space="0" w:color="000000"/>
            </w:tcBorders>
          </w:tcPr>
          <w:p w14:paraId="39B4893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Moyenne</w:t>
            </w:r>
          </w:p>
        </w:tc>
        <w:tc>
          <w:tcPr>
            <w:tcW w:w="3107" w:type="dxa"/>
            <w:tcBorders>
              <w:top w:val="single" w:sz="4" w:space="0" w:color="000000"/>
              <w:left w:val="single" w:sz="4" w:space="0" w:color="000000"/>
              <w:bottom w:val="single" w:sz="4" w:space="0" w:color="000000"/>
              <w:right w:val="single" w:sz="4" w:space="0" w:color="000000"/>
            </w:tcBorders>
          </w:tcPr>
          <w:p w14:paraId="5E00222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contenu est réductible. Une présentation sobre suffit à démontrer la fonction.</w:t>
            </w:r>
          </w:p>
        </w:tc>
      </w:tr>
    </w:tbl>
    <w:p w14:paraId="1B0E9A1E" w14:textId="77777777" w:rsidR="00F50D70" w:rsidRPr="00BE4F47" w:rsidRDefault="00137D7F" w:rsidP="008E113B">
      <w:pPr>
        <w:spacing w:before="200" w:after="130" w:line="360" w:lineRule="auto"/>
        <w:ind w:left="360"/>
        <w:rPr>
          <w:rFonts w:ascii="Aptos" w:hAnsi="Aptos"/>
        </w:rPr>
      </w:pPr>
      <w:bookmarkStart w:id="92" w:name="_Toc241082809"/>
      <w:bookmarkStart w:id="93" w:name="_Toc241670004"/>
      <w:bookmarkStart w:id="94" w:name="_Toc241707712"/>
      <w:r w:rsidRPr="00BE4F47">
        <w:rPr>
          <w:rFonts w:ascii="Aptos" w:hAnsi="Aptos"/>
          <w:color w:val="1A1A19"/>
          <w:sz w:val="20"/>
          <w:szCs w:val="20"/>
        </w:rPr>
        <w:t>Les rangs 1 à 3 ne sont pas négociables, car ils portent l’objectif directeur. Les rangs 4 à 6 répondent à des obligations professionnelles et réglementaires : ils peuvent être réduits en ampleur, jamais supprimés. Les rangs 7 et 8 forment le contenu ajustable. Cette liste sera arrêtée avec le client au jalon J1.</w:t>
      </w:r>
      <w:bookmarkEnd w:id="92"/>
      <w:bookmarkEnd w:id="93"/>
      <w:bookmarkEnd w:id="94"/>
    </w:p>
    <w:p w14:paraId="257509AC" w14:textId="77777777" w:rsidR="00F50D70" w:rsidRPr="00BE4F47" w:rsidRDefault="00137D7F" w:rsidP="008E113B">
      <w:pPr>
        <w:spacing w:after="130" w:line="360" w:lineRule="auto"/>
        <w:ind w:left="360"/>
        <w:rPr>
          <w:rFonts w:ascii="Aptos" w:hAnsi="Aptos"/>
        </w:rPr>
      </w:pPr>
      <w:bookmarkStart w:id="95" w:name="_Toc241082789"/>
      <w:bookmarkStart w:id="96" w:name="_Toc241670005"/>
      <w:bookmarkStart w:id="97" w:name="_Toc241707713"/>
      <w:r w:rsidRPr="00BE4F47">
        <w:rPr>
          <w:rFonts w:ascii="Aptos" w:hAnsi="Aptos"/>
          <w:color w:val="1A1A19"/>
          <w:sz w:val="20"/>
          <w:szCs w:val="20"/>
        </w:rPr>
        <w:lastRenderedPageBreak/>
        <w:t>Ces besoins supposent que le système sache distinguer plusieurs états de fonctionnement.</w:t>
      </w:r>
      <w:bookmarkEnd w:id="95"/>
      <w:bookmarkEnd w:id="96"/>
      <w:bookmarkEnd w:id="97"/>
    </w:p>
    <w:p w14:paraId="62EAF104" w14:textId="77777777" w:rsidR="00927E59" w:rsidRPr="00BE4F47" w:rsidRDefault="00927E59" w:rsidP="008E113B">
      <w:pPr>
        <w:pStyle w:val="Titre2"/>
        <w:spacing w:line="360" w:lineRule="auto"/>
      </w:pPr>
      <w:bookmarkStart w:id="98" w:name="_Toc241707714"/>
      <w:r w:rsidRPr="00BE4F47">
        <w:t>Modes de fonctionnement et analyse fonctionnelle</w:t>
      </w:r>
      <w:bookmarkEnd w:id="98"/>
    </w:p>
    <w:p w14:paraId="620084E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9" w:name="_Toc241082793"/>
      <w:bookmarkStart w:id="100" w:name="_Toc241670007"/>
      <w:bookmarkStart w:id="101" w:name="_Toc241707715"/>
      <w:r w:rsidRPr="00BE4F47">
        <w:rPr>
          <w:rFonts w:ascii="Aptos" w:hAnsi="Aptos"/>
          <w:color w:val="1A1A19"/>
          <w:sz w:val="20"/>
          <w:szCs w:val="20"/>
        </w:rPr>
        <w:t>Nous décrivons les états du système au moyen d’un GEMMA, le guide d’étude des modes de marche et d’arrêt. La figure 1-1 en compte onze, répartis en trois familles : les procédures d’arrêt et de remise en route (A1, A2, A5, A6), les procédures de fonctionnement (F1, F2, F4, F6) et les procédures en défaillance (D1, D2, D3). Les cinq états du guide qui ne sont pas repris sont justifiés dans le document de référence du GEMMA. Cette répartition sera confirmée avec le client au jalon J1.</w:t>
      </w:r>
      <w:bookmarkEnd w:id="99"/>
      <w:bookmarkEnd w:id="100"/>
      <w:bookmarkEnd w:id="101"/>
    </w:p>
    <w:p w14:paraId="5EFA862E" w14:textId="77777777" w:rsidR="00F50D70" w:rsidRPr="00BE4F47" w:rsidRDefault="002A1CE1" w:rsidP="008E113B">
      <w:pPr>
        <w:keepNext/>
        <w:spacing w:line="360" w:lineRule="auto"/>
        <w:ind w:left="360"/>
        <w:rPr>
          <w:rFonts w:ascii="Aptos" w:hAnsi="Aptos"/>
        </w:rPr>
      </w:pPr>
      <w:bookmarkStart w:id="102" w:name="_Toc241082791"/>
      <w:bookmarkStart w:id="103" w:name="_Toc241670008"/>
      <w:bookmarkStart w:id="104" w:name="_Toc241707716"/>
      <w:r>
        <w:rPr>
          <w:rFonts w:ascii="Aptos" w:hAnsi="Aptos"/>
          <w:noProof/>
        </w:rPr>
        <w:drawing>
          <wp:inline distT="0" distB="0" distL="0" distR="0" wp14:anchorId="5E574FA1" wp14:editId="679FA506">
            <wp:extent cx="5593080" cy="349758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2" cstate="print">
                      <a:extLst>
                        <a:ext uri="{28A0092B-C50C-407E-A947-70E740481C1C}">
                          <a14:useLocalDpi xmlns:a14="http://schemas.microsoft.com/office/drawing/2010/main" val="0"/>
                        </a:ext>
                      </a:extLst>
                    </a:blip>
                    <a:srcRect l="-2" t="-3" r="-2" b="-3"/>
                    <a:stretch>
                      <a:fillRect/>
                    </a:stretch>
                  </pic:blipFill>
                  <pic:spPr bwMode="auto">
                    <a:xfrm>
                      <a:off x="0" y="0"/>
                      <a:ext cx="5593080" cy="3497580"/>
                    </a:xfrm>
                    <a:prstGeom prst="rect">
                      <a:avLst/>
                    </a:prstGeom>
                    <a:noFill/>
                    <a:ln>
                      <a:noFill/>
                    </a:ln>
                  </pic:spPr>
                </pic:pic>
              </a:graphicData>
            </a:graphic>
          </wp:inline>
        </w:drawing>
      </w:r>
      <w:bookmarkEnd w:id="102"/>
      <w:bookmarkEnd w:id="103"/>
      <w:bookmarkEnd w:id="104"/>
    </w:p>
    <w:p w14:paraId="4BFA7252" w14:textId="77777777" w:rsidR="00F50D70" w:rsidRPr="00BE4F47" w:rsidRDefault="00137D7F" w:rsidP="008E113B">
      <w:pPr>
        <w:pStyle w:val="Lgende"/>
        <w:spacing w:line="360" w:lineRule="auto"/>
        <w:rPr>
          <w:rFonts w:ascii="Aptos" w:hAnsi="Aptos"/>
        </w:rPr>
      </w:pPr>
      <w:bookmarkStart w:id="105" w:name="_Toc241082792"/>
      <w:bookmarkStart w:id="106" w:name="_Toc241670009"/>
      <w:bookmarkStart w:id="107" w:name="_Toc241707717"/>
      <w:r w:rsidRPr="00BE4F47">
        <w:rPr>
          <w:rFonts w:ascii="Aptos" w:hAnsi="Aptos"/>
        </w:rPr>
        <w:t>Figure 1-1. Modes de marche et d’arrêt du jumeau numérique de surveillance</w:t>
      </w:r>
      <w:bookmarkEnd w:id="105"/>
      <w:bookmarkEnd w:id="106"/>
      <w:bookmarkEnd w:id="107"/>
    </w:p>
    <w:p w14:paraId="48F8BA29" w14:textId="77777777" w:rsidR="00F50D70" w:rsidRPr="00BE4F47" w:rsidRDefault="00137D7F" w:rsidP="008E113B">
      <w:pPr>
        <w:spacing w:after="130" w:line="360" w:lineRule="auto"/>
        <w:ind w:left="360"/>
        <w:rPr>
          <w:rFonts w:ascii="Aptos" w:hAnsi="Aptos"/>
        </w:rPr>
      </w:pPr>
      <w:bookmarkStart w:id="108" w:name="_Toc241082794"/>
      <w:bookmarkStart w:id="109" w:name="_Toc241670010"/>
      <w:bookmarkStart w:id="110" w:name="_Toc241707718"/>
      <w:r w:rsidRPr="00BE4F47">
        <w:rPr>
          <w:rFonts w:ascii="Aptos" w:hAnsi="Aptos"/>
          <w:color w:val="1A1A19"/>
          <w:sz w:val="20"/>
          <w:szCs w:val="20"/>
        </w:rPr>
        <w:t>Trois états demandent une attention particulière pour la suite. F1 est la surveillance normale, où le comportement observé est comparé au comportement attendu. D2 est le diagnostic, atteint dès qu’une dérive est confirmée. D3 est le fonctionnement dégradé, qui demandera une validation humaine. Les exigences EX-F-06 à EX-F-09 traduisent ces trois états en comportements vérifiables.</w:t>
      </w:r>
      <w:bookmarkEnd w:id="108"/>
      <w:bookmarkEnd w:id="109"/>
      <w:bookmarkEnd w:id="110"/>
    </w:p>
    <w:p w14:paraId="77F47038" w14:textId="77777777" w:rsidR="00F50D70" w:rsidRPr="00BE4F47" w:rsidRDefault="00137D7F" w:rsidP="008E113B">
      <w:pPr>
        <w:spacing w:after="130" w:line="360" w:lineRule="auto"/>
        <w:ind w:left="360"/>
        <w:rPr>
          <w:rFonts w:ascii="Aptos" w:hAnsi="Aptos"/>
        </w:rPr>
      </w:pPr>
      <w:bookmarkStart w:id="111" w:name="_Toc241082796"/>
      <w:bookmarkStart w:id="112" w:name="_Toc241670011"/>
      <w:bookmarkStart w:id="113" w:name="_Toc241707719"/>
      <w:r w:rsidRPr="00BE4F47">
        <w:rPr>
          <w:rFonts w:ascii="Aptos" w:hAnsi="Aptos"/>
          <w:color w:val="1A1A19"/>
          <w:sz w:val="20"/>
          <w:szCs w:val="20"/>
        </w:rPr>
        <w:t>Une décomposition en six sous-systèmes est proposée pour conduire l’analyse fonctionnelle. Elle suit la testabilité : un sous-système est une frontière où l’on peut mesurer quelque chose, et chaque flux est un point où un essai peut être posé. Ce découpage sert à poser les fonctions attendues. L’architecture réelle du logiciel sera arrêtée à la conception préliminaire, au jalon J2.</w:t>
      </w:r>
      <w:bookmarkEnd w:id="111"/>
      <w:bookmarkEnd w:id="112"/>
      <w:bookmarkEnd w:id="113"/>
    </w:p>
    <w:p w14:paraId="55F8FDFB" w14:textId="77777777" w:rsidR="00F50D70" w:rsidRPr="00BE4F47" w:rsidRDefault="002A1CE1" w:rsidP="008E113B">
      <w:pPr>
        <w:keepNext/>
        <w:spacing w:line="360" w:lineRule="auto"/>
        <w:rPr>
          <w:rFonts w:ascii="Aptos" w:hAnsi="Aptos"/>
        </w:rPr>
      </w:pPr>
      <w:bookmarkStart w:id="114" w:name="_Toc241082798"/>
      <w:bookmarkStart w:id="115" w:name="_Toc241670012"/>
      <w:bookmarkStart w:id="116" w:name="_Toc241707720"/>
      <w:r>
        <w:rPr>
          <w:noProof/>
        </w:rPr>
        <w:lastRenderedPageBreak/>
        <w:drawing>
          <wp:anchor distT="0" distB="0" distL="114300" distR="114300" simplePos="0" relativeHeight="251657216" behindDoc="1" locked="0" layoutInCell="1" allowOverlap="1" wp14:anchorId="22AAA29F" wp14:editId="3E8664E1">
            <wp:simplePos x="0" y="0"/>
            <wp:positionH relativeFrom="column">
              <wp:posOffset>184785</wp:posOffset>
            </wp:positionH>
            <wp:positionV relativeFrom="paragraph">
              <wp:posOffset>5080</wp:posOffset>
            </wp:positionV>
            <wp:extent cx="5577840" cy="4451047"/>
            <wp:effectExtent l="0" t="0" r="0" b="0"/>
            <wp:wrapTight wrapText="bothSides">
              <wp:wrapPolygon edited="0">
                <wp:start x="0" y="0"/>
                <wp:lineTo x="0" y="21519"/>
                <wp:lineTo x="21554" y="21519"/>
                <wp:lineTo x="21554" y="0"/>
                <wp:lineTo x="0" y="0"/>
              </wp:wrapPolygon>
            </wp:wrapTight>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4451047"/>
                    </a:xfrm>
                    <a:prstGeom prst="rect">
                      <a:avLst/>
                    </a:prstGeom>
                    <a:noFill/>
                  </pic:spPr>
                </pic:pic>
              </a:graphicData>
            </a:graphic>
            <wp14:sizeRelH relativeFrom="page">
              <wp14:pctWidth>0</wp14:pctWidth>
            </wp14:sizeRelH>
            <wp14:sizeRelV relativeFrom="page">
              <wp14:pctHeight>0</wp14:pctHeight>
            </wp14:sizeRelV>
          </wp:anchor>
        </w:drawing>
      </w:r>
      <w:bookmarkEnd w:id="114"/>
      <w:bookmarkEnd w:id="115"/>
      <w:bookmarkEnd w:id="116"/>
    </w:p>
    <w:p w14:paraId="4C347AFF" w14:textId="77777777" w:rsidR="00F50D70" w:rsidRPr="00BE4F47" w:rsidRDefault="00137D7F" w:rsidP="008E113B">
      <w:pPr>
        <w:pStyle w:val="Lgende"/>
        <w:spacing w:line="360" w:lineRule="auto"/>
        <w:rPr>
          <w:rFonts w:ascii="Aptos" w:hAnsi="Aptos"/>
        </w:rPr>
      </w:pPr>
      <w:bookmarkStart w:id="117" w:name="_Toc241082799"/>
      <w:bookmarkStart w:id="118" w:name="_Toc241670013"/>
      <w:bookmarkStart w:id="119" w:name="_Toc241707721"/>
      <w:r w:rsidRPr="00BE4F47">
        <w:rPr>
          <w:rFonts w:ascii="Aptos" w:hAnsi="Aptos"/>
        </w:rPr>
        <w:t>Figure 1-2. Décomposition fonctionnelle et flux d’information du prototype</w:t>
      </w:r>
      <w:bookmarkEnd w:id="117"/>
      <w:bookmarkEnd w:id="118"/>
      <w:bookmarkEnd w:id="119"/>
    </w:p>
    <w:p w14:paraId="145F694C" w14:textId="77777777" w:rsidR="00F50D70" w:rsidRPr="00BE4F47" w:rsidRDefault="00137D7F" w:rsidP="008E113B">
      <w:pPr>
        <w:pStyle w:val="Lgende"/>
        <w:keepNext/>
        <w:spacing w:line="360" w:lineRule="auto"/>
        <w:rPr>
          <w:rFonts w:ascii="Aptos" w:hAnsi="Aptos"/>
        </w:rPr>
      </w:pPr>
      <w:bookmarkStart w:id="120" w:name="_Toc241082800"/>
      <w:bookmarkStart w:id="121" w:name="_Toc241670014"/>
      <w:bookmarkStart w:id="122" w:name="_Toc241707722"/>
      <w:r w:rsidRPr="00BE4F47">
        <w:rPr>
          <w:rFonts w:ascii="Aptos" w:hAnsi="Aptos"/>
        </w:rPr>
        <w:t>Tableau 1-4. Sous-systèmes, intrants et extrants</w:t>
      </w:r>
      <w:bookmarkEnd w:id="120"/>
      <w:bookmarkEnd w:id="121"/>
      <w:bookmarkEnd w:id="122"/>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650"/>
        <w:gridCol w:w="2300"/>
        <w:gridCol w:w="2300"/>
        <w:gridCol w:w="2400"/>
        <w:gridCol w:w="907"/>
      </w:tblGrid>
      <w:tr w:rsidR="00F50D70" w:rsidRPr="00BE4F47" w14:paraId="4AE9144A" w14:textId="77777777" w:rsidTr="0036725C">
        <w:trPr>
          <w:trHeight w:val="227"/>
          <w:tblHeader/>
        </w:trPr>
        <w:tc>
          <w:tcPr>
            <w:tcW w:w="6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B57483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Réf.</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E7A94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Fonction principale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FA7FA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Intrants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A3F58E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Extrants</w:t>
            </w:r>
          </w:p>
        </w:tc>
        <w:tc>
          <w:tcPr>
            <w:tcW w:w="90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B4180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r>
      <w:tr w:rsidR="00F50D70" w:rsidRPr="00BE4F47" w14:paraId="5BC7BCFD"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6ABC3F5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SS-1</w:t>
            </w:r>
          </w:p>
        </w:tc>
        <w:tc>
          <w:tcPr>
            <w:tcW w:w="2300" w:type="dxa"/>
            <w:tcBorders>
              <w:top w:val="single" w:sz="4" w:space="0" w:color="000000"/>
              <w:left w:val="single" w:sz="4" w:space="0" w:color="000000"/>
              <w:bottom w:val="single" w:sz="4" w:space="0" w:color="000000"/>
              <w:right w:val="single" w:sz="4" w:space="0" w:color="000000"/>
            </w:tcBorders>
          </w:tcPr>
          <w:p w14:paraId="52D79C8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Simuler le comportement physique de la boucle thermohydraulique, en fonctionnement normal comme en défaillance.</w:t>
            </w:r>
          </w:p>
        </w:tc>
        <w:tc>
          <w:tcPr>
            <w:tcW w:w="2300" w:type="dxa"/>
            <w:tcBorders>
              <w:top w:val="single" w:sz="4" w:space="0" w:color="000000"/>
              <w:left w:val="single" w:sz="4" w:space="0" w:color="000000"/>
              <w:bottom w:val="single" w:sz="4" w:space="0" w:color="000000"/>
              <w:right w:val="single" w:sz="4" w:space="0" w:color="000000"/>
            </w:tcBorders>
          </w:tcPr>
          <w:p w14:paraId="349C43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Consignes du scénario, paramètres physiques, ordre d’injection d’une défaillance.</w:t>
            </w:r>
          </w:p>
        </w:tc>
        <w:tc>
          <w:tcPr>
            <w:tcW w:w="2400" w:type="dxa"/>
            <w:tcBorders>
              <w:top w:val="single" w:sz="4" w:space="0" w:color="000000"/>
              <w:left w:val="single" w:sz="4" w:space="0" w:color="000000"/>
              <w:bottom w:val="single" w:sz="4" w:space="0" w:color="000000"/>
              <w:right w:val="single" w:sz="4" w:space="0" w:color="000000"/>
            </w:tcBorders>
          </w:tcPr>
          <w:p w14:paraId="69DA480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Grandeurs vraies de température, de pression et de débit, échantillonnées dans le temps.</w:t>
            </w:r>
          </w:p>
        </w:tc>
        <w:tc>
          <w:tcPr>
            <w:tcW w:w="907" w:type="dxa"/>
            <w:tcBorders>
              <w:top w:val="single" w:sz="4" w:space="0" w:color="000000"/>
              <w:left w:val="single" w:sz="4" w:space="0" w:color="000000"/>
              <w:bottom w:val="single" w:sz="4" w:space="0" w:color="000000"/>
              <w:right w:val="single" w:sz="4" w:space="0" w:color="000000"/>
            </w:tcBorders>
          </w:tcPr>
          <w:p w14:paraId="76093F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L4</w:t>
            </w:r>
          </w:p>
        </w:tc>
      </w:tr>
      <w:tr w:rsidR="00F50D70" w:rsidRPr="00BE4F47" w14:paraId="02D53838"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18AA14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SS-2</w:t>
            </w:r>
          </w:p>
        </w:tc>
        <w:tc>
          <w:tcPr>
            <w:tcW w:w="2300" w:type="dxa"/>
            <w:tcBorders>
              <w:top w:val="single" w:sz="4" w:space="0" w:color="000000"/>
              <w:left w:val="single" w:sz="4" w:space="0" w:color="000000"/>
              <w:bottom w:val="single" w:sz="4" w:space="0" w:color="000000"/>
              <w:right w:val="single" w:sz="4" w:space="0" w:color="000000"/>
            </w:tcBorders>
          </w:tcPr>
          <w:p w14:paraId="4FD782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Acquérir les grandeurs, les dégrader de façon réaliste, et qualifier ce qui est acquis.</w:t>
            </w:r>
          </w:p>
        </w:tc>
        <w:tc>
          <w:tcPr>
            <w:tcW w:w="2300" w:type="dxa"/>
            <w:tcBorders>
              <w:top w:val="single" w:sz="4" w:space="0" w:color="000000"/>
              <w:left w:val="single" w:sz="4" w:space="0" w:color="000000"/>
              <w:bottom w:val="single" w:sz="4" w:space="0" w:color="000000"/>
              <w:right w:val="single" w:sz="4" w:space="0" w:color="000000"/>
            </w:tcBorders>
          </w:tcPr>
          <w:p w14:paraId="19BC7C1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Grandeurs vraies de SS-1, modèles de bruit, de dérive de capteur et de perte de données.</w:t>
            </w:r>
          </w:p>
        </w:tc>
        <w:tc>
          <w:tcPr>
            <w:tcW w:w="2400" w:type="dxa"/>
            <w:tcBorders>
              <w:top w:val="single" w:sz="4" w:space="0" w:color="000000"/>
              <w:left w:val="single" w:sz="4" w:space="0" w:color="000000"/>
              <w:bottom w:val="single" w:sz="4" w:space="0" w:color="000000"/>
              <w:right w:val="single" w:sz="4" w:space="0" w:color="000000"/>
            </w:tcBorders>
          </w:tcPr>
          <w:p w14:paraId="6EF056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Mesures horodatées, indice de qualité par mesure, signalement des données manquantes.</w:t>
            </w:r>
          </w:p>
        </w:tc>
        <w:tc>
          <w:tcPr>
            <w:tcW w:w="907" w:type="dxa"/>
            <w:tcBorders>
              <w:top w:val="single" w:sz="4" w:space="0" w:color="000000"/>
              <w:left w:val="single" w:sz="4" w:space="0" w:color="000000"/>
              <w:bottom w:val="single" w:sz="4" w:space="0" w:color="000000"/>
              <w:right w:val="single" w:sz="4" w:space="0" w:color="000000"/>
            </w:tcBorders>
          </w:tcPr>
          <w:p w14:paraId="1533E49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r>
      <w:tr w:rsidR="00F50D70" w:rsidRPr="00BE4F47" w14:paraId="36FD23C1"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48DA7B2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SS-3</w:t>
            </w:r>
          </w:p>
        </w:tc>
        <w:tc>
          <w:tcPr>
            <w:tcW w:w="2300" w:type="dxa"/>
            <w:tcBorders>
              <w:top w:val="single" w:sz="4" w:space="0" w:color="000000"/>
              <w:left w:val="single" w:sz="4" w:space="0" w:color="000000"/>
              <w:bottom w:val="single" w:sz="4" w:space="0" w:color="000000"/>
              <w:right w:val="single" w:sz="4" w:space="0" w:color="000000"/>
            </w:tcBorders>
          </w:tcPr>
          <w:p w14:paraId="00B2A9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Calculer le comportement attendu et le comparer au comportement observé.</w:t>
            </w:r>
          </w:p>
        </w:tc>
        <w:tc>
          <w:tcPr>
            <w:tcW w:w="2300" w:type="dxa"/>
            <w:tcBorders>
              <w:top w:val="single" w:sz="4" w:space="0" w:color="000000"/>
              <w:left w:val="single" w:sz="4" w:space="0" w:color="000000"/>
              <w:bottom w:val="single" w:sz="4" w:space="0" w:color="000000"/>
              <w:right w:val="single" w:sz="4" w:space="0" w:color="000000"/>
            </w:tcBorders>
          </w:tcPr>
          <w:p w14:paraId="611AEF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Mesures horodatées de SS-2, paramètres du modèle de référence.</w:t>
            </w:r>
          </w:p>
        </w:tc>
        <w:tc>
          <w:tcPr>
            <w:tcW w:w="2400" w:type="dxa"/>
            <w:tcBorders>
              <w:top w:val="single" w:sz="4" w:space="0" w:color="000000"/>
              <w:left w:val="single" w:sz="4" w:space="0" w:color="000000"/>
              <w:bottom w:val="single" w:sz="4" w:space="0" w:color="000000"/>
              <w:right w:val="single" w:sz="4" w:space="0" w:color="000000"/>
            </w:tcBorders>
          </w:tcPr>
          <w:p w14:paraId="6159419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Comportement attendu, résidus définis comme l’écart entre observé et attendu.</w:t>
            </w:r>
          </w:p>
        </w:tc>
        <w:tc>
          <w:tcPr>
            <w:tcW w:w="907" w:type="dxa"/>
            <w:tcBorders>
              <w:top w:val="single" w:sz="4" w:space="0" w:color="000000"/>
              <w:left w:val="single" w:sz="4" w:space="0" w:color="000000"/>
              <w:bottom w:val="single" w:sz="4" w:space="0" w:color="000000"/>
              <w:right w:val="single" w:sz="4" w:space="0" w:color="000000"/>
            </w:tcBorders>
          </w:tcPr>
          <w:p w14:paraId="383727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L4, L6</w:t>
            </w:r>
          </w:p>
        </w:tc>
      </w:tr>
      <w:tr w:rsidR="00F50D70" w:rsidRPr="00BE4F47" w14:paraId="2605B8CC"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28517A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SS-4</w:t>
            </w:r>
          </w:p>
        </w:tc>
        <w:tc>
          <w:tcPr>
            <w:tcW w:w="2300" w:type="dxa"/>
            <w:tcBorders>
              <w:top w:val="single" w:sz="4" w:space="0" w:color="000000"/>
              <w:left w:val="single" w:sz="4" w:space="0" w:color="000000"/>
              <w:bottom w:val="single" w:sz="4" w:space="0" w:color="000000"/>
              <w:right w:val="single" w:sz="4" w:space="0" w:color="000000"/>
            </w:tcBorders>
          </w:tcPr>
          <w:p w14:paraId="58DA52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Décider si un résidu traduit une anomalie, et dire avec quelle confiance.</w:t>
            </w:r>
          </w:p>
        </w:tc>
        <w:tc>
          <w:tcPr>
            <w:tcW w:w="2300" w:type="dxa"/>
            <w:tcBorders>
              <w:top w:val="single" w:sz="4" w:space="0" w:color="000000"/>
              <w:left w:val="single" w:sz="4" w:space="0" w:color="000000"/>
              <w:bottom w:val="single" w:sz="4" w:space="0" w:color="000000"/>
              <w:right w:val="single" w:sz="4" w:space="0" w:color="000000"/>
            </w:tcBorders>
          </w:tcPr>
          <w:p w14:paraId="4A94F9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Résidus de SS-3, indice de qualité de SS-2.</w:t>
            </w:r>
          </w:p>
        </w:tc>
        <w:tc>
          <w:tcPr>
            <w:tcW w:w="2400" w:type="dxa"/>
            <w:tcBorders>
              <w:top w:val="single" w:sz="4" w:space="0" w:color="000000"/>
              <w:left w:val="single" w:sz="4" w:space="0" w:color="000000"/>
              <w:bottom w:val="single" w:sz="4" w:space="0" w:color="000000"/>
              <w:right w:val="single" w:sz="4" w:space="0" w:color="000000"/>
            </w:tcBorders>
          </w:tcPr>
          <w:p w14:paraId="504196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estimé parmi normal, dérive, anomalie et incertain ; niveau de confiance ; variables contributrices.</w:t>
            </w:r>
          </w:p>
        </w:tc>
        <w:tc>
          <w:tcPr>
            <w:tcW w:w="907" w:type="dxa"/>
            <w:tcBorders>
              <w:top w:val="single" w:sz="4" w:space="0" w:color="000000"/>
              <w:left w:val="single" w:sz="4" w:space="0" w:color="000000"/>
              <w:bottom w:val="single" w:sz="4" w:space="0" w:color="000000"/>
              <w:right w:val="single" w:sz="4" w:space="0" w:color="000000"/>
            </w:tcBorders>
          </w:tcPr>
          <w:p w14:paraId="7F27697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w:t>
            </w:r>
          </w:p>
        </w:tc>
      </w:tr>
      <w:tr w:rsidR="00F50D70" w:rsidRPr="00BE4F47" w14:paraId="6AF27FB0"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448F375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lastRenderedPageBreak/>
              <w:t>SS-5</w:t>
            </w:r>
          </w:p>
        </w:tc>
        <w:tc>
          <w:tcPr>
            <w:tcW w:w="2300" w:type="dxa"/>
            <w:tcBorders>
              <w:top w:val="single" w:sz="4" w:space="0" w:color="000000"/>
              <w:left w:val="single" w:sz="4" w:space="0" w:color="000000"/>
              <w:bottom w:val="single" w:sz="4" w:space="0" w:color="000000"/>
              <w:right w:val="single" w:sz="4" w:space="0" w:color="000000"/>
            </w:tcBorders>
          </w:tcPr>
          <w:p w14:paraId="454BA8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Présenter l’état, la confiance et les contributions à l’opérateur, sans commander l’installation.</w:t>
            </w:r>
          </w:p>
        </w:tc>
        <w:tc>
          <w:tcPr>
            <w:tcW w:w="2300" w:type="dxa"/>
            <w:tcBorders>
              <w:top w:val="single" w:sz="4" w:space="0" w:color="000000"/>
              <w:left w:val="single" w:sz="4" w:space="0" w:color="000000"/>
              <w:bottom w:val="single" w:sz="4" w:space="0" w:color="000000"/>
              <w:right w:val="single" w:sz="4" w:space="0" w:color="000000"/>
            </w:tcBorders>
          </w:tcPr>
          <w:p w14:paraId="0292D00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Sortie de SS-4, journal de SS-2.</w:t>
            </w:r>
          </w:p>
        </w:tc>
        <w:tc>
          <w:tcPr>
            <w:tcW w:w="2400" w:type="dxa"/>
            <w:tcBorders>
              <w:top w:val="single" w:sz="4" w:space="0" w:color="000000"/>
              <w:left w:val="single" w:sz="4" w:space="0" w:color="000000"/>
              <w:bottom w:val="single" w:sz="4" w:space="0" w:color="000000"/>
              <w:right w:val="single" w:sz="4" w:space="0" w:color="000000"/>
            </w:tcBorders>
          </w:tcPr>
          <w:p w14:paraId="5543C5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Affichage, recommandation, mention explicite de l’incertitude, demande de validation humaine.</w:t>
            </w:r>
          </w:p>
        </w:tc>
        <w:tc>
          <w:tcPr>
            <w:tcW w:w="907" w:type="dxa"/>
            <w:tcBorders>
              <w:top w:val="single" w:sz="4" w:space="0" w:color="000000"/>
              <w:left w:val="single" w:sz="4" w:space="0" w:color="000000"/>
              <w:bottom w:val="single" w:sz="4" w:space="0" w:color="000000"/>
              <w:right w:val="single" w:sz="4" w:space="0" w:color="000000"/>
            </w:tcBorders>
          </w:tcPr>
          <w:p w14:paraId="23F437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r>
      <w:tr w:rsidR="00F50D70" w:rsidRPr="00BE4F47" w14:paraId="52BEA088"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741979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SS-6</w:t>
            </w:r>
          </w:p>
        </w:tc>
        <w:tc>
          <w:tcPr>
            <w:tcW w:w="2300" w:type="dxa"/>
            <w:tcBorders>
              <w:top w:val="single" w:sz="4" w:space="0" w:color="000000"/>
              <w:left w:val="single" w:sz="4" w:space="0" w:color="000000"/>
              <w:bottom w:val="single" w:sz="4" w:space="0" w:color="000000"/>
              <w:right w:val="single" w:sz="4" w:space="0" w:color="000000"/>
            </w:tcBorders>
          </w:tcPr>
          <w:p w14:paraId="10503E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Journaliser, horodater et protéger l’intégrité de la chaîne, de l’acquisition à l’affichage.</w:t>
            </w:r>
          </w:p>
        </w:tc>
        <w:tc>
          <w:tcPr>
            <w:tcW w:w="2300" w:type="dxa"/>
            <w:tcBorders>
              <w:top w:val="single" w:sz="4" w:space="0" w:color="000000"/>
              <w:left w:val="single" w:sz="4" w:space="0" w:color="000000"/>
              <w:bottom w:val="single" w:sz="4" w:space="0" w:color="000000"/>
              <w:right w:val="single" w:sz="4" w:space="0" w:color="000000"/>
            </w:tcBorders>
          </w:tcPr>
          <w:p w14:paraId="7181E8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Événements émis par SS-2, SS-3, SS-4 et SS-5.</w:t>
            </w:r>
          </w:p>
        </w:tc>
        <w:tc>
          <w:tcPr>
            <w:tcW w:w="2400" w:type="dxa"/>
            <w:tcBorders>
              <w:top w:val="single" w:sz="4" w:space="0" w:color="000000"/>
              <w:left w:val="single" w:sz="4" w:space="0" w:color="000000"/>
              <w:bottom w:val="single" w:sz="4" w:space="0" w:color="000000"/>
              <w:right w:val="single" w:sz="4" w:space="0" w:color="000000"/>
            </w:tcBorders>
          </w:tcPr>
          <w:p w14:paraId="1FC2C0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 horodaté et vérifiable, contrôles d’intégrité, cloisonnement des interfaces.</w:t>
            </w:r>
          </w:p>
        </w:tc>
        <w:tc>
          <w:tcPr>
            <w:tcW w:w="907" w:type="dxa"/>
            <w:tcBorders>
              <w:top w:val="single" w:sz="4" w:space="0" w:color="000000"/>
              <w:left w:val="single" w:sz="4" w:space="0" w:color="000000"/>
              <w:bottom w:val="single" w:sz="4" w:space="0" w:color="000000"/>
              <w:right w:val="single" w:sz="4" w:space="0" w:color="000000"/>
            </w:tcBorders>
          </w:tcPr>
          <w:p w14:paraId="0D640FC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L5</w:t>
            </w:r>
          </w:p>
        </w:tc>
      </w:tr>
    </w:tbl>
    <w:p w14:paraId="76216DAD" w14:textId="77777777" w:rsidR="00F50D70" w:rsidRPr="00BE4F47" w:rsidRDefault="00137D7F" w:rsidP="008E113B">
      <w:pPr>
        <w:spacing w:before="200" w:after="130" w:line="360" w:lineRule="auto"/>
        <w:ind w:left="360"/>
        <w:rPr>
          <w:rFonts w:ascii="Aptos" w:hAnsi="Aptos"/>
        </w:rPr>
      </w:pPr>
      <w:bookmarkStart w:id="123" w:name="_Toc241082801"/>
      <w:bookmarkStart w:id="124" w:name="_Toc241670015"/>
      <w:bookmarkStart w:id="125" w:name="_Toc241707723"/>
      <w:r w:rsidRPr="00BE4F47">
        <w:rPr>
          <w:rFonts w:ascii="Aptos" w:hAnsi="Aptos"/>
          <w:color w:val="1A1A19"/>
          <w:sz w:val="20"/>
          <w:szCs w:val="20"/>
        </w:rPr>
        <w:t>Les six sous-systèmes échangent six flux d’information, notés FL-1 à FL-6 pour les distinguer des états du GEMMA. Chaque flux porte un contenu identifié et un moyen de vérification.</w:t>
      </w:r>
      <w:bookmarkEnd w:id="123"/>
      <w:bookmarkEnd w:id="124"/>
      <w:bookmarkEnd w:id="125"/>
    </w:p>
    <w:p w14:paraId="7B7971BE" w14:textId="77777777" w:rsidR="00F50D70" w:rsidRPr="00BE4F47" w:rsidRDefault="00137D7F" w:rsidP="008E113B">
      <w:pPr>
        <w:pStyle w:val="Lgende"/>
        <w:keepNext/>
        <w:spacing w:line="360" w:lineRule="auto"/>
        <w:rPr>
          <w:rFonts w:ascii="Aptos" w:hAnsi="Aptos"/>
        </w:rPr>
      </w:pPr>
      <w:bookmarkStart w:id="126" w:name="_Toc241082802"/>
      <w:bookmarkStart w:id="127" w:name="_Toc241670016"/>
      <w:bookmarkStart w:id="128" w:name="_Toc241707724"/>
      <w:r w:rsidRPr="00BE4F47">
        <w:rPr>
          <w:rFonts w:ascii="Aptos" w:hAnsi="Aptos"/>
        </w:rPr>
        <w:t>Tableau 1-5. Flux d’information entre les sous-systèmes</w:t>
      </w:r>
      <w:bookmarkEnd w:id="126"/>
      <w:bookmarkEnd w:id="127"/>
      <w:bookmarkEnd w:id="128"/>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1100"/>
        <w:gridCol w:w="1100"/>
        <w:gridCol w:w="2800"/>
        <w:gridCol w:w="2857"/>
      </w:tblGrid>
      <w:tr w:rsidR="00F50D70" w:rsidRPr="00BE4F47" w14:paraId="37526D3B" w14:textId="77777777" w:rsidTr="0036725C">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D0D75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Flux</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85F4D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B37FA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Vers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D9F471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Contenu</w:t>
            </w:r>
          </w:p>
        </w:tc>
        <w:tc>
          <w:tcPr>
            <w:tcW w:w="28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27681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qu’il permet de vérifier</w:t>
            </w:r>
          </w:p>
        </w:tc>
      </w:tr>
      <w:tr w:rsidR="00F50D70" w:rsidRPr="00BE4F47" w14:paraId="3B1E868E"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70353B9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FL-1</w:t>
            </w:r>
          </w:p>
        </w:tc>
        <w:tc>
          <w:tcPr>
            <w:tcW w:w="1100" w:type="dxa"/>
            <w:tcBorders>
              <w:top w:val="single" w:sz="4" w:space="0" w:color="000000"/>
              <w:left w:val="single" w:sz="4" w:space="0" w:color="000000"/>
              <w:bottom w:val="single" w:sz="4" w:space="0" w:color="000000"/>
              <w:right w:val="single" w:sz="4" w:space="0" w:color="000000"/>
            </w:tcBorders>
          </w:tcPr>
          <w:p w14:paraId="453BCA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Scénario d’essai</w:t>
            </w:r>
          </w:p>
        </w:tc>
        <w:tc>
          <w:tcPr>
            <w:tcW w:w="1100" w:type="dxa"/>
            <w:tcBorders>
              <w:top w:val="single" w:sz="4" w:space="0" w:color="000000"/>
              <w:left w:val="single" w:sz="4" w:space="0" w:color="000000"/>
              <w:bottom w:val="single" w:sz="4" w:space="0" w:color="000000"/>
              <w:right w:val="single" w:sz="4" w:space="0" w:color="000000"/>
            </w:tcBorders>
          </w:tcPr>
          <w:p w14:paraId="21D279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SS-1</w:t>
            </w:r>
          </w:p>
        </w:tc>
        <w:tc>
          <w:tcPr>
            <w:tcW w:w="2800" w:type="dxa"/>
            <w:tcBorders>
              <w:top w:val="single" w:sz="4" w:space="0" w:color="000000"/>
              <w:left w:val="single" w:sz="4" w:space="0" w:color="000000"/>
              <w:bottom w:val="single" w:sz="4" w:space="0" w:color="000000"/>
              <w:right w:val="single" w:sz="4" w:space="0" w:color="000000"/>
            </w:tcBorders>
          </w:tcPr>
          <w:p w14:paraId="2288B6F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Consigne de fonctionnement et ordre d’injection de défaillance.</w:t>
            </w:r>
          </w:p>
        </w:tc>
        <w:tc>
          <w:tcPr>
            <w:tcW w:w="2857" w:type="dxa"/>
            <w:tcBorders>
              <w:top w:val="single" w:sz="4" w:space="0" w:color="000000"/>
              <w:left w:val="single" w:sz="4" w:space="0" w:color="000000"/>
              <w:bottom w:val="single" w:sz="4" w:space="0" w:color="000000"/>
              <w:right w:val="single" w:sz="4" w:space="0" w:color="000000"/>
            </w:tcBorders>
          </w:tcPr>
          <w:p w14:paraId="71E00B4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Qu’un même scénario produit deux fois la même trajectoire (EX-F-02).</w:t>
            </w:r>
          </w:p>
        </w:tc>
      </w:tr>
      <w:tr w:rsidR="00F50D70" w:rsidRPr="00BE4F47" w14:paraId="7C14221F"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1D1CB9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FL-2</w:t>
            </w:r>
          </w:p>
        </w:tc>
        <w:tc>
          <w:tcPr>
            <w:tcW w:w="1100" w:type="dxa"/>
            <w:tcBorders>
              <w:top w:val="single" w:sz="4" w:space="0" w:color="000000"/>
              <w:left w:val="single" w:sz="4" w:space="0" w:color="000000"/>
              <w:bottom w:val="single" w:sz="4" w:space="0" w:color="000000"/>
              <w:right w:val="single" w:sz="4" w:space="0" w:color="000000"/>
            </w:tcBorders>
          </w:tcPr>
          <w:p w14:paraId="7207000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SS-1</w:t>
            </w:r>
          </w:p>
        </w:tc>
        <w:tc>
          <w:tcPr>
            <w:tcW w:w="1100" w:type="dxa"/>
            <w:tcBorders>
              <w:top w:val="single" w:sz="4" w:space="0" w:color="000000"/>
              <w:left w:val="single" w:sz="4" w:space="0" w:color="000000"/>
              <w:bottom w:val="single" w:sz="4" w:space="0" w:color="000000"/>
              <w:right w:val="single" w:sz="4" w:space="0" w:color="000000"/>
            </w:tcBorders>
          </w:tcPr>
          <w:p w14:paraId="11991A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SS-2</w:t>
            </w:r>
          </w:p>
        </w:tc>
        <w:tc>
          <w:tcPr>
            <w:tcW w:w="2800" w:type="dxa"/>
            <w:tcBorders>
              <w:top w:val="single" w:sz="4" w:space="0" w:color="000000"/>
              <w:left w:val="single" w:sz="4" w:space="0" w:color="000000"/>
              <w:bottom w:val="single" w:sz="4" w:space="0" w:color="000000"/>
              <w:right w:val="single" w:sz="4" w:space="0" w:color="000000"/>
            </w:tcBorders>
          </w:tcPr>
          <w:p w14:paraId="3995F59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Grandeurs vraies de température, de pression et de débit.</w:t>
            </w:r>
          </w:p>
        </w:tc>
        <w:tc>
          <w:tcPr>
            <w:tcW w:w="2857" w:type="dxa"/>
            <w:tcBorders>
              <w:top w:val="single" w:sz="4" w:space="0" w:color="000000"/>
              <w:left w:val="single" w:sz="4" w:space="0" w:color="000000"/>
              <w:bottom w:val="single" w:sz="4" w:space="0" w:color="000000"/>
              <w:right w:val="single" w:sz="4" w:space="0" w:color="000000"/>
            </w:tcBorders>
          </w:tcPr>
          <w:p w14:paraId="48FBB9C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la boucle simulée reste dans son domaine de validité (EX-C-01).</w:t>
            </w:r>
          </w:p>
        </w:tc>
      </w:tr>
      <w:tr w:rsidR="00F50D70" w:rsidRPr="00BE4F47" w14:paraId="6BC1E8FF"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B6DFCF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FL-3</w:t>
            </w:r>
          </w:p>
        </w:tc>
        <w:tc>
          <w:tcPr>
            <w:tcW w:w="1100" w:type="dxa"/>
            <w:tcBorders>
              <w:top w:val="single" w:sz="4" w:space="0" w:color="000000"/>
              <w:left w:val="single" w:sz="4" w:space="0" w:color="000000"/>
              <w:bottom w:val="single" w:sz="4" w:space="0" w:color="000000"/>
              <w:right w:val="single" w:sz="4" w:space="0" w:color="000000"/>
            </w:tcBorders>
          </w:tcPr>
          <w:p w14:paraId="358F6E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SS-2</w:t>
            </w:r>
          </w:p>
        </w:tc>
        <w:tc>
          <w:tcPr>
            <w:tcW w:w="1100" w:type="dxa"/>
            <w:tcBorders>
              <w:top w:val="single" w:sz="4" w:space="0" w:color="000000"/>
              <w:left w:val="single" w:sz="4" w:space="0" w:color="000000"/>
              <w:bottom w:val="single" w:sz="4" w:space="0" w:color="000000"/>
              <w:right w:val="single" w:sz="4" w:space="0" w:color="000000"/>
            </w:tcBorders>
          </w:tcPr>
          <w:p w14:paraId="5A8815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SS-3</w:t>
            </w:r>
          </w:p>
        </w:tc>
        <w:tc>
          <w:tcPr>
            <w:tcW w:w="2800" w:type="dxa"/>
            <w:tcBorders>
              <w:top w:val="single" w:sz="4" w:space="0" w:color="000000"/>
              <w:left w:val="single" w:sz="4" w:space="0" w:color="000000"/>
              <w:bottom w:val="single" w:sz="4" w:space="0" w:color="000000"/>
              <w:right w:val="single" w:sz="4" w:space="0" w:color="000000"/>
            </w:tcBorders>
          </w:tcPr>
          <w:p w14:paraId="31B3AE0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Mesures horodatées assorties d’un indice de qualité.</w:t>
            </w:r>
          </w:p>
        </w:tc>
        <w:tc>
          <w:tcPr>
            <w:tcW w:w="2857" w:type="dxa"/>
            <w:tcBorders>
              <w:top w:val="single" w:sz="4" w:space="0" w:color="000000"/>
              <w:left w:val="single" w:sz="4" w:space="0" w:color="000000"/>
              <w:bottom w:val="single" w:sz="4" w:space="0" w:color="000000"/>
              <w:right w:val="single" w:sz="4" w:space="0" w:color="000000"/>
            </w:tcBorders>
          </w:tcPr>
          <w:p w14:paraId="55279D14" w14:textId="20B52F31"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la dégradation appliquée est celle qui était demandée (EX-F-02).</w:t>
            </w:r>
          </w:p>
        </w:tc>
      </w:tr>
      <w:tr w:rsidR="00F50D70" w:rsidRPr="00BE4F47" w14:paraId="5AC29D9C"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9146B9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FL-4</w:t>
            </w:r>
          </w:p>
        </w:tc>
        <w:tc>
          <w:tcPr>
            <w:tcW w:w="1100" w:type="dxa"/>
            <w:tcBorders>
              <w:top w:val="single" w:sz="4" w:space="0" w:color="000000"/>
              <w:left w:val="single" w:sz="4" w:space="0" w:color="000000"/>
              <w:bottom w:val="single" w:sz="4" w:space="0" w:color="000000"/>
              <w:right w:val="single" w:sz="4" w:space="0" w:color="000000"/>
            </w:tcBorders>
          </w:tcPr>
          <w:p w14:paraId="6F7011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SS-3</w:t>
            </w:r>
          </w:p>
        </w:tc>
        <w:tc>
          <w:tcPr>
            <w:tcW w:w="1100" w:type="dxa"/>
            <w:tcBorders>
              <w:top w:val="single" w:sz="4" w:space="0" w:color="000000"/>
              <w:left w:val="single" w:sz="4" w:space="0" w:color="000000"/>
              <w:bottom w:val="single" w:sz="4" w:space="0" w:color="000000"/>
              <w:right w:val="single" w:sz="4" w:space="0" w:color="000000"/>
            </w:tcBorders>
          </w:tcPr>
          <w:p w14:paraId="394F50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SS-4</w:t>
            </w:r>
          </w:p>
        </w:tc>
        <w:tc>
          <w:tcPr>
            <w:tcW w:w="2800" w:type="dxa"/>
            <w:tcBorders>
              <w:top w:val="single" w:sz="4" w:space="0" w:color="000000"/>
              <w:left w:val="single" w:sz="4" w:space="0" w:color="000000"/>
              <w:bottom w:val="single" w:sz="4" w:space="0" w:color="000000"/>
              <w:right w:val="single" w:sz="4" w:space="0" w:color="000000"/>
            </w:tcBorders>
          </w:tcPr>
          <w:p w14:paraId="32D0FD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Résidus entre comportement observé et comportement attendu.</w:t>
            </w:r>
          </w:p>
        </w:tc>
        <w:tc>
          <w:tcPr>
            <w:tcW w:w="2857" w:type="dxa"/>
            <w:tcBorders>
              <w:top w:val="single" w:sz="4" w:space="0" w:color="000000"/>
              <w:left w:val="single" w:sz="4" w:space="0" w:color="000000"/>
              <w:bottom w:val="single" w:sz="4" w:space="0" w:color="000000"/>
              <w:right w:val="single" w:sz="4" w:space="0" w:color="000000"/>
            </w:tcBorders>
          </w:tcPr>
          <w:p w14:paraId="169E878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l’écart entre les deux modèles reste sous le seuil retenu (EX-F-07).</w:t>
            </w:r>
          </w:p>
        </w:tc>
      </w:tr>
      <w:tr w:rsidR="00F50D70" w:rsidRPr="00BE4F47" w14:paraId="1EB0029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772559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FL-5</w:t>
            </w:r>
          </w:p>
        </w:tc>
        <w:tc>
          <w:tcPr>
            <w:tcW w:w="1100" w:type="dxa"/>
            <w:tcBorders>
              <w:top w:val="single" w:sz="4" w:space="0" w:color="000000"/>
              <w:left w:val="single" w:sz="4" w:space="0" w:color="000000"/>
              <w:bottom w:val="single" w:sz="4" w:space="0" w:color="000000"/>
              <w:right w:val="single" w:sz="4" w:space="0" w:color="000000"/>
            </w:tcBorders>
          </w:tcPr>
          <w:p w14:paraId="6EF183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SS-4</w:t>
            </w:r>
          </w:p>
        </w:tc>
        <w:tc>
          <w:tcPr>
            <w:tcW w:w="1100" w:type="dxa"/>
            <w:tcBorders>
              <w:top w:val="single" w:sz="4" w:space="0" w:color="000000"/>
              <w:left w:val="single" w:sz="4" w:space="0" w:color="000000"/>
              <w:bottom w:val="single" w:sz="4" w:space="0" w:color="000000"/>
              <w:right w:val="single" w:sz="4" w:space="0" w:color="000000"/>
            </w:tcBorders>
          </w:tcPr>
          <w:p w14:paraId="425C1F5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SS-5</w:t>
            </w:r>
          </w:p>
        </w:tc>
        <w:tc>
          <w:tcPr>
            <w:tcW w:w="2800" w:type="dxa"/>
            <w:tcBorders>
              <w:top w:val="single" w:sz="4" w:space="0" w:color="000000"/>
              <w:left w:val="single" w:sz="4" w:space="0" w:color="000000"/>
              <w:bottom w:val="single" w:sz="4" w:space="0" w:color="000000"/>
              <w:right w:val="single" w:sz="4" w:space="0" w:color="000000"/>
            </w:tcBorders>
          </w:tcPr>
          <w:p w14:paraId="632AD15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estimé, niveau de confiance, variables contributrices.</w:t>
            </w:r>
          </w:p>
        </w:tc>
        <w:tc>
          <w:tcPr>
            <w:tcW w:w="2857" w:type="dxa"/>
            <w:tcBorders>
              <w:top w:val="single" w:sz="4" w:space="0" w:color="000000"/>
              <w:left w:val="single" w:sz="4" w:space="0" w:color="000000"/>
              <w:bottom w:val="single" w:sz="4" w:space="0" w:color="000000"/>
              <w:right w:val="single" w:sz="4" w:space="0" w:color="000000"/>
            </w:tcBorders>
          </w:tcPr>
          <w:p w14:paraId="7CAD47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l’état « incertain » apparaît bien quand les données manquent (EX-F-06).</w:t>
            </w:r>
          </w:p>
        </w:tc>
      </w:tr>
      <w:tr w:rsidR="00F50D70" w:rsidRPr="00BE4F47" w14:paraId="0C6AAAB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16025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FL-6</w:t>
            </w:r>
          </w:p>
        </w:tc>
        <w:tc>
          <w:tcPr>
            <w:tcW w:w="1100" w:type="dxa"/>
            <w:tcBorders>
              <w:top w:val="single" w:sz="4" w:space="0" w:color="000000"/>
              <w:left w:val="single" w:sz="4" w:space="0" w:color="000000"/>
              <w:bottom w:val="single" w:sz="4" w:space="0" w:color="000000"/>
              <w:right w:val="single" w:sz="4" w:space="0" w:color="000000"/>
            </w:tcBorders>
          </w:tcPr>
          <w:p w14:paraId="408DBC7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SS-5</w:t>
            </w:r>
          </w:p>
        </w:tc>
        <w:tc>
          <w:tcPr>
            <w:tcW w:w="1100" w:type="dxa"/>
            <w:tcBorders>
              <w:top w:val="single" w:sz="4" w:space="0" w:color="000000"/>
              <w:left w:val="single" w:sz="4" w:space="0" w:color="000000"/>
              <w:bottom w:val="single" w:sz="4" w:space="0" w:color="000000"/>
              <w:right w:val="single" w:sz="4" w:space="0" w:color="000000"/>
            </w:tcBorders>
          </w:tcPr>
          <w:p w14:paraId="1883C8B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Opérateur</w:t>
            </w:r>
          </w:p>
        </w:tc>
        <w:tc>
          <w:tcPr>
            <w:tcW w:w="2800" w:type="dxa"/>
            <w:tcBorders>
              <w:top w:val="single" w:sz="4" w:space="0" w:color="000000"/>
              <w:left w:val="single" w:sz="4" w:space="0" w:color="000000"/>
              <w:bottom w:val="single" w:sz="4" w:space="0" w:color="000000"/>
              <w:right w:val="single" w:sz="4" w:space="0" w:color="000000"/>
            </w:tcBorders>
          </w:tcPr>
          <w:p w14:paraId="12B80A1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Affichage, recommandation, demande de validation.</w:t>
            </w:r>
          </w:p>
        </w:tc>
        <w:tc>
          <w:tcPr>
            <w:tcW w:w="2857" w:type="dxa"/>
            <w:tcBorders>
              <w:top w:val="single" w:sz="4" w:space="0" w:color="000000"/>
              <w:left w:val="single" w:sz="4" w:space="0" w:color="000000"/>
              <w:bottom w:val="single" w:sz="4" w:space="0" w:color="000000"/>
              <w:right w:val="single" w:sz="4" w:space="0" w:color="000000"/>
            </w:tcBorders>
          </w:tcPr>
          <w:p w14:paraId="3969017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Qu’aucune commande n’est émise vers l’installation (EX-F-08).</w:t>
            </w:r>
          </w:p>
        </w:tc>
      </w:tr>
    </w:tbl>
    <w:p w14:paraId="73232E6D" w14:textId="77777777" w:rsidR="00F50D70" w:rsidRPr="00BE4F47" w:rsidRDefault="00137D7F" w:rsidP="008E113B">
      <w:pPr>
        <w:spacing w:before="200" w:after="130" w:line="360" w:lineRule="auto"/>
        <w:ind w:left="360"/>
        <w:rPr>
          <w:rFonts w:ascii="Aptos" w:hAnsi="Aptos"/>
        </w:rPr>
      </w:pPr>
      <w:bookmarkStart w:id="129" w:name="_Toc241082803"/>
      <w:bookmarkStart w:id="130" w:name="_Toc241670017"/>
      <w:bookmarkStart w:id="131" w:name="_Toc241707725"/>
      <w:r w:rsidRPr="00BE4F47">
        <w:rPr>
          <w:rFonts w:ascii="Aptos" w:hAnsi="Aptos"/>
          <w:color w:val="1A1A19"/>
          <w:sz w:val="20"/>
          <w:szCs w:val="20"/>
        </w:rPr>
        <w:t>SS-6 n’est pas un maillon de la chaîne, il l’accompagne de bout en bout. Il répond à l’exigence de journalisation EX-F-10 et au corpus de cybersécurité de la section 6. La chaîne s’arrête à SS-5 et aucun flux ne repart vers la boucle, ce qui traduit l’exclusion de toute commande automatique.</w:t>
      </w:r>
      <w:bookmarkEnd w:id="129"/>
      <w:bookmarkEnd w:id="130"/>
      <w:bookmarkEnd w:id="131"/>
    </w:p>
    <w:p w14:paraId="7E96C55B" w14:textId="77777777" w:rsidR="00F50D70" w:rsidRDefault="00137D7F" w:rsidP="008E113B">
      <w:pPr>
        <w:pStyle w:val="Titre2"/>
        <w:spacing w:line="360" w:lineRule="auto"/>
      </w:pPr>
      <w:bookmarkStart w:id="132" w:name="__RefHeading___Toc240715072"/>
      <w:bookmarkStart w:id="133" w:name="_Toc241707726"/>
      <w:bookmarkEnd w:id="132"/>
      <w:r w:rsidRPr="00BE4F47">
        <w:t>Périmètre inclus/exclus</w:t>
      </w:r>
      <w:bookmarkEnd w:id="133"/>
    </w:p>
    <w:p w14:paraId="6C116FF9" w14:textId="77777777" w:rsidR="00F50D70" w:rsidRPr="00BE4F47" w:rsidRDefault="00137D7F" w:rsidP="008E113B">
      <w:pPr>
        <w:spacing w:after="130" w:line="360" w:lineRule="auto"/>
        <w:ind w:left="360"/>
        <w:rPr>
          <w:rFonts w:ascii="Aptos" w:hAnsi="Aptos"/>
        </w:rPr>
      </w:pPr>
      <w:bookmarkStart w:id="134" w:name="_Toc241082810"/>
      <w:bookmarkStart w:id="135" w:name="_Toc241670019"/>
      <w:bookmarkStart w:id="136" w:name="_Toc241707727"/>
      <w:r w:rsidRPr="00BE4F47">
        <w:rPr>
          <w:rFonts w:ascii="Aptos" w:hAnsi="Aptos"/>
          <w:color w:val="1A1A19"/>
          <w:sz w:val="20"/>
          <w:szCs w:val="20"/>
        </w:rPr>
        <w:t>Le projet porte sur un prototype de jumeau numérique appliqué à une boucle thermohydraulique simplifiée, dans le contexte fictif décrit en 1.1. Le prototype est entièrement simulé.</w:t>
      </w:r>
      <w:bookmarkEnd w:id="134"/>
      <w:bookmarkEnd w:id="135"/>
      <w:bookmarkEnd w:id="136"/>
    </w:p>
    <w:p w14:paraId="791E274C" w14:textId="77777777" w:rsidR="00136F18" w:rsidRPr="00BE4F47" w:rsidRDefault="00136F18" w:rsidP="008E113B">
      <w:pPr>
        <w:spacing w:after="130" w:line="360" w:lineRule="auto"/>
        <w:ind w:left="360"/>
        <w:rPr>
          <w:rFonts w:ascii="Aptos" w:eastAsia="Calibri" w:hAnsi="Aptos" w:cs="Calibri"/>
          <w:color w:val="1A1A19"/>
          <w:sz w:val="20"/>
          <w:szCs w:val="20"/>
        </w:rPr>
      </w:pPr>
      <w:bookmarkStart w:id="137" w:name="_Toc241082805"/>
      <w:bookmarkStart w:id="138" w:name="_Toc241670020"/>
      <w:bookmarkStart w:id="139" w:name="_Toc241707728"/>
      <w:r w:rsidRPr="00BE4F47">
        <w:rPr>
          <w:rFonts w:ascii="Aptos" w:hAnsi="Aptos"/>
          <w:color w:val="1A1A19"/>
          <w:sz w:val="20"/>
          <w:szCs w:val="20"/>
        </w:rPr>
        <w:t>Sont exclus : la modélisation complète de la centrale, le raccordement à une installation nucléaire réelle, la connexion à des équipements réels, et toute forme de commande automatique. Ces exclusions sont reprises par l’exigence de périmètre EX-C-02 et par les exclusions de livrables en 2.4.</w:t>
      </w:r>
      <w:bookmarkEnd w:id="137"/>
      <w:bookmarkEnd w:id="138"/>
      <w:bookmarkEnd w:id="139"/>
    </w:p>
    <w:p w14:paraId="7B837813" w14:textId="77777777" w:rsidR="00F50D70" w:rsidRPr="005E5B35" w:rsidRDefault="00137D7F" w:rsidP="008E113B">
      <w:pPr>
        <w:pStyle w:val="Titre2"/>
        <w:spacing w:line="360" w:lineRule="auto"/>
      </w:pPr>
      <w:bookmarkStart w:id="140" w:name="__RefHeading___Toc240715075"/>
      <w:bookmarkStart w:id="141" w:name="_Toc241707729"/>
      <w:r w:rsidRPr="00136F18">
        <w:t>Hypothèses</w:t>
      </w:r>
      <w:bookmarkEnd w:id="140"/>
      <w:bookmarkEnd w:id="141"/>
    </w:p>
    <w:p w14:paraId="7DA25920" w14:textId="77777777" w:rsidR="00F50D70" w:rsidRPr="00BE4F47" w:rsidRDefault="00137D7F" w:rsidP="008E113B">
      <w:pPr>
        <w:spacing w:after="130" w:line="360" w:lineRule="auto"/>
        <w:ind w:left="360"/>
        <w:rPr>
          <w:rFonts w:ascii="Aptos" w:hAnsi="Aptos"/>
        </w:rPr>
      </w:pPr>
      <w:bookmarkStart w:id="142" w:name="_Toc241082812"/>
      <w:bookmarkStart w:id="143" w:name="_Toc241670022"/>
      <w:bookmarkStart w:id="144" w:name="_Toc241707730"/>
      <w:r w:rsidRPr="00BE4F47">
        <w:rPr>
          <w:rFonts w:ascii="Aptos" w:hAnsi="Aptos"/>
          <w:color w:val="1A1A19"/>
          <w:sz w:val="20"/>
          <w:szCs w:val="20"/>
        </w:rPr>
        <w:t xml:space="preserve">L’analyse des besoins repose sur quatre hypothèses, inscrites au registre de la section 8.2 avec leur effet si elles sont infirmées : l’absence de données d’exploitation réelles de Gentilly-2 (H-03), l’accès aux normes par abonnement institutionnel (H-07), le fait que la température, la pression et </w:t>
      </w:r>
      <w:r w:rsidRPr="00BE4F47">
        <w:rPr>
          <w:rFonts w:ascii="Aptos" w:hAnsi="Aptos"/>
          <w:color w:val="1A1A19"/>
          <w:sz w:val="20"/>
          <w:szCs w:val="20"/>
        </w:rPr>
        <w:lastRenderedPageBreak/>
        <w:t>le débit suffisent à caractériser les défaillances visées (H-09), et le fait que les seuils de dérive peuvent être fixés à partir du modèle de référence (H-10).</w:t>
      </w:r>
      <w:bookmarkEnd w:id="142"/>
      <w:bookmarkEnd w:id="143"/>
      <w:bookmarkEnd w:id="144"/>
    </w:p>
    <w:p w14:paraId="22DB103F" w14:textId="77777777" w:rsidR="00F50D70" w:rsidRPr="00136F18" w:rsidRDefault="00137D7F" w:rsidP="008E113B">
      <w:pPr>
        <w:pStyle w:val="Titre2"/>
        <w:spacing w:line="360" w:lineRule="auto"/>
      </w:pPr>
      <w:bookmarkStart w:id="145" w:name="__RefHeading___Toc240715077"/>
      <w:bookmarkStart w:id="146" w:name="_Toc241707731"/>
      <w:bookmarkEnd w:id="145"/>
      <w:r w:rsidRPr="00136F18">
        <w:t>Registre des exigences</w:t>
      </w:r>
      <w:bookmarkEnd w:id="146"/>
    </w:p>
    <w:p w14:paraId="4527A91A" w14:textId="77777777" w:rsidR="00F50D70" w:rsidRPr="005E5B35" w:rsidRDefault="00137D7F" w:rsidP="008E113B">
      <w:pPr>
        <w:pStyle w:val="Titre3"/>
        <w:numPr>
          <w:ilvl w:val="2"/>
          <w:numId w:val="1"/>
        </w:numPr>
        <w:suppressAutoHyphens w:val="0"/>
        <w:spacing w:line="360" w:lineRule="auto"/>
        <w:rPr>
          <w:lang w:eastAsia="fr-FR"/>
        </w:rPr>
      </w:pPr>
      <w:bookmarkStart w:id="147" w:name="__RefHeading___Toc240715094"/>
      <w:bookmarkStart w:id="148" w:name="_Toc241707732"/>
      <w:r w:rsidRPr="00B36301">
        <w:rPr>
          <w:lang w:eastAsia="fr-FR"/>
        </w:rPr>
        <w:t>Méthodes et convention de rédaction</w:t>
      </w:r>
      <w:bookmarkEnd w:id="147"/>
      <w:bookmarkEnd w:id="148"/>
    </w:p>
    <w:p w14:paraId="1D8F2171" w14:textId="77777777" w:rsidR="00F50D70" w:rsidRPr="00BE4F47" w:rsidRDefault="00137D7F" w:rsidP="008E113B">
      <w:pPr>
        <w:spacing w:after="130" w:line="360" w:lineRule="auto"/>
        <w:ind w:left="992"/>
        <w:rPr>
          <w:rFonts w:ascii="Aptos" w:hAnsi="Aptos"/>
        </w:rPr>
      </w:pPr>
      <w:bookmarkStart w:id="149" w:name="_Toc241082832"/>
      <w:bookmarkStart w:id="150" w:name="_Toc241670025"/>
      <w:bookmarkStart w:id="151" w:name="_Toc241707733"/>
      <w:r w:rsidRPr="00BE4F47">
        <w:rPr>
          <w:rFonts w:ascii="Aptos" w:hAnsi="Aptos"/>
          <w:color w:val="1A1A19"/>
          <w:sz w:val="20"/>
          <w:szCs w:val="20"/>
        </w:rPr>
        <w:t>Une exigence n’est exploitable que si l’on peut écrire un essai qui réussit ou qui échoue. Toutes les exigences ci-dessous suivent trois règles : un verbe d’action observable, une condition de déclenchement quand elle s’applique, et un moyen de vérification nommé. Les formulations d’intention comme « prendre en compte » ou « considérer » ont été écartées, car aucun essai ne peut les contredire.</w:t>
      </w:r>
      <w:bookmarkEnd w:id="149"/>
      <w:bookmarkEnd w:id="150"/>
      <w:bookmarkEnd w:id="151"/>
    </w:p>
    <w:p w14:paraId="17029B1C" w14:textId="77777777" w:rsidR="00F50D70" w:rsidRPr="00BE4F47" w:rsidRDefault="00137D7F" w:rsidP="008E113B">
      <w:pPr>
        <w:spacing w:after="130" w:line="360" w:lineRule="auto"/>
        <w:ind w:left="992"/>
        <w:rPr>
          <w:rFonts w:ascii="Aptos" w:hAnsi="Aptos"/>
        </w:rPr>
      </w:pPr>
      <w:bookmarkStart w:id="152" w:name="_Toc241082833"/>
      <w:bookmarkStart w:id="153" w:name="_Toc241670026"/>
      <w:bookmarkStart w:id="154" w:name="_Toc241707734"/>
      <w:r w:rsidRPr="00BE4F47">
        <w:rPr>
          <w:rFonts w:ascii="Aptos" w:hAnsi="Aptos"/>
          <w:color w:val="1A1A19"/>
          <w:sz w:val="20"/>
          <w:szCs w:val="20"/>
        </w:rPr>
        <w:t>Les caractéristiques de qualité employées en 1.7.3 viennent d’ISO/IEC 25010, que la section 6 retient comme source des critères d’acceptation du prototype. La rédaction suit ISO/IEC/IEEE 29148:2018 [1], norme d’ingénierie des exigences.</w:t>
      </w:r>
      <w:bookmarkEnd w:id="152"/>
      <w:bookmarkEnd w:id="153"/>
      <w:bookmarkEnd w:id="154"/>
    </w:p>
    <w:p w14:paraId="5A053758" w14:textId="77777777" w:rsidR="00F50D70" w:rsidRPr="00BE4F47" w:rsidRDefault="00137D7F" w:rsidP="008E113B">
      <w:pPr>
        <w:spacing w:after="130" w:line="360" w:lineRule="auto"/>
        <w:ind w:left="992"/>
        <w:rPr>
          <w:rFonts w:ascii="Aptos" w:eastAsia="Calibri" w:hAnsi="Aptos" w:cs="Calibri"/>
          <w:color w:val="1A1A19"/>
          <w:sz w:val="20"/>
          <w:szCs w:val="20"/>
        </w:rPr>
      </w:pPr>
      <w:bookmarkStart w:id="155" w:name="_Toc241082834"/>
      <w:bookmarkStart w:id="156" w:name="_Toc241670027"/>
      <w:bookmarkStart w:id="157" w:name="_Toc241707735"/>
      <w:r w:rsidRPr="00BE4F47">
        <w:rPr>
          <w:rFonts w:ascii="Aptos" w:hAnsi="Aptos"/>
          <w:color w:val="1A1A19"/>
          <w:sz w:val="20"/>
          <w:szCs w:val="20"/>
        </w:rPr>
        <w:t>Les valeurs notées N, T, D, F, K, M, S, X et Y sont des paramètres laissés ouverts à ce stade. Elles seront fixées par l’analyse de risques et les premiers essais, puis consignées au jalon J2. Aucun seuil numérique n’est posé arbitrairement.</w:t>
      </w:r>
      <w:bookmarkEnd w:id="155"/>
      <w:bookmarkEnd w:id="156"/>
      <w:bookmarkEnd w:id="157"/>
    </w:p>
    <w:p w14:paraId="15291153" w14:textId="77777777" w:rsidR="00F50D70" w:rsidRDefault="00137D7F" w:rsidP="008E113B">
      <w:pPr>
        <w:spacing w:after="130" w:line="360" w:lineRule="auto"/>
        <w:ind w:left="992"/>
        <w:rPr>
          <w:rFonts w:ascii="Aptos" w:eastAsia="Calibri" w:hAnsi="Aptos" w:cs="Calibri"/>
          <w:color w:val="1A1A19"/>
          <w:sz w:val="20"/>
          <w:szCs w:val="20"/>
        </w:rPr>
      </w:pPr>
      <w:bookmarkStart w:id="158" w:name="_Toc241082835"/>
      <w:bookmarkStart w:id="159" w:name="_Toc241670028"/>
      <w:bookmarkStart w:id="160" w:name="_Toc241707736"/>
      <w:r w:rsidRPr="00BE4F47">
        <w:rPr>
          <w:rFonts w:ascii="Aptos" w:hAnsi="Aptos"/>
          <w:color w:val="1A1A19"/>
          <w:sz w:val="20"/>
          <w:szCs w:val="20"/>
        </w:rPr>
        <w:t>Conventions de numérotation : EX-F pour les exigences fonctionnelles, EX-Q pour les exigences de qualité, EX-C pour les exigences de périmètre et de contrainte. La colonne « GEMMA » renvoie aux états de la figure 1-1. La colonne « Lot » renvoie aux neuf lots de travail définis à la section 8.</w:t>
      </w:r>
      <w:bookmarkEnd w:id="158"/>
      <w:bookmarkEnd w:id="159"/>
      <w:bookmarkEnd w:id="160"/>
    </w:p>
    <w:p w14:paraId="6FF19E1F" w14:textId="77777777" w:rsidR="00F50D70" w:rsidRPr="00BE4F47" w:rsidRDefault="00137D7F" w:rsidP="008E113B">
      <w:pPr>
        <w:pStyle w:val="Titre3"/>
        <w:numPr>
          <w:ilvl w:val="2"/>
          <w:numId w:val="1"/>
        </w:numPr>
        <w:suppressAutoHyphens w:val="0"/>
        <w:spacing w:line="360" w:lineRule="auto"/>
        <w:rPr>
          <w:lang w:eastAsia="fr-FR"/>
        </w:rPr>
      </w:pPr>
      <w:bookmarkStart w:id="161" w:name="__RefHeading___Toc240715099"/>
      <w:bookmarkStart w:id="162" w:name="_Toc241707737"/>
      <w:bookmarkEnd w:id="161"/>
      <w:r w:rsidRPr="00BE4F47">
        <w:t>Exigences fonctionnelles</w:t>
      </w:r>
      <w:bookmarkEnd w:id="162"/>
    </w:p>
    <w:p w14:paraId="234BF92F" w14:textId="77777777" w:rsidR="00F50D70" w:rsidRPr="00BE4F47" w:rsidRDefault="00137D7F" w:rsidP="008E113B">
      <w:pPr>
        <w:pStyle w:val="Lgende"/>
        <w:keepNext/>
        <w:spacing w:line="360" w:lineRule="auto"/>
        <w:rPr>
          <w:rFonts w:ascii="Aptos" w:hAnsi="Aptos"/>
        </w:rPr>
      </w:pPr>
      <w:bookmarkStart w:id="163" w:name="_Toc241082836"/>
      <w:bookmarkStart w:id="164" w:name="_Toc241670030"/>
      <w:bookmarkStart w:id="165" w:name="_Toc241707738"/>
      <w:r w:rsidRPr="00BE4F47">
        <w:rPr>
          <w:rFonts w:ascii="Aptos" w:hAnsi="Aptos"/>
        </w:rPr>
        <w:t>Tableau 1-6. Registre des exigences fonctionnelles</w:t>
      </w:r>
      <w:bookmarkEnd w:id="163"/>
      <w:bookmarkEnd w:id="164"/>
      <w:bookmarkEnd w:id="165"/>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000"/>
        <w:gridCol w:w="2240"/>
        <w:gridCol w:w="1000"/>
        <w:gridCol w:w="940"/>
        <w:gridCol w:w="620"/>
        <w:gridCol w:w="2757"/>
      </w:tblGrid>
      <w:tr w:rsidR="00F50D70" w:rsidRPr="00BE4F47" w14:paraId="74A71649" w14:textId="77777777" w:rsidTr="0036725C">
        <w:trPr>
          <w:trHeight w:val="218"/>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4A345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6AF5AD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03D655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Source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E6596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GEMMA</w:t>
            </w:r>
          </w:p>
        </w:tc>
        <w:tc>
          <w:tcPr>
            <w:tcW w:w="62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A3BE8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c>
          <w:tcPr>
            <w:tcW w:w="27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7495DF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Moyen de vérification</w:t>
            </w:r>
          </w:p>
        </w:tc>
      </w:tr>
      <w:tr w:rsidR="00F50D70" w:rsidRPr="00BE4F47" w14:paraId="78B54CA2" w14:textId="77777777">
        <w:trPr>
          <w:trHeight w:val="713"/>
        </w:trPr>
        <w:tc>
          <w:tcPr>
            <w:tcW w:w="1000" w:type="dxa"/>
            <w:tcBorders>
              <w:top w:val="single" w:sz="4" w:space="0" w:color="000000"/>
              <w:left w:val="single" w:sz="4" w:space="0" w:color="000000"/>
              <w:bottom w:val="single" w:sz="4" w:space="0" w:color="000000"/>
              <w:right w:val="single" w:sz="4" w:space="0" w:color="000000"/>
            </w:tcBorders>
          </w:tcPr>
          <w:p w14:paraId="490EDFE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EX-F-01</w:t>
            </w:r>
          </w:p>
        </w:tc>
        <w:tc>
          <w:tcPr>
            <w:tcW w:w="2240" w:type="dxa"/>
            <w:tcBorders>
              <w:top w:val="single" w:sz="4" w:space="0" w:color="000000"/>
              <w:left w:val="single" w:sz="4" w:space="0" w:color="000000"/>
              <w:bottom w:val="single" w:sz="4" w:space="0" w:color="000000"/>
              <w:right w:val="single" w:sz="4" w:space="0" w:color="000000"/>
            </w:tcBorders>
          </w:tcPr>
          <w:p w14:paraId="5AAFDA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simule une boucle thermohydraulique simplifiée et produit, à chaque cycle d’acquisition, une valeur de température, de pression et de débit.</w:t>
            </w:r>
          </w:p>
        </w:tc>
        <w:tc>
          <w:tcPr>
            <w:tcW w:w="1000" w:type="dxa"/>
            <w:tcBorders>
              <w:top w:val="single" w:sz="4" w:space="0" w:color="000000"/>
              <w:left w:val="single" w:sz="4" w:space="0" w:color="000000"/>
              <w:bottom w:val="single" w:sz="4" w:space="0" w:color="000000"/>
              <w:right w:val="single" w:sz="4" w:space="0" w:color="000000"/>
            </w:tcBorders>
          </w:tcPr>
          <w:p w14:paraId="27608AA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w:t>
            </w:r>
          </w:p>
        </w:tc>
        <w:tc>
          <w:tcPr>
            <w:tcW w:w="940" w:type="dxa"/>
            <w:tcBorders>
              <w:top w:val="single" w:sz="4" w:space="0" w:color="000000"/>
              <w:left w:val="single" w:sz="4" w:space="0" w:color="000000"/>
              <w:bottom w:val="single" w:sz="4" w:space="0" w:color="000000"/>
              <w:right w:val="single" w:sz="4" w:space="0" w:color="000000"/>
            </w:tcBorders>
          </w:tcPr>
          <w:p w14:paraId="3DB3CEF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36175FE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c>
          <w:tcPr>
            <w:tcW w:w="2757" w:type="dxa"/>
            <w:tcBorders>
              <w:top w:val="single" w:sz="4" w:space="0" w:color="000000"/>
              <w:left w:val="single" w:sz="4" w:space="0" w:color="000000"/>
              <w:bottom w:val="single" w:sz="4" w:space="0" w:color="000000"/>
              <w:right w:val="single" w:sz="4" w:space="0" w:color="000000"/>
            </w:tcBorders>
          </w:tcPr>
          <w:p w14:paraId="39C5EA2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fonctionnement normal : 100 cycles consécutifs sans valeur manquante.</w:t>
            </w:r>
          </w:p>
        </w:tc>
      </w:tr>
      <w:tr w:rsidR="00F50D70" w:rsidRPr="00BE4F47" w14:paraId="6370C6D6" w14:textId="77777777">
        <w:trPr>
          <w:trHeight w:val="875"/>
        </w:trPr>
        <w:tc>
          <w:tcPr>
            <w:tcW w:w="1000" w:type="dxa"/>
            <w:tcBorders>
              <w:top w:val="single" w:sz="4" w:space="0" w:color="000000"/>
              <w:left w:val="single" w:sz="4" w:space="0" w:color="000000"/>
              <w:bottom w:val="single" w:sz="4" w:space="0" w:color="000000"/>
              <w:right w:val="single" w:sz="4" w:space="0" w:color="000000"/>
            </w:tcBorders>
          </w:tcPr>
          <w:p w14:paraId="5E49DA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EX-F-02</w:t>
            </w:r>
          </w:p>
        </w:tc>
        <w:tc>
          <w:tcPr>
            <w:tcW w:w="2240" w:type="dxa"/>
            <w:tcBorders>
              <w:top w:val="single" w:sz="4" w:space="0" w:color="000000"/>
              <w:left w:val="single" w:sz="4" w:space="0" w:color="000000"/>
              <w:bottom w:val="single" w:sz="4" w:space="0" w:color="000000"/>
              <w:right w:val="single" w:sz="4" w:space="0" w:color="000000"/>
            </w:tcBorders>
          </w:tcPr>
          <w:p w14:paraId="5261EFC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permet d’exécuter des scénarios prédéfinis et reproductibles couvrant au minimum le fonctionnement normal, la dérive lente d’un capteur, la perte de communication et la valeur hors plage.</w:t>
            </w:r>
          </w:p>
        </w:tc>
        <w:tc>
          <w:tcPr>
            <w:tcW w:w="1000" w:type="dxa"/>
            <w:tcBorders>
              <w:top w:val="single" w:sz="4" w:space="0" w:color="000000"/>
              <w:left w:val="single" w:sz="4" w:space="0" w:color="000000"/>
              <w:bottom w:val="single" w:sz="4" w:space="0" w:color="000000"/>
              <w:right w:val="single" w:sz="4" w:space="0" w:color="000000"/>
            </w:tcBorders>
          </w:tcPr>
          <w:p w14:paraId="12395C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w:t>
            </w:r>
          </w:p>
        </w:tc>
        <w:tc>
          <w:tcPr>
            <w:tcW w:w="940" w:type="dxa"/>
            <w:tcBorders>
              <w:top w:val="single" w:sz="4" w:space="0" w:color="000000"/>
              <w:left w:val="single" w:sz="4" w:space="0" w:color="000000"/>
              <w:bottom w:val="single" w:sz="4" w:space="0" w:color="000000"/>
              <w:right w:val="single" w:sz="4" w:space="0" w:color="000000"/>
            </w:tcBorders>
          </w:tcPr>
          <w:p w14:paraId="3DA02E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F6, D2</w:t>
            </w:r>
          </w:p>
        </w:tc>
        <w:tc>
          <w:tcPr>
            <w:tcW w:w="620" w:type="dxa"/>
            <w:tcBorders>
              <w:top w:val="single" w:sz="4" w:space="0" w:color="000000"/>
              <w:left w:val="single" w:sz="4" w:space="0" w:color="000000"/>
              <w:bottom w:val="single" w:sz="4" w:space="0" w:color="000000"/>
              <w:right w:val="single" w:sz="4" w:space="0" w:color="000000"/>
            </w:tcBorders>
          </w:tcPr>
          <w:p w14:paraId="4532C37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47820E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Campagne d’essais : un essai documenté par scénario, rejouable à l’identique.</w:t>
            </w:r>
          </w:p>
        </w:tc>
      </w:tr>
      <w:tr w:rsidR="00F50D70" w:rsidRPr="00BE4F47" w14:paraId="2E52FDCB"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7888EC0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EX-F-03</w:t>
            </w:r>
          </w:p>
        </w:tc>
        <w:tc>
          <w:tcPr>
            <w:tcW w:w="2240" w:type="dxa"/>
            <w:tcBorders>
              <w:top w:val="single" w:sz="4" w:space="0" w:color="000000"/>
              <w:left w:val="single" w:sz="4" w:space="0" w:color="000000"/>
              <w:bottom w:val="single" w:sz="4" w:space="0" w:color="000000"/>
              <w:right w:val="single" w:sz="4" w:space="0" w:color="000000"/>
            </w:tcBorders>
          </w:tcPr>
          <w:p w14:paraId="37D31A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À chaque cycle, le prototype compare la valeur observée à la valeur attendue par le modèle et calcule l’écart correspondant.</w:t>
            </w:r>
          </w:p>
        </w:tc>
        <w:tc>
          <w:tcPr>
            <w:tcW w:w="1000" w:type="dxa"/>
            <w:tcBorders>
              <w:top w:val="single" w:sz="4" w:space="0" w:color="000000"/>
              <w:left w:val="single" w:sz="4" w:space="0" w:color="000000"/>
              <w:bottom w:val="single" w:sz="4" w:space="0" w:color="000000"/>
              <w:right w:val="single" w:sz="4" w:space="0" w:color="000000"/>
            </w:tcBorders>
          </w:tcPr>
          <w:p w14:paraId="38BF24F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w:t>
            </w:r>
          </w:p>
        </w:tc>
        <w:tc>
          <w:tcPr>
            <w:tcW w:w="940" w:type="dxa"/>
            <w:tcBorders>
              <w:top w:val="single" w:sz="4" w:space="0" w:color="000000"/>
              <w:left w:val="single" w:sz="4" w:space="0" w:color="000000"/>
              <w:bottom w:val="single" w:sz="4" w:space="0" w:color="000000"/>
              <w:right w:val="single" w:sz="4" w:space="0" w:color="000000"/>
            </w:tcBorders>
          </w:tcPr>
          <w:p w14:paraId="17F9F5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6B47D91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 L7</w:t>
            </w:r>
          </w:p>
        </w:tc>
        <w:tc>
          <w:tcPr>
            <w:tcW w:w="2757" w:type="dxa"/>
            <w:tcBorders>
              <w:top w:val="single" w:sz="4" w:space="0" w:color="000000"/>
              <w:left w:val="single" w:sz="4" w:space="0" w:color="000000"/>
              <w:bottom w:val="single" w:sz="4" w:space="0" w:color="000000"/>
              <w:right w:val="single" w:sz="4" w:space="0" w:color="000000"/>
            </w:tcBorders>
          </w:tcPr>
          <w:p w14:paraId="3E611A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unitaire sur jeu de données connu, écart attendu calculé à la main.</w:t>
            </w:r>
          </w:p>
        </w:tc>
      </w:tr>
      <w:tr w:rsidR="00F50D70" w:rsidRPr="00BE4F47" w14:paraId="7CA61AEB"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40DF2C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lastRenderedPageBreak/>
              <w:t>EX-F-04</w:t>
            </w:r>
          </w:p>
        </w:tc>
        <w:tc>
          <w:tcPr>
            <w:tcW w:w="2240" w:type="dxa"/>
            <w:tcBorders>
              <w:top w:val="single" w:sz="4" w:space="0" w:color="000000"/>
              <w:left w:val="single" w:sz="4" w:space="0" w:color="000000"/>
              <w:bottom w:val="single" w:sz="4" w:space="0" w:color="000000"/>
              <w:right w:val="single" w:sz="4" w:space="0" w:color="000000"/>
            </w:tcBorders>
          </w:tcPr>
          <w:p w14:paraId="4CC3256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L’interface affiche en permanence les trois variables surveillées, leur écart au modèle et l’horodatage de la dernière acquisition valide.</w:t>
            </w:r>
          </w:p>
        </w:tc>
        <w:tc>
          <w:tcPr>
            <w:tcW w:w="1000" w:type="dxa"/>
            <w:tcBorders>
              <w:top w:val="single" w:sz="4" w:space="0" w:color="000000"/>
              <w:left w:val="single" w:sz="4" w:space="0" w:color="000000"/>
              <w:bottom w:val="single" w:sz="4" w:space="0" w:color="000000"/>
              <w:right w:val="single" w:sz="4" w:space="0" w:color="000000"/>
            </w:tcBorders>
          </w:tcPr>
          <w:p w14:paraId="757E876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Ingénieurs et opérateurs</w:t>
            </w:r>
          </w:p>
        </w:tc>
        <w:tc>
          <w:tcPr>
            <w:tcW w:w="940" w:type="dxa"/>
            <w:tcBorders>
              <w:top w:val="single" w:sz="4" w:space="0" w:color="000000"/>
              <w:left w:val="single" w:sz="4" w:space="0" w:color="000000"/>
              <w:bottom w:val="single" w:sz="4" w:space="0" w:color="000000"/>
              <w:right w:val="single" w:sz="4" w:space="0" w:color="000000"/>
            </w:tcBorders>
          </w:tcPr>
          <w:p w14:paraId="121C7F7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6A52A90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c>
          <w:tcPr>
            <w:tcW w:w="2757" w:type="dxa"/>
            <w:tcBorders>
              <w:top w:val="single" w:sz="4" w:space="0" w:color="000000"/>
              <w:left w:val="single" w:sz="4" w:space="0" w:color="000000"/>
              <w:bottom w:val="single" w:sz="4" w:space="0" w:color="000000"/>
              <w:right w:val="single" w:sz="4" w:space="0" w:color="000000"/>
            </w:tcBorders>
          </w:tcPr>
          <w:p w14:paraId="002A95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Inspection de l’interface en fonctionnement, liste de contrôle des éléments affichés.</w:t>
            </w:r>
          </w:p>
        </w:tc>
      </w:tr>
      <w:tr w:rsidR="00F50D70" w:rsidRPr="00BE4F47" w14:paraId="54067ADE" w14:textId="77777777">
        <w:trPr>
          <w:trHeight w:val="549"/>
        </w:trPr>
        <w:tc>
          <w:tcPr>
            <w:tcW w:w="1000" w:type="dxa"/>
            <w:tcBorders>
              <w:top w:val="single" w:sz="4" w:space="0" w:color="000000"/>
              <w:left w:val="single" w:sz="4" w:space="0" w:color="000000"/>
              <w:bottom w:val="single" w:sz="4" w:space="0" w:color="000000"/>
              <w:right w:val="single" w:sz="4" w:space="0" w:color="000000"/>
            </w:tcBorders>
          </w:tcPr>
          <w:p w14:paraId="0B63B6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EX-F-05</w:t>
            </w:r>
          </w:p>
        </w:tc>
        <w:tc>
          <w:tcPr>
            <w:tcW w:w="2240" w:type="dxa"/>
            <w:tcBorders>
              <w:top w:val="single" w:sz="4" w:space="0" w:color="000000"/>
              <w:left w:val="single" w:sz="4" w:space="0" w:color="000000"/>
              <w:bottom w:val="single" w:sz="4" w:space="0" w:color="000000"/>
              <w:right w:val="single" w:sz="4" w:space="0" w:color="000000"/>
            </w:tcBorders>
          </w:tcPr>
          <w:p w14:paraId="0B6A15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Lorsqu’une anomalie est signalée, l’interface affiche les variables ayant contribué à la détection.</w:t>
            </w:r>
          </w:p>
        </w:tc>
        <w:tc>
          <w:tcPr>
            <w:tcW w:w="1000" w:type="dxa"/>
            <w:tcBorders>
              <w:top w:val="single" w:sz="4" w:space="0" w:color="000000"/>
              <w:left w:val="single" w:sz="4" w:space="0" w:color="000000"/>
              <w:bottom w:val="single" w:sz="4" w:space="0" w:color="000000"/>
              <w:right w:val="single" w:sz="4" w:space="0" w:color="000000"/>
            </w:tcBorders>
          </w:tcPr>
          <w:p w14:paraId="7FCA56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Ingénieurs et opérateurs</w:t>
            </w:r>
          </w:p>
        </w:tc>
        <w:tc>
          <w:tcPr>
            <w:tcW w:w="940" w:type="dxa"/>
            <w:tcBorders>
              <w:top w:val="single" w:sz="4" w:space="0" w:color="000000"/>
              <w:left w:val="single" w:sz="4" w:space="0" w:color="000000"/>
              <w:bottom w:val="single" w:sz="4" w:space="0" w:color="000000"/>
              <w:right w:val="single" w:sz="4" w:space="0" w:color="000000"/>
            </w:tcBorders>
          </w:tcPr>
          <w:p w14:paraId="105642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D2</w:t>
            </w:r>
          </w:p>
        </w:tc>
        <w:tc>
          <w:tcPr>
            <w:tcW w:w="620" w:type="dxa"/>
            <w:tcBorders>
              <w:top w:val="single" w:sz="4" w:space="0" w:color="000000"/>
              <w:left w:val="single" w:sz="4" w:space="0" w:color="000000"/>
              <w:bottom w:val="single" w:sz="4" w:space="0" w:color="000000"/>
              <w:right w:val="single" w:sz="4" w:space="0" w:color="000000"/>
            </w:tcBorders>
          </w:tcPr>
          <w:p w14:paraId="583CF40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c>
          <w:tcPr>
            <w:tcW w:w="2757" w:type="dxa"/>
            <w:tcBorders>
              <w:top w:val="single" w:sz="4" w:space="0" w:color="000000"/>
              <w:left w:val="single" w:sz="4" w:space="0" w:color="000000"/>
              <w:bottom w:val="single" w:sz="4" w:space="0" w:color="000000"/>
              <w:right w:val="single" w:sz="4" w:space="0" w:color="000000"/>
            </w:tcBorders>
          </w:tcPr>
          <w:p w14:paraId="356A8F4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d’injection d’anomalie : les variables affichées correspondent à celles injectées.</w:t>
            </w:r>
          </w:p>
        </w:tc>
      </w:tr>
      <w:tr w:rsidR="00F50D70" w:rsidRPr="00BE4F47" w14:paraId="02BD3ED0" w14:textId="77777777">
        <w:trPr>
          <w:trHeight w:val="875"/>
        </w:trPr>
        <w:tc>
          <w:tcPr>
            <w:tcW w:w="1000" w:type="dxa"/>
            <w:tcBorders>
              <w:top w:val="single" w:sz="4" w:space="0" w:color="000000"/>
              <w:left w:val="single" w:sz="4" w:space="0" w:color="000000"/>
              <w:bottom w:val="single" w:sz="4" w:space="0" w:color="000000"/>
              <w:right w:val="single" w:sz="4" w:space="0" w:color="000000"/>
            </w:tcBorders>
          </w:tcPr>
          <w:p w14:paraId="17A470B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EX-F-06</w:t>
            </w:r>
          </w:p>
        </w:tc>
        <w:tc>
          <w:tcPr>
            <w:tcW w:w="2240" w:type="dxa"/>
            <w:tcBorders>
              <w:top w:val="single" w:sz="4" w:space="0" w:color="000000"/>
              <w:left w:val="single" w:sz="4" w:space="0" w:color="000000"/>
              <w:bottom w:val="single" w:sz="4" w:space="0" w:color="000000"/>
              <w:right w:val="single" w:sz="4" w:space="0" w:color="000000"/>
            </w:tcBorders>
          </w:tcPr>
          <w:p w14:paraId="1A84DC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Lorsqu’au moins une des trois variables est indisponible ou hors de sa plage de validité pendant plus de N cycles, le diagnostic est suspendu : l’interface affiche l’état « incertain », n’affiche aucune estimation d’état et le reste jusqu’au retour de données valides.</w:t>
            </w:r>
          </w:p>
        </w:tc>
        <w:tc>
          <w:tcPr>
            <w:tcW w:w="1000" w:type="dxa"/>
            <w:tcBorders>
              <w:top w:val="single" w:sz="4" w:space="0" w:color="000000"/>
              <w:left w:val="single" w:sz="4" w:space="0" w:color="000000"/>
              <w:bottom w:val="single" w:sz="4" w:space="0" w:color="000000"/>
              <w:right w:val="single" w:sz="4" w:space="0" w:color="000000"/>
            </w:tcBorders>
          </w:tcPr>
          <w:p w14:paraId="761365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Sûreté</w:t>
            </w:r>
          </w:p>
        </w:tc>
        <w:tc>
          <w:tcPr>
            <w:tcW w:w="940" w:type="dxa"/>
            <w:tcBorders>
              <w:top w:val="single" w:sz="4" w:space="0" w:color="000000"/>
              <w:left w:val="single" w:sz="4" w:space="0" w:color="000000"/>
              <w:bottom w:val="single" w:sz="4" w:space="0" w:color="000000"/>
              <w:right w:val="single" w:sz="4" w:space="0" w:color="000000"/>
            </w:tcBorders>
          </w:tcPr>
          <w:p w14:paraId="613106A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D2</w:t>
            </w:r>
          </w:p>
        </w:tc>
        <w:tc>
          <w:tcPr>
            <w:tcW w:w="620" w:type="dxa"/>
            <w:tcBorders>
              <w:top w:val="single" w:sz="4" w:space="0" w:color="000000"/>
              <w:left w:val="single" w:sz="4" w:space="0" w:color="000000"/>
              <w:bottom w:val="single" w:sz="4" w:space="0" w:color="000000"/>
              <w:right w:val="single" w:sz="4" w:space="0" w:color="000000"/>
            </w:tcBorders>
          </w:tcPr>
          <w:p w14:paraId="30D8F5E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 L8</w:t>
            </w:r>
          </w:p>
        </w:tc>
        <w:tc>
          <w:tcPr>
            <w:tcW w:w="2757" w:type="dxa"/>
            <w:tcBorders>
              <w:top w:val="single" w:sz="4" w:space="0" w:color="000000"/>
              <w:left w:val="single" w:sz="4" w:space="0" w:color="000000"/>
              <w:bottom w:val="single" w:sz="4" w:space="0" w:color="000000"/>
              <w:right w:val="single" w:sz="4" w:space="0" w:color="000000"/>
            </w:tcBorders>
          </w:tcPr>
          <w:p w14:paraId="0E5F8D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perte de capteur et essai de valeur hors plage.</w:t>
            </w:r>
          </w:p>
        </w:tc>
      </w:tr>
      <w:tr w:rsidR="00F50D70" w:rsidRPr="00BE4F47" w14:paraId="5D11E4A6"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311F51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EX-F-07</w:t>
            </w:r>
          </w:p>
        </w:tc>
        <w:tc>
          <w:tcPr>
            <w:tcW w:w="2240" w:type="dxa"/>
            <w:tcBorders>
              <w:top w:val="single" w:sz="4" w:space="0" w:color="000000"/>
              <w:left w:val="single" w:sz="4" w:space="0" w:color="000000"/>
              <w:bottom w:val="single" w:sz="4" w:space="0" w:color="000000"/>
              <w:right w:val="single" w:sz="4" w:space="0" w:color="000000"/>
            </w:tcBorders>
          </w:tcPr>
          <w:p w14:paraId="198B83C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estimation d’état produite par le prototype est accompagnée d’un niveau de confiance ou d’un intervalle d’incertitude.</w:t>
            </w:r>
          </w:p>
        </w:tc>
        <w:tc>
          <w:tcPr>
            <w:tcW w:w="1000" w:type="dxa"/>
            <w:tcBorders>
              <w:top w:val="single" w:sz="4" w:space="0" w:color="000000"/>
              <w:left w:val="single" w:sz="4" w:space="0" w:color="000000"/>
              <w:bottom w:val="single" w:sz="4" w:space="0" w:color="000000"/>
              <w:right w:val="single" w:sz="4" w:space="0" w:color="000000"/>
            </w:tcBorders>
          </w:tcPr>
          <w:p w14:paraId="184C39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Sûreté</w:t>
            </w:r>
          </w:p>
        </w:tc>
        <w:tc>
          <w:tcPr>
            <w:tcW w:w="940" w:type="dxa"/>
            <w:tcBorders>
              <w:top w:val="single" w:sz="4" w:space="0" w:color="000000"/>
              <w:left w:val="single" w:sz="4" w:space="0" w:color="000000"/>
              <w:bottom w:val="single" w:sz="4" w:space="0" w:color="000000"/>
              <w:right w:val="single" w:sz="4" w:space="0" w:color="000000"/>
            </w:tcBorders>
          </w:tcPr>
          <w:p w14:paraId="3F35589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D3</w:t>
            </w:r>
          </w:p>
        </w:tc>
        <w:tc>
          <w:tcPr>
            <w:tcW w:w="620" w:type="dxa"/>
            <w:tcBorders>
              <w:top w:val="single" w:sz="4" w:space="0" w:color="000000"/>
              <w:left w:val="single" w:sz="4" w:space="0" w:color="000000"/>
              <w:bottom w:val="single" w:sz="4" w:space="0" w:color="000000"/>
              <w:right w:val="single" w:sz="4" w:space="0" w:color="000000"/>
            </w:tcBorders>
          </w:tcPr>
          <w:p w14:paraId="7C93E9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w:t>
            </w:r>
          </w:p>
        </w:tc>
        <w:tc>
          <w:tcPr>
            <w:tcW w:w="2757" w:type="dxa"/>
            <w:tcBorders>
              <w:top w:val="single" w:sz="4" w:space="0" w:color="000000"/>
              <w:left w:val="single" w:sz="4" w:space="0" w:color="000000"/>
              <w:bottom w:val="single" w:sz="4" w:space="0" w:color="000000"/>
              <w:right w:val="single" w:sz="4" w:space="0" w:color="000000"/>
            </w:tcBorders>
          </w:tcPr>
          <w:p w14:paraId="517A54B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comparaison : l’écart affiché est rapporté à l’incertitude de validation (ASME V&amp;V 20).</w:t>
            </w:r>
          </w:p>
        </w:tc>
      </w:tr>
      <w:tr w:rsidR="00F50D70" w:rsidRPr="00BE4F47" w14:paraId="44794A63" w14:textId="77777777">
        <w:trPr>
          <w:trHeight w:val="713"/>
        </w:trPr>
        <w:tc>
          <w:tcPr>
            <w:tcW w:w="1000" w:type="dxa"/>
            <w:tcBorders>
              <w:top w:val="single" w:sz="4" w:space="0" w:color="000000"/>
              <w:left w:val="single" w:sz="4" w:space="0" w:color="000000"/>
              <w:bottom w:val="single" w:sz="4" w:space="0" w:color="000000"/>
              <w:right w:val="single" w:sz="4" w:space="0" w:color="000000"/>
            </w:tcBorders>
          </w:tcPr>
          <w:p w14:paraId="127D96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EX-F-08</w:t>
            </w:r>
          </w:p>
        </w:tc>
        <w:tc>
          <w:tcPr>
            <w:tcW w:w="2240" w:type="dxa"/>
            <w:tcBorders>
              <w:top w:val="single" w:sz="4" w:space="0" w:color="000000"/>
              <w:left w:val="single" w:sz="4" w:space="0" w:color="000000"/>
              <w:bottom w:val="single" w:sz="4" w:space="0" w:color="000000"/>
              <w:right w:val="single" w:sz="4" w:space="0" w:color="000000"/>
            </w:tcBorders>
          </w:tcPr>
          <w:p w14:paraId="76F685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n’émet aucune commande vers un équipement. Toute action proposée est une recommandation nécessitant une validation de l’opérateur.</w:t>
            </w:r>
          </w:p>
        </w:tc>
        <w:tc>
          <w:tcPr>
            <w:tcW w:w="1000" w:type="dxa"/>
            <w:tcBorders>
              <w:top w:val="single" w:sz="4" w:space="0" w:color="000000"/>
              <w:left w:val="single" w:sz="4" w:space="0" w:color="000000"/>
              <w:bottom w:val="single" w:sz="4" w:space="0" w:color="000000"/>
              <w:right w:val="single" w:sz="4" w:space="0" w:color="000000"/>
            </w:tcBorders>
          </w:tcPr>
          <w:p w14:paraId="6A63BB3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Opérateurs et sûreté</w:t>
            </w:r>
          </w:p>
        </w:tc>
        <w:tc>
          <w:tcPr>
            <w:tcW w:w="940" w:type="dxa"/>
            <w:tcBorders>
              <w:top w:val="single" w:sz="4" w:space="0" w:color="000000"/>
              <w:left w:val="single" w:sz="4" w:space="0" w:color="000000"/>
              <w:bottom w:val="single" w:sz="4" w:space="0" w:color="000000"/>
              <w:right w:val="single" w:sz="4" w:space="0" w:color="000000"/>
            </w:tcBorders>
          </w:tcPr>
          <w:p w14:paraId="0F12700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D3</w:t>
            </w:r>
          </w:p>
        </w:tc>
        <w:tc>
          <w:tcPr>
            <w:tcW w:w="620" w:type="dxa"/>
            <w:tcBorders>
              <w:top w:val="single" w:sz="4" w:space="0" w:color="000000"/>
              <w:left w:val="single" w:sz="4" w:space="0" w:color="000000"/>
              <w:bottom w:val="single" w:sz="4" w:space="0" w:color="000000"/>
              <w:right w:val="single" w:sz="4" w:space="0" w:color="000000"/>
            </w:tcBorders>
          </w:tcPr>
          <w:p w14:paraId="516042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 L8</w:t>
            </w:r>
          </w:p>
        </w:tc>
        <w:tc>
          <w:tcPr>
            <w:tcW w:w="2757" w:type="dxa"/>
            <w:tcBorders>
              <w:top w:val="single" w:sz="4" w:space="0" w:color="000000"/>
              <w:left w:val="single" w:sz="4" w:space="0" w:color="000000"/>
              <w:bottom w:val="single" w:sz="4" w:space="0" w:color="000000"/>
              <w:right w:val="single" w:sz="4" w:space="0" w:color="000000"/>
            </w:tcBorders>
          </w:tcPr>
          <w:p w14:paraId="74DFB0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Revue de code et inspection des interfaces de sortie : aucune écriture vers un actionneur.</w:t>
            </w:r>
          </w:p>
        </w:tc>
      </w:tr>
      <w:tr w:rsidR="00F50D70" w:rsidRPr="00BE4F47" w14:paraId="5D0F4054"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7C2788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EX-F-09</w:t>
            </w:r>
          </w:p>
        </w:tc>
        <w:tc>
          <w:tcPr>
            <w:tcW w:w="2240" w:type="dxa"/>
            <w:tcBorders>
              <w:top w:val="single" w:sz="4" w:space="0" w:color="000000"/>
              <w:left w:val="single" w:sz="4" w:space="0" w:color="000000"/>
              <w:bottom w:val="single" w:sz="4" w:space="0" w:color="000000"/>
              <w:right w:val="single" w:sz="4" w:space="0" w:color="000000"/>
            </w:tcBorders>
          </w:tcPr>
          <w:p w14:paraId="13A16E1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passage en fonctionnement dégradé exige une confirmation explicite de l’opérateur et est journalisé avec son horodatage.</w:t>
            </w:r>
          </w:p>
        </w:tc>
        <w:tc>
          <w:tcPr>
            <w:tcW w:w="1000" w:type="dxa"/>
            <w:tcBorders>
              <w:top w:val="single" w:sz="4" w:space="0" w:color="000000"/>
              <w:left w:val="single" w:sz="4" w:space="0" w:color="000000"/>
              <w:bottom w:val="single" w:sz="4" w:space="0" w:color="000000"/>
              <w:right w:val="single" w:sz="4" w:space="0" w:color="000000"/>
            </w:tcBorders>
          </w:tcPr>
          <w:p w14:paraId="33082B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Sûreté</w:t>
            </w:r>
          </w:p>
        </w:tc>
        <w:tc>
          <w:tcPr>
            <w:tcW w:w="940" w:type="dxa"/>
            <w:tcBorders>
              <w:top w:val="single" w:sz="4" w:space="0" w:color="000000"/>
              <w:left w:val="single" w:sz="4" w:space="0" w:color="000000"/>
              <w:bottom w:val="single" w:sz="4" w:space="0" w:color="000000"/>
              <w:right w:val="single" w:sz="4" w:space="0" w:color="000000"/>
            </w:tcBorders>
          </w:tcPr>
          <w:p w14:paraId="5B83AA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D3</w:t>
            </w:r>
          </w:p>
        </w:tc>
        <w:tc>
          <w:tcPr>
            <w:tcW w:w="620" w:type="dxa"/>
            <w:tcBorders>
              <w:top w:val="single" w:sz="4" w:space="0" w:color="000000"/>
              <w:left w:val="single" w:sz="4" w:space="0" w:color="000000"/>
              <w:bottom w:val="single" w:sz="4" w:space="0" w:color="000000"/>
              <w:right w:val="single" w:sz="4" w:space="0" w:color="000000"/>
            </w:tcBorders>
          </w:tcPr>
          <w:p w14:paraId="652D5E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c>
          <w:tcPr>
            <w:tcW w:w="2757" w:type="dxa"/>
            <w:tcBorders>
              <w:top w:val="single" w:sz="4" w:space="0" w:color="000000"/>
              <w:left w:val="single" w:sz="4" w:space="0" w:color="000000"/>
              <w:bottom w:val="single" w:sz="4" w:space="0" w:color="000000"/>
              <w:right w:val="single" w:sz="4" w:space="0" w:color="000000"/>
            </w:tcBorders>
          </w:tcPr>
          <w:p w14:paraId="188C65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bascule : vérification de la présence de l’entrée au journal.</w:t>
            </w:r>
          </w:p>
        </w:tc>
      </w:tr>
      <w:tr w:rsidR="00F50D70" w:rsidRPr="00BE4F47" w14:paraId="5C71057F" w14:textId="77777777">
        <w:trPr>
          <w:trHeight w:val="549"/>
        </w:trPr>
        <w:tc>
          <w:tcPr>
            <w:tcW w:w="1000" w:type="dxa"/>
            <w:tcBorders>
              <w:top w:val="single" w:sz="4" w:space="0" w:color="000000"/>
              <w:left w:val="single" w:sz="4" w:space="0" w:color="000000"/>
              <w:bottom w:val="single" w:sz="4" w:space="0" w:color="000000"/>
              <w:right w:val="single" w:sz="4" w:space="0" w:color="000000"/>
            </w:tcBorders>
          </w:tcPr>
          <w:p w14:paraId="2D23C4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EX-F-10</w:t>
            </w:r>
          </w:p>
        </w:tc>
        <w:tc>
          <w:tcPr>
            <w:tcW w:w="2240" w:type="dxa"/>
            <w:tcBorders>
              <w:top w:val="single" w:sz="4" w:space="0" w:color="000000"/>
              <w:left w:val="single" w:sz="4" w:space="0" w:color="000000"/>
              <w:bottom w:val="single" w:sz="4" w:space="0" w:color="000000"/>
              <w:right w:val="single" w:sz="4" w:space="0" w:color="000000"/>
            </w:tcBorders>
          </w:tcPr>
          <w:p w14:paraId="5047E1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journalise chaque acquisition, chaque détection d’anomalie et chaque changement d’état, avec horodatage.</w:t>
            </w:r>
          </w:p>
        </w:tc>
        <w:tc>
          <w:tcPr>
            <w:tcW w:w="1000" w:type="dxa"/>
            <w:tcBorders>
              <w:top w:val="single" w:sz="4" w:space="0" w:color="000000"/>
              <w:left w:val="single" w:sz="4" w:space="0" w:color="000000"/>
              <w:bottom w:val="single" w:sz="4" w:space="0" w:color="000000"/>
              <w:right w:val="single" w:sz="4" w:space="0" w:color="000000"/>
            </w:tcBorders>
          </w:tcPr>
          <w:p w14:paraId="7095F34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CCSN, REGDOC-2.1.1</w:t>
            </w:r>
          </w:p>
        </w:tc>
        <w:tc>
          <w:tcPr>
            <w:tcW w:w="940" w:type="dxa"/>
            <w:tcBorders>
              <w:top w:val="single" w:sz="4" w:space="0" w:color="000000"/>
              <w:left w:val="single" w:sz="4" w:space="0" w:color="000000"/>
              <w:bottom w:val="single" w:sz="4" w:space="0" w:color="000000"/>
              <w:right w:val="single" w:sz="4" w:space="0" w:color="000000"/>
            </w:tcBorders>
          </w:tcPr>
          <w:p w14:paraId="43A1ED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A1, F1, D1, D2, D3</w:t>
            </w:r>
          </w:p>
        </w:tc>
        <w:tc>
          <w:tcPr>
            <w:tcW w:w="620" w:type="dxa"/>
            <w:tcBorders>
              <w:top w:val="single" w:sz="4" w:space="0" w:color="000000"/>
              <w:left w:val="single" w:sz="4" w:space="0" w:color="000000"/>
              <w:bottom w:val="single" w:sz="4" w:space="0" w:color="000000"/>
              <w:right w:val="single" w:sz="4" w:space="0" w:color="000000"/>
            </w:tcBorders>
          </w:tcPr>
          <w:p w14:paraId="3613408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c>
          <w:tcPr>
            <w:tcW w:w="2757" w:type="dxa"/>
            <w:tcBorders>
              <w:top w:val="single" w:sz="4" w:space="0" w:color="000000"/>
              <w:left w:val="single" w:sz="4" w:space="0" w:color="000000"/>
              <w:bottom w:val="single" w:sz="4" w:space="0" w:color="000000"/>
              <w:right w:val="single" w:sz="4" w:space="0" w:color="000000"/>
            </w:tcBorders>
          </w:tcPr>
          <w:p w14:paraId="1B9FCC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Inspection du journal après une campagne complète : aucun changement d’état absent.</w:t>
            </w:r>
          </w:p>
        </w:tc>
      </w:tr>
      <w:tr w:rsidR="00F50D70" w:rsidRPr="00BE4F47" w14:paraId="4B30FE21" w14:textId="77777777">
        <w:trPr>
          <w:trHeight w:val="549"/>
        </w:trPr>
        <w:tc>
          <w:tcPr>
            <w:tcW w:w="1000" w:type="dxa"/>
            <w:tcBorders>
              <w:top w:val="single" w:sz="4" w:space="0" w:color="000000"/>
              <w:left w:val="single" w:sz="4" w:space="0" w:color="000000"/>
              <w:bottom w:val="single" w:sz="4" w:space="0" w:color="000000"/>
              <w:right w:val="single" w:sz="4" w:space="0" w:color="000000"/>
            </w:tcBorders>
          </w:tcPr>
          <w:p w14:paraId="18F96E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EX-F-11</w:t>
            </w:r>
          </w:p>
        </w:tc>
        <w:tc>
          <w:tcPr>
            <w:tcW w:w="2240" w:type="dxa"/>
            <w:tcBorders>
              <w:top w:val="single" w:sz="4" w:space="0" w:color="000000"/>
              <w:left w:val="single" w:sz="4" w:space="0" w:color="000000"/>
              <w:bottom w:val="single" w:sz="4" w:space="0" w:color="000000"/>
              <w:right w:val="single" w:sz="4" w:space="0" w:color="000000"/>
            </w:tcBorders>
          </w:tcPr>
          <w:p w14:paraId="341759D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Pour chaque scénario de défaillance d’EX-F-02, le prototype signale l’anomalie en moins de K cycles, avec au plus F fausses alarmes sur M essais en fonctionnement normal.</w:t>
            </w:r>
          </w:p>
        </w:tc>
        <w:tc>
          <w:tcPr>
            <w:tcW w:w="1000" w:type="dxa"/>
            <w:tcBorders>
              <w:top w:val="single" w:sz="4" w:space="0" w:color="000000"/>
              <w:left w:val="single" w:sz="4" w:space="0" w:color="000000"/>
              <w:bottom w:val="single" w:sz="4" w:space="0" w:color="000000"/>
              <w:right w:val="single" w:sz="4" w:space="0" w:color="000000"/>
            </w:tcBorders>
          </w:tcPr>
          <w:p w14:paraId="7EDF08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 sûreté</w:t>
            </w:r>
          </w:p>
        </w:tc>
        <w:tc>
          <w:tcPr>
            <w:tcW w:w="940" w:type="dxa"/>
            <w:tcBorders>
              <w:top w:val="single" w:sz="4" w:space="0" w:color="000000"/>
              <w:left w:val="single" w:sz="4" w:space="0" w:color="000000"/>
              <w:bottom w:val="single" w:sz="4" w:space="0" w:color="000000"/>
              <w:right w:val="single" w:sz="4" w:space="0" w:color="000000"/>
            </w:tcBorders>
          </w:tcPr>
          <w:p w14:paraId="4D4A0D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D2</w:t>
            </w:r>
          </w:p>
        </w:tc>
        <w:tc>
          <w:tcPr>
            <w:tcW w:w="620" w:type="dxa"/>
            <w:tcBorders>
              <w:top w:val="single" w:sz="4" w:space="0" w:color="000000"/>
              <w:left w:val="single" w:sz="4" w:space="0" w:color="000000"/>
              <w:bottom w:val="single" w:sz="4" w:space="0" w:color="000000"/>
              <w:right w:val="single" w:sz="4" w:space="0" w:color="000000"/>
            </w:tcBorders>
          </w:tcPr>
          <w:p w14:paraId="2CEC2FB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 L9</w:t>
            </w:r>
          </w:p>
        </w:tc>
        <w:tc>
          <w:tcPr>
            <w:tcW w:w="2757" w:type="dxa"/>
            <w:tcBorders>
              <w:top w:val="single" w:sz="4" w:space="0" w:color="000000"/>
              <w:left w:val="single" w:sz="4" w:space="0" w:color="000000"/>
              <w:bottom w:val="single" w:sz="4" w:space="0" w:color="000000"/>
              <w:right w:val="single" w:sz="4" w:space="0" w:color="000000"/>
            </w:tcBorders>
          </w:tcPr>
          <w:p w14:paraId="7BF042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Campagne d’essais : un essai par scénario, plus une série en fonctionnement normal pour le taux de fausses alarmes.</w:t>
            </w:r>
          </w:p>
        </w:tc>
      </w:tr>
    </w:tbl>
    <w:p w14:paraId="52349E0D" w14:textId="77777777" w:rsidR="00F50D70" w:rsidRPr="00BE4F47" w:rsidRDefault="00137D7F" w:rsidP="008E113B">
      <w:pPr>
        <w:pStyle w:val="Titre3"/>
        <w:numPr>
          <w:ilvl w:val="2"/>
          <w:numId w:val="1"/>
        </w:numPr>
        <w:suppressAutoHyphens w:val="0"/>
        <w:spacing w:line="360" w:lineRule="auto"/>
        <w:rPr>
          <w:lang w:eastAsia="fr-FR"/>
        </w:rPr>
      </w:pPr>
      <w:bookmarkStart w:id="166" w:name="__RefHeading___Toc240715100"/>
      <w:bookmarkStart w:id="167" w:name="_Toc241707739"/>
      <w:bookmarkEnd w:id="166"/>
      <w:r w:rsidRPr="00BE4F47">
        <w:t>Exigences de qualité</w:t>
      </w:r>
      <w:bookmarkEnd w:id="167"/>
    </w:p>
    <w:p w14:paraId="6A6CB134" w14:textId="77777777" w:rsidR="00F50D70" w:rsidRPr="00BE4F47" w:rsidRDefault="00137D7F" w:rsidP="008E113B">
      <w:pPr>
        <w:spacing w:before="200" w:after="130" w:line="360" w:lineRule="auto"/>
        <w:ind w:left="992"/>
        <w:rPr>
          <w:rFonts w:ascii="Aptos" w:hAnsi="Aptos"/>
        </w:rPr>
      </w:pPr>
      <w:bookmarkStart w:id="168" w:name="_Toc241082837"/>
      <w:bookmarkStart w:id="169" w:name="_Toc241670032"/>
      <w:bookmarkStart w:id="170" w:name="_Toc241707740"/>
      <w:r w:rsidRPr="00BE4F47">
        <w:rPr>
          <w:rFonts w:ascii="Aptos" w:hAnsi="Aptos"/>
          <w:color w:val="1A1A19"/>
          <w:sz w:val="20"/>
          <w:szCs w:val="20"/>
        </w:rPr>
        <w:t>Les cinq exigences ci-dessous sont celles que le prototype peut réellement démontrer dans les limites du mandat. Trois viennent d’ISO/IEC 25010, une d’ISO 9241-210 pour l’utilisabilité, et une reprend le principe d’intégrité des données d’IEC 62645 sans invoquer un article de cette norme. Les caractéristiques non retenues, comme la portabilité, le sont parce qu’aucun essai du projet ne les mettrait à l’épreuve.</w:t>
      </w:r>
      <w:bookmarkEnd w:id="168"/>
      <w:bookmarkEnd w:id="169"/>
      <w:bookmarkEnd w:id="170"/>
    </w:p>
    <w:p w14:paraId="617148AB" w14:textId="77777777" w:rsidR="00F50D70" w:rsidRPr="00BE4F47" w:rsidRDefault="00137D7F" w:rsidP="008E113B">
      <w:pPr>
        <w:pStyle w:val="Lgende"/>
        <w:keepNext/>
        <w:spacing w:line="360" w:lineRule="auto"/>
        <w:rPr>
          <w:rFonts w:ascii="Aptos" w:hAnsi="Aptos"/>
        </w:rPr>
      </w:pPr>
      <w:bookmarkStart w:id="171" w:name="_Toc241082838"/>
      <w:bookmarkStart w:id="172" w:name="_Toc241670033"/>
      <w:bookmarkStart w:id="173" w:name="_Toc241707741"/>
      <w:r w:rsidRPr="00BE4F47">
        <w:rPr>
          <w:rFonts w:ascii="Aptos" w:hAnsi="Aptos"/>
        </w:rPr>
        <w:lastRenderedPageBreak/>
        <w:t>Tableau 1-7. Registre des exigences de qualité</w:t>
      </w:r>
      <w:bookmarkEnd w:id="171"/>
      <w:bookmarkEnd w:id="172"/>
      <w:bookmarkEnd w:id="17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000"/>
        <w:gridCol w:w="2240"/>
        <w:gridCol w:w="1000"/>
        <w:gridCol w:w="940"/>
        <w:gridCol w:w="620"/>
        <w:gridCol w:w="2757"/>
      </w:tblGrid>
      <w:tr w:rsidR="00F50D70" w:rsidRPr="00BE4F47" w14:paraId="3493775D" w14:textId="77777777" w:rsidTr="0036725C">
        <w:trPr>
          <w:trHeight w:val="221"/>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1FDC0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EBEB80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A79D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Source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A4186E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GEMMA</w:t>
            </w:r>
          </w:p>
        </w:tc>
        <w:tc>
          <w:tcPr>
            <w:tcW w:w="62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EE1B4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c>
          <w:tcPr>
            <w:tcW w:w="27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3E49E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Moyen de vérification</w:t>
            </w:r>
          </w:p>
        </w:tc>
      </w:tr>
      <w:tr w:rsidR="00F50D70" w:rsidRPr="00BE4F47" w14:paraId="0D368871" w14:textId="77777777">
        <w:trPr>
          <w:trHeight w:val="394"/>
        </w:trPr>
        <w:tc>
          <w:tcPr>
            <w:tcW w:w="1000" w:type="dxa"/>
            <w:tcBorders>
              <w:top w:val="single" w:sz="4" w:space="0" w:color="000000"/>
              <w:left w:val="single" w:sz="4" w:space="0" w:color="000000"/>
              <w:bottom w:val="single" w:sz="4" w:space="0" w:color="000000"/>
              <w:right w:val="single" w:sz="4" w:space="0" w:color="000000"/>
            </w:tcBorders>
          </w:tcPr>
          <w:p w14:paraId="1856EB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EX-Q-01</w:t>
            </w:r>
          </w:p>
        </w:tc>
        <w:tc>
          <w:tcPr>
            <w:tcW w:w="2240" w:type="dxa"/>
            <w:tcBorders>
              <w:top w:val="single" w:sz="4" w:space="0" w:color="000000"/>
              <w:left w:val="single" w:sz="4" w:space="0" w:color="000000"/>
              <w:bottom w:val="single" w:sz="4" w:space="0" w:color="000000"/>
              <w:right w:val="single" w:sz="4" w:space="0" w:color="000000"/>
            </w:tcBorders>
          </w:tcPr>
          <w:p w14:paraId="599C0AD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cycle complet d’acquisition, de comparaison et d’affichage s’exécute en moins de T secondes.</w:t>
            </w:r>
          </w:p>
        </w:tc>
        <w:tc>
          <w:tcPr>
            <w:tcW w:w="1000" w:type="dxa"/>
            <w:tcBorders>
              <w:top w:val="single" w:sz="4" w:space="0" w:color="000000"/>
              <w:left w:val="single" w:sz="4" w:space="0" w:color="000000"/>
              <w:bottom w:val="single" w:sz="4" w:space="0" w:color="000000"/>
              <w:right w:val="single" w:sz="4" w:space="0" w:color="000000"/>
            </w:tcBorders>
          </w:tcPr>
          <w:p w14:paraId="525990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ISO/IEC 25010, performance</w:t>
            </w:r>
          </w:p>
        </w:tc>
        <w:tc>
          <w:tcPr>
            <w:tcW w:w="940" w:type="dxa"/>
            <w:tcBorders>
              <w:top w:val="single" w:sz="4" w:space="0" w:color="000000"/>
              <w:left w:val="single" w:sz="4" w:space="0" w:color="000000"/>
              <w:bottom w:val="single" w:sz="4" w:space="0" w:color="000000"/>
              <w:right w:val="single" w:sz="4" w:space="0" w:color="000000"/>
            </w:tcBorders>
          </w:tcPr>
          <w:p w14:paraId="5118FF3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47034F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650BB5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 du temps de cycle sur 100 cycles consécutifs ; valeur maximale relevée.</w:t>
            </w:r>
          </w:p>
        </w:tc>
      </w:tr>
      <w:tr w:rsidR="00F50D70" w:rsidRPr="00BE4F47" w14:paraId="3B901F16" w14:textId="77777777">
        <w:trPr>
          <w:trHeight w:val="551"/>
        </w:trPr>
        <w:tc>
          <w:tcPr>
            <w:tcW w:w="1000" w:type="dxa"/>
            <w:tcBorders>
              <w:top w:val="single" w:sz="4" w:space="0" w:color="000000"/>
              <w:left w:val="single" w:sz="4" w:space="0" w:color="000000"/>
              <w:bottom w:val="single" w:sz="4" w:space="0" w:color="000000"/>
              <w:right w:val="single" w:sz="4" w:space="0" w:color="000000"/>
            </w:tcBorders>
          </w:tcPr>
          <w:p w14:paraId="001CFF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EX-Q-02</w:t>
            </w:r>
          </w:p>
        </w:tc>
        <w:tc>
          <w:tcPr>
            <w:tcW w:w="2240" w:type="dxa"/>
            <w:tcBorders>
              <w:top w:val="single" w:sz="4" w:space="0" w:color="000000"/>
              <w:left w:val="single" w:sz="4" w:space="0" w:color="000000"/>
              <w:bottom w:val="single" w:sz="4" w:space="0" w:color="000000"/>
              <w:right w:val="single" w:sz="4" w:space="0" w:color="000000"/>
            </w:tcBorders>
          </w:tcPr>
          <w:p w14:paraId="7374C2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fonctionne sans interruption pendant une campagne d’essais de D minutes, sans perte d’entrée au journal.</w:t>
            </w:r>
          </w:p>
        </w:tc>
        <w:tc>
          <w:tcPr>
            <w:tcW w:w="1000" w:type="dxa"/>
            <w:tcBorders>
              <w:top w:val="single" w:sz="4" w:space="0" w:color="000000"/>
              <w:left w:val="single" w:sz="4" w:space="0" w:color="000000"/>
              <w:bottom w:val="single" w:sz="4" w:space="0" w:color="000000"/>
              <w:right w:val="single" w:sz="4" w:space="0" w:color="000000"/>
            </w:tcBorders>
          </w:tcPr>
          <w:p w14:paraId="61519C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ISO/IEC 25010, fiabilité</w:t>
            </w:r>
          </w:p>
        </w:tc>
        <w:tc>
          <w:tcPr>
            <w:tcW w:w="940" w:type="dxa"/>
            <w:tcBorders>
              <w:top w:val="single" w:sz="4" w:space="0" w:color="000000"/>
              <w:left w:val="single" w:sz="4" w:space="0" w:color="000000"/>
              <w:bottom w:val="single" w:sz="4" w:space="0" w:color="000000"/>
              <w:right w:val="single" w:sz="4" w:space="0" w:color="000000"/>
            </w:tcBorders>
          </w:tcPr>
          <w:p w14:paraId="12ED57E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36511E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6119F3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d’endurance ; comparaison du nombre de cycles au nombre d’entrées journalisées.</w:t>
            </w:r>
          </w:p>
        </w:tc>
      </w:tr>
      <w:tr w:rsidR="00F50D70" w:rsidRPr="00BE4F47" w14:paraId="1175CDF2" w14:textId="77777777">
        <w:trPr>
          <w:trHeight w:val="724"/>
        </w:trPr>
        <w:tc>
          <w:tcPr>
            <w:tcW w:w="1000" w:type="dxa"/>
            <w:tcBorders>
              <w:top w:val="single" w:sz="4" w:space="0" w:color="000000"/>
              <w:left w:val="single" w:sz="4" w:space="0" w:color="000000"/>
              <w:bottom w:val="single" w:sz="4" w:space="0" w:color="000000"/>
              <w:right w:val="single" w:sz="4" w:space="0" w:color="000000"/>
            </w:tcBorders>
          </w:tcPr>
          <w:p w14:paraId="230565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EX-Q-03</w:t>
            </w:r>
          </w:p>
        </w:tc>
        <w:tc>
          <w:tcPr>
            <w:tcW w:w="2240" w:type="dxa"/>
            <w:tcBorders>
              <w:top w:val="single" w:sz="4" w:space="0" w:color="000000"/>
              <w:left w:val="single" w:sz="4" w:space="0" w:color="000000"/>
              <w:bottom w:val="single" w:sz="4" w:space="0" w:color="000000"/>
              <w:right w:val="single" w:sz="4" w:space="0" w:color="000000"/>
            </w:tcBorders>
          </w:tcPr>
          <w:p w14:paraId="210F4B0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Une personne n’ayant pas participé au développement de l’interface identifie correctement l’état affiché (normal, anomalie, incertain) en moins de S secondes, dans au moins X essais sur Y.</w:t>
            </w:r>
          </w:p>
        </w:tc>
        <w:tc>
          <w:tcPr>
            <w:tcW w:w="1000" w:type="dxa"/>
            <w:tcBorders>
              <w:top w:val="single" w:sz="4" w:space="0" w:color="000000"/>
              <w:left w:val="single" w:sz="4" w:space="0" w:color="000000"/>
              <w:bottom w:val="single" w:sz="4" w:space="0" w:color="000000"/>
              <w:right w:val="single" w:sz="4" w:space="0" w:color="000000"/>
            </w:tcBorders>
          </w:tcPr>
          <w:p w14:paraId="62BD16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 9241-210, utilisabilité</w:t>
            </w:r>
          </w:p>
        </w:tc>
        <w:tc>
          <w:tcPr>
            <w:tcW w:w="940" w:type="dxa"/>
            <w:tcBorders>
              <w:top w:val="single" w:sz="4" w:space="0" w:color="000000"/>
              <w:left w:val="single" w:sz="4" w:space="0" w:color="000000"/>
              <w:bottom w:val="single" w:sz="4" w:space="0" w:color="000000"/>
              <w:right w:val="single" w:sz="4" w:space="0" w:color="000000"/>
            </w:tcBorders>
          </w:tcPr>
          <w:p w14:paraId="0B0746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D2, D3</w:t>
            </w:r>
          </w:p>
        </w:tc>
        <w:tc>
          <w:tcPr>
            <w:tcW w:w="620" w:type="dxa"/>
            <w:tcBorders>
              <w:top w:val="single" w:sz="4" w:space="0" w:color="000000"/>
              <w:left w:val="single" w:sz="4" w:space="0" w:color="000000"/>
              <w:bottom w:val="single" w:sz="4" w:space="0" w:color="000000"/>
              <w:right w:val="single" w:sz="4" w:space="0" w:color="000000"/>
            </w:tcBorders>
          </w:tcPr>
          <w:p w14:paraId="3125E4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 L9</w:t>
            </w:r>
          </w:p>
        </w:tc>
        <w:tc>
          <w:tcPr>
            <w:tcW w:w="2757" w:type="dxa"/>
            <w:tcBorders>
              <w:top w:val="single" w:sz="4" w:space="0" w:color="000000"/>
              <w:left w:val="single" w:sz="4" w:space="0" w:color="000000"/>
              <w:bottom w:val="single" w:sz="4" w:space="0" w:color="000000"/>
              <w:right w:val="single" w:sz="4" w:space="0" w:color="000000"/>
            </w:tcBorders>
          </w:tcPr>
          <w:p w14:paraId="15C068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d’utilisabilité avec une personne n’ayant pas participé au développement de l’interface.</w:t>
            </w:r>
          </w:p>
        </w:tc>
      </w:tr>
      <w:tr w:rsidR="00F50D70" w:rsidRPr="00BE4F47" w14:paraId="6310575F" w14:textId="77777777">
        <w:trPr>
          <w:trHeight w:val="715"/>
        </w:trPr>
        <w:tc>
          <w:tcPr>
            <w:tcW w:w="1000" w:type="dxa"/>
            <w:tcBorders>
              <w:top w:val="single" w:sz="4" w:space="0" w:color="000000"/>
              <w:left w:val="single" w:sz="4" w:space="0" w:color="000000"/>
              <w:bottom w:val="single" w:sz="4" w:space="0" w:color="000000"/>
              <w:right w:val="single" w:sz="4" w:space="0" w:color="000000"/>
            </w:tcBorders>
          </w:tcPr>
          <w:p w14:paraId="6F6A6F6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EX-Q-04</w:t>
            </w:r>
          </w:p>
        </w:tc>
        <w:tc>
          <w:tcPr>
            <w:tcW w:w="2240" w:type="dxa"/>
            <w:tcBorders>
              <w:top w:val="single" w:sz="4" w:space="0" w:color="000000"/>
              <w:left w:val="single" w:sz="4" w:space="0" w:color="000000"/>
              <w:bottom w:val="single" w:sz="4" w:space="0" w:color="000000"/>
              <w:right w:val="single" w:sz="4" w:space="0" w:color="000000"/>
            </w:tcBorders>
          </w:tcPr>
          <w:p w14:paraId="61411F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donnée d’acquisition non conforme au format attendu ou hors des plages admissibles est rejetée, journalisée comme telle, et n’est pas propagée au modèle. La détection d’une donnée bien formée mais fausse relève de la chaîne de détection (EX-F-03), non de ce contrôle.</w:t>
            </w:r>
          </w:p>
        </w:tc>
        <w:tc>
          <w:tcPr>
            <w:tcW w:w="1000" w:type="dxa"/>
            <w:tcBorders>
              <w:top w:val="single" w:sz="4" w:space="0" w:color="000000"/>
              <w:left w:val="single" w:sz="4" w:space="0" w:color="000000"/>
              <w:bottom w:val="single" w:sz="4" w:space="0" w:color="000000"/>
              <w:right w:val="single" w:sz="4" w:space="0" w:color="000000"/>
            </w:tcBorders>
          </w:tcPr>
          <w:p w14:paraId="1A693EE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Principe d’intégrité, IEC 62645</w:t>
            </w:r>
          </w:p>
        </w:tc>
        <w:tc>
          <w:tcPr>
            <w:tcW w:w="940" w:type="dxa"/>
            <w:tcBorders>
              <w:top w:val="single" w:sz="4" w:space="0" w:color="000000"/>
              <w:left w:val="single" w:sz="4" w:space="0" w:color="000000"/>
              <w:bottom w:val="single" w:sz="4" w:space="0" w:color="000000"/>
              <w:right w:val="single" w:sz="4" w:space="0" w:color="000000"/>
            </w:tcBorders>
          </w:tcPr>
          <w:p w14:paraId="529E5A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F2, D2</w:t>
            </w:r>
          </w:p>
        </w:tc>
        <w:tc>
          <w:tcPr>
            <w:tcW w:w="620" w:type="dxa"/>
            <w:tcBorders>
              <w:top w:val="single" w:sz="4" w:space="0" w:color="000000"/>
              <w:left w:val="single" w:sz="4" w:space="0" w:color="000000"/>
              <w:bottom w:val="single" w:sz="4" w:space="0" w:color="000000"/>
              <w:right w:val="single" w:sz="4" w:space="0" w:color="000000"/>
            </w:tcBorders>
          </w:tcPr>
          <w:p w14:paraId="200DC6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L5, L9</w:t>
            </w:r>
          </w:p>
        </w:tc>
        <w:tc>
          <w:tcPr>
            <w:tcW w:w="2757" w:type="dxa"/>
            <w:tcBorders>
              <w:top w:val="single" w:sz="4" w:space="0" w:color="000000"/>
              <w:left w:val="single" w:sz="4" w:space="0" w:color="000000"/>
              <w:bottom w:val="single" w:sz="4" w:space="0" w:color="000000"/>
              <w:right w:val="single" w:sz="4" w:space="0" w:color="000000"/>
            </w:tcBorders>
          </w:tcPr>
          <w:p w14:paraId="4B825C0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d’injection de donnée malformée : vérification de l’absence de propagation.</w:t>
            </w:r>
          </w:p>
        </w:tc>
      </w:tr>
      <w:tr w:rsidR="00F50D70" w:rsidRPr="00BE4F47" w14:paraId="76A7510C" w14:textId="77777777">
        <w:trPr>
          <w:trHeight w:val="559"/>
        </w:trPr>
        <w:tc>
          <w:tcPr>
            <w:tcW w:w="1000" w:type="dxa"/>
            <w:tcBorders>
              <w:top w:val="single" w:sz="4" w:space="0" w:color="000000"/>
              <w:left w:val="single" w:sz="4" w:space="0" w:color="000000"/>
              <w:bottom w:val="single" w:sz="4" w:space="0" w:color="000000"/>
              <w:right w:val="single" w:sz="4" w:space="0" w:color="000000"/>
            </w:tcBorders>
          </w:tcPr>
          <w:p w14:paraId="04F4BC8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EX-Q-05</w:t>
            </w:r>
          </w:p>
        </w:tc>
        <w:tc>
          <w:tcPr>
            <w:tcW w:w="2240" w:type="dxa"/>
            <w:tcBorders>
              <w:top w:val="single" w:sz="4" w:space="0" w:color="000000"/>
              <w:left w:val="single" w:sz="4" w:space="0" w:color="000000"/>
              <w:bottom w:val="single" w:sz="4" w:space="0" w:color="000000"/>
              <w:right w:val="single" w:sz="4" w:space="0" w:color="000000"/>
            </w:tcBorders>
          </w:tcPr>
          <w:p w14:paraId="3BF0E8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Chaque module dispose d’essais unitaires, et le taux de couverture des fonctions de détection est mesuré et consigné.</w:t>
            </w:r>
          </w:p>
        </w:tc>
        <w:tc>
          <w:tcPr>
            <w:tcW w:w="1000" w:type="dxa"/>
            <w:tcBorders>
              <w:top w:val="single" w:sz="4" w:space="0" w:color="000000"/>
              <w:left w:val="single" w:sz="4" w:space="0" w:color="000000"/>
              <w:bottom w:val="single" w:sz="4" w:space="0" w:color="000000"/>
              <w:right w:val="single" w:sz="4" w:space="0" w:color="000000"/>
            </w:tcBorders>
          </w:tcPr>
          <w:p w14:paraId="2404E0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ISO/IEC 25010, maintenabilité</w:t>
            </w:r>
          </w:p>
        </w:tc>
        <w:tc>
          <w:tcPr>
            <w:tcW w:w="940" w:type="dxa"/>
            <w:tcBorders>
              <w:top w:val="single" w:sz="4" w:space="0" w:color="000000"/>
              <w:left w:val="single" w:sz="4" w:space="0" w:color="000000"/>
              <w:bottom w:val="single" w:sz="4" w:space="0" w:color="000000"/>
              <w:right w:val="single" w:sz="4" w:space="0" w:color="000000"/>
            </w:tcBorders>
          </w:tcPr>
          <w:p w14:paraId="6A1BB09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4351A9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2ED32E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Rapport de couverture joint aux résultats d’essais.</w:t>
            </w:r>
          </w:p>
        </w:tc>
      </w:tr>
    </w:tbl>
    <w:p w14:paraId="3DEDFDFA" w14:textId="77777777" w:rsidR="00F50D70" w:rsidRPr="00BE4F47" w:rsidRDefault="00137D7F" w:rsidP="008E113B">
      <w:pPr>
        <w:pStyle w:val="Titre3"/>
        <w:numPr>
          <w:ilvl w:val="2"/>
          <w:numId w:val="1"/>
        </w:numPr>
        <w:suppressAutoHyphens w:val="0"/>
        <w:spacing w:line="360" w:lineRule="auto"/>
        <w:rPr>
          <w:lang w:eastAsia="fr-FR"/>
        </w:rPr>
      </w:pPr>
      <w:bookmarkStart w:id="174" w:name="__RefHeading___Toc240715102"/>
      <w:bookmarkStart w:id="175" w:name="_Toc241707742"/>
      <w:bookmarkEnd w:id="174"/>
      <w:r w:rsidRPr="00BE4F47">
        <w:t>Exigences de périmètre et de contrainte</w:t>
      </w:r>
      <w:bookmarkEnd w:id="175"/>
    </w:p>
    <w:p w14:paraId="6E354053" w14:textId="77777777" w:rsidR="00F50D70" w:rsidRPr="00BE4F47" w:rsidRDefault="00137D7F" w:rsidP="008E113B">
      <w:pPr>
        <w:spacing w:before="200" w:after="130" w:line="360" w:lineRule="auto"/>
        <w:ind w:left="992"/>
        <w:rPr>
          <w:rFonts w:ascii="Aptos" w:hAnsi="Aptos"/>
        </w:rPr>
      </w:pPr>
      <w:bookmarkStart w:id="176" w:name="_Toc241082839"/>
      <w:bookmarkStart w:id="177" w:name="_Toc241670035"/>
      <w:bookmarkStart w:id="178" w:name="_Toc241707743"/>
      <w:r w:rsidRPr="00BE4F47">
        <w:rPr>
          <w:rFonts w:ascii="Aptos" w:hAnsi="Aptos"/>
          <w:color w:val="1A1A19"/>
          <w:sz w:val="20"/>
          <w:szCs w:val="20"/>
        </w:rPr>
        <w:t>Les trois exigences ci-dessous portent sur des engagements documentaires plutôt que sur des comportements du système. Elles se vérifient par la présence et le contenu d’une section du rapport final.</w:t>
      </w:r>
      <w:bookmarkEnd w:id="176"/>
      <w:bookmarkEnd w:id="177"/>
      <w:bookmarkEnd w:id="178"/>
    </w:p>
    <w:p w14:paraId="0BF1AE8F" w14:textId="77777777" w:rsidR="00F50D70" w:rsidRPr="00BE4F47" w:rsidRDefault="00137D7F" w:rsidP="008E113B">
      <w:pPr>
        <w:pStyle w:val="Lgende"/>
        <w:keepNext/>
        <w:spacing w:line="360" w:lineRule="auto"/>
        <w:rPr>
          <w:rFonts w:ascii="Aptos" w:hAnsi="Aptos"/>
        </w:rPr>
      </w:pPr>
      <w:bookmarkStart w:id="179" w:name="_Toc241082840"/>
      <w:bookmarkStart w:id="180" w:name="_Toc241670036"/>
      <w:bookmarkStart w:id="181" w:name="_Toc241707744"/>
      <w:r w:rsidRPr="00BE4F47">
        <w:rPr>
          <w:rFonts w:ascii="Aptos" w:hAnsi="Aptos"/>
        </w:rPr>
        <w:t>Tableau 1-8. Exigences de périmètre et de contrainte</w:t>
      </w:r>
      <w:bookmarkEnd w:id="179"/>
      <w:bookmarkEnd w:id="180"/>
      <w:bookmarkEnd w:id="181"/>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000"/>
        <w:gridCol w:w="2240"/>
        <w:gridCol w:w="1000"/>
        <w:gridCol w:w="940"/>
        <w:gridCol w:w="620"/>
        <w:gridCol w:w="2757"/>
      </w:tblGrid>
      <w:tr w:rsidR="00F50D70" w:rsidRPr="00BE4F47" w14:paraId="1C4C43E0" w14:textId="77777777" w:rsidTr="0036725C">
        <w:trPr>
          <w:trHeight w:val="246"/>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1C267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A1925D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1CCAA6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Source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3B205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GEMMA</w:t>
            </w:r>
          </w:p>
        </w:tc>
        <w:tc>
          <w:tcPr>
            <w:tcW w:w="62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F839E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c>
          <w:tcPr>
            <w:tcW w:w="27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77270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Moyen de vérification</w:t>
            </w:r>
          </w:p>
        </w:tc>
      </w:tr>
      <w:tr w:rsidR="00F50D70" w:rsidRPr="00BE4F47" w14:paraId="65B1176B" w14:textId="77777777">
        <w:trPr>
          <w:trHeight w:val="621"/>
        </w:trPr>
        <w:tc>
          <w:tcPr>
            <w:tcW w:w="1000" w:type="dxa"/>
            <w:tcBorders>
              <w:top w:val="single" w:sz="4" w:space="0" w:color="000000"/>
              <w:left w:val="single" w:sz="4" w:space="0" w:color="000000"/>
              <w:bottom w:val="single" w:sz="4" w:space="0" w:color="000000"/>
              <w:right w:val="single" w:sz="4" w:space="0" w:color="000000"/>
            </w:tcBorders>
          </w:tcPr>
          <w:p w14:paraId="34D4976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EX-C-01</w:t>
            </w:r>
          </w:p>
        </w:tc>
        <w:tc>
          <w:tcPr>
            <w:tcW w:w="2240" w:type="dxa"/>
            <w:tcBorders>
              <w:top w:val="single" w:sz="4" w:space="0" w:color="000000"/>
              <w:left w:val="single" w:sz="4" w:space="0" w:color="000000"/>
              <w:bottom w:val="single" w:sz="4" w:space="0" w:color="000000"/>
              <w:right w:val="single" w:sz="4" w:space="0" w:color="000000"/>
            </w:tcBorders>
          </w:tcPr>
          <w:p w14:paraId="5AC233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rapport final documente le domaine d’application du prototype et les limites au-delà desquelles ses résultats ne sont pas valides.</w:t>
            </w:r>
          </w:p>
        </w:tc>
        <w:tc>
          <w:tcPr>
            <w:tcW w:w="1000" w:type="dxa"/>
            <w:tcBorders>
              <w:top w:val="single" w:sz="4" w:space="0" w:color="000000"/>
              <w:left w:val="single" w:sz="4" w:space="0" w:color="000000"/>
              <w:bottom w:val="single" w:sz="4" w:space="0" w:color="000000"/>
              <w:right w:val="single" w:sz="4" w:space="0" w:color="000000"/>
            </w:tcBorders>
          </w:tcPr>
          <w:p w14:paraId="673E75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 sûreté</w:t>
            </w:r>
          </w:p>
        </w:tc>
        <w:tc>
          <w:tcPr>
            <w:tcW w:w="940" w:type="dxa"/>
            <w:tcBorders>
              <w:top w:val="single" w:sz="4" w:space="0" w:color="000000"/>
              <w:left w:val="single" w:sz="4" w:space="0" w:color="000000"/>
              <w:bottom w:val="single" w:sz="4" w:space="0" w:color="000000"/>
              <w:right w:val="single" w:sz="4" w:space="0" w:color="000000"/>
            </w:tcBorders>
          </w:tcPr>
          <w:p w14:paraId="622E1AE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1DCA9E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L1, L9</w:t>
            </w:r>
          </w:p>
        </w:tc>
        <w:tc>
          <w:tcPr>
            <w:tcW w:w="2757" w:type="dxa"/>
            <w:tcBorders>
              <w:top w:val="single" w:sz="4" w:space="0" w:color="000000"/>
              <w:left w:val="single" w:sz="4" w:space="0" w:color="000000"/>
              <w:bottom w:val="single" w:sz="4" w:space="0" w:color="000000"/>
              <w:right w:val="single" w:sz="4" w:space="0" w:color="000000"/>
            </w:tcBorders>
          </w:tcPr>
          <w:p w14:paraId="013EEA5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Revue du rapport final au jalon J5 : présence de la section et cohérence avec les résultats d’essais.</w:t>
            </w:r>
          </w:p>
        </w:tc>
      </w:tr>
      <w:tr w:rsidR="00F50D70" w:rsidRPr="00BE4F47" w14:paraId="58A7B296" w14:textId="77777777">
        <w:trPr>
          <w:trHeight w:val="612"/>
        </w:trPr>
        <w:tc>
          <w:tcPr>
            <w:tcW w:w="1000" w:type="dxa"/>
            <w:tcBorders>
              <w:top w:val="single" w:sz="4" w:space="0" w:color="000000"/>
              <w:left w:val="single" w:sz="4" w:space="0" w:color="000000"/>
              <w:bottom w:val="single" w:sz="4" w:space="0" w:color="000000"/>
              <w:right w:val="single" w:sz="4" w:space="0" w:color="000000"/>
            </w:tcBorders>
          </w:tcPr>
          <w:p w14:paraId="55DC61D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EX-C-02</w:t>
            </w:r>
          </w:p>
        </w:tc>
        <w:tc>
          <w:tcPr>
            <w:tcW w:w="2240" w:type="dxa"/>
            <w:tcBorders>
              <w:top w:val="single" w:sz="4" w:space="0" w:color="000000"/>
              <w:left w:val="single" w:sz="4" w:space="0" w:color="000000"/>
              <w:bottom w:val="single" w:sz="4" w:space="0" w:color="000000"/>
              <w:right w:val="single" w:sz="4" w:space="0" w:color="000000"/>
            </w:tcBorders>
          </w:tcPr>
          <w:p w14:paraId="02A1CDE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demeure un livrable académique entièrement simulé, non destiné au raccordement à une installation nucléaire réelle.</w:t>
            </w:r>
          </w:p>
        </w:tc>
        <w:tc>
          <w:tcPr>
            <w:tcW w:w="1000" w:type="dxa"/>
            <w:tcBorders>
              <w:top w:val="single" w:sz="4" w:space="0" w:color="000000"/>
              <w:left w:val="single" w:sz="4" w:space="0" w:color="000000"/>
              <w:bottom w:val="single" w:sz="4" w:space="0" w:color="000000"/>
              <w:right w:val="single" w:sz="4" w:space="0" w:color="000000"/>
            </w:tcBorders>
          </w:tcPr>
          <w:p w14:paraId="14658A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Périmètre du projet</w:t>
            </w:r>
          </w:p>
        </w:tc>
        <w:tc>
          <w:tcPr>
            <w:tcW w:w="940" w:type="dxa"/>
            <w:tcBorders>
              <w:top w:val="single" w:sz="4" w:space="0" w:color="000000"/>
              <w:left w:val="single" w:sz="4" w:space="0" w:color="000000"/>
              <w:bottom w:val="single" w:sz="4" w:space="0" w:color="000000"/>
              <w:right w:val="single" w:sz="4" w:space="0" w:color="000000"/>
            </w:tcBorders>
          </w:tcPr>
          <w:p w14:paraId="1676EB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6B2870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L1</w:t>
            </w:r>
          </w:p>
        </w:tc>
        <w:tc>
          <w:tcPr>
            <w:tcW w:w="2757" w:type="dxa"/>
            <w:tcBorders>
              <w:top w:val="single" w:sz="4" w:space="0" w:color="000000"/>
              <w:left w:val="single" w:sz="4" w:space="0" w:color="000000"/>
              <w:bottom w:val="single" w:sz="4" w:space="0" w:color="000000"/>
              <w:right w:val="single" w:sz="4" w:space="0" w:color="000000"/>
            </w:tcBorders>
          </w:tcPr>
          <w:p w14:paraId="0963E7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Revue de conformité au périmètre à chaque jalon.</w:t>
            </w:r>
          </w:p>
        </w:tc>
      </w:tr>
      <w:tr w:rsidR="00F50D70" w:rsidRPr="00BE4F47" w14:paraId="1DC6366D" w14:textId="77777777">
        <w:trPr>
          <w:trHeight w:val="804"/>
        </w:trPr>
        <w:tc>
          <w:tcPr>
            <w:tcW w:w="1000" w:type="dxa"/>
            <w:tcBorders>
              <w:top w:val="single" w:sz="4" w:space="0" w:color="000000"/>
              <w:left w:val="single" w:sz="4" w:space="0" w:color="000000"/>
              <w:bottom w:val="single" w:sz="4" w:space="0" w:color="000000"/>
              <w:right w:val="single" w:sz="4" w:space="0" w:color="000000"/>
            </w:tcBorders>
          </w:tcPr>
          <w:p w14:paraId="347B022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lastRenderedPageBreak/>
              <w:t>EX-C-03</w:t>
            </w:r>
          </w:p>
        </w:tc>
        <w:tc>
          <w:tcPr>
            <w:tcW w:w="2240" w:type="dxa"/>
            <w:tcBorders>
              <w:top w:val="single" w:sz="4" w:space="0" w:color="000000"/>
              <w:left w:val="single" w:sz="4" w:space="0" w:color="000000"/>
              <w:bottom w:val="single" w:sz="4" w:space="0" w:color="000000"/>
              <w:right w:val="single" w:sz="4" w:space="0" w:color="000000"/>
            </w:tcBorders>
          </w:tcPr>
          <w:p w14:paraId="6E0E6DF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rapport final traite explicitement les enjeux de confiance, de transparence et de responsabilité soulevés par l’usage d’un outil d’aide à la décision en contexte nucléaire.</w:t>
            </w:r>
          </w:p>
        </w:tc>
        <w:tc>
          <w:tcPr>
            <w:tcW w:w="1000" w:type="dxa"/>
            <w:tcBorders>
              <w:top w:val="single" w:sz="4" w:space="0" w:color="000000"/>
              <w:left w:val="single" w:sz="4" w:space="0" w:color="000000"/>
              <w:bottom w:val="single" w:sz="4" w:space="0" w:color="000000"/>
              <w:right w:val="single" w:sz="4" w:space="0" w:color="000000"/>
            </w:tcBorders>
          </w:tcPr>
          <w:p w14:paraId="3A9D17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Parties prenantes</w:t>
            </w:r>
          </w:p>
        </w:tc>
        <w:tc>
          <w:tcPr>
            <w:tcW w:w="940" w:type="dxa"/>
            <w:tcBorders>
              <w:top w:val="single" w:sz="4" w:space="0" w:color="000000"/>
              <w:left w:val="single" w:sz="4" w:space="0" w:color="000000"/>
              <w:bottom w:val="single" w:sz="4" w:space="0" w:color="000000"/>
              <w:right w:val="single" w:sz="4" w:space="0" w:color="000000"/>
            </w:tcBorders>
          </w:tcPr>
          <w:p w14:paraId="378995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343D0CE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L1</w:t>
            </w:r>
          </w:p>
        </w:tc>
        <w:tc>
          <w:tcPr>
            <w:tcW w:w="2757" w:type="dxa"/>
            <w:tcBorders>
              <w:top w:val="single" w:sz="4" w:space="0" w:color="000000"/>
              <w:left w:val="single" w:sz="4" w:space="0" w:color="000000"/>
              <w:bottom w:val="single" w:sz="4" w:space="0" w:color="000000"/>
              <w:right w:val="single" w:sz="4" w:space="0" w:color="000000"/>
            </w:tcBorders>
          </w:tcPr>
          <w:p w14:paraId="252529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Présence et contenu de la section « Impacts du projet et gestion des risques ».</w:t>
            </w:r>
          </w:p>
        </w:tc>
      </w:tr>
    </w:tbl>
    <w:p w14:paraId="145FB86E" w14:textId="77777777" w:rsidR="00F50D70" w:rsidRPr="00136F18" w:rsidRDefault="00137D7F" w:rsidP="008E113B">
      <w:pPr>
        <w:pStyle w:val="Titre1"/>
        <w:spacing w:line="360" w:lineRule="auto"/>
      </w:pPr>
      <w:bookmarkStart w:id="182" w:name="__RefHeading___Toc240715104"/>
      <w:bookmarkStart w:id="183" w:name="_Toc241707745"/>
      <w:r w:rsidRPr="00136F18">
        <w:t>Description des livrables du projet</w:t>
      </w:r>
      <w:bookmarkEnd w:id="182"/>
      <w:bookmarkEnd w:id="183"/>
    </w:p>
    <w:p w14:paraId="37330604" w14:textId="77777777" w:rsidR="00F50D70" w:rsidRPr="00BE4F47" w:rsidRDefault="00137D7F" w:rsidP="008E113B">
      <w:pPr>
        <w:spacing w:before="200" w:after="130" w:line="360" w:lineRule="auto"/>
        <w:ind w:left="360"/>
        <w:rPr>
          <w:rFonts w:ascii="Aptos" w:hAnsi="Aptos"/>
        </w:rPr>
      </w:pPr>
      <w:bookmarkStart w:id="184" w:name="_Toc241082842"/>
      <w:bookmarkStart w:id="185" w:name="_Toc241670038"/>
      <w:bookmarkStart w:id="186" w:name="_Toc241707746"/>
      <w:r w:rsidRPr="00BE4F47">
        <w:rPr>
          <w:rFonts w:ascii="Aptos" w:hAnsi="Aptos"/>
          <w:color w:val="1A1A19"/>
          <w:sz w:val="20"/>
          <w:szCs w:val="20"/>
        </w:rPr>
        <w:t>La section 1 a établi ce que le système doit faire. Celle-ci dit ce que nous remettons au client.</w:t>
      </w:r>
      <w:bookmarkEnd w:id="184"/>
      <w:bookmarkEnd w:id="185"/>
      <w:bookmarkEnd w:id="186"/>
    </w:p>
    <w:p w14:paraId="3B7A87D1" w14:textId="77777777" w:rsidR="00F50D70" w:rsidRPr="00136F18" w:rsidRDefault="00137D7F" w:rsidP="008E113B">
      <w:pPr>
        <w:pStyle w:val="Titre2"/>
        <w:spacing w:line="360" w:lineRule="auto"/>
      </w:pPr>
      <w:bookmarkStart w:id="187" w:name="__RefHeading___Toc240715105"/>
      <w:bookmarkStart w:id="188" w:name="_Toc241707747"/>
      <w:bookmarkEnd w:id="187"/>
      <w:r w:rsidRPr="00136F18">
        <w:t>Livrables techniques</w:t>
      </w:r>
      <w:bookmarkEnd w:id="188"/>
    </w:p>
    <w:p w14:paraId="66B937E3" w14:textId="77777777" w:rsidR="00F50D70" w:rsidRPr="00BE4F47" w:rsidRDefault="00137D7F" w:rsidP="008E113B">
      <w:pPr>
        <w:spacing w:after="130" w:line="360" w:lineRule="auto"/>
        <w:ind w:left="360"/>
        <w:rPr>
          <w:rFonts w:ascii="Aptos" w:hAnsi="Aptos"/>
        </w:rPr>
      </w:pPr>
      <w:bookmarkStart w:id="189" w:name="_Toc241082844"/>
      <w:bookmarkStart w:id="190" w:name="_Toc241670040"/>
      <w:bookmarkStart w:id="191" w:name="_Toc241707748"/>
      <w:r w:rsidRPr="00BE4F47">
        <w:rPr>
          <w:rFonts w:ascii="Aptos" w:hAnsi="Aptos"/>
          <w:color w:val="1A1A19"/>
          <w:sz w:val="20"/>
          <w:szCs w:val="20"/>
        </w:rPr>
        <w:t>Les livrables techniques sont au nombre de six :</w:t>
      </w:r>
      <w:bookmarkEnd w:id="189"/>
      <w:bookmarkEnd w:id="190"/>
      <w:bookmarkEnd w:id="191"/>
    </w:p>
    <w:p w14:paraId="6AA1ECEF" w14:textId="77777777" w:rsidR="00F50D70" w:rsidRPr="00BE4F47" w:rsidRDefault="00137D7F" w:rsidP="008E113B">
      <w:pPr>
        <w:numPr>
          <w:ilvl w:val="0"/>
          <w:numId w:val="20"/>
        </w:numPr>
        <w:spacing w:after="130" w:line="360" w:lineRule="auto"/>
        <w:ind w:left="720"/>
        <w:rPr>
          <w:rFonts w:ascii="Aptos" w:hAnsi="Aptos"/>
        </w:rPr>
      </w:pPr>
      <w:bookmarkStart w:id="192" w:name="_Toc241082845"/>
      <w:bookmarkStart w:id="193" w:name="_Toc241670041"/>
      <w:bookmarkStart w:id="194" w:name="_Toc241707749"/>
      <w:r w:rsidRPr="00BE4F47">
        <w:rPr>
          <w:rFonts w:ascii="Aptos" w:hAnsi="Aptos"/>
          <w:color w:val="1A1A19"/>
          <w:sz w:val="20"/>
          <w:szCs w:val="20"/>
        </w:rPr>
        <w:t>le prototype du jumeau numérique (L01) et l’interface d’aide à la décision (L02) forment le produit remis.</w:t>
      </w:r>
      <w:bookmarkEnd w:id="192"/>
      <w:bookmarkEnd w:id="193"/>
      <w:bookmarkEnd w:id="194"/>
    </w:p>
    <w:p w14:paraId="610B751F" w14:textId="77777777" w:rsidR="00F50D70" w:rsidRPr="00BE4F47" w:rsidRDefault="00137D7F" w:rsidP="008E113B">
      <w:pPr>
        <w:numPr>
          <w:ilvl w:val="0"/>
          <w:numId w:val="20"/>
        </w:numPr>
        <w:spacing w:after="130" w:line="360" w:lineRule="auto"/>
        <w:ind w:left="720"/>
        <w:rPr>
          <w:rFonts w:ascii="Aptos" w:hAnsi="Aptos"/>
        </w:rPr>
      </w:pPr>
      <w:bookmarkStart w:id="195" w:name="_Toc241082846"/>
      <w:bookmarkStart w:id="196" w:name="_Toc241670042"/>
      <w:bookmarkStart w:id="197" w:name="_Toc241707750"/>
      <w:r w:rsidRPr="00BE4F47">
        <w:rPr>
          <w:rFonts w:ascii="Aptos" w:hAnsi="Aptos"/>
          <w:color w:val="1A1A19"/>
          <w:sz w:val="20"/>
          <w:szCs w:val="20"/>
        </w:rPr>
        <w:t>le registre des exigences (L03), le GEMMA (L04) et le plan de vérification et de validation (L05) énoncent ce que le prototype doit faire et comment on le vérifie.</w:t>
      </w:r>
      <w:bookmarkEnd w:id="195"/>
      <w:bookmarkEnd w:id="196"/>
      <w:bookmarkEnd w:id="197"/>
    </w:p>
    <w:p w14:paraId="0F992079"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198" w:name="_Toc241082847"/>
      <w:bookmarkStart w:id="199" w:name="_Toc241670043"/>
      <w:bookmarkStart w:id="200" w:name="_Toc241707751"/>
      <w:r w:rsidRPr="00BE4F47">
        <w:rPr>
          <w:rFonts w:ascii="Aptos" w:hAnsi="Aptos"/>
          <w:color w:val="1A1A19"/>
          <w:sz w:val="20"/>
          <w:szCs w:val="20"/>
        </w:rPr>
        <w:t>les résultats de la campagne d’essais (L06) établissent ce qu’il fait réellement.</w:t>
      </w:r>
      <w:bookmarkEnd w:id="198"/>
      <w:bookmarkEnd w:id="199"/>
      <w:bookmarkEnd w:id="200"/>
    </w:p>
    <w:p w14:paraId="3641840E" w14:textId="77777777" w:rsidR="00F50D70" w:rsidRPr="00136F18" w:rsidRDefault="00137D7F" w:rsidP="008E113B">
      <w:pPr>
        <w:pStyle w:val="Titre2"/>
        <w:spacing w:line="360" w:lineRule="auto"/>
      </w:pPr>
      <w:bookmarkStart w:id="201" w:name="__RefHeading___Toc240715110"/>
      <w:bookmarkStart w:id="202" w:name="_Toc241707752"/>
      <w:bookmarkEnd w:id="201"/>
      <w:r w:rsidRPr="00136F18">
        <w:t>Livrables de gestion</w:t>
      </w:r>
      <w:bookmarkEnd w:id="202"/>
    </w:p>
    <w:p w14:paraId="0A73E3B5" w14:textId="77777777" w:rsidR="00F50D70" w:rsidRPr="00BE4F47" w:rsidRDefault="00137D7F" w:rsidP="008E113B">
      <w:pPr>
        <w:spacing w:after="130" w:line="360" w:lineRule="auto"/>
        <w:ind w:left="360"/>
        <w:rPr>
          <w:rFonts w:ascii="Aptos" w:hAnsi="Aptos"/>
        </w:rPr>
      </w:pPr>
      <w:bookmarkStart w:id="203" w:name="_Toc241082849"/>
      <w:bookmarkStart w:id="204" w:name="_Toc241670045"/>
      <w:bookmarkStart w:id="205" w:name="_Toc241707753"/>
      <w:r w:rsidRPr="00BE4F47">
        <w:rPr>
          <w:rFonts w:ascii="Aptos" w:hAnsi="Aptos"/>
          <w:color w:val="1A1A19"/>
          <w:sz w:val="20"/>
          <w:szCs w:val="20"/>
        </w:rPr>
        <w:t>Les livrables de gestion sont le plan de projet et ses mises à jour, le rapport final et la présentation orale.</w:t>
      </w:r>
      <w:bookmarkEnd w:id="203"/>
      <w:bookmarkEnd w:id="204"/>
      <w:bookmarkEnd w:id="205"/>
    </w:p>
    <w:p w14:paraId="1AF354CC"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06" w:name="_Toc241082850"/>
      <w:bookmarkStart w:id="207" w:name="_Toc241670046"/>
      <w:bookmarkStart w:id="208" w:name="_Toc241707754"/>
      <w:r w:rsidRPr="00BE4F47">
        <w:rPr>
          <w:rFonts w:ascii="Aptos" w:hAnsi="Aptos"/>
          <w:color w:val="1A1A19"/>
          <w:sz w:val="20"/>
          <w:szCs w:val="20"/>
        </w:rPr>
        <w:t>Le rapport final portera la recommandation d’ingénierie, avec nos conclusions et les limites du mandat, comme l’exige EX-C-01.</w:t>
      </w:r>
      <w:bookmarkEnd w:id="206"/>
      <w:bookmarkEnd w:id="207"/>
      <w:bookmarkEnd w:id="208"/>
    </w:p>
    <w:p w14:paraId="0408D8E0" w14:textId="77777777" w:rsidR="00F50D70" w:rsidRPr="00136F18" w:rsidRDefault="00137D7F" w:rsidP="008E113B">
      <w:pPr>
        <w:pStyle w:val="Titre2"/>
        <w:spacing w:line="360" w:lineRule="auto"/>
      </w:pPr>
      <w:bookmarkStart w:id="209" w:name="__RefHeading___Toc240715113"/>
      <w:bookmarkStart w:id="210" w:name="_Toc241707755"/>
      <w:bookmarkEnd w:id="209"/>
      <w:r w:rsidRPr="00136F18">
        <w:t>Tableau des livrables</w:t>
      </w:r>
      <w:bookmarkEnd w:id="210"/>
    </w:p>
    <w:p w14:paraId="6274B6C8" w14:textId="77777777" w:rsidR="00F50D70" w:rsidRDefault="00137D7F" w:rsidP="008E113B">
      <w:pPr>
        <w:spacing w:after="130" w:line="360" w:lineRule="auto"/>
        <w:ind w:left="360"/>
        <w:rPr>
          <w:rFonts w:ascii="Aptos" w:eastAsia="Calibri" w:hAnsi="Aptos" w:cs="Calibri"/>
          <w:color w:val="1A1A19"/>
          <w:sz w:val="20"/>
          <w:szCs w:val="20"/>
        </w:rPr>
      </w:pPr>
      <w:bookmarkStart w:id="211" w:name="_Toc241082852"/>
      <w:bookmarkStart w:id="212" w:name="_Toc241670048"/>
      <w:bookmarkStart w:id="213" w:name="_Toc241707756"/>
      <w:r w:rsidRPr="00BE4F47">
        <w:rPr>
          <w:rFonts w:ascii="Aptos" w:hAnsi="Aptos"/>
          <w:color w:val="1A1A19"/>
          <w:sz w:val="20"/>
          <w:szCs w:val="20"/>
        </w:rPr>
        <w:t>Le tableau 2-1 donne, pour chaque livrable, son critère d’acceptation et le jalon auquel il est attendu.</w:t>
      </w:r>
      <w:bookmarkEnd w:id="211"/>
      <w:bookmarkEnd w:id="212"/>
      <w:bookmarkEnd w:id="213"/>
    </w:p>
    <w:p w14:paraId="2904A4C4" w14:textId="77777777" w:rsidR="00F50D70" w:rsidRPr="00BE4F47" w:rsidRDefault="00137D7F" w:rsidP="008E113B">
      <w:pPr>
        <w:pStyle w:val="Lgende"/>
        <w:keepNext/>
        <w:spacing w:line="360" w:lineRule="auto"/>
        <w:rPr>
          <w:rFonts w:ascii="Aptos" w:hAnsi="Aptos"/>
        </w:rPr>
      </w:pPr>
      <w:bookmarkStart w:id="214" w:name="_Toc241082853"/>
      <w:bookmarkStart w:id="215" w:name="_Toc241670049"/>
      <w:bookmarkStart w:id="216" w:name="_Toc241707757"/>
      <w:r w:rsidRPr="00BE4F47">
        <w:rPr>
          <w:rFonts w:ascii="Aptos" w:hAnsi="Aptos"/>
        </w:rPr>
        <w:t>Tableau 2-1. Livrables, critères d’acceptation et jalons de remise</w:t>
      </w:r>
      <w:bookmarkEnd w:id="214"/>
      <w:bookmarkEnd w:id="215"/>
      <w:bookmarkEnd w:id="216"/>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540"/>
        <w:gridCol w:w="1650"/>
        <w:gridCol w:w="1100"/>
        <w:gridCol w:w="2600"/>
        <w:gridCol w:w="850"/>
        <w:gridCol w:w="1817"/>
      </w:tblGrid>
      <w:tr w:rsidR="00F50D70" w:rsidRPr="00BE4F47" w14:paraId="73B20FAF" w14:textId="77777777" w:rsidTr="0036725C">
        <w:trPr>
          <w:trHeight w:val="248"/>
          <w:tblHeader/>
        </w:trPr>
        <w:tc>
          <w:tcPr>
            <w:tcW w:w="5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231ACD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6BFE8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Livrable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B3ECC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Type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3391DA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Critère d’acceptation</w:t>
            </w:r>
          </w:p>
        </w:tc>
        <w:tc>
          <w:tcPr>
            <w:tcW w:w="8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13261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Jalon</w:t>
            </w:r>
          </w:p>
        </w:tc>
        <w:tc>
          <w:tcPr>
            <w:tcW w:w="181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4C63A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Responsable</w:t>
            </w:r>
          </w:p>
        </w:tc>
      </w:tr>
      <w:tr w:rsidR="00F50D70" w:rsidRPr="00BE4F47" w14:paraId="6D551F0A" w14:textId="77777777">
        <w:trPr>
          <w:trHeight w:val="440"/>
        </w:trPr>
        <w:tc>
          <w:tcPr>
            <w:tcW w:w="540" w:type="dxa"/>
            <w:tcBorders>
              <w:top w:val="single" w:sz="4" w:space="0" w:color="000000"/>
              <w:left w:val="single" w:sz="4" w:space="0" w:color="000000"/>
              <w:bottom w:val="single" w:sz="4" w:space="0" w:color="000000"/>
              <w:right w:val="single" w:sz="4" w:space="0" w:color="000000"/>
            </w:tcBorders>
          </w:tcPr>
          <w:p w14:paraId="11108FD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L01</w:t>
            </w:r>
          </w:p>
        </w:tc>
        <w:tc>
          <w:tcPr>
            <w:tcW w:w="1650" w:type="dxa"/>
            <w:tcBorders>
              <w:top w:val="single" w:sz="4" w:space="0" w:color="000000"/>
              <w:left w:val="single" w:sz="4" w:space="0" w:color="000000"/>
              <w:bottom w:val="single" w:sz="4" w:space="0" w:color="000000"/>
              <w:right w:val="single" w:sz="4" w:space="0" w:color="000000"/>
            </w:tcBorders>
          </w:tcPr>
          <w:p w14:paraId="436B91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Prototype du jumeau numérique</w:t>
            </w:r>
          </w:p>
        </w:tc>
        <w:tc>
          <w:tcPr>
            <w:tcW w:w="1100" w:type="dxa"/>
            <w:tcBorders>
              <w:top w:val="single" w:sz="4" w:space="0" w:color="000000"/>
              <w:left w:val="single" w:sz="4" w:space="0" w:color="000000"/>
              <w:bottom w:val="single" w:sz="4" w:space="0" w:color="000000"/>
              <w:right w:val="single" w:sz="4" w:space="0" w:color="000000"/>
            </w:tcBorders>
          </w:tcPr>
          <w:p w14:paraId="10CB563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600" w:type="dxa"/>
            <w:tcBorders>
              <w:top w:val="single" w:sz="4" w:space="0" w:color="000000"/>
              <w:left w:val="single" w:sz="4" w:space="0" w:color="000000"/>
              <w:bottom w:val="single" w:sz="4" w:space="0" w:color="000000"/>
              <w:right w:val="single" w:sz="4" w:space="0" w:color="000000"/>
            </w:tcBorders>
          </w:tcPr>
          <w:p w14:paraId="63B68F1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EX-F-01 à EX-F-03 et EX-F-10 démontrées par essai, résultats consignés. Modèle de référence indépendant disponible et son écart au modèle de la boucle quantifié.</w:t>
            </w:r>
          </w:p>
        </w:tc>
        <w:tc>
          <w:tcPr>
            <w:tcW w:w="850" w:type="dxa"/>
            <w:tcBorders>
              <w:top w:val="single" w:sz="4" w:space="0" w:color="000000"/>
              <w:left w:val="single" w:sz="4" w:space="0" w:color="000000"/>
              <w:bottom w:val="single" w:sz="4" w:space="0" w:color="000000"/>
              <w:right w:val="single" w:sz="4" w:space="0" w:color="000000"/>
            </w:tcBorders>
          </w:tcPr>
          <w:p w14:paraId="6D9D01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817" w:type="dxa"/>
            <w:tcBorders>
              <w:top w:val="single" w:sz="4" w:space="0" w:color="000000"/>
              <w:left w:val="single" w:sz="4" w:space="0" w:color="000000"/>
              <w:bottom w:val="single" w:sz="4" w:space="0" w:color="000000"/>
              <w:right w:val="single" w:sz="4" w:space="0" w:color="000000"/>
            </w:tcBorders>
          </w:tcPr>
          <w:p w14:paraId="3B6002B8" w14:textId="53709908" w:rsidR="00F50D70" w:rsidRPr="00BE4F47" w:rsidRDefault="005E5B35"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 xml:space="preserve"> </w:t>
            </w:r>
            <w:r w:rsidR="002F3B50">
              <w:rPr>
                <w:rFonts w:ascii="Aptos" w:eastAsia="Calibri" w:hAnsi="Aptos" w:cs="Calibri"/>
                <w:color w:val="1A1A19"/>
                <w:sz w:val="16"/>
                <w:szCs w:val="16"/>
              </w:rPr>
              <w:t xml:space="preserve">Toute l’équipe </w:t>
            </w:r>
          </w:p>
        </w:tc>
      </w:tr>
      <w:tr w:rsidR="00F50D70" w:rsidRPr="00BE4F47" w14:paraId="15BE4BFA" w14:textId="77777777">
        <w:trPr>
          <w:trHeight w:val="431"/>
        </w:trPr>
        <w:tc>
          <w:tcPr>
            <w:tcW w:w="540" w:type="dxa"/>
            <w:tcBorders>
              <w:top w:val="single" w:sz="4" w:space="0" w:color="000000"/>
              <w:left w:val="single" w:sz="4" w:space="0" w:color="000000"/>
              <w:bottom w:val="single" w:sz="4" w:space="0" w:color="000000"/>
              <w:right w:val="single" w:sz="4" w:space="0" w:color="000000"/>
            </w:tcBorders>
          </w:tcPr>
          <w:p w14:paraId="7594A6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L02</w:t>
            </w:r>
          </w:p>
        </w:tc>
        <w:tc>
          <w:tcPr>
            <w:tcW w:w="1650" w:type="dxa"/>
            <w:tcBorders>
              <w:top w:val="single" w:sz="4" w:space="0" w:color="000000"/>
              <w:left w:val="single" w:sz="4" w:space="0" w:color="000000"/>
              <w:bottom w:val="single" w:sz="4" w:space="0" w:color="000000"/>
              <w:right w:val="single" w:sz="4" w:space="0" w:color="000000"/>
            </w:tcBorders>
          </w:tcPr>
          <w:p w14:paraId="62C1EE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Interface d’aide à la décision</w:t>
            </w:r>
          </w:p>
        </w:tc>
        <w:tc>
          <w:tcPr>
            <w:tcW w:w="1100" w:type="dxa"/>
            <w:tcBorders>
              <w:top w:val="single" w:sz="4" w:space="0" w:color="000000"/>
              <w:left w:val="single" w:sz="4" w:space="0" w:color="000000"/>
              <w:bottom w:val="single" w:sz="4" w:space="0" w:color="000000"/>
              <w:right w:val="single" w:sz="4" w:space="0" w:color="000000"/>
            </w:tcBorders>
          </w:tcPr>
          <w:p w14:paraId="44E4C0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600" w:type="dxa"/>
            <w:tcBorders>
              <w:top w:val="single" w:sz="4" w:space="0" w:color="000000"/>
              <w:left w:val="single" w:sz="4" w:space="0" w:color="000000"/>
              <w:bottom w:val="single" w:sz="4" w:space="0" w:color="000000"/>
              <w:right w:val="single" w:sz="4" w:space="0" w:color="000000"/>
            </w:tcBorders>
          </w:tcPr>
          <w:p w14:paraId="16B65CC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EX-F-04 à EX-F-09 et EX-Q-03 démontrées ; liste de contrôle d’affichage remplie.</w:t>
            </w:r>
          </w:p>
        </w:tc>
        <w:tc>
          <w:tcPr>
            <w:tcW w:w="850" w:type="dxa"/>
            <w:tcBorders>
              <w:top w:val="single" w:sz="4" w:space="0" w:color="000000"/>
              <w:left w:val="single" w:sz="4" w:space="0" w:color="000000"/>
              <w:bottom w:val="single" w:sz="4" w:space="0" w:color="000000"/>
              <w:right w:val="single" w:sz="4" w:space="0" w:color="000000"/>
            </w:tcBorders>
          </w:tcPr>
          <w:p w14:paraId="6D130A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817" w:type="dxa"/>
            <w:tcBorders>
              <w:top w:val="single" w:sz="4" w:space="0" w:color="000000"/>
              <w:left w:val="single" w:sz="4" w:space="0" w:color="000000"/>
              <w:bottom w:val="single" w:sz="4" w:space="0" w:color="000000"/>
              <w:right w:val="single" w:sz="4" w:space="0" w:color="000000"/>
            </w:tcBorders>
          </w:tcPr>
          <w:p w14:paraId="0E84BFC9" w14:textId="0E910B17" w:rsidR="00F50D70" w:rsidRPr="00BE4F47" w:rsidRDefault="002F3B50"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Toute l’équipe</w:t>
            </w:r>
          </w:p>
        </w:tc>
      </w:tr>
      <w:tr w:rsidR="00F50D70" w:rsidRPr="00BE4F47" w14:paraId="61EB66C1" w14:textId="77777777">
        <w:trPr>
          <w:trHeight w:val="431"/>
        </w:trPr>
        <w:tc>
          <w:tcPr>
            <w:tcW w:w="540" w:type="dxa"/>
            <w:tcBorders>
              <w:top w:val="single" w:sz="4" w:space="0" w:color="000000"/>
              <w:left w:val="single" w:sz="4" w:space="0" w:color="000000"/>
              <w:bottom w:val="single" w:sz="4" w:space="0" w:color="000000"/>
              <w:right w:val="single" w:sz="4" w:space="0" w:color="000000"/>
            </w:tcBorders>
          </w:tcPr>
          <w:p w14:paraId="4075740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L03</w:t>
            </w:r>
          </w:p>
        </w:tc>
        <w:tc>
          <w:tcPr>
            <w:tcW w:w="1650" w:type="dxa"/>
            <w:tcBorders>
              <w:top w:val="single" w:sz="4" w:space="0" w:color="000000"/>
              <w:left w:val="single" w:sz="4" w:space="0" w:color="000000"/>
              <w:bottom w:val="single" w:sz="4" w:space="0" w:color="000000"/>
              <w:right w:val="single" w:sz="4" w:space="0" w:color="000000"/>
            </w:tcBorders>
          </w:tcPr>
          <w:p w14:paraId="74F067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Registre des exigences</w:t>
            </w:r>
          </w:p>
        </w:tc>
        <w:tc>
          <w:tcPr>
            <w:tcW w:w="1100" w:type="dxa"/>
            <w:tcBorders>
              <w:top w:val="single" w:sz="4" w:space="0" w:color="000000"/>
              <w:left w:val="single" w:sz="4" w:space="0" w:color="000000"/>
              <w:bottom w:val="single" w:sz="4" w:space="0" w:color="000000"/>
              <w:right w:val="single" w:sz="4" w:space="0" w:color="000000"/>
            </w:tcBorders>
          </w:tcPr>
          <w:p w14:paraId="45CA7B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600" w:type="dxa"/>
            <w:tcBorders>
              <w:top w:val="single" w:sz="4" w:space="0" w:color="000000"/>
              <w:left w:val="single" w:sz="4" w:space="0" w:color="000000"/>
              <w:bottom w:val="single" w:sz="4" w:space="0" w:color="000000"/>
              <w:right w:val="single" w:sz="4" w:space="0" w:color="000000"/>
            </w:tcBorders>
          </w:tcPr>
          <w:p w14:paraId="040077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Chaque exigence porte un moyen de vérification, un état GEMMA et un lot.</w:t>
            </w:r>
          </w:p>
        </w:tc>
        <w:tc>
          <w:tcPr>
            <w:tcW w:w="850" w:type="dxa"/>
            <w:tcBorders>
              <w:top w:val="single" w:sz="4" w:space="0" w:color="000000"/>
              <w:left w:val="single" w:sz="4" w:space="0" w:color="000000"/>
              <w:bottom w:val="single" w:sz="4" w:space="0" w:color="000000"/>
              <w:right w:val="single" w:sz="4" w:space="0" w:color="000000"/>
            </w:tcBorders>
          </w:tcPr>
          <w:p w14:paraId="20E527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J1</w:t>
            </w:r>
          </w:p>
        </w:tc>
        <w:tc>
          <w:tcPr>
            <w:tcW w:w="1817" w:type="dxa"/>
            <w:tcBorders>
              <w:top w:val="single" w:sz="4" w:space="0" w:color="000000"/>
              <w:left w:val="single" w:sz="4" w:space="0" w:color="000000"/>
              <w:bottom w:val="single" w:sz="4" w:space="0" w:color="000000"/>
              <w:right w:val="single" w:sz="4" w:space="0" w:color="000000"/>
            </w:tcBorders>
          </w:tcPr>
          <w:p w14:paraId="12299FFD" w14:textId="1D3F1155" w:rsidR="00F50D70" w:rsidRPr="00BE4F47" w:rsidRDefault="000D4376"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20"/>
                <w:szCs w:val="20"/>
              </w:rPr>
              <w:t>Ibrahima Diallo</w:t>
            </w:r>
          </w:p>
        </w:tc>
      </w:tr>
      <w:tr w:rsidR="00F50D70" w:rsidRPr="00BE4F47" w14:paraId="00FE5D33" w14:textId="77777777">
        <w:trPr>
          <w:trHeight w:val="440"/>
        </w:trPr>
        <w:tc>
          <w:tcPr>
            <w:tcW w:w="540" w:type="dxa"/>
            <w:tcBorders>
              <w:top w:val="single" w:sz="4" w:space="0" w:color="000000"/>
              <w:left w:val="single" w:sz="4" w:space="0" w:color="000000"/>
              <w:bottom w:val="single" w:sz="4" w:space="0" w:color="000000"/>
              <w:right w:val="single" w:sz="4" w:space="0" w:color="000000"/>
            </w:tcBorders>
          </w:tcPr>
          <w:p w14:paraId="1ED1DCA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lastRenderedPageBreak/>
              <w:t>L04</w:t>
            </w:r>
          </w:p>
        </w:tc>
        <w:tc>
          <w:tcPr>
            <w:tcW w:w="1650" w:type="dxa"/>
            <w:tcBorders>
              <w:top w:val="single" w:sz="4" w:space="0" w:color="000000"/>
              <w:left w:val="single" w:sz="4" w:space="0" w:color="000000"/>
              <w:bottom w:val="single" w:sz="4" w:space="0" w:color="000000"/>
              <w:right w:val="single" w:sz="4" w:space="0" w:color="000000"/>
            </w:tcBorders>
          </w:tcPr>
          <w:p w14:paraId="740A7A4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GEMMA</w:t>
            </w:r>
          </w:p>
        </w:tc>
        <w:tc>
          <w:tcPr>
            <w:tcW w:w="1100" w:type="dxa"/>
            <w:tcBorders>
              <w:top w:val="single" w:sz="4" w:space="0" w:color="000000"/>
              <w:left w:val="single" w:sz="4" w:space="0" w:color="000000"/>
              <w:bottom w:val="single" w:sz="4" w:space="0" w:color="000000"/>
              <w:right w:val="single" w:sz="4" w:space="0" w:color="000000"/>
            </w:tcBorders>
          </w:tcPr>
          <w:p w14:paraId="510316C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600" w:type="dxa"/>
            <w:tcBorders>
              <w:top w:val="single" w:sz="4" w:space="0" w:color="000000"/>
              <w:left w:val="single" w:sz="4" w:space="0" w:color="000000"/>
              <w:bottom w:val="single" w:sz="4" w:space="0" w:color="000000"/>
              <w:right w:val="single" w:sz="4" w:space="0" w:color="000000"/>
            </w:tcBorders>
          </w:tcPr>
          <w:p w14:paraId="7E8D56F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Cohérence vérifiée : aucun état sans sortie, aucune transition sans condition.</w:t>
            </w:r>
          </w:p>
        </w:tc>
        <w:tc>
          <w:tcPr>
            <w:tcW w:w="850" w:type="dxa"/>
            <w:tcBorders>
              <w:top w:val="single" w:sz="4" w:space="0" w:color="000000"/>
              <w:left w:val="single" w:sz="4" w:space="0" w:color="000000"/>
              <w:bottom w:val="single" w:sz="4" w:space="0" w:color="000000"/>
              <w:right w:val="single" w:sz="4" w:space="0" w:color="000000"/>
            </w:tcBorders>
          </w:tcPr>
          <w:p w14:paraId="0F4DFB9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J1</w:t>
            </w:r>
          </w:p>
        </w:tc>
        <w:tc>
          <w:tcPr>
            <w:tcW w:w="1817" w:type="dxa"/>
            <w:tcBorders>
              <w:top w:val="single" w:sz="4" w:space="0" w:color="000000"/>
              <w:left w:val="single" w:sz="4" w:space="0" w:color="000000"/>
              <w:bottom w:val="single" w:sz="4" w:space="0" w:color="000000"/>
              <w:right w:val="single" w:sz="4" w:space="0" w:color="000000"/>
            </w:tcBorders>
          </w:tcPr>
          <w:p w14:paraId="3DB918EF" w14:textId="442F6E4C" w:rsidR="00F50D70" w:rsidRPr="00BE4F47" w:rsidRDefault="000D4376"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20"/>
                <w:szCs w:val="20"/>
              </w:rPr>
              <w:t>Aboubacar Sidiki Yansané</w:t>
            </w:r>
          </w:p>
        </w:tc>
      </w:tr>
      <w:tr w:rsidR="00F50D70" w:rsidRPr="00BE4F47" w14:paraId="7B2FA450" w14:textId="77777777">
        <w:trPr>
          <w:trHeight w:val="431"/>
        </w:trPr>
        <w:tc>
          <w:tcPr>
            <w:tcW w:w="540" w:type="dxa"/>
            <w:tcBorders>
              <w:top w:val="single" w:sz="4" w:space="0" w:color="000000"/>
              <w:left w:val="single" w:sz="4" w:space="0" w:color="000000"/>
              <w:bottom w:val="single" w:sz="4" w:space="0" w:color="000000"/>
              <w:right w:val="single" w:sz="4" w:space="0" w:color="000000"/>
            </w:tcBorders>
          </w:tcPr>
          <w:p w14:paraId="394A0E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L05</w:t>
            </w:r>
          </w:p>
        </w:tc>
        <w:tc>
          <w:tcPr>
            <w:tcW w:w="1650" w:type="dxa"/>
            <w:tcBorders>
              <w:top w:val="single" w:sz="4" w:space="0" w:color="000000"/>
              <w:left w:val="single" w:sz="4" w:space="0" w:color="000000"/>
              <w:bottom w:val="single" w:sz="4" w:space="0" w:color="000000"/>
              <w:right w:val="single" w:sz="4" w:space="0" w:color="000000"/>
            </w:tcBorders>
          </w:tcPr>
          <w:p w14:paraId="6929545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vérification et de validation</w:t>
            </w:r>
          </w:p>
        </w:tc>
        <w:tc>
          <w:tcPr>
            <w:tcW w:w="1100" w:type="dxa"/>
            <w:tcBorders>
              <w:top w:val="single" w:sz="4" w:space="0" w:color="000000"/>
              <w:left w:val="single" w:sz="4" w:space="0" w:color="000000"/>
              <w:bottom w:val="single" w:sz="4" w:space="0" w:color="000000"/>
              <w:right w:val="single" w:sz="4" w:space="0" w:color="000000"/>
            </w:tcBorders>
          </w:tcPr>
          <w:p w14:paraId="7195259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600" w:type="dxa"/>
            <w:tcBorders>
              <w:top w:val="single" w:sz="4" w:space="0" w:color="000000"/>
              <w:left w:val="single" w:sz="4" w:space="0" w:color="000000"/>
              <w:bottom w:val="single" w:sz="4" w:space="0" w:color="000000"/>
              <w:right w:val="single" w:sz="4" w:space="0" w:color="000000"/>
            </w:tcBorders>
          </w:tcPr>
          <w:p w14:paraId="01CFA3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Contenu conforme à celui exigé par IEEE 1012 ; degré d’indépendance précisé ; architecture retenue et modèle de référence décrits.</w:t>
            </w:r>
          </w:p>
        </w:tc>
        <w:tc>
          <w:tcPr>
            <w:tcW w:w="850" w:type="dxa"/>
            <w:tcBorders>
              <w:top w:val="single" w:sz="4" w:space="0" w:color="000000"/>
              <w:left w:val="single" w:sz="4" w:space="0" w:color="000000"/>
              <w:bottom w:val="single" w:sz="4" w:space="0" w:color="000000"/>
              <w:right w:val="single" w:sz="4" w:space="0" w:color="000000"/>
            </w:tcBorders>
          </w:tcPr>
          <w:p w14:paraId="15CA599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817" w:type="dxa"/>
            <w:tcBorders>
              <w:top w:val="single" w:sz="4" w:space="0" w:color="000000"/>
              <w:left w:val="single" w:sz="4" w:space="0" w:color="000000"/>
              <w:bottom w:val="single" w:sz="4" w:space="0" w:color="000000"/>
              <w:right w:val="single" w:sz="4" w:space="0" w:color="000000"/>
            </w:tcBorders>
          </w:tcPr>
          <w:p w14:paraId="0EDACE79" w14:textId="547D64B1" w:rsidR="00F50D70" w:rsidRPr="00BE4F47" w:rsidRDefault="000D4376"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20"/>
                <w:szCs w:val="20"/>
              </w:rPr>
              <w:t xml:space="preserve"> Toute l’équipe</w:t>
            </w:r>
          </w:p>
        </w:tc>
      </w:tr>
      <w:tr w:rsidR="00F50D70" w:rsidRPr="00BE4F47" w14:paraId="1D766D18" w14:textId="77777777">
        <w:trPr>
          <w:trHeight w:val="431"/>
        </w:trPr>
        <w:tc>
          <w:tcPr>
            <w:tcW w:w="540" w:type="dxa"/>
            <w:tcBorders>
              <w:top w:val="single" w:sz="4" w:space="0" w:color="000000"/>
              <w:left w:val="single" w:sz="4" w:space="0" w:color="000000"/>
              <w:bottom w:val="single" w:sz="4" w:space="0" w:color="000000"/>
              <w:right w:val="single" w:sz="4" w:space="0" w:color="000000"/>
            </w:tcBorders>
          </w:tcPr>
          <w:p w14:paraId="6DBF7F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L06</w:t>
            </w:r>
          </w:p>
        </w:tc>
        <w:tc>
          <w:tcPr>
            <w:tcW w:w="1650" w:type="dxa"/>
            <w:tcBorders>
              <w:top w:val="single" w:sz="4" w:space="0" w:color="000000"/>
              <w:left w:val="single" w:sz="4" w:space="0" w:color="000000"/>
              <w:bottom w:val="single" w:sz="4" w:space="0" w:color="000000"/>
              <w:right w:val="single" w:sz="4" w:space="0" w:color="000000"/>
            </w:tcBorders>
          </w:tcPr>
          <w:p w14:paraId="6682CE7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Campagne d’essais et résultats</w:t>
            </w:r>
          </w:p>
        </w:tc>
        <w:tc>
          <w:tcPr>
            <w:tcW w:w="1100" w:type="dxa"/>
            <w:tcBorders>
              <w:top w:val="single" w:sz="4" w:space="0" w:color="000000"/>
              <w:left w:val="single" w:sz="4" w:space="0" w:color="000000"/>
              <w:bottom w:val="single" w:sz="4" w:space="0" w:color="000000"/>
              <w:right w:val="single" w:sz="4" w:space="0" w:color="000000"/>
            </w:tcBorders>
          </w:tcPr>
          <w:p w14:paraId="433869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600" w:type="dxa"/>
            <w:tcBorders>
              <w:top w:val="single" w:sz="4" w:space="0" w:color="000000"/>
              <w:left w:val="single" w:sz="4" w:space="0" w:color="000000"/>
              <w:bottom w:val="single" w:sz="4" w:space="0" w:color="000000"/>
              <w:right w:val="single" w:sz="4" w:space="0" w:color="000000"/>
            </w:tcBorders>
          </w:tcPr>
          <w:p w14:paraId="66324B0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 résultat consigné pour chaque exigence vérifiable du registre, avec la conclusion de validation associée.</w:t>
            </w:r>
          </w:p>
        </w:tc>
        <w:tc>
          <w:tcPr>
            <w:tcW w:w="850" w:type="dxa"/>
            <w:tcBorders>
              <w:top w:val="single" w:sz="4" w:space="0" w:color="000000"/>
              <w:left w:val="single" w:sz="4" w:space="0" w:color="000000"/>
              <w:bottom w:val="single" w:sz="4" w:space="0" w:color="000000"/>
              <w:right w:val="single" w:sz="4" w:space="0" w:color="000000"/>
            </w:tcBorders>
          </w:tcPr>
          <w:p w14:paraId="327514C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J4</w:t>
            </w:r>
          </w:p>
        </w:tc>
        <w:tc>
          <w:tcPr>
            <w:tcW w:w="1817" w:type="dxa"/>
            <w:tcBorders>
              <w:top w:val="single" w:sz="4" w:space="0" w:color="000000"/>
              <w:left w:val="single" w:sz="4" w:space="0" w:color="000000"/>
              <w:bottom w:val="single" w:sz="4" w:space="0" w:color="000000"/>
              <w:right w:val="single" w:sz="4" w:space="0" w:color="000000"/>
            </w:tcBorders>
          </w:tcPr>
          <w:p w14:paraId="50A9CEFC" w14:textId="6C1DFCBD" w:rsidR="00F50D70" w:rsidRPr="00BE4F47" w:rsidRDefault="000D4376"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20"/>
                <w:szCs w:val="20"/>
              </w:rPr>
              <w:t>Toute l’équipe</w:t>
            </w:r>
          </w:p>
        </w:tc>
      </w:tr>
      <w:tr w:rsidR="00F50D70" w:rsidRPr="00BE4F47" w14:paraId="3D9E7410" w14:textId="77777777">
        <w:trPr>
          <w:trHeight w:val="808"/>
        </w:trPr>
        <w:tc>
          <w:tcPr>
            <w:tcW w:w="540" w:type="dxa"/>
            <w:tcBorders>
              <w:top w:val="single" w:sz="4" w:space="0" w:color="000000"/>
              <w:left w:val="single" w:sz="4" w:space="0" w:color="000000"/>
              <w:bottom w:val="single" w:sz="4" w:space="0" w:color="000000"/>
              <w:right w:val="single" w:sz="4" w:space="0" w:color="000000"/>
            </w:tcBorders>
          </w:tcPr>
          <w:p w14:paraId="6343F9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L07</w:t>
            </w:r>
          </w:p>
        </w:tc>
        <w:tc>
          <w:tcPr>
            <w:tcW w:w="1650" w:type="dxa"/>
            <w:tcBorders>
              <w:top w:val="single" w:sz="4" w:space="0" w:color="000000"/>
              <w:left w:val="single" w:sz="4" w:space="0" w:color="000000"/>
              <w:bottom w:val="single" w:sz="4" w:space="0" w:color="000000"/>
              <w:right w:val="single" w:sz="4" w:space="0" w:color="000000"/>
            </w:tcBorders>
          </w:tcPr>
          <w:p w14:paraId="41C77D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projet et documents de suivi</w:t>
            </w:r>
          </w:p>
        </w:tc>
        <w:tc>
          <w:tcPr>
            <w:tcW w:w="1100" w:type="dxa"/>
            <w:tcBorders>
              <w:top w:val="single" w:sz="4" w:space="0" w:color="000000"/>
              <w:left w:val="single" w:sz="4" w:space="0" w:color="000000"/>
              <w:bottom w:val="single" w:sz="4" w:space="0" w:color="000000"/>
              <w:right w:val="single" w:sz="4" w:space="0" w:color="000000"/>
            </w:tcBorders>
          </w:tcPr>
          <w:p w14:paraId="1D3183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w:t>
            </w:r>
          </w:p>
        </w:tc>
        <w:tc>
          <w:tcPr>
            <w:tcW w:w="2600" w:type="dxa"/>
            <w:tcBorders>
              <w:top w:val="single" w:sz="4" w:space="0" w:color="000000"/>
              <w:left w:val="single" w:sz="4" w:space="0" w:color="000000"/>
              <w:bottom w:val="single" w:sz="4" w:space="0" w:color="000000"/>
              <w:right w:val="single" w:sz="4" w:space="0" w:color="000000"/>
            </w:tcBorders>
          </w:tcPr>
          <w:p w14:paraId="0F8EAC8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Sections complétées, fusionnées et références consolidées ; structure de découpage du projet incluse.</w:t>
            </w:r>
          </w:p>
        </w:tc>
        <w:tc>
          <w:tcPr>
            <w:tcW w:w="850" w:type="dxa"/>
            <w:tcBorders>
              <w:top w:val="single" w:sz="4" w:space="0" w:color="000000"/>
              <w:left w:val="single" w:sz="4" w:space="0" w:color="000000"/>
              <w:bottom w:val="single" w:sz="4" w:space="0" w:color="000000"/>
              <w:right w:val="single" w:sz="4" w:space="0" w:color="000000"/>
            </w:tcBorders>
          </w:tcPr>
          <w:p w14:paraId="6F7D87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J0, puis à chaque jalon</w:t>
            </w:r>
          </w:p>
        </w:tc>
        <w:tc>
          <w:tcPr>
            <w:tcW w:w="1817" w:type="dxa"/>
            <w:tcBorders>
              <w:top w:val="single" w:sz="4" w:space="0" w:color="000000"/>
              <w:left w:val="single" w:sz="4" w:space="0" w:color="000000"/>
              <w:bottom w:val="single" w:sz="4" w:space="0" w:color="000000"/>
              <w:right w:val="single" w:sz="4" w:space="0" w:color="000000"/>
            </w:tcBorders>
          </w:tcPr>
          <w:p w14:paraId="3DC4AFF1" w14:textId="77777777" w:rsidR="00F50D70" w:rsidRPr="00BE4F47" w:rsidRDefault="005E5B35"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Christian et toute l’équipe</w:t>
            </w:r>
          </w:p>
        </w:tc>
      </w:tr>
      <w:tr w:rsidR="00F50D70" w:rsidRPr="00BE4F47" w14:paraId="1EEB46C7" w14:textId="77777777">
        <w:trPr>
          <w:trHeight w:val="431"/>
        </w:trPr>
        <w:tc>
          <w:tcPr>
            <w:tcW w:w="540" w:type="dxa"/>
            <w:tcBorders>
              <w:top w:val="single" w:sz="4" w:space="0" w:color="000000"/>
              <w:left w:val="single" w:sz="4" w:space="0" w:color="000000"/>
              <w:bottom w:val="single" w:sz="4" w:space="0" w:color="000000"/>
              <w:right w:val="single" w:sz="4" w:space="0" w:color="000000"/>
            </w:tcBorders>
          </w:tcPr>
          <w:p w14:paraId="02D7568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L08</w:t>
            </w:r>
          </w:p>
        </w:tc>
        <w:tc>
          <w:tcPr>
            <w:tcW w:w="1650" w:type="dxa"/>
            <w:tcBorders>
              <w:top w:val="single" w:sz="4" w:space="0" w:color="000000"/>
              <w:left w:val="single" w:sz="4" w:space="0" w:color="000000"/>
              <w:bottom w:val="single" w:sz="4" w:space="0" w:color="000000"/>
              <w:right w:val="single" w:sz="4" w:space="0" w:color="000000"/>
            </w:tcBorders>
          </w:tcPr>
          <w:p w14:paraId="1A1FC5F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Rapport final et recommandation d’ingénierie</w:t>
            </w:r>
          </w:p>
        </w:tc>
        <w:tc>
          <w:tcPr>
            <w:tcW w:w="1100" w:type="dxa"/>
            <w:tcBorders>
              <w:top w:val="single" w:sz="4" w:space="0" w:color="000000"/>
              <w:left w:val="single" w:sz="4" w:space="0" w:color="000000"/>
              <w:bottom w:val="single" w:sz="4" w:space="0" w:color="000000"/>
              <w:right w:val="single" w:sz="4" w:space="0" w:color="000000"/>
            </w:tcBorders>
          </w:tcPr>
          <w:p w14:paraId="4FFAB3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w:t>
            </w:r>
          </w:p>
        </w:tc>
        <w:tc>
          <w:tcPr>
            <w:tcW w:w="2600" w:type="dxa"/>
            <w:tcBorders>
              <w:top w:val="single" w:sz="4" w:space="0" w:color="000000"/>
              <w:left w:val="single" w:sz="4" w:space="0" w:color="000000"/>
              <w:bottom w:val="single" w:sz="4" w:space="0" w:color="000000"/>
              <w:right w:val="single" w:sz="4" w:space="0" w:color="000000"/>
            </w:tcBorders>
          </w:tcPr>
          <w:p w14:paraId="5FB6E96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Limites documentées (EX-C-01) et enjeux traités (EX-C-03).</w:t>
            </w:r>
          </w:p>
        </w:tc>
        <w:tc>
          <w:tcPr>
            <w:tcW w:w="850" w:type="dxa"/>
            <w:tcBorders>
              <w:top w:val="single" w:sz="4" w:space="0" w:color="000000"/>
              <w:left w:val="single" w:sz="4" w:space="0" w:color="000000"/>
              <w:bottom w:val="single" w:sz="4" w:space="0" w:color="000000"/>
              <w:right w:val="single" w:sz="4" w:space="0" w:color="000000"/>
            </w:tcBorders>
          </w:tcPr>
          <w:p w14:paraId="072419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J5</w:t>
            </w:r>
          </w:p>
        </w:tc>
        <w:tc>
          <w:tcPr>
            <w:tcW w:w="1817" w:type="dxa"/>
            <w:tcBorders>
              <w:top w:val="single" w:sz="4" w:space="0" w:color="000000"/>
              <w:left w:val="single" w:sz="4" w:space="0" w:color="000000"/>
              <w:bottom w:val="single" w:sz="4" w:space="0" w:color="000000"/>
              <w:right w:val="single" w:sz="4" w:space="0" w:color="000000"/>
            </w:tcBorders>
          </w:tcPr>
          <w:p w14:paraId="0EFD1A6B" w14:textId="4EFF765D" w:rsidR="00F50D70" w:rsidRPr="00BE4F47" w:rsidRDefault="000D4376"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20"/>
                <w:szCs w:val="20"/>
              </w:rPr>
              <w:t>Toute l’équipe</w:t>
            </w:r>
          </w:p>
        </w:tc>
      </w:tr>
      <w:tr w:rsidR="00F50D70" w:rsidRPr="00BE4F47" w14:paraId="0097471F" w14:textId="77777777">
        <w:trPr>
          <w:trHeight w:val="431"/>
        </w:trPr>
        <w:tc>
          <w:tcPr>
            <w:tcW w:w="540" w:type="dxa"/>
            <w:tcBorders>
              <w:top w:val="single" w:sz="4" w:space="0" w:color="000000"/>
              <w:left w:val="single" w:sz="4" w:space="0" w:color="000000"/>
              <w:bottom w:val="single" w:sz="4" w:space="0" w:color="000000"/>
              <w:right w:val="single" w:sz="4" w:space="0" w:color="000000"/>
            </w:tcBorders>
          </w:tcPr>
          <w:p w14:paraId="4306F3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L09</w:t>
            </w:r>
          </w:p>
        </w:tc>
        <w:tc>
          <w:tcPr>
            <w:tcW w:w="1650" w:type="dxa"/>
            <w:tcBorders>
              <w:top w:val="single" w:sz="4" w:space="0" w:color="000000"/>
              <w:left w:val="single" w:sz="4" w:space="0" w:color="000000"/>
              <w:bottom w:val="single" w:sz="4" w:space="0" w:color="000000"/>
              <w:right w:val="single" w:sz="4" w:space="0" w:color="000000"/>
            </w:tcBorders>
          </w:tcPr>
          <w:p w14:paraId="7CC57E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Présentation orale</w:t>
            </w:r>
          </w:p>
        </w:tc>
        <w:tc>
          <w:tcPr>
            <w:tcW w:w="1100" w:type="dxa"/>
            <w:tcBorders>
              <w:top w:val="single" w:sz="4" w:space="0" w:color="000000"/>
              <w:left w:val="single" w:sz="4" w:space="0" w:color="000000"/>
              <w:bottom w:val="single" w:sz="4" w:space="0" w:color="000000"/>
              <w:right w:val="single" w:sz="4" w:space="0" w:color="000000"/>
            </w:tcBorders>
          </w:tcPr>
          <w:p w14:paraId="3F83CD7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w:t>
            </w:r>
          </w:p>
        </w:tc>
        <w:tc>
          <w:tcPr>
            <w:tcW w:w="2600" w:type="dxa"/>
            <w:tcBorders>
              <w:top w:val="single" w:sz="4" w:space="0" w:color="000000"/>
              <w:left w:val="single" w:sz="4" w:space="0" w:color="000000"/>
              <w:bottom w:val="single" w:sz="4" w:space="0" w:color="000000"/>
              <w:right w:val="single" w:sz="4" w:space="0" w:color="000000"/>
            </w:tcBorders>
          </w:tcPr>
          <w:p w14:paraId="3E6D36C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Présentation répétée au moins une fois devant l’équipe complète.</w:t>
            </w:r>
          </w:p>
        </w:tc>
        <w:tc>
          <w:tcPr>
            <w:tcW w:w="850" w:type="dxa"/>
            <w:tcBorders>
              <w:top w:val="single" w:sz="4" w:space="0" w:color="000000"/>
              <w:left w:val="single" w:sz="4" w:space="0" w:color="000000"/>
              <w:bottom w:val="single" w:sz="4" w:space="0" w:color="000000"/>
              <w:right w:val="single" w:sz="4" w:space="0" w:color="000000"/>
            </w:tcBorders>
          </w:tcPr>
          <w:p w14:paraId="7EDC2C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J5</w:t>
            </w:r>
          </w:p>
        </w:tc>
        <w:tc>
          <w:tcPr>
            <w:tcW w:w="1817" w:type="dxa"/>
            <w:tcBorders>
              <w:top w:val="single" w:sz="4" w:space="0" w:color="000000"/>
              <w:left w:val="single" w:sz="4" w:space="0" w:color="000000"/>
              <w:bottom w:val="single" w:sz="4" w:space="0" w:color="000000"/>
              <w:right w:val="single" w:sz="4" w:space="0" w:color="000000"/>
            </w:tcBorders>
          </w:tcPr>
          <w:p w14:paraId="5FA96512" w14:textId="6B302D82" w:rsidR="00F50D70" w:rsidRPr="00BE4F47" w:rsidRDefault="000D4376"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20"/>
                <w:szCs w:val="20"/>
              </w:rPr>
              <w:t>Toute l’équipe</w:t>
            </w:r>
          </w:p>
        </w:tc>
      </w:tr>
    </w:tbl>
    <w:p w14:paraId="250520D3" w14:textId="77777777" w:rsidR="00F50D70" w:rsidRPr="00BE4F47" w:rsidRDefault="00137D7F" w:rsidP="008E113B">
      <w:pPr>
        <w:pStyle w:val="Titre2"/>
        <w:spacing w:line="360" w:lineRule="auto"/>
      </w:pPr>
      <w:bookmarkStart w:id="217" w:name="_Toc241707758"/>
      <w:r w:rsidRPr="00BE4F47">
        <w:t>Domaine de validité et exclusions</w:t>
      </w:r>
      <w:bookmarkEnd w:id="217"/>
    </w:p>
    <w:p w14:paraId="50C8FC51" w14:textId="77777777" w:rsidR="00F50D70" w:rsidRPr="00BE4F47" w:rsidRDefault="00137D7F" w:rsidP="008E113B">
      <w:pPr>
        <w:spacing w:before="200" w:after="130" w:line="360" w:lineRule="auto"/>
        <w:ind w:left="360"/>
        <w:rPr>
          <w:rFonts w:ascii="Aptos" w:hAnsi="Aptos"/>
        </w:rPr>
      </w:pPr>
      <w:bookmarkStart w:id="218" w:name="_Toc241082855"/>
      <w:bookmarkStart w:id="219" w:name="_Toc241670051"/>
      <w:bookmarkStart w:id="220" w:name="_Toc241707759"/>
      <w:r w:rsidRPr="00BE4F47">
        <w:rPr>
          <w:rFonts w:ascii="Aptos" w:hAnsi="Aptos"/>
          <w:color w:val="1A1A19"/>
          <w:sz w:val="20"/>
          <w:szCs w:val="20"/>
        </w:rPr>
        <w:t>Le tableau 2-2 précise dans quelles conditions les livrables sont valides. Hors de ce domaine, les résultats du prototype ne doivent pas être employés.</w:t>
      </w:r>
      <w:bookmarkEnd w:id="218"/>
      <w:bookmarkEnd w:id="219"/>
      <w:bookmarkEnd w:id="220"/>
    </w:p>
    <w:p w14:paraId="49849C12" w14:textId="77777777" w:rsidR="00F50D70" w:rsidRPr="00BE4F47" w:rsidRDefault="00137D7F" w:rsidP="008E113B">
      <w:pPr>
        <w:pStyle w:val="Lgende"/>
        <w:keepNext/>
        <w:spacing w:line="360" w:lineRule="auto"/>
        <w:rPr>
          <w:rFonts w:ascii="Aptos" w:hAnsi="Aptos"/>
        </w:rPr>
      </w:pPr>
      <w:bookmarkStart w:id="221" w:name="_Toc241082856"/>
      <w:bookmarkStart w:id="222" w:name="_Toc241670052"/>
      <w:bookmarkStart w:id="223" w:name="_Toc241707760"/>
      <w:r w:rsidRPr="00BE4F47">
        <w:rPr>
          <w:rFonts w:ascii="Aptos" w:hAnsi="Aptos"/>
        </w:rPr>
        <w:t>Tableau 2-2. Domaine de validité des livrables</w:t>
      </w:r>
      <w:bookmarkEnd w:id="221"/>
      <w:bookmarkEnd w:id="222"/>
      <w:bookmarkEnd w:id="22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700"/>
        <w:gridCol w:w="4200"/>
        <w:gridCol w:w="2657"/>
      </w:tblGrid>
      <w:tr w:rsidR="00F50D70" w:rsidRPr="00BE4F47" w14:paraId="22F5E4D5" w14:textId="77777777" w:rsidTr="0036725C">
        <w:trPr>
          <w:trHeight w:val="227"/>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F6446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Dimension</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0159D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Domaine dans lequel les livrables sont valides</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FDFACD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Hors domaine</w:t>
            </w:r>
          </w:p>
        </w:tc>
      </w:tr>
      <w:tr w:rsidR="00F50D70" w:rsidRPr="00BE4F47" w14:paraId="55EFC772"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4E58927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Système représenté</w:t>
            </w:r>
          </w:p>
        </w:tc>
        <w:tc>
          <w:tcPr>
            <w:tcW w:w="4200" w:type="dxa"/>
            <w:tcBorders>
              <w:top w:val="single" w:sz="4" w:space="0" w:color="000000"/>
              <w:left w:val="single" w:sz="4" w:space="0" w:color="000000"/>
              <w:bottom w:val="single" w:sz="4" w:space="0" w:color="000000"/>
              <w:right w:val="single" w:sz="4" w:space="0" w:color="000000"/>
            </w:tcBorders>
          </w:tcPr>
          <w:p w14:paraId="36F816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Boucle thermohydraulique simplifiée, en circuit fermé, monophasique, inspirée d’un système de refroidissement.</w:t>
            </w:r>
          </w:p>
        </w:tc>
        <w:tc>
          <w:tcPr>
            <w:tcW w:w="2657" w:type="dxa"/>
            <w:tcBorders>
              <w:top w:val="single" w:sz="4" w:space="0" w:color="000000"/>
              <w:left w:val="single" w:sz="4" w:space="0" w:color="000000"/>
              <w:bottom w:val="single" w:sz="4" w:space="0" w:color="000000"/>
              <w:right w:val="single" w:sz="4" w:space="0" w:color="000000"/>
            </w:tcBorders>
          </w:tcPr>
          <w:p w14:paraId="6689F7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Écoulement diphasique, circuit ouvert, géométrie complète d’une centrale.</w:t>
            </w:r>
          </w:p>
        </w:tc>
      </w:tr>
      <w:tr w:rsidR="00F50D70" w:rsidRPr="00BE4F47" w14:paraId="4EFA3BEB"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6AC3363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Modélisation</w:t>
            </w:r>
          </w:p>
        </w:tc>
        <w:tc>
          <w:tcPr>
            <w:tcW w:w="4200" w:type="dxa"/>
            <w:tcBorders>
              <w:top w:val="single" w:sz="4" w:space="0" w:color="000000"/>
              <w:left w:val="single" w:sz="4" w:space="0" w:color="000000"/>
              <w:bottom w:val="single" w:sz="4" w:space="0" w:color="000000"/>
              <w:right w:val="single" w:sz="4" w:space="0" w:color="000000"/>
            </w:tcBorders>
          </w:tcPr>
          <w:p w14:paraId="5E03684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Approche 0D et 1D à paramètres concentrés.</w:t>
            </w:r>
          </w:p>
        </w:tc>
        <w:tc>
          <w:tcPr>
            <w:tcW w:w="2657" w:type="dxa"/>
            <w:tcBorders>
              <w:top w:val="single" w:sz="4" w:space="0" w:color="000000"/>
              <w:left w:val="single" w:sz="4" w:space="0" w:color="000000"/>
              <w:bottom w:val="single" w:sz="4" w:space="0" w:color="000000"/>
              <w:right w:val="single" w:sz="4" w:space="0" w:color="000000"/>
            </w:tcBorders>
          </w:tcPr>
          <w:p w14:paraId="43C3F0D0" w14:textId="4866B323"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 xml:space="preserve">Champs tridimensionnels, mécanique </w:t>
            </w:r>
            <w:proofErr w:type="gramStart"/>
            <w:r w:rsidRPr="00BE4F47">
              <w:rPr>
                <w:rFonts w:ascii="Aptos" w:eastAsia="Calibri" w:hAnsi="Aptos" w:cs="Calibri"/>
                <w:color w:val="1A1A19"/>
                <w:sz w:val="16"/>
                <w:szCs w:val="16"/>
              </w:rPr>
              <w:t>des fluides numérique</w:t>
            </w:r>
            <w:proofErr w:type="gramEnd"/>
            <w:r w:rsidRPr="00BE4F47">
              <w:rPr>
                <w:rFonts w:ascii="Aptos" w:eastAsia="Calibri" w:hAnsi="Aptos" w:cs="Calibri"/>
                <w:color w:val="1A1A19"/>
                <w:sz w:val="16"/>
                <w:szCs w:val="16"/>
              </w:rPr>
              <w:t xml:space="preserve"> détaillée.</w:t>
            </w:r>
          </w:p>
        </w:tc>
      </w:tr>
      <w:tr w:rsidR="00F50D70" w:rsidRPr="00BE4F47" w14:paraId="0F1F89E5"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70D996D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Variables suivies</w:t>
            </w:r>
          </w:p>
        </w:tc>
        <w:tc>
          <w:tcPr>
            <w:tcW w:w="4200" w:type="dxa"/>
            <w:tcBorders>
              <w:top w:val="single" w:sz="4" w:space="0" w:color="000000"/>
              <w:left w:val="single" w:sz="4" w:space="0" w:color="000000"/>
              <w:bottom w:val="single" w:sz="4" w:space="0" w:color="000000"/>
              <w:right w:val="single" w:sz="4" w:space="0" w:color="000000"/>
            </w:tcBorders>
          </w:tcPr>
          <w:p w14:paraId="667C82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Température, pression et débit.</w:t>
            </w:r>
          </w:p>
        </w:tc>
        <w:tc>
          <w:tcPr>
            <w:tcW w:w="2657" w:type="dxa"/>
            <w:tcBorders>
              <w:top w:val="single" w:sz="4" w:space="0" w:color="000000"/>
              <w:left w:val="single" w:sz="4" w:space="0" w:color="000000"/>
              <w:bottom w:val="single" w:sz="4" w:space="0" w:color="000000"/>
              <w:right w:val="single" w:sz="4" w:space="0" w:color="000000"/>
            </w:tcBorders>
          </w:tcPr>
          <w:p w14:paraId="519D00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autre grandeur, notamment la radioactivité et les grandeurs neutroniques.</w:t>
            </w:r>
          </w:p>
        </w:tc>
      </w:tr>
      <w:tr w:rsidR="00F50D70" w:rsidRPr="00BE4F47" w14:paraId="07D65A9E"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47F9C63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Données</w:t>
            </w:r>
          </w:p>
        </w:tc>
        <w:tc>
          <w:tcPr>
            <w:tcW w:w="4200" w:type="dxa"/>
            <w:tcBorders>
              <w:top w:val="single" w:sz="4" w:space="0" w:color="000000"/>
              <w:left w:val="single" w:sz="4" w:space="0" w:color="000000"/>
              <w:bottom w:val="single" w:sz="4" w:space="0" w:color="000000"/>
              <w:right w:val="single" w:sz="4" w:space="0" w:color="000000"/>
            </w:tcBorders>
          </w:tcPr>
          <w:p w14:paraId="54363CB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Données synthétiques produites par le modèle, puis bruitées et dégradées de façon contrôlée.</w:t>
            </w:r>
          </w:p>
        </w:tc>
        <w:tc>
          <w:tcPr>
            <w:tcW w:w="2657" w:type="dxa"/>
            <w:tcBorders>
              <w:top w:val="single" w:sz="4" w:space="0" w:color="000000"/>
              <w:left w:val="single" w:sz="4" w:space="0" w:color="000000"/>
              <w:bottom w:val="single" w:sz="4" w:space="0" w:color="000000"/>
              <w:right w:val="single" w:sz="4" w:space="0" w:color="000000"/>
            </w:tcBorders>
          </w:tcPr>
          <w:p w14:paraId="3FC51C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Données d’exploitation d’une installation réelle.</w:t>
            </w:r>
          </w:p>
        </w:tc>
      </w:tr>
      <w:tr w:rsidR="00F50D70" w:rsidRPr="00BE4F47" w14:paraId="12586AF9"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455F0D5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Référence de comparaison</w:t>
            </w:r>
          </w:p>
        </w:tc>
        <w:tc>
          <w:tcPr>
            <w:tcW w:w="4200" w:type="dxa"/>
            <w:tcBorders>
              <w:top w:val="single" w:sz="4" w:space="0" w:color="000000"/>
              <w:left w:val="single" w:sz="4" w:space="0" w:color="000000"/>
              <w:bottom w:val="single" w:sz="4" w:space="0" w:color="000000"/>
              <w:right w:val="single" w:sz="4" w:space="0" w:color="000000"/>
            </w:tcBorders>
          </w:tcPr>
          <w:p w14:paraId="6A8F36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Second modèle numérique de fidélité supérieure, développé indépendamment.</w:t>
            </w:r>
          </w:p>
        </w:tc>
        <w:tc>
          <w:tcPr>
            <w:tcW w:w="2657" w:type="dxa"/>
            <w:tcBorders>
              <w:top w:val="single" w:sz="4" w:space="0" w:color="000000"/>
              <w:left w:val="single" w:sz="4" w:space="0" w:color="000000"/>
              <w:bottom w:val="single" w:sz="4" w:space="0" w:color="000000"/>
              <w:right w:val="single" w:sz="4" w:space="0" w:color="000000"/>
            </w:tcBorders>
          </w:tcPr>
          <w:p w14:paraId="132F22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Banc d’essai physique instrumenté.</w:t>
            </w:r>
          </w:p>
        </w:tc>
      </w:tr>
      <w:tr w:rsidR="00F50D70" w:rsidRPr="00BE4F47" w14:paraId="7F07DD78"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650C964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Emploi</w:t>
            </w:r>
          </w:p>
        </w:tc>
        <w:tc>
          <w:tcPr>
            <w:tcW w:w="4200" w:type="dxa"/>
            <w:tcBorders>
              <w:top w:val="single" w:sz="4" w:space="0" w:color="000000"/>
              <w:left w:val="single" w:sz="4" w:space="0" w:color="000000"/>
              <w:bottom w:val="single" w:sz="4" w:space="0" w:color="000000"/>
              <w:right w:val="single" w:sz="4" w:space="0" w:color="000000"/>
            </w:tcBorders>
          </w:tcPr>
          <w:p w14:paraId="2EED974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Aide à la décision hors ligne, avec validation humaine obligatoire.</w:t>
            </w:r>
          </w:p>
        </w:tc>
        <w:tc>
          <w:tcPr>
            <w:tcW w:w="2657" w:type="dxa"/>
            <w:tcBorders>
              <w:top w:val="single" w:sz="4" w:space="0" w:color="000000"/>
              <w:left w:val="single" w:sz="4" w:space="0" w:color="000000"/>
              <w:bottom w:val="single" w:sz="4" w:space="0" w:color="000000"/>
              <w:right w:val="single" w:sz="4" w:space="0" w:color="000000"/>
            </w:tcBorders>
          </w:tcPr>
          <w:p w14:paraId="6BD254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Conduite en temps réel, commande automatique, raccordement à un équipement réel.</w:t>
            </w:r>
          </w:p>
        </w:tc>
      </w:tr>
      <w:tr w:rsidR="00F50D70" w:rsidRPr="00BE4F47" w14:paraId="2007167E"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6BC8366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Scénarios couverts</w:t>
            </w:r>
          </w:p>
        </w:tc>
        <w:tc>
          <w:tcPr>
            <w:tcW w:w="4200" w:type="dxa"/>
            <w:tcBorders>
              <w:top w:val="single" w:sz="4" w:space="0" w:color="000000"/>
              <w:left w:val="single" w:sz="4" w:space="0" w:color="000000"/>
              <w:bottom w:val="single" w:sz="4" w:space="0" w:color="000000"/>
              <w:right w:val="single" w:sz="4" w:space="0" w:color="000000"/>
            </w:tcBorders>
          </w:tcPr>
          <w:p w14:paraId="7ADC30A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Les scénarios listés à l’exigence EX-F-02, plus les cas de données manquantes.</w:t>
            </w:r>
          </w:p>
        </w:tc>
        <w:tc>
          <w:tcPr>
            <w:tcW w:w="2657" w:type="dxa"/>
            <w:tcBorders>
              <w:top w:val="single" w:sz="4" w:space="0" w:color="000000"/>
              <w:left w:val="single" w:sz="4" w:space="0" w:color="000000"/>
              <w:bottom w:val="single" w:sz="4" w:space="0" w:color="000000"/>
              <w:right w:val="single" w:sz="4" w:space="0" w:color="000000"/>
            </w:tcBorders>
          </w:tcPr>
          <w:p w14:paraId="6C44A1F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 scénario non listé, en particulier les transitoires accidentels.</w:t>
            </w:r>
          </w:p>
        </w:tc>
      </w:tr>
    </w:tbl>
    <w:p w14:paraId="4AF6A070" w14:textId="77777777" w:rsidR="00F50D70" w:rsidRPr="00BE4F47" w:rsidRDefault="00137D7F" w:rsidP="008E113B">
      <w:pPr>
        <w:spacing w:before="200" w:after="130" w:line="360" w:lineRule="auto"/>
        <w:ind w:left="360"/>
        <w:rPr>
          <w:rFonts w:ascii="Aptos" w:hAnsi="Aptos"/>
        </w:rPr>
      </w:pPr>
      <w:bookmarkStart w:id="224" w:name="_Toc241082857"/>
      <w:bookmarkStart w:id="225" w:name="_Toc241670053"/>
      <w:bookmarkStart w:id="226" w:name="_Toc241707761"/>
      <w:r w:rsidRPr="00BE4F47">
        <w:rPr>
          <w:rFonts w:ascii="Aptos" w:hAnsi="Aptos"/>
          <w:color w:val="1A1A19"/>
          <w:sz w:val="20"/>
          <w:szCs w:val="20"/>
        </w:rPr>
        <w:t>Ce domaine est repris dans la recommandation d’ingénierie du livrable L08 et conditionne l’acceptation de l’ensemble. Il répond à l’exigence EX-C-01 et au risque RT4.</w:t>
      </w:r>
      <w:bookmarkEnd w:id="224"/>
      <w:bookmarkEnd w:id="225"/>
      <w:bookmarkEnd w:id="226"/>
    </w:p>
    <w:p w14:paraId="294D36E2" w14:textId="77777777" w:rsidR="00F50D70" w:rsidRPr="00BE4F47" w:rsidRDefault="00137D7F" w:rsidP="008E113B">
      <w:pPr>
        <w:spacing w:after="130" w:line="360" w:lineRule="auto"/>
        <w:ind w:left="360"/>
        <w:rPr>
          <w:rFonts w:ascii="Aptos" w:hAnsi="Aptos"/>
        </w:rPr>
      </w:pPr>
      <w:bookmarkStart w:id="227" w:name="_Toc241082859"/>
      <w:bookmarkStart w:id="228" w:name="_Toc241670054"/>
      <w:bookmarkStart w:id="229" w:name="_Toc241707762"/>
      <w:r w:rsidRPr="00BE4F47">
        <w:rPr>
          <w:rFonts w:ascii="Aptos" w:hAnsi="Aptos"/>
          <w:color w:val="1A1A19"/>
          <w:sz w:val="20"/>
          <w:szCs w:val="20"/>
        </w:rPr>
        <w:lastRenderedPageBreak/>
        <w:t>Les exclusions de livrables sont celles du périmètre défini en 1.5, reprises par l’exigence de périmètre EX-C-02.</w:t>
      </w:r>
      <w:bookmarkEnd w:id="227"/>
      <w:bookmarkEnd w:id="228"/>
      <w:bookmarkEnd w:id="229"/>
    </w:p>
    <w:p w14:paraId="123F3F9D" w14:textId="77777777" w:rsidR="00F50D70" w:rsidRPr="00136F18" w:rsidRDefault="00137D7F" w:rsidP="008E113B">
      <w:pPr>
        <w:pStyle w:val="Titre1"/>
        <w:spacing w:line="360" w:lineRule="auto"/>
      </w:pPr>
      <w:bookmarkStart w:id="230" w:name="__RefHeading___Toc240715117"/>
      <w:bookmarkStart w:id="231" w:name="_Toc241707763"/>
      <w:r w:rsidRPr="00136F18">
        <w:t>Description de l’équipe</w:t>
      </w:r>
      <w:bookmarkEnd w:id="230"/>
      <w:bookmarkEnd w:id="231"/>
    </w:p>
    <w:p w14:paraId="1F7836C4" w14:textId="77777777" w:rsidR="00F50D70" w:rsidRPr="00BE4F47" w:rsidRDefault="005E5B35" w:rsidP="008E113B">
      <w:pPr>
        <w:spacing w:after="130" w:line="360" w:lineRule="auto"/>
        <w:ind w:left="360"/>
        <w:rPr>
          <w:rFonts w:ascii="Aptos" w:hAnsi="Aptos"/>
        </w:rPr>
      </w:pPr>
      <w:bookmarkStart w:id="232" w:name="_Toc241082861"/>
      <w:bookmarkStart w:id="233" w:name="_Toc241670056"/>
      <w:bookmarkStart w:id="234" w:name="_Toc241707764"/>
      <w:r w:rsidRPr="005E5B35">
        <w:rPr>
          <w:rFonts w:ascii="Aptos" w:hAnsi="Aptos"/>
          <w:color w:val="1A1A19"/>
          <w:sz w:val="20"/>
          <w:szCs w:val="20"/>
        </w:rPr>
        <w:t>Le travail est réparti entre les huit membres de l’équipe. Chacun prend en charge un volet du plan selon ses points forts.</w:t>
      </w:r>
      <w:bookmarkEnd w:id="232"/>
      <w:bookmarkEnd w:id="233"/>
      <w:bookmarkEnd w:id="234"/>
    </w:p>
    <w:p w14:paraId="61D9B0AD" w14:textId="77777777" w:rsidR="00F50D70" w:rsidRDefault="00137D7F" w:rsidP="008E113B">
      <w:pPr>
        <w:pStyle w:val="Titre2"/>
        <w:numPr>
          <w:ilvl w:val="0"/>
          <w:numId w:val="13"/>
        </w:numPr>
        <w:spacing w:line="360" w:lineRule="auto"/>
      </w:pPr>
      <w:bookmarkStart w:id="235" w:name="__RefHeading___Toc240715118"/>
      <w:bookmarkStart w:id="236" w:name="_Toc241707765"/>
      <w:bookmarkEnd w:id="235"/>
      <w:r w:rsidRPr="00BE4F47">
        <w:t>Composition de l’équipe</w:t>
      </w:r>
      <w:r w:rsidR="005E5B35">
        <w:t xml:space="preserve"> et d</w:t>
      </w:r>
      <w:r w:rsidR="005E5B35" w:rsidRPr="005E5B35">
        <w:t>escription des compétences de chaque membre</w:t>
      </w:r>
      <w:bookmarkEnd w:id="236"/>
    </w:p>
    <w:p w14:paraId="5369BCA4" w14:textId="77777777" w:rsidR="00F50D70" w:rsidRPr="00BE4F47" w:rsidRDefault="00137D7F" w:rsidP="008E113B">
      <w:pPr>
        <w:spacing w:after="130" w:line="360" w:lineRule="auto"/>
        <w:ind w:left="360"/>
        <w:rPr>
          <w:rFonts w:ascii="Aptos" w:hAnsi="Aptos"/>
        </w:rPr>
      </w:pPr>
      <w:bookmarkStart w:id="237" w:name="_Toc241670058"/>
      <w:bookmarkStart w:id="238" w:name="_Toc241707766"/>
      <w:r w:rsidRPr="00BE4F47">
        <w:rPr>
          <w:rFonts w:ascii="Aptos" w:hAnsi="Aptos"/>
          <w:color w:val="1A1A19"/>
          <w:sz w:val="20"/>
          <w:szCs w:val="20"/>
        </w:rPr>
        <w:t>Les huit membres sont étudiants en génie informatique en troisième année. Le tableau 3-1 donne le volet dont chacun a la charge et les compétences qu’il y apporte.</w:t>
      </w:r>
      <w:bookmarkEnd w:id="237"/>
      <w:bookmarkEnd w:id="238"/>
    </w:p>
    <w:p w14:paraId="1A76C0EA" w14:textId="77777777" w:rsidR="00F50D70" w:rsidRPr="00BE4F47" w:rsidRDefault="00137D7F" w:rsidP="008E113B">
      <w:pPr>
        <w:pStyle w:val="Lgende"/>
        <w:keepNext/>
        <w:spacing w:after="130" w:line="360" w:lineRule="auto"/>
        <w:ind w:left="360"/>
        <w:rPr>
          <w:rFonts w:ascii="Aptos" w:hAnsi="Aptos"/>
        </w:rPr>
      </w:pPr>
      <w:bookmarkStart w:id="239" w:name="_Toc241670059"/>
      <w:bookmarkStart w:id="240" w:name="_Toc241707767"/>
      <w:r w:rsidRPr="00BE4F47">
        <w:rPr>
          <w:rFonts w:ascii="Aptos" w:hAnsi="Aptos"/>
          <w:color w:val="1A1A19"/>
          <w:sz w:val="20"/>
          <w:szCs w:val="20"/>
        </w:rPr>
        <w:t>Tableau 3-1. Composition de l’équipe, volets pris en charge et compétences</w:t>
      </w:r>
      <w:bookmarkEnd w:id="239"/>
      <w:bookmarkEnd w:id="240"/>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900"/>
        <w:gridCol w:w="2600"/>
        <w:gridCol w:w="4057"/>
      </w:tblGrid>
      <w:tr w:rsidR="00F50D70" w:rsidRPr="00BE4F47" w14:paraId="018FDCF5" w14:textId="77777777" w:rsidTr="0036725C">
        <w:trPr>
          <w:trHeight w:val="227"/>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8D382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Membre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467DF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Volet pris en charge</w:t>
            </w:r>
          </w:p>
        </w:tc>
        <w:tc>
          <w:tcPr>
            <w:tcW w:w="40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C5AC6F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Compétences mobilisées</w:t>
            </w:r>
          </w:p>
        </w:tc>
      </w:tr>
      <w:tr w:rsidR="00F50D70" w:rsidRPr="00BE4F47" w14:paraId="305DA89D"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071C53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Christian Kévin Sawadogo</w:t>
            </w:r>
          </w:p>
        </w:tc>
        <w:tc>
          <w:tcPr>
            <w:tcW w:w="2600" w:type="dxa"/>
            <w:tcBorders>
              <w:top w:val="single" w:sz="4" w:space="0" w:color="000000"/>
              <w:left w:val="single" w:sz="4" w:space="0" w:color="000000"/>
              <w:bottom w:val="single" w:sz="4" w:space="0" w:color="000000"/>
              <w:right w:val="single" w:sz="4" w:space="0" w:color="000000"/>
            </w:tcBorders>
          </w:tcPr>
          <w:p w14:paraId="64C423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Coordination générale, ressources, échéancier, contrôle des versions et références</w:t>
            </w:r>
          </w:p>
        </w:tc>
        <w:tc>
          <w:tcPr>
            <w:tcW w:w="4057" w:type="dxa"/>
            <w:tcBorders>
              <w:top w:val="single" w:sz="4" w:space="0" w:color="000000"/>
              <w:left w:val="single" w:sz="4" w:space="0" w:color="000000"/>
              <w:bottom w:val="single" w:sz="4" w:space="0" w:color="000000"/>
              <w:right w:val="single" w:sz="4" w:space="0" w:color="000000"/>
            </w:tcBorders>
          </w:tcPr>
          <w:p w14:paraId="5384FFF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Coordination et animation d’équipe, planification des calendriers, estimation des ressources, outils de versionnement, recherche et validation des références</w:t>
            </w:r>
          </w:p>
        </w:tc>
      </w:tr>
      <w:tr w:rsidR="00F50D70" w:rsidRPr="00BE4F47" w14:paraId="2B2FEECC"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41A53B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Abdramane Dramé</w:t>
            </w:r>
          </w:p>
        </w:tc>
        <w:tc>
          <w:tcPr>
            <w:tcW w:w="2600" w:type="dxa"/>
            <w:tcBorders>
              <w:top w:val="single" w:sz="4" w:space="0" w:color="000000"/>
              <w:left w:val="single" w:sz="4" w:space="0" w:color="000000"/>
              <w:bottom w:val="single" w:sz="4" w:space="0" w:color="000000"/>
              <w:right w:val="single" w:sz="4" w:space="0" w:color="000000"/>
            </w:tcBorders>
          </w:tcPr>
          <w:p w14:paraId="510B8F8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Description de l’équipe et co-rédaction de l’état de l’art</w:t>
            </w:r>
          </w:p>
        </w:tc>
        <w:tc>
          <w:tcPr>
            <w:tcW w:w="4057" w:type="dxa"/>
            <w:tcBorders>
              <w:top w:val="single" w:sz="4" w:space="0" w:color="000000"/>
              <w:left w:val="single" w:sz="4" w:space="0" w:color="000000"/>
              <w:bottom w:val="single" w:sz="4" w:space="0" w:color="000000"/>
              <w:right w:val="single" w:sz="4" w:space="0" w:color="000000"/>
            </w:tcBorders>
          </w:tcPr>
          <w:p w14:paraId="438D9F9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Rédaction technique, analyse documentaire, esprit de synthèse, structuration des rôles</w:t>
            </w:r>
          </w:p>
        </w:tc>
      </w:tr>
      <w:tr w:rsidR="00F50D70" w:rsidRPr="00BE4F47" w14:paraId="47336B77"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68E8CF8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Ibrahima Diallo</w:t>
            </w:r>
          </w:p>
        </w:tc>
        <w:tc>
          <w:tcPr>
            <w:tcW w:w="2600" w:type="dxa"/>
            <w:tcBorders>
              <w:top w:val="single" w:sz="4" w:space="0" w:color="000000"/>
              <w:left w:val="single" w:sz="4" w:space="0" w:color="000000"/>
              <w:bottom w:val="single" w:sz="4" w:space="0" w:color="000000"/>
              <w:right w:val="single" w:sz="4" w:space="0" w:color="000000"/>
            </w:tcBorders>
          </w:tcPr>
          <w:p w14:paraId="466DD8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Cadrage des besoins et définition des livrables</w:t>
            </w:r>
          </w:p>
        </w:tc>
        <w:tc>
          <w:tcPr>
            <w:tcW w:w="4057" w:type="dxa"/>
            <w:tcBorders>
              <w:top w:val="single" w:sz="4" w:space="0" w:color="000000"/>
              <w:left w:val="single" w:sz="4" w:space="0" w:color="000000"/>
              <w:bottom w:val="single" w:sz="4" w:space="0" w:color="000000"/>
              <w:right w:val="single" w:sz="4" w:space="0" w:color="000000"/>
            </w:tcBorders>
          </w:tcPr>
          <w:p w14:paraId="7F219A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Écoute et analyse des exigences, formalisation des besoins fonctionnels, rigueur dans la spécification des résultats attendus</w:t>
            </w:r>
          </w:p>
        </w:tc>
      </w:tr>
      <w:tr w:rsidR="00F50D70" w:rsidRPr="00BE4F47" w14:paraId="1CCD28AA"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AAE967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Rayane Arèmou Akorede Alimi</w:t>
            </w:r>
          </w:p>
        </w:tc>
        <w:tc>
          <w:tcPr>
            <w:tcW w:w="2600" w:type="dxa"/>
            <w:tcBorders>
              <w:top w:val="single" w:sz="4" w:space="0" w:color="000000"/>
              <w:left w:val="single" w:sz="4" w:space="0" w:color="000000"/>
              <w:bottom w:val="single" w:sz="4" w:space="0" w:color="000000"/>
              <w:right w:val="single" w:sz="4" w:space="0" w:color="000000"/>
            </w:tcBorders>
          </w:tcPr>
          <w:p w14:paraId="36CF0BB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Recherche et veille technologique pour l’état de l’art, références</w:t>
            </w:r>
          </w:p>
        </w:tc>
        <w:tc>
          <w:tcPr>
            <w:tcW w:w="4057" w:type="dxa"/>
            <w:tcBorders>
              <w:top w:val="single" w:sz="4" w:space="0" w:color="000000"/>
              <w:left w:val="single" w:sz="4" w:space="0" w:color="000000"/>
              <w:bottom w:val="single" w:sz="4" w:space="0" w:color="000000"/>
              <w:right w:val="single" w:sz="4" w:space="0" w:color="000000"/>
            </w:tcBorders>
          </w:tcPr>
          <w:p w14:paraId="4001B6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Recherche bibliographique, analyse comparative des solutions existantes, esprit critique</w:t>
            </w:r>
          </w:p>
        </w:tc>
      </w:tr>
      <w:tr w:rsidR="00F50D70" w:rsidRPr="00BE4F47" w14:paraId="29F50A46"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059DC2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Abdoul Raouf Kabré</w:t>
            </w:r>
          </w:p>
        </w:tc>
        <w:tc>
          <w:tcPr>
            <w:tcW w:w="2600" w:type="dxa"/>
            <w:tcBorders>
              <w:top w:val="single" w:sz="4" w:space="0" w:color="000000"/>
              <w:left w:val="single" w:sz="4" w:space="0" w:color="000000"/>
              <w:bottom w:val="single" w:sz="4" w:space="0" w:color="000000"/>
              <w:right w:val="single" w:sz="4" w:space="0" w:color="000000"/>
            </w:tcBorders>
          </w:tcPr>
          <w:p w14:paraId="1043F9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Normes, codes et standards</w:t>
            </w:r>
          </w:p>
        </w:tc>
        <w:tc>
          <w:tcPr>
            <w:tcW w:w="4057" w:type="dxa"/>
            <w:tcBorders>
              <w:top w:val="single" w:sz="4" w:space="0" w:color="000000"/>
              <w:left w:val="single" w:sz="4" w:space="0" w:color="000000"/>
              <w:bottom w:val="single" w:sz="4" w:space="0" w:color="000000"/>
              <w:right w:val="single" w:sz="4" w:space="0" w:color="000000"/>
            </w:tcBorders>
          </w:tcPr>
          <w:p w14:paraId="1ABB994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Recherche et interprétation des normes industrielles, analyse des critères de conformité, contrôle de la qualité</w:t>
            </w:r>
          </w:p>
        </w:tc>
      </w:tr>
      <w:tr w:rsidR="00F50D70" w:rsidRPr="00BE4F47" w14:paraId="7BD3257C"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3897D7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Djasra Wilson Thoroum</w:t>
            </w:r>
          </w:p>
        </w:tc>
        <w:tc>
          <w:tcPr>
            <w:tcW w:w="2600" w:type="dxa"/>
            <w:tcBorders>
              <w:top w:val="single" w:sz="4" w:space="0" w:color="000000"/>
              <w:left w:val="single" w:sz="4" w:space="0" w:color="000000"/>
              <w:bottom w:val="single" w:sz="4" w:space="0" w:color="000000"/>
              <w:right w:val="single" w:sz="4" w:space="0" w:color="000000"/>
            </w:tcBorders>
          </w:tcPr>
          <w:p w14:paraId="3423D8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Estimation préliminaire des coûts et budget</w:t>
            </w:r>
          </w:p>
        </w:tc>
        <w:tc>
          <w:tcPr>
            <w:tcW w:w="4057" w:type="dxa"/>
            <w:tcBorders>
              <w:top w:val="single" w:sz="4" w:space="0" w:color="000000"/>
              <w:left w:val="single" w:sz="4" w:space="0" w:color="000000"/>
              <w:bottom w:val="single" w:sz="4" w:space="0" w:color="000000"/>
              <w:right w:val="single" w:sz="4" w:space="0" w:color="000000"/>
            </w:tcBorders>
          </w:tcPr>
          <w:p w14:paraId="5E3D96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Chiffrage financier, calcul prévisionnel des coûts, rigueur budgétaire, analyse de viabilité économique</w:t>
            </w:r>
          </w:p>
        </w:tc>
      </w:tr>
      <w:tr w:rsidR="00F50D70" w:rsidRPr="00BE4F47" w14:paraId="4E312FE4"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6E51F2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Aboubacar Sidiki Yansané</w:t>
            </w:r>
          </w:p>
        </w:tc>
        <w:tc>
          <w:tcPr>
            <w:tcW w:w="2600" w:type="dxa"/>
            <w:tcBorders>
              <w:top w:val="single" w:sz="4" w:space="0" w:color="000000"/>
              <w:left w:val="single" w:sz="4" w:space="0" w:color="000000"/>
              <w:bottom w:val="single" w:sz="4" w:space="0" w:color="000000"/>
              <w:right w:val="single" w:sz="4" w:space="0" w:color="000000"/>
            </w:tcBorders>
          </w:tcPr>
          <w:p w14:paraId="58DB38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Impacts, gestion des risques et modélisation conceptuelle</w:t>
            </w:r>
          </w:p>
        </w:tc>
        <w:tc>
          <w:tcPr>
            <w:tcW w:w="4057" w:type="dxa"/>
            <w:tcBorders>
              <w:top w:val="single" w:sz="4" w:space="0" w:color="000000"/>
              <w:left w:val="single" w:sz="4" w:space="0" w:color="000000"/>
              <w:bottom w:val="single" w:sz="4" w:space="0" w:color="000000"/>
              <w:right w:val="single" w:sz="4" w:space="0" w:color="000000"/>
            </w:tcBorders>
          </w:tcPr>
          <w:p w14:paraId="6D1809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Évaluation d’impacts, identification des risques, plans d’atténuation, modélisation UML</w:t>
            </w:r>
          </w:p>
        </w:tc>
      </w:tr>
      <w:tr w:rsidR="00F50D70" w:rsidRPr="00BE4F47" w14:paraId="24C0741E"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500727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Jérémie Arno Tchawo Soppewe</w:t>
            </w:r>
          </w:p>
        </w:tc>
        <w:tc>
          <w:tcPr>
            <w:tcW w:w="2600" w:type="dxa"/>
            <w:tcBorders>
              <w:top w:val="single" w:sz="4" w:space="0" w:color="000000"/>
              <w:left w:val="single" w:sz="4" w:space="0" w:color="000000"/>
              <w:bottom w:val="single" w:sz="4" w:space="0" w:color="000000"/>
              <w:right w:val="single" w:sz="4" w:space="0" w:color="000000"/>
            </w:tcBorders>
          </w:tcPr>
          <w:p w14:paraId="3D79B1E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Modélisation visuelle de l’échéancier et du calendrier</w:t>
            </w:r>
          </w:p>
        </w:tc>
        <w:tc>
          <w:tcPr>
            <w:tcW w:w="4057" w:type="dxa"/>
            <w:tcBorders>
              <w:top w:val="single" w:sz="4" w:space="0" w:color="000000"/>
              <w:left w:val="single" w:sz="4" w:space="0" w:color="000000"/>
              <w:bottom w:val="single" w:sz="4" w:space="0" w:color="000000"/>
              <w:right w:val="single" w:sz="4" w:space="0" w:color="000000"/>
            </w:tcBorders>
          </w:tcPr>
          <w:p w14:paraId="00AA6A66" w14:textId="29868E6D"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Outils de planification dont GanttProject, ordonnancement des activités, synthèse</w:t>
            </w:r>
          </w:p>
        </w:tc>
      </w:tr>
    </w:tbl>
    <w:p w14:paraId="53460E67" w14:textId="77777777" w:rsidR="00F50D70" w:rsidRPr="00BE4F47" w:rsidRDefault="00137D7F" w:rsidP="008E113B">
      <w:pPr>
        <w:pStyle w:val="Titre2"/>
        <w:numPr>
          <w:ilvl w:val="0"/>
          <w:numId w:val="13"/>
        </w:numPr>
        <w:spacing w:line="360" w:lineRule="auto"/>
      </w:pPr>
      <w:bookmarkStart w:id="241" w:name="__RefHeading___Toc240715119"/>
      <w:bookmarkStart w:id="242" w:name="_Toc241707768"/>
      <w:r w:rsidRPr="00BE4F47">
        <w:t>Rôles et responsabilités</w:t>
      </w:r>
      <w:bookmarkEnd w:id="241"/>
      <w:bookmarkEnd w:id="242"/>
    </w:p>
    <w:p w14:paraId="34FFE7D6" w14:textId="77777777" w:rsidR="00F50D70" w:rsidRPr="00BE4F47" w:rsidRDefault="00137D7F" w:rsidP="008E113B">
      <w:pPr>
        <w:spacing w:before="200" w:after="130" w:line="360" w:lineRule="auto"/>
        <w:ind w:left="360"/>
        <w:rPr>
          <w:rFonts w:ascii="Aptos" w:hAnsi="Aptos"/>
        </w:rPr>
      </w:pPr>
      <w:bookmarkStart w:id="243" w:name="_Toc241082880"/>
      <w:bookmarkStart w:id="244" w:name="_Toc241670061"/>
      <w:bookmarkStart w:id="245" w:name="_Toc241707769"/>
      <w:r w:rsidRPr="00BE4F47">
        <w:rPr>
          <w:rFonts w:ascii="Aptos" w:hAnsi="Aptos"/>
          <w:color w:val="1A1A19"/>
          <w:sz w:val="20"/>
          <w:szCs w:val="20"/>
        </w:rPr>
        <w:t>Le tableau 3-2, ou matrice RACI, indique, pour chaque tâche du plan, qui la produit, qui l’approuve et qui est consulté. Les membres qui ne figurent dans aucune de ces trois colonnes sont informés du résultat.</w:t>
      </w:r>
      <w:bookmarkEnd w:id="243"/>
      <w:bookmarkEnd w:id="244"/>
      <w:bookmarkEnd w:id="245"/>
    </w:p>
    <w:p w14:paraId="586DD77B" w14:textId="77777777" w:rsidR="00F50D70" w:rsidRPr="00BE4F47" w:rsidRDefault="00137D7F" w:rsidP="008E113B">
      <w:pPr>
        <w:spacing w:after="130" w:line="360" w:lineRule="auto"/>
        <w:ind w:left="360"/>
        <w:rPr>
          <w:rFonts w:ascii="Aptos" w:hAnsi="Aptos"/>
        </w:rPr>
      </w:pPr>
      <w:bookmarkStart w:id="246" w:name="_Toc241082881"/>
      <w:bookmarkStart w:id="247" w:name="_Toc241670062"/>
      <w:bookmarkStart w:id="248" w:name="_Toc241707770"/>
      <w:r w:rsidRPr="00BE4F47">
        <w:rPr>
          <w:rFonts w:ascii="Aptos" w:hAnsi="Aptos"/>
          <w:color w:val="1A1A19"/>
          <w:sz w:val="20"/>
          <w:szCs w:val="20"/>
        </w:rPr>
        <w:t>Une tâche n’a qu’un seul responsable et qu’un seul approbateur, et ce n’est jamais la même personne. Le responsable produit, l’approbateur accepte. C’est la même logique que la relecture croisée de la section 4.</w:t>
      </w:r>
      <w:bookmarkEnd w:id="246"/>
      <w:bookmarkEnd w:id="247"/>
      <w:bookmarkEnd w:id="248"/>
    </w:p>
    <w:p w14:paraId="06336B0F" w14:textId="77777777" w:rsidR="00F50D70" w:rsidRPr="00BE4F47" w:rsidRDefault="00137D7F" w:rsidP="008E113B">
      <w:pPr>
        <w:pStyle w:val="Lgende"/>
        <w:keepNext/>
        <w:spacing w:after="130" w:line="360" w:lineRule="auto"/>
        <w:ind w:left="360"/>
        <w:rPr>
          <w:rFonts w:ascii="Aptos" w:hAnsi="Aptos"/>
        </w:rPr>
      </w:pPr>
      <w:bookmarkStart w:id="249" w:name="_Toc241082769"/>
      <w:bookmarkStart w:id="250" w:name="_Toc241670063"/>
      <w:bookmarkStart w:id="251" w:name="_Toc241707771"/>
      <w:r w:rsidRPr="00BE4F47">
        <w:rPr>
          <w:rFonts w:ascii="Aptos" w:hAnsi="Aptos"/>
          <w:color w:val="1A1A19"/>
          <w:sz w:val="20"/>
          <w:szCs w:val="20"/>
        </w:rPr>
        <w:lastRenderedPageBreak/>
        <w:t>Tableau 3-2. Responsable, approbateur et consultés par tâche du plan</w:t>
      </w:r>
      <w:bookmarkEnd w:id="249"/>
      <w:bookmarkEnd w:id="250"/>
      <w:bookmarkEnd w:id="251"/>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2900"/>
        <w:gridCol w:w="1400"/>
        <w:gridCol w:w="1400"/>
        <w:gridCol w:w="2857"/>
      </w:tblGrid>
      <w:tr w:rsidR="00F50D70" w:rsidRPr="00BE4F47" w14:paraId="10AC5030" w14:textId="77777777" w:rsidTr="0036725C">
        <w:trPr>
          <w:trHeight w:val="227"/>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D9EDA5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Tâche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22BA43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Responsable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F47E1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Approbateur</w:t>
            </w:r>
          </w:p>
        </w:tc>
        <w:tc>
          <w:tcPr>
            <w:tcW w:w="28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3AD0B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Consultés</w:t>
            </w:r>
          </w:p>
        </w:tc>
      </w:tr>
      <w:tr w:rsidR="00F50D70" w:rsidRPr="00BE4F47" w14:paraId="50B9F214"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D8CF8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Analyse des besoins</w:t>
            </w:r>
          </w:p>
        </w:tc>
        <w:tc>
          <w:tcPr>
            <w:tcW w:w="1400" w:type="dxa"/>
            <w:tcBorders>
              <w:top w:val="single" w:sz="4" w:space="0" w:color="000000"/>
              <w:left w:val="single" w:sz="4" w:space="0" w:color="000000"/>
              <w:bottom w:val="single" w:sz="4" w:space="0" w:color="000000"/>
              <w:right w:val="single" w:sz="4" w:space="0" w:color="000000"/>
            </w:tcBorders>
          </w:tcPr>
          <w:p w14:paraId="6423A09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Ibrahima</w:t>
            </w:r>
          </w:p>
        </w:tc>
        <w:tc>
          <w:tcPr>
            <w:tcW w:w="1400" w:type="dxa"/>
            <w:tcBorders>
              <w:top w:val="single" w:sz="4" w:space="0" w:color="000000"/>
              <w:left w:val="single" w:sz="4" w:space="0" w:color="000000"/>
              <w:bottom w:val="single" w:sz="4" w:space="0" w:color="000000"/>
              <w:right w:val="single" w:sz="4" w:space="0" w:color="000000"/>
            </w:tcBorders>
          </w:tcPr>
          <w:p w14:paraId="45D50B7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19258DB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r>
      <w:tr w:rsidR="00F50D70" w:rsidRPr="00BE4F47" w14:paraId="52456547"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0888D2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Diagramme UML</w:t>
            </w:r>
          </w:p>
        </w:tc>
        <w:tc>
          <w:tcPr>
            <w:tcW w:w="1400" w:type="dxa"/>
            <w:tcBorders>
              <w:top w:val="single" w:sz="4" w:space="0" w:color="000000"/>
              <w:left w:val="single" w:sz="4" w:space="0" w:color="000000"/>
              <w:bottom w:val="single" w:sz="4" w:space="0" w:color="000000"/>
              <w:right w:val="single" w:sz="4" w:space="0" w:color="000000"/>
            </w:tcBorders>
          </w:tcPr>
          <w:p w14:paraId="03F65A5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c>
          <w:tcPr>
            <w:tcW w:w="1400" w:type="dxa"/>
            <w:tcBorders>
              <w:top w:val="single" w:sz="4" w:space="0" w:color="000000"/>
              <w:left w:val="single" w:sz="4" w:space="0" w:color="000000"/>
              <w:bottom w:val="single" w:sz="4" w:space="0" w:color="000000"/>
              <w:right w:val="single" w:sz="4" w:space="0" w:color="000000"/>
            </w:tcBorders>
          </w:tcPr>
          <w:p w14:paraId="1CF539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06BE6C1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 Raouf</w:t>
            </w:r>
          </w:p>
        </w:tc>
      </w:tr>
      <w:tr w:rsidR="00F50D70" w:rsidRPr="00BE4F47" w14:paraId="1195F8E5"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B4B34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Structure du projet</w:t>
            </w:r>
          </w:p>
        </w:tc>
        <w:tc>
          <w:tcPr>
            <w:tcW w:w="1400" w:type="dxa"/>
            <w:tcBorders>
              <w:top w:val="single" w:sz="4" w:space="0" w:color="000000"/>
              <w:left w:val="single" w:sz="4" w:space="0" w:color="000000"/>
              <w:bottom w:val="single" w:sz="4" w:space="0" w:color="000000"/>
              <w:right w:val="single" w:sz="4" w:space="0" w:color="000000"/>
            </w:tcBorders>
          </w:tcPr>
          <w:p w14:paraId="1F1AA5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5C3BF6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035C939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 Abdramane</w:t>
            </w:r>
          </w:p>
        </w:tc>
      </w:tr>
      <w:tr w:rsidR="00F50D70" w:rsidRPr="00BE4F47" w14:paraId="5BA7987B"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17A2D2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Diagramme de Gantt</w:t>
            </w:r>
          </w:p>
        </w:tc>
        <w:tc>
          <w:tcPr>
            <w:tcW w:w="1400" w:type="dxa"/>
            <w:tcBorders>
              <w:top w:val="single" w:sz="4" w:space="0" w:color="000000"/>
              <w:left w:val="single" w:sz="4" w:space="0" w:color="000000"/>
              <w:bottom w:val="single" w:sz="4" w:space="0" w:color="000000"/>
              <w:right w:val="single" w:sz="4" w:space="0" w:color="000000"/>
            </w:tcBorders>
          </w:tcPr>
          <w:p w14:paraId="0723015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w:t>
            </w:r>
          </w:p>
        </w:tc>
        <w:tc>
          <w:tcPr>
            <w:tcW w:w="1400" w:type="dxa"/>
            <w:tcBorders>
              <w:top w:val="single" w:sz="4" w:space="0" w:color="000000"/>
              <w:left w:val="single" w:sz="4" w:space="0" w:color="000000"/>
              <w:bottom w:val="single" w:sz="4" w:space="0" w:color="000000"/>
              <w:right w:val="single" w:sz="4" w:space="0" w:color="000000"/>
            </w:tcBorders>
          </w:tcPr>
          <w:p w14:paraId="64F74E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7E7B4F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Ibrahima</w:t>
            </w:r>
          </w:p>
        </w:tc>
      </w:tr>
      <w:tr w:rsidR="00F50D70" w:rsidRPr="00BE4F47" w14:paraId="4DE16C21"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79192C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Description de l’équipe</w:t>
            </w:r>
          </w:p>
        </w:tc>
        <w:tc>
          <w:tcPr>
            <w:tcW w:w="1400" w:type="dxa"/>
            <w:tcBorders>
              <w:top w:val="single" w:sz="4" w:space="0" w:color="000000"/>
              <w:left w:val="single" w:sz="4" w:space="0" w:color="000000"/>
              <w:bottom w:val="single" w:sz="4" w:space="0" w:color="000000"/>
              <w:right w:val="single" w:sz="4" w:space="0" w:color="000000"/>
            </w:tcBorders>
          </w:tcPr>
          <w:p w14:paraId="36B9C6C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Abdramane</w:t>
            </w:r>
          </w:p>
        </w:tc>
        <w:tc>
          <w:tcPr>
            <w:tcW w:w="1400" w:type="dxa"/>
            <w:tcBorders>
              <w:top w:val="single" w:sz="4" w:space="0" w:color="000000"/>
              <w:left w:val="single" w:sz="4" w:space="0" w:color="000000"/>
              <w:bottom w:val="single" w:sz="4" w:space="0" w:color="000000"/>
              <w:right w:val="single" w:sz="4" w:space="0" w:color="000000"/>
            </w:tcBorders>
          </w:tcPr>
          <w:p w14:paraId="100C51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39BDFB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r>
      <w:tr w:rsidR="00F50D70" w:rsidRPr="00BE4F47" w14:paraId="723A8A1A"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5BFE1E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Matrice des responsabilités</w:t>
            </w:r>
          </w:p>
        </w:tc>
        <w:tc>
          <w:tcPr>
            <w:tcW w:w="1400" w:type="dxa"/>
            <w:tcBorders>
              <w:top w:val="single" w:sz="4" w:space="0" w:color="000000"/>
              <w:left w:val="single" w:sz="4" w:space="0" w:color="000000"/>
              <w:bottom w:val="single" w:sz="4" w:space="0" w:color="000000"/>
              <w:right w:val="single" w:sz="4" w:space="0" w:color="000000"/>
            </w:tcBorders>
          </w:tcPr>
          <w:p w14:paraId="3EDA9B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6379E3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561EAF5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 Sidiki</w:t>
            </w:r>
          </w:p>
        </w:tc>
      </w:tr>
      <w:tr w:rsidR="00F50D70" w:rsidRPr="00BE4F47" w14:paraId="3BEE298B"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AD1094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Description des livrables</w:t>
            </w:r>
          </w:p>
        </w:tc>
        <w:tc>
          <w:tcPr>
            <w:tcW w:w="1400" w:type="dxa"/>
            <w:tcBorders>
              <w:top w:val="single" w:sz="4" w:space="0" w:color="000000"/>
              <w:left w:val="single" w:sz="4" w:space="0" w:color="000000"/>
              <w:bottom w:val="single" w:sz="4" w:space="0" w:color="000000"/>
              <w:right w:val="single" w:sz="4" w:space="0" w:color="000000"/>
            </w:tcBorders>
          </w:tcPr>
          <w:p w14:paraId="505E7A3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Ibrahima</w:t>
            </w:r>
          </w:p>
        </w:tc>
        <w:tc>
          <w:tcPr>
            <w:tcW w:w="1400" w:type="dxa"/>
            <w:tcBorders>
              <w:top w:val="single" w:sz="4" w:space="0" w:color="000000"/>
              <w:left w:val="single" w:sz="4" w:space="0" w:color="000000"/>
              <w:bottom w:val="single" w:sz="4" w:space="0" w:color="000000"/>
              <w:right w:val="single" w:sz="4" w:space="0" w:color="000000"/>
            </w:tcBorders>
          </w:tcPr>
          <w:p w14:paraId="538315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66E360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Rayane</w:t>
            </w:r>
          </w:p>
        </w:tc>
      </w:tr>
      <w:tr w:rsidR="00F50D70" w:rsidRPr="00BE4F47" w14:paraId="069EF8DD"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ABC88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Stratégie de contrôle des versions</w:t>
            </w:r>
          </w:p>
        </w:tc>
        <w:tc>
          <w:tcPr>
            <w:tcW w:w="1400" w:type="dxa"/>
            <w:tcBorders>
              <w:top w:val="single" w:sz="4" w:space="0" w:color="000000"/>
              <w:left w:val="single" w:sz="4" w:space="0" w:color="000000"/>
              <w:bottom w:val="single" w:sz="4" w:space="0" w:color="000000"/>
              <w:right w:val="single" w:sz="4" w:space="0" w:color="000000"/>
            </w:tcBorders>
          </w:tcPr>
          <w:p w14:paraId="6DE06DC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55DFA47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7FB610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Raouf, Abdramane</w:t>
            </w:r>
          </w:p>
        </w:tc>
      </w:tr>
      <w:tr w:rsidR="00F50D70" w:rsidRPr="00BE4F47" w14:paraId="02B98AF5"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1BBDDC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Revue de l’état de l’art</w:t>
            </w:r>
          </w:p>
        </w:tc>
        <w:tc>
          <w:tcPr>
            <w:tcW w:w="1400" w:type="dxa"/>
            <w:tcBorders>
              <w:top w:val="single" w:sz="4" w:space="0" w:color="000000"/>
              <w:left w:val="single" w:sz="4" w:space="0" w:color="000000"/>
              <w:bottom w:val="single" w:sz="4" w:space="0" w:color="000000"/>
              <w:right w:val="single" w:sz="4" w:space="0" w:color="000000"/>
            </w:tcBorders>
          </w:tcPr>
          <w:p w14:paraId="5DC3C6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Abdramane</w:t>
            </w:r>
          </w:p>
        </w:tc>
        <w:tc>
          <w:tcPr>
            <w:tcW w:w="1400" w:type="dxa"/>
            <w:tcBorders>
              <w:top w:val="single" w:sz="4" w:space="0" w:color="000000"/>
              <w:left w:val="single" w:sz="4" w:space="0" w:color="000000"/>
              <w:bottom w:val="single" w:sz="4" w:space="0" w:color="000000"/>
              <w:right w:val="single" w:sz="4" w:space="0" w:color="000000"/>
            </w:tcBorders>
          </w:tcPr>
          <w:p w14:paraId="3A9A413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AC500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Rayane, Raouf, Wilson</w:t>
            </w:r>
          </w:p>
        </w:tc>
      </w:tr>
      <w:tr w:rsidR="00F50D70" w:rsidRPr="00BE4F47" w14:paraId="5C9AA9A7"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2314930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Normes, codes et standards</w:t>
            </w:r>
          </w:p>
        </w:tc>
        <w:tc>
          <w:tcPr>
            <w:tcW w:w="1400" w:type="dxa"/>
            <w:tcBorders>
              <w:top w:val="single" w:sz="4" w:space="0" w:color="000000"/>
              <w:left w:val="single" w:sz="4" w:space="0" w:color="000000"/>
              <w:bottom w:val="single" w:sz="4" w:space="0" w:color="000000"/>
              <w:right w:val="single" w:sz="4" w:space="0" w:color="000000"/>
            </w:tcBorders>
          </w:tcPr>
          <w:p w14:paraId="675831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Raouf</w:t>
            </w:r>
          </w:p>
        </w:tc>
        <w:tc>
          <w:tcPr>
            <w:tcW w:w="1400" w:type="dxa"/>
            <w:tcBorders>
              <w:top w:val="single" w:sz="4" w:space="0" w:color="000000"/>
              <w:left w:val="single" w:sz="4" w:space="0" w:color="000000"/>
              <w:bottom w:val="single" w:sz="4" w:space="0" w:color="000000"/>
              <w:right w:val="single" w:sz="4" w:space="0" w:color="000000"/>
            </w:tcBorders>
          </w:tcPr>
          <w:p w14:paraId="3D60BBF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316CBF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 Abdramane</w:t>
            </w:r>
          </w:p>
        </w:tc>
      </w:tr>
      <w:tr w:rsidR="00F50D70" w:rsidRPr="00BE4F47" w14:paraId="7E97D17C"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46B41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Impacts du projet et gestion des risques</w:t>
            </w:r>
          </w:p>
        </w:tc>
        <w:tc>
          <w:tcPr>
            <w:tcW w:w="1400" w:type="dxa"/>
            <w:tcBorders>
              <w:top w:val="single" w:sz="4" w:space="0" w:color="000000"/>
              <w:left w:val="single" w:sz="4" w:space="0" w:color="000000"/>
              <w:bottom w:val="single" w:sz="4" w:space="0" w:color="000000"/>
              <w:right w:val="single" w:sz="4" w:space="0" w:color="000000"/>
            </w:tcBorders>
          </w:tcPr>
          <w:p w14:paraId="11CF43F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c>
          <w:tcPr>
            <w:tcW w:w="1400" w:type="dxa"/>
            <w:tcBorders>
              <w:top w:val="single" w:sz="4" w:space="0" w:color="000000"/>
              <w:left w:val="single" w:sz="4" w:space="0" w:color="000000"/>
              <w:bottom w:val="single" w:sz="4" w:space="0" w:color="000000"/>
              <w:right w:val="single" w:sz="4" w:space="0" w:color="000000"/>
            </w:tcBorders>
          </w:tcPr>
          <w:p w14:paraId="576FA9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71B66D9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r>
      <w:tr w:rsidR="00F50D70" w:rsidRPr="00BE4F47" w14:paraId="75CC3B02"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214C7DC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Estimation préliminaire des coûts</w:t>
            </w:r>
          </w:p>
        </w:tc>
        <w:tc>
          <w:tcPr>
            <w:tcW w:w="1400" w:type="dxa"/>
            <w:tcBorders>
              <w:top w:val="single" w:sz="4" w:space="0" w:color="000000"/>
              <w:left w:val="single" w:sz="4" w:space="0" w:color="000000"/>
              <w:bottom w:val="single" w:sz="4" w:space="0" w:color="000000"/>
              <w:right w:val="single" w:sz="4" w:space="0" w:color="000000"/>
            </w:tcBorders>
          </w:tcPr>
          <w:p w14:paraId="0E812AC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Wilson</w:t>
            </w:r>
          </w:p>
        </w:tc>
        <w:tc>
          <w:tcPr>
            <w:tcW w:w="1400" w:type="dxa"/>
            <w:tcBorders>
              <w:top w:val="single" w:sz="4" w:space="0" w:color="000000"/>
              <w:left w:val="single" w:sz="4" w:space="0" w:color="000000"/>
              <w:bottom w:val="single" w:sz="4" w:space="0" w:color="000000"/>
              <w:right w:val="single" w:sz="4" w:space="0" w:color="000000"/>
            </w:tcBorders>
          </w:tcPr>
          <w:p w14:paraId="0C521F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59164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r>
      <w:tr w:rsidR="00F50D70" w:rsidRPr="00BE4F47" w14:paraId="1AB5377B"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700B3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Échéancier préliminaire</w:t>
            </w:r>
          </w:p>
        </w:tc>
        <w:tc>
          <w:tcPr>
            <w:tcW w:w="1400" w:type="dxa"/>
            <w:tcBorders>
              <w:top w:val="single" w:sz="4" w:space="0" w:color="000000"/>
              <w:left w:val="single" w:sz="4" w:space="0" w:color="000000"/>
              <w:bottom w:val="single" w:sz="4" w:space="0" w:color="000000"/>
              <w:right w:val="single" w:sz="4" w:space="0" w:color="000000"/>
            </w:tcBorders>
          </w:tcPr>
          <w:p w14:paraId="30E8FA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74D3B54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78DEE9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w:t>
            </w:r>
          </w:p>
        </w:tc>
      </w:tr>
      <w:tr w:rsidR="00F50D70" w:rsidRPr="00BE4F47" w14:paraId="2494C0D0"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51E1E8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Références pertinentes au projet</w:t>
            </w:r>
          </w:p>
        </w:tc>
        <w:tc>
          <w:tcPr>
            <w:tcW w:w="1400" w:type="dxa"/>
            <w:tcBorders>
              <w:top w:val="single" w:sz="4" w:space="0" w:color="000000"/>
              <w:left w:val="single" w:sz="4" w:space="0" w:color="000000"/>
              <w:bottom w:val="single" w:sz="4" w:space="0" w:color="000000"/>
              <w:right w:val="single" w:sz="4" w:space="0" w:color="000000"/>
            </w:tcBorders>
          </w:tcPr>
          <w:p w14:paraId="5F853D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Rayane</w:t>
            </w:r>
          </w:p>
        </w:tc>
        <w:tc>
          <w:tcPr>
            <w:tcW w:w="1400" w:type="dxa"/>
            <w:tcBorders>
              <w:top w:val="single" w:sz="4" w:space="0" w:color="000000"/>
              <w:left w:val="single" w:sz="4" w:space="0" w:color="000000"/>
              <w:bottom w:val="single" w:sz="4" w:space="0" w:color="000000"/>
              <w:right w:val="single" w:sz="4" w:space="0" w:color="000000"/>
            </w:tcBorders>
          </w:tcPr>
          <w:p w14:paraId="158B29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16B4790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Abdramane</w:t>
            </w:r>
          </w:p>
        </w:tc>
      </w:tr>
    </w:tbl>
    <w:p w14:paraId="57B13101" w14:textId="77777777" w:rsidR="00F50D70" w:rsidRPr="00136F18" w:rsidRDefault="00137D7F" w:rsidP="008E113B">
      <w:pPr>
        <w:pStyle w:val="Titre1"/>
        <w:spacing w:line="360" w:lineRule="auto"/>
      </w:pPr>
      <w:bookmarkStart w:id="252" w:name="__RefHeading___Toc240715120"/>
      <w:bookmarkStart w:id="253" w:name="_Toc241707772"/>
      <w:bookmarkEnd w:id="252"/>
      <w:r w:rsidRPr="00136F18">
        <w:t>Stratégie de contrôle des versions</w:t>
      </w:r>
      <w:bookmarkEnd w:id="253"/>
    </w:p>
    <w:p w14:paraId="43B1DFDC" w14:textId="77777777" w:rsidR="00F50D70" w:rsidRPr="00BE4F47" w:rsidRDefault="00137D7F" w:rsidP="008E113B">
      <w:pPr>
        <w:spacing w:before="200" w:after="130" w:line="360" w:lineRule="auto"/>
        <w:ind w:left="360"/>
        <w:rPr>
          <w:rFonts w:ascii="Aptos" w:hAnsi="Aptos"/>
        </w:rPr>
      </w:pPr>
      <w:bookmarkStart w:id="254" w:name="_Toc241082889"/>
      <w:bookmarkStart w:id="255" w:name="_Toc241670065"/>
      <w:bookmarkStart w:id="256" w:name="_Toc241707773"/>
      <w:r w:rsidRPr="00BE4F47">
        <w:rPr>
          <w:rFonts w:ascii="Aptos" w:hAnsi="Aptos"/>
          <w:color w:val="1A1A19"/>
          <w:sz w:val="20"/>
          <w:szCs w:val="20"/>
        </w:rPr>
        <w:t>Huit personnes produisent les livrables de la section 2. Cette section dit comment nous conservons et retrouvons notre travail.</w:t>
      </w:r>
      <w:bookmarkEnd w:id="254"/>
      <w:bookmarkEnd w:id="255"/>
      <w:bookmarkEnd w:id="256"/>
    </w:p>
    <w:p w14:paraId="19E5D55D" w14:textId="77777777" w:rsidR="00F50D70" w:rsidRPr="00136F18" w:rsidRDefault="00137D7F" w:rsidP="008E113B">
      <w:pPr>
        <w:pStyle w:val="Titre2"/>
        <w:spacing w:line="360" w:lineRule="auto"/>
      </w:pPr>
      <w:bookmarkStart w:id="257" w:name="_Toc241707774"/>
      <w:r w:rsidRPr="00136F18">
        <w:t>Objet et portée</w:t>
      </w:r>
      <w:bookmarkEnd w:id="257"/>
    </w:p>
    <w:p w14:paraId="21370D7B"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58" w:name="_Toc241082891"/>
      <w:bookmarkStart w:id="259" w:name="_Toc241670067"/>
      <w:bookmarkStart w:id="260" w:name="_Toc241707775"/>
      <w:r w:rsidRPr="00BE4F47">
        <w:rPr>
          <w:rFonts w:ascii="Aptos" w:hAnsi="Aptos"/>
          <w:color w:val="1A1A19"/>
          <w:sz w:val="20"/>
          <w:szCs w:val="20"/>
        </w:rPr>
        <w:t>La gestion porte sur tout ce que le projet produit, et pas seulement sur le code : documents, code, modèles, diagrammes, jeux de données, résultats d’essais et références.</w:t>
      </w:r>
      <w:bookmarkEnd w:id="258"/>
      <w:bookmarkEnd w:id="259"/>
      <w:bookmarkEnd w:id="260"/>
    </w:p>
    <w:p w14:paraId="580CE01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61" w:name="_Toc241082892"/>
      <w:bookmarkStart w:id="262" w:name="_Toc241670068"/>
      <w:bookmarkStart w:id="263" w:name="_Toc241707776"/>
      <w:r w:rsidRPr="00BE4F47">
        <w:rPr>
          <w:rFonts w:ascii="Aptos" w:hAnsi="Aptos"/>
          <w:color w:val="1A1A19"/>
          <w:sz w:val="20"/>
          <w:szCs w:val="20"/>
        </w:rPr>
        <w:t>Trois raisons la rendent nécessaire :</w:t>
      </w:r>
      <w:bookmarkEnd w:id="261"/>
      <w:bookmarkEnd w:id="262"/>
      <w:bookmarkEnd w:id="263"/>
    </w:p>
    <w:p w14:paraId="00FE3D09" w14:textId="77777777" w:rsidR="00F50D70" w:rsidRPr="00BE4F47" w:rsidRDefault="00137D7F" w:rsidP="008E113B">
      <w:pPr>
        <w:numPr>
          <w:ilvl w:val="0"/>
          <w:numId w:val="20"/>
        </w:numPr>
        <w:spacing w:after="130" w:line="360" w:lineRule="auto"/>
        <w:ind w:left="720"/>
        <w:rPr>
          <w:rFonts w:ascii="Aptos" w:hAnsi="Aptos"/>
          <w:lang w:val="fr-FR"/>
        </w:rPr>
      </w:pPr>
      <w:bookmarkStart w:id="264" w:name="_Toc241670069"/>
      <w:bookmarkStart w:id="265" w:name="_Toc241707777"/>
      <w:r w:rsidRPr="00BE4F47">
        <w:rPr>
          <w:rFonts w:ascii="Aptos" w:hAnsi="Aptos"/>
          <w:color w:val="1A1A19"/>
          <w:sz w:val="20"/>
          <w:szCs w:val="20"/>
        </w:rPr>
        <w:t>Nous sommes huit à écrire onze sections du même document. Sans règle commune, les versions divergent en quelques jours.</w:t>
      </w:r>
      <w:bookmarkEnd w:id="264"/>
      <w:bookmarkEnd w:id="265"/>
    </w:p>
    <w:p w14:paraId="347831DA" w14:textId="77777777" w:rsidR="00F50D70" w:rsidRPr="00BE4F47" w:rsidRDefault="00137D7F" w:rsidP="008E113B">
      <w:pPr>
        <w:numPr>
          <w:ilvl w:val="0"/>
          <w:numId w:val="20"/>
        </w:numPr>
        <w:spacing w:after="130" w:line="360" w:lineRule="auto"/>
        <w:ind w:left="720"/>
        <w:rPr>
          <w:rFonts w:ascii="Aptos" w:hAnsi="Aptos"/>
          <w:lang w:val="fr-FR"/>
        </w:rPr>
      </w:pPr>
      <w:bookmarkStart w:id="266" w:name="_Toc241670070"/>
      <w:bookmarkStart w:id="267" w:name="_Toc241707778"/>
      <w:r w:rsidRPr="00BE4F47">
        <w:rPr>
          <w:rFonts w:ascii="Aptos" w:hAnsi="Aptos"/>
          <w:color w:val="1A1A19"/>
          <w:sz w:val="20"/>
          <w:szCs w:val="20"/>
        </w:rPr>
        <w:t>Un résultat d’essai n’a de valeur que si l’on sait quelle version du modèle et du jeu de données l’a produit. C’est la reproductibilité exigée par EX-F-02.</w:t>
      </w:r>
      <w:bookmarkEnd w:id="266"/>
      <w:bookmarkEnd w:id="267"/>
    </w:p>
    <w:p w14:paraId="021D38CA" w14:textId="77777777" w:rsidR="00F50D70" w:rsidRPr="00BE4F47" w:rsidRDefault="00137D7F" w:rsidP="008E113B">
      <w:pPr>
        <w:numPr>
          <w:ilvl w:val="0"/>
          <w:numId w:val="20"/>
        </w:numPr>
        <w:spacing w:after="130" w:line="360" w:lineRule="auto"/>
        <w:ind w:left="720"/>
        <w:rPr>
          <w:rFonts w:ascii="Aptos" w:hAnsi="Aptos"/>
          <w:lang w:val="fr-FR"/>
        </w:rPr>
      </w:pPr>
      <w:bookmarkStart w:id="268" w:name="_Toc241670071"/>
      <w:bookmarkStart w:id="269" w:name="_Toc241707779"/>
      <w:r w:rsidRPr="00BE4F47">
        <w:rPr>
          <w:rFonts w:ascii="Aptos" w:hAnsi="Aptos"/>
          <w:color w:val="1A1A19"/>
          <w:sz w:val="20"/>
          <w:szCs w:val="20"/>
        </w:rPr>
        <w:lastRenderedPageBreak/>
        <w:t>Le projet se place dans un cadre nucléaire simulé. La traçabilité documentaire est une attente du système de gestion décrit par REGDOC-2.1.1 [2].</w:t>
      </w:r>
      <w:bookmarkEnd w:id="268"/>
      <w:bookmarkEnd w:id="269"/>
    </w:p>
    <w:p w14:paraId="36184C0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70" w:name="_Toc241082893"/>
      <w:bookmarkStart w:id="271" w:name="_Toc241670072"/>
      <w:bookmarkStart w:id="272" w:name="_Toc241707780"/>
      <w:r w:rsidRPr="00BE4F47">
        <w:rPr>
          <w:rFonts w:ascii="Aptos" w:hAnsi="Aptos"/>
          <w:color w:val="1A1A19"/>
          <w:sz w:val="20"/>
          <w:szCs w:val="20"/>
        </w:rPr>
        <w:t>Nous suivons le processus de gestion de la configuration de la norme ISO/IEC/IEEE 12207 [3], retenue au tableau des normes de la section 6 : identifier ce qui est géré, contrôler les modifications, enregistrer l’état, et vérifier que ce qui est livré est bien ce qui était prévu. La section suit cet ordre.</w:t>
      </w:r>
      <w:bookmarkEnd w:id="270"/>
      <w:bookmarkEnd w:id="271"/>
      <w:bookmarkEnd w:id="272"/>
    </w:p>
    <w:p w14:paraId="47DD832E" w14:textId="77777777" w:rsidR="00F50D70" w:rsidRPr="00136F18" w:rsidRDefault="00137D7F" w:rsidP="008E113B">
      <w:pPr>
        <w:pStyle w:val="Titre2"/>
        <w:spacing w:line="360" w:lineRule="auto"/>
      </w:pPr>
      <w:bookmarkStart w:id="273" w:name="_Toc241707781"/>
      <w:r w:rsidRPr="00136F18">
        <w:t>Inventaire de l’information à gérer</w:t>
      </w:r>
      <w:bookmarkEnd w:id="273"/>
    </w:p>
    <w:p w14:paraId="17FE5A7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74" w:name="_Toc241082896"/>
      <w:bookmarkStart w:id="275" w:name="_Toc241670074"/>
      <w:bookmarkStart w:id="276" w:name="_Toc241707782"/>
      <w:r w:rsidRPr="00BE4F47">
        <w:rPr>
          <w:rFonts w:ascii="Aptos" w:hAnsi="Aptos"/>
          <w:color w:val="1A1A19"/>
          <w:sz w:val="20"/>
          <w:szCs w:val="20"/>
        </w:rPr>
        <w:t>Le tableau 4-1 indique, pour chaque type d’information, où elle est rangée et qui en répond.</w:t>
      </w:r>
      <w:bookmarkEnd w:id="274"/>
      <w:bookmarkEnd w:id="275"/>
      <w:bookmarkEnd w:id="276"/>
    </w:p>
    <w:p w14:paraId="13E28B5D" w14:textId="77777777" w:rsidR="00F50D70" w:rsidRPr="00BE4F47" w:rsidRDefault="00137D7F" w:rsidP="008E113B">
      <w:pPr>
        <w:pStyle w:val="Lgende"/>
        <w:keepNext/>
        <w:spacing w:line="360" w:lineRule="auto"/>
        <w:rPr>
          <w:rFonts w:ascii="Aptos" w:hAnsi="Aptos"/>
        </w:rPr>
      </w:pPr>
      <w:bookmarkStart w:id="277" w:name="_Toc241082897"/>
      <w:bookmarkStart w:id="278" w:name="_Toc241670075"/>
      <w:bookmarkStart w:id="279" w:name="_Toc241707783"/>
      <w:r w:rsidRPr="00BE4F47">
        <w:rPr>
          <w:rFonts w:ascii="Aptos" w:hAnsi="Aptos"/>
        </w:rPr>
        <w:t>Tableau 4-1. Éléments de configuration du projet</w:t>
      </w:r>
      <w:bookmarkEnd w:id="277"/>
      <w:bookmarkEnd w:id="278"/>
      <w:bookmarkEnd w:id="279"/>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737"/>
        <w:gridCol w:w="3712"/>
        <w:gridCol w:w="1737"/>
        <w:gridCol w:w="1371"/>
      </w:tblGrid>
      <w:tr w:rsidR="00F50D70" w:rsidRPr="00BE4F47" w14:paraId="78A03423" w14:textId="77777777" w:rsidTr="0036725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5091E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Catégorie</w:t>
            </w:r>
          </w:p>
        </w:tc>
        <w:tc>
          <w:tcPr>
            <w:tcW w:w="3712"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9DEBCB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Contenu</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0FB685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Emplacement</w:t>
            </w:r>
          </w:p>
        </w:tc>
        <w:tc>
          <w:tcPr>
            <w:tcW w:w="1371"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7DDB4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Responsable</w:t>
            </w:r>
          </w:p>
        </w:tc>
      </w:tr>
      <w:tr w:rsidR="00F50D70" w:rsidRPr="00BE4F47" w14:paraId="3CCF79E2"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34FD117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Sections du plan de projet</w:t>
            </w:r>
          </w:p>
        </w:tc>
        <w:tc>
          <w:tcPr>
            <w:tcW w:w="3712" w:type="dxa"/>
            <w:tcBorders>
              <w:top w:val="single" w:sz="4" w:space="0" w:color="000000"/>
              <w:left w:val="single" w:sz="4" w:space="0" w:color="000000"/>
              <w:bottom w:val="single" w:sz="4" w:space="0" w:color="000000"/>
              <w:right w:val="single" w:sz="4" w:space="0" w:color="000000"/>
            </w:tcBorders>
          </w:tcPr>
          <w:p w14:paraId="6B93A1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Onze sections rédigées en format Word</w:t>
            </w:r>
          </w:p>
        </w:tc>
        <w:tc>
          <w:tcPr>
            <w:tcW w:w="1737" w:type="dxa"/>
            <w:tcBorders>
              <w:top w:val="single" w:sz="4" w:space="0" w:color="000000"/>
              <w:left w:val="single" w:sz="4" w:space="0" w:color="000000"/>
              <w:bottom w:val="single" w:sz="4" w:space="0" w:color="000000"/>
              <w:right w:val="single" w:sz="4" w:space="0" w:color="000000"/>
            </w:tcBorders>
          </w:tcPr>
          <w:p w14:paraId="19A0D59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dossier plan/</w:t>
            </w:r>
          </w:p>
        </w:tc>
        <w:tc>
          <w:tcPr>
            <w:tcW w:w="1371" w:type="dxa"/>
            <w:tcBorders>
              <w:top w:val="single" w:sz="4" w:space="0" w:color="000000"/>
              <w:left w:val="single" w:sz="4" w:space="0" w:color="000000"/>
              <w:bottom w:val="single" w:sz="4" w:space="0" w:color="000000"/>
              <w:right w:val="single" w:sz="4" w:space="0" w:color="000000"/>
            </w:tcBorders>
          </w:tcPr>
          <w:p w14:paraId="4A2F56E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tc>
      </w:tr>
      <w:tr w:rsidR="00F50D70" w:rsidRPr="00BE4F47" w14:paraId="05A32B35"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7E83A3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Code et scripts</w:t>
            </w:r>
          </w:p>
        </w:tc>
        <w:tc>
          <w:tcPr>
            <w:tcW w:w="3712" w:type="dxa"/>
            <w:tcBorders>
              <w:top w:val="single" w:sz="4" w:space="0" w:color="000000"/>
              <w:left w:val="single" w:sz="4" w:space="0" w:color="000000"/>
              <w:bottom w:val="single" w:sz="4" w:space="0" w:color="000000"/>
              <w:right w:val="single" w:sz="4" w:space="0" w:color="000000"/>
            </w:tcBorders>
          </w:tcPr>
          <w:p w14:paraId="1B215BA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Noyau de simulation, détection, interface</w:t>
            </w:r>
          </w:p>
        </w:tc>
        <w:tc>
          <w:tcPr>
            <w:tcW w:w="1737" w:type="dxa"/>
            <w:tcBorders>
              <w:top w:val="single" w:sz="4" w:space="0" w:color="000000"/>
              <w:left w:val="single" w:sz="4" w:space="0" w:color="000000"/>
              <w:bottom w:val="single" w:sz="4" w:space="0" w:color="000000"/>
              <w:right w:val="single" w:sz="4" w:space="0" w:color="000000"/>
            </w:tcBorders>
          </w:tcPr>
          <w:p w14:paraId="69C5BB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61A5FA6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w:t>
            </w:r>
          </w:p>
        </w:tc>
      </w:tr>
      <w:tr w:rsidR="00F50D70" w:rsidRPr="00BE4F47" w14:paraId="1952C442"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FBD3F8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Modèles</w:t>
            </w:r>
          </w:p>
        </w:tc>
        <w:tc>
          <w:tcPr>
            <w:tcW w:w="3712" w:type="dxa"/>
            <w:tcBorders>
              <w:top w:val="single" w:sz="4" w:space="0" w:color="000000"/>
              <w:left w:val="single" w:sz="4" w:space="0" w:color="000000"/>
              <w:bottom w:val="single" w:sz="4" w:space="0" w:color="000000"/>
              <w:right w:val="single" w:sz="4" w:space="0" w:color="000000"/>
            </w:tcBorders>
          </w:tcPr>
          <w:p w14:paraId="7A3B35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Fichiers des modèles de la boucle et du modèle de référence</w:t>
            </w:r>
          </w:p>
        </w:tc>
        <w:tc>
          <w:tcPr>
            <w:tcW w:w="1737" w:type="dxa"/>
            <w:tcBorders>
              <w:top w:val="single" w:sz="4" w:space="0" w:color="000000"/>
              <w:left w:val="single" w:sz="4" w:space="0" w:color="000000"/>
              <w:bottom w:val="single" w:sz="4" w:space="0" w:color="000000"/>
              <w:right w:val="single" w:sz="4" w:space="0" w:color="000000"/>
            </w:tcBorders>
          </w:tcPr>
          <w:p w14:paraId="4C8D9F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70391A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L4</w:t>
            </w:r>
          </w:p>
        </w:tc>
      </w:tr>
      <w:tr w:rsidR="00F50D70" w:rsidRPr="00BE4F47" w14:paraId="6F8ECA47"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173FDD1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Diagrammes</w:t>
            </w:r>
          </w:p>
        </w:tc>
        <w:tc>
          <w:tcPr>
            <w:tcW w:w="3712" w:type="dxa"/>
            <w:tcBorders>
              <w:top w:val="single" w:sz="4" w:space="0" w:color="000000"/>
              <w:left w:val="single" w:sz="4" w:space="0" w:color="000000"/>
              <w:bottom w:val="single" w:sz="4" w:space="0" w:color="000000"/>
              <w:right w:val="single" w:sz="4" w:space="0" w:color="000000"/>
            </w:tcBorders>
          </w:tcPr>
          <w:p w14:paraId="0810746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GEMMA, structure de découpage, arbre des risques, en format PlantUML</w:t>
            </w:r>
          </w:p>
        </w:tc>
        <w:tc>
          <w:tcPr>
            <w:tcW w:w="1737" w:type="dxa"/>
            <w:tcBorders>
              <w:top w:val="single" w:sz="4" w:space="0" w:color="000000"/>
              <w:left w:val="single" w:sz="4" w:space="0" w:color="000000"/>
              <w:bottom w:val="single" w:sz="4" w:space="0" w:color="000000"/>
              <w:right w:val="single" w:sz="4" w:space="0" w:color="000000"/>
            </w:tcBorders>
          </w:tcPr>
          <w:p w14:paraId="7A4F23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490874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Auteur du diagramme</w:t>
            </w:r>
          </w:p>
        </w:tc>
      </w:tr>
      <w:tr w:rsidR="00F50D70" w:rsidRPr="00BE4F47" w14:paraId="5AD280F7"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3F2F4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Jeux de données d’essai</w:t>
            </w:r>
          </w:p>
        </w:tc>
        <w:tc>
          <w:tcPr>
            <w:tcW w:w="3712" w:type="dxa"/>
            <w:tcBorders>
              <w:top w:val="single" w:sz="4" w:space="0" w:color="000000"/>
              <w:left w:val="single" w:sz="4" w:space="0" w:color="000000"/>
              <w:bottom w:val="single" w:sz="4" w:space="0" w:color="000000"/>
              <w:right w:val="single" w:sz="4" w:space="0" w:color="000000"/>
            </w:tcBorders>
          </w:tcPr>
          <w:p w14:paraId="2AA4B72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Données synthétiques générées, bruitées et dégradées</w:t>
            </w:r>
          </w:p>
        </w:tc>
        <w:tc>
          <w:tcPr>
            <w:tcW w:w="1737" w:type="dxa"/>
            <w:tcBorders>
              <w:top w:val="single" w:sz="4" w:space="0" w:color="000000"/>
              <w:left w:val="single" w:sz="4" w:space="0" w:color="000000"/>
              <w:bottom w:val="single" w:sz="4" w:space="0" w:color="000000"/>
              <w:right w:val="single" w:sz="4" w:space="0" w:color="000000"/>
            </w:tcBorders>
          </w:tcPr>
          <w:p w14:paraId="0C12421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via Git LFS si volumineux</w:t>
            </w:r>
          </w:p>
        </w:tc>
        <w:tc>
          <w:tcPr>
            <w:tcW w:w="1371" w:type="dxa"/>
            <w:tcBorders>
              <w:top w:val="single" w:sz="4" w:space="0" w:color="000000"/>
              <w:left w:val="single" w:sz="4" w:space="0" w:color="000000"/>
              <w:bottom w:val="single" w:sz="4" w:space="0" w:color="000000"/>
              <w:right w:val="single" w:sz="4" w:space="0" w:color="000000"/>
            </w:tcBorders>
          </w:tcPr>
          <w:p w14:paraId="337EECD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L9</w:t>
            </w:r>
          </w:p>
        </w:tc>
      </w:tr>
      <w:tr w:rsidR="00F50D70" w:rsidRPr="00BE4F47" w14:paraId="781D783D"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8AA6D8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Résultats d’essais</w:t>
            </w:r>
          </w:p>
        </w:tc>
        <w:tc>
          <w:tcPr>
            <w:tcW w:w="3712" w:type="dxa"/>
            <w:tcBorders>
              <w:top w:val="single" w:sz="4" w:space="0" w:color="000000"/>
              <w:left w:val="single" w:sz="4" w:space="0" w:color="000000"/>
              <w:bottom w:val="single" w:sz="4" w:space="0" w:color="000000"/>
              <w:right w:val="single" w:sz="4" w:space="0" w:color="000000"/>
            </w:tcBorders>
          </w:tcPr>
          <w:p w14:paraId="1D38C0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Journaux, mesures, rapports de couverture</w:t>
            </w:r>
          </w:p>
        </w:tc>
        <w:tc>
          <w:tcPr>
            <w:tcW w:w="1737" w:type="dxa"/>
            <w:tcBorders>
              <w:top w:val="single" w:sz="4" w:space="0" w:color="000000"/>
              <w:left w:val="single" w:sz="4" w:space="0" w:color="000000"/>
              <w:bottom w:val="single" w:sz="4" w:space="0" w:color="000000"/>
              <w:right w:val="single" w:sz="4" w:space="0" w:color="000000"/>
            </w:tcBorders>
          </w:tcPr>
          <w:p w14:paraId="2530E93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606FDAA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L9</w:t>
            </w:r>
          </w:p>
        </w:tc>
      </w:tr>
      <w:tr w:rsidR="00F50D70" w:rsidRPr="00BE4F47" w14:paraId="5C5586A3"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1D9AAC6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Références bibliographiques</w:t>
            </w:r>
          </w:p>
        </w:tc>
        <w:tc>
          <w:tcPr>
            <w:tcW w:w="3712" w:type="dxa"/>
            <w:tcBorders>
              <w:top w:val="single" w:sz="4" w:space="0" w:color="000000"/>
              <w:left w:val="single" w:sz="4" w:space="0" w:color="000000"/>
              <w:bottom w:val="single" w:sz="4" w:space="0" w:color="000000"/>
              <w:right w:val="single" w:sz="4" w:space="0" w:color="000000"/>
            </w:tcBorders>
          </w:tcPr>
          <w:p w14:paraId="51D4C9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Bibliothèque des sources citées dans les onze sections</w:t>
            </w:r>
          </w:p>
        </w:tc>
        <w:tc>
          <w:tcPr>
            <w:tcW w:w="1737" w:type="dxa"/>
            <w:tcBorders>
              <w:top w:val="single" w:sz="4" w:space="0" w:color="000000"/>
              <w:left w:val="single" w:sz="4" w:space="0" w:color="000000"/>
              <w:bottom w:val="single" w:sz="4" w:space="0" w:color="000000"/>
              <w:right w:val="single" w:sz="4" w:space="0" w:color="000000"/>
            </w:tcBorders>
          </w:tcPr>
          <w:p w14:paraId="6B35BF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Zotero, avec export déposé au dépôt</w:t>
            </w:r>
          </w:p>
        </w:tc>
        <w:tc>
          <w:tcPr>
            <w:tcW w:w="1371" w:type="dxa"/>
            <w:tcBorders>
              <w:top w:val="single" w:sz="4" w:space="0" w:color="000000"/>
              <w:left w:val="single" w:sz="4" w:space="0" w:color="000000"/>
              <w:bottom w:val="single" w:sz="4" w:space="0" w:color="000000"/>
              <w:right w:val="single" w:sz="4" w:space="0" w:color="000000"/>
            </w:tcBorders>
          </w:tcPr>
          <w:p w14:paraId="0810AA0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tc>
      </w:tr>
      <w:tr w:rsidR="00F50D70" w:rsidRPr="00BE4F47" w14:paraId="65B5E094"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81B0C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des tâches et des risques</w:t>
            </w:r>
          </w:p>
        </w:tc>
        <w:tc>
          <w:tcPr>
            <w:tcW w:w="3712" w:type="dxa"/>
            <w:tcBorders>
              <w:top w:val="single" w:sz="4" w:space="0" w:color="000000"/>
              <w:left w:val="single" w:sz="4" w:space="0" w:color="000000"/>
              <w:bottom w:val="single" w:sz="4" w:space="0" w:color="000000"/>
              <w:right w:val="single" w:sz="4" w:space="0" w:color="000000"/>
            </w:tcBorders>
          </w:tcPr>
          <w:p w14:paraId="20AD5AE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Éléments de travail, affectations, listes de vérification</w:t>
            </w:r>
          </w:p>
        </w:tc>
        <w:tc>
          <w:tcPr>
            <w:tcW w:w="1737" w:type="dxa"/>
            <w:tcBorders>
              <w:top w:val="single" w:sz="4" w:space="0" w:color="000000"/>
              <w:left w:val="single" w:sz="4" w:space="0" w:color="000000"/>
              <w:bottom w:val="single" w:sz="4" w:space="0" w:color="000000"/>
              <w:right w:val="single" w:sz="4" w:space="0" w:color="000000"/>
            </w:tcBorders>
          </w:tcPr>
          <w:p w14:paraId="3586297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GitHub Projects et issues</w:t>
            </w:r>
          </w:p>
        </w:tc>
        <w:tc>
          <w:tcPr>
            <w:tcW w:w="1371" w:type="dxa"/>
            <w:tcBorders>
              <w:top w:val="single" w:sz="4" w:space="0" w:color="000000"/>
              <w:left w:val="single" w:sz="4" w:space="0" w:color="000000"/>
              <w:bottom w:val="single" w:sz="4" w:space="0" w:color="000000"/>
              <w:right w:val="single" w:sz="4" w:space="0" w:color="000000"/>
            </w:tcBorders>
          </w:tcPr>
          <w:p w14:paraId="76F26F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tc>
      </w:tr>
      <w:tr w:rsidR="00F50D70" w:rsidRPr="00BE4F47" w14:paraId="374B7B4A"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0D7582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Comptes rendus</w:t>
            </w:r>
          </w:p>
        </w:tc>
        <w:tc>
          <w:tcPr>
            <w:tcW w:w="3712" w:type="dxa"/>
            <w:tcBorders>
              <w:top w:val="single" w:sz="4" w:space="0" w:color="000000"/>
              <w:left w:val="single" w:sz="4" w:space="0" w:color="000000"/>
              <w:bottom w:val="single" w:sz="4" w:space="0" w:color="000000"/>
              <w:right w:val="single" w:sz="4" w:space="0" w:color="000000"/>
            </w:tcBorders>
          </w:tcPr>
          <w:p w14:paraId="7010E91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Minutes de laboratoire et d’atelier</w:t>
            </w:r>
          </w:p>
        </w:tc>
        <w:tc>
          <w:tcPr>
            <w:tcW w:w="1737" w:type="dxa"/>
            <w:tcBorders>
              <w:top w:val="single" w:sz="4" w:space="0" w:color="000000"/>
              <w:left w:val="single" w:sz="4" w:space="0" w:color="000000"/>
              <w:bottom w:val="single" w:sz="4" w:space="0" w:color="000000"/>
              <w:right w:val="single" w:sz="4" w:space="0" w:color="000000"/>
            </w:tcBorders>
          </w:tcPr>
          <w:p w14:paraId="53CA2B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dossier comptes-rendus/</w:t>
            </w:r>
          </w:p>
        </w:tc>
        <w:tc>
          <w:tcPr>
            <w:tcW w:w="1371" w:type="dxa"/>
            <w:tcBorders>
              <w:top w:val="single" w:sz="4" w:space="0" w:color="000000"/>
              <w:left w:val="single" w:sz="4" w:space="0" w:color="000000"/>
              <w:bottom w:val="single" w:sz="4" w:space="0" w:color="000000"/>
              <w:right w:val="single" w:sz="4" w:space="0" w:color="000000"/>
            </w:tcBorders>
          </w:tcPr>
          <w:p w14:paraId="0DFD91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Membre désigné en séance</w:t>
            </w:r>
          </w:p>
        </w:tc>
      </w:tr>
      <w:tr w:rsidR="00F50D70" w:rsidRPr="00BE4F47" w14:paraId="64B02162"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65C58D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Environnement d’exécution</w:t>
            </w:r>
          </w:p>
        </w:tc>
        <w:tc>
          <w:tcPr>
            <w:tcW w:w="3712" w:type="dxa"/>
            <w:tcBorders>
              <w:top w:val="single" w:sz="4" w:space="0" w:color="000000"/>
              <w:left w:val="single" w:sz="4" w:space="0" w:color="000000"/>
              <w:bottom w:val="single" w:sz="4" w:space="0" w:color="000000"/>
              <w:right w:val="single" w:sz="4" w:space="0" w:color="000000"/>
            </w:tcBorders>
          </w:tcPr>
          <w:p w14:paraId="66C74D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Versions des bibliothèques employées pour les essais</w:t>
            </w:r>
          </w:p>
        </w:tc>
        <w:tc>
          <w:tcPr>
            <w:tcW w:w="1737" w:type="dxa"/>
            <w:tcBorders>
              <w:top w:val="single" w:sz="4" w:space="0" w:color="000000"/>
              <w:left w:val="single" w:sz="4" w:space="0" w:color="000000"/>
              <w:bottom w:val="single" w:sz="4" w:space="0" w:color="000000"/>
              <w:right w:val="single" w:sz="4" w:space="0" w:color="000000"/>
            </w:tcBorders>
          </w:tcPr>
          <w:p w14:paraId="07015F2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Fichier d’environnement au dépôt</w:t>
            </w:r>
          </w:p>
        </w:tc>
        <w:tc>
          <w:tcPr>
            <w:tcW w:w="1371" w:type="dxa"/>
            <w:tcBorders>
              <w:top w:val="single" w:sz="4" w:space="0" w:color="000000"/>
              <w:left w:val="single" w:sz="4" w:space="0" w:color="000000"/>
              <w:bottom w:val="single" w:sz="4" w:space="0" w:color="000000"/>
              <w:right w:val="single" w:sz="4" w:space="0" w:color="000000"/>
            </w:tcBorders>
          </w:tcPr>
          <w:p w14:paraId="5AAB802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L6</w:t>
            </w:r>
          </w:p>
        </w:tc>
      </w:tr>
    </w:tbl>
    <w:p w14:paraId="40D094F6"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280" w:name="_Toc241082898"/>
      <w:bookmarkStart w:id="281" w:name="_Toc241670076"/>
      <w:bookmarkStart w:id="282" w:name="_Toc241707784"/>
      <w:r w:rsidRPr="00BE4F47">
        <w:rPr>
          <w:rFonts w:ascii="Aptos" w:hAnsi="Aptos"/>
          <w:color w:val="1A1A19"/>
          <w:sz w:val="20"/>
          <w:szCs w:val="20"/>
        </w:rPr>
        <w:t>Tout est dans le même dépôt, sauf la bibliothèque Zotero, dont un export est déposé à chaque jalon. Le compte rendu de séance est pris à tour de rôle par le membre désigné en début de séance. Les notes personnelles des membres ne sont pas déposées.</w:t>
      </w:r>
      <w:bookmarkEnd w:id="280"/>
      <w:bookmarkEnd w:id="281"/>
      <w:bookmarkEnd w:id="282"/>
    </w:p>
    <w:p w14:paraId="6CD7AF21" w14:textId="77777777" w:rsidR="00F50D70" w:rsidRPr="00136F18" w:rsidRDefault="00137D7F" w:rsidP="008E113B">
      <w:pPr>
        <w:pStyle w:val="Titre2"/>
        <w:spacing w:line="360" w:lineRule="auto"/>
      </w:pPr>
      <w:bookmarkStart w:id="283" w:name="_Toc241707785"/>
      <w:r w:rsidRPr="00136F18">
        <w:t>Outils retenus</w:t>
      </w:r>
      <w:bookmarkEnd w:id="283"/>
    </w:p>
    <w:p w14:paraId="29666593"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84" w:name="_Toc241082901"/>
      <w:bookmarkStart w:id="285" w:name="_Toc241670078"/>
      <w:bookmarkStart w:id="286" w:name="_Toc241707786"/>
      <w:r w:rsidRPr="00BE4F47">
        <w:rPr>
          <w:rFonts w:ascii="Aptos" w:hAnsi="Aptos"/>
          <w:color w:val="1A1A19"/>
          <w:sz w:val="20"/>
          <w:szCs w:val="20"/>
        </w:rPr>
        <w:t>Nous utilisons un seul dépôt GitHub, qui contient le code, les modèles, les diagrammes et les sections du plan. Les outils de développement eux-mêmes sont au tableau 8-4.</w:t>
      </w:r>
      <w:bookmarkEnd w:id="284"/>
      <w:bookmarkEnd w:id="285"/>
      <w:bookmarkEnd w:id="286"/>
    </w:p>
    <w:p w14:paraId="5853711F" w14:textId="77777777" w:rsidR="00F50D70" w:rsidRPr="00BE4F47" w:rsidRDefault="00137D7F" w:rsidP="008E113B">
      <w:pPr>
        <w:pStyle w:val="Lgende"/>
        <w:keepNext/>
        <w:spacing w:line="360" w:lineRule="auto"/>
        <w:rPr>
          <w:rFonts w:ascii="Aptos" w:hAnsi="Aptos"/>
        </w:rPr>
      </w:pPr>
      <w:bookmarkStart w:id="287" w:name="_Toc241082902"/>
      <w:bookmarkStart w:id="288" w:name="_Toc241670079"/>
      <w:bookmarkStart w:id="289" w:name="_Toc241707787"/>
      <w:r w:rsidRPr="00BE4F47">
        <w:rPr>
          <w:rFonts w:ascii="Aptos" w:hAnsi="Aptos"/>
        </w:rPr>
        <w:t>Tableau 4-2. Outils employés pour la gestion des versions</w:t>
      </w:r>
      <w:bookmarkEnd w:id="287"/>
      <w:bookmarkEnd w:id="288"/>
      <w:bookmarkEnd w:id="289"/>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3709"/>
        <w:gridCol w:w="4848"/>
      </w:tblGrid>
      <w:tr w:rsidR="00F50D70" w:rsidRPr="00BE4F47" w14:paraId="2171CC39" w14:textId="77777777" w:rsidTr="0036725C">
        <w:trPr>
          <w:tblHeader/>
        </w:trPr>
        <w:tc>
          <w:tcPr>
            <w:tcW w:w="3709"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4279F5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Outil</w:t>
            </w:r>
          </w:p>
        </w:tc>
        <w:tc>
          <w:tcPr>
            <w:tcW w:w="4848"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F1951E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Ce qu’il nous apporte</w:t>
            </w:r>
          </w:p>
        </w:tc>
      </w:tr>
      <w:tr w:rsidR="00F50D70" w:rsidRPr="00BE4F47" w14:paraId="47274AC7" w14:textId="77777777">
        <w:trPr>
          <w:cantSplit/>
        </w:trPr>
        <w:tc>
          <w:tcPr>
            <w:tcW w:w="3709" w:type="dxa"/>
            <w:tcBorders>
              <w:top w:val="single" w:sz="4" w:space="0" w:color="000000"/>
              <w:left w:val="single" w:sz="4" w:space="0" w:color="000000"/>
              <w:bottom w:val="single" w:sz="4" w:space="0" w:color="000000"/>
              <w:right w:val="single" w:sz="4" w:space="0" w:color="000000"/>
            </w:tcBorders>
          </w:tcPr>
          <w:p w14:paraId="25B45B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Dépôt Git sur GitHub</w:t>
            </w:r>
          </w:p>
        </w:tc>
        <w:tc>
          <w:tcPr>
            <w:tcW w:w="4848" w:type="dxa"/>
            <w:tcBorders>
              <w:top w:val="single" w:sz="4" w:space="0" w:color="000000"/>
              <w:left w:val="single" w:sz="4" w:space="0" w:color="000000"/>
              <w:bottom w:val="single" w:sz="4" w:space="0" w:color="000000"/>
              <w:right w:val="single" w:sz="4" w:space="0" w:color="000000"/>
            </w:tcBorders>
          </w:tcPr>
          <w:p w14:paraId="1330EC0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Chaque modification est datée et attribuée. Chacun en garde une copie complète.</w:t>
            </w:r>
          </w:p>
        </w:tc>
      </w:tr>
      <w:tr w:rsidR="00F50D70" w:rsidRPr="00BE4F47" w14:paraId="6D026175" w14:textId="77777777">
        <w:trPr>
          <w:cantSplit/>
        </w:trPr>
        <w:tc>
          <w:tcPr>
            <w:tcW w:w="3709" w:type="dxa"/>
            <w:tcBorders>
              <w:top w:val="single" w:sz="4" w:space="0" w:color="000000"/>
              <w:left w:val="single" w:sz="4" w:space="0" w:color="000000"/>
              <w:bottom w:val="single" w:sz="4" w:space="0" w:color="000000"/>
              <w:right w:val="single" w:sz="4" w:space="0" w:color="000000"/>
            </w:tcBorders>
          </w:tcPr>
          <w:p w14:paraId="79B5C44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lastRenderedPageBreak/>
              <w:t>Demandes de tirage</w:t>
            </w:r>
          </w:p>
        </w:tc>
        <w:tc>
          <w:tcPr>
            <w:tcW w:w="4848" w:type="dxa"/>
            <w:tcBorders>
              <w:top w:val="single" w:sz="4" w:space="0" w:color="000000"/>
              <w:left w:val="single" w:sz="4" w:space="0" w:color="000000"/>
              <w:bottom w:val="single" w:sz="4" w:space="0" w:color="000000"/>
              <w:right w:val="single" w:sz="4" w:space="0" w:color="000000"/>
            </w:tcBorders>
          </w:tcPr>
          <w:p w14:paraId="4D37B4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 changement est lu par quelqu’un d’autre avant d’entrer dans la version principale.</w:t>
            </w:r>
          </w:p>
        </w:tc>
      </w:tr>
      <w:tr w:rsidR="00F50D70" w:rsidRPr="00BE4F47" w14:paraId="1FF17DB6" w14:textId="77777777">
        <w:trPr>
          <w:cantSplit/>
        </w:trPr>
        <w:tc>
          <w:tcPr>
            <w:tcW w:w="3709" w:type="dxa"/>
            <w:tcBorders>
              <w:top w:val="single" w:sz="4" w:space="0" w:color="000000"/>
              <w:left w:val="single" w:sz="4" w:space="0" w:color="000000"/>
              <w:bottom w:val="single" w:sz="4" w:space="0" w:color="000000"/>
              <w:right w:val="single" w:sz="4" w:space="0" w:color="000000"/>
            </w:tcBorders>
          </w:tcPr>
          <w:p w14:paraId="0F61BB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Issues et GitHub Projects</w:t>
            </w:r>
          </w:p>
        </w:tc>
        <w:tc>
          <w:tcPr>
            <w:tcW w:w="4848" w:type="dxa"/>
            <w:tcBorders>
              <w:top w:val="single" w:sz="4" w:space="0" w:color="000000"/>
              <w:left w:val="single" w:sz="4" w:space="0" w:color="000000"/>
              <w:bottom w:val="single" w:sz="4" w:space="0" w:color="000000"/>
              <w:right w:val="single" w:sz="4" w:space="0" w:color="000000"/>
            </w:tcBorders>
          </w:tcPr>
          <w:p w14:paraId="3360B44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Une tâche par élément de travail, rattachée à un lot et à un jalon.</w:t>
            </w:r>
          </w:p>
        </w:tc>
      </w:tr>
      <w:tr w:rsidR="00F50D70" w:rsidRPr="00BE4F47" w14:paraId="0C9ECA21" w14:textId="77777777">
        <w:trPr>
          <w:cantSplit/>
        </w:trPr>
        <w:tc>
          <w:tcPr>
            <w:tcW w:w="3709" w:type="dxa"/>
            <w:tcBorders>
              <w:top w:val="single" w:sz="4" w:space="0" w:color="000000"/>
              <w:left w:val="single" w:sz="4" w:space="0" w:color="000000"/>
              <w:bottom w:val="single" w:sz="4" w:space="0" w:color="000000"/>
              <w:right w:val="single" w:sz="4" w:space="0" w:color="000000"/>
            </w:tcBorders>
          </w:tcPr>
          <w:p w14:paraId="0E70682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Étiquettes de version</w:t>
            </w:r>
          </w:p>
        </w:tc>
        <w:tc>
          <w:tcPr>
            <w:tcW w:w="4848" w:type="dxa"/>
            <w:tcBorders>
              <w:top w:val="single" w:sz="4" w:space="0" w:color="000000"/>
              <w:left w:val="single" w:sz="4" w:space="0" w:color="000000"/>
              <w:bottom w:val="single" w:sz="4" w:space="0" w:color="000000"/>
              <w:right w:val="single" w:sz="4" w:space="0" w:color="000000"/>
            </w:tcBorders>
          </w:tcPr>
          <w:p w14:paraId="0957E9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L’état du dépôt à chaque jalon est conservé et peut être retéléchargé.</w:t>
            </w:r>
          </w:p>
        </w:tc>
      </w:tr>
      <w:tr w:rsidR="00F50D70" w:rsidRPr="00BE4F47" w14:paraId="4CAE32CD" w14:textId="77777777">
        <w:trPr>
          <w:cantSplit/>
        </w:trPr>
        <w:tc>
          <w:tcPr>
            <w:tcW w:w="3709" w:type="dxa"/>
            <w:tcBorders>
              <w:top w:val="single" w:sz="4" w:space="0" w:color="000000"/>
              <w:left w:val="single" w:sz="4" w:space="0" w:color="000000"/>
              <w:bottom w:val="single" w:sz="4" w:space="0" w:color="000000"/>
              <w:right w:val="single" w:sz="4" w:space="0" w:color="000000"/>
            </w:tcBorders>
          </w:tcPr>
          <w:p w14:paraId="42BD179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Zotero, style IEEE</w:t>
            </w:r>
          </w:p>
        </w:tc>
        <w:tc>
          <w:tcPr>
            <w:tcW w:w="4848" w:type="dxa"/>
            <w:tcBorders>
              <w:top w:val="single" w:sz="4" w:space="0" w:color="000000"/>
              <w:left w:val="single" w:sz="4" w:space="0" w:color="000000"/>
              <w:bottom w:val="single" w:sz="4" w:space="0" w:color="000000"/>
              <w:right w:val="single" w:sz="4" w:space="0" w:color="000000"/>
            </w:tcBorders>
          </w:tcPr>
          <w:p w14:paraId="6B3E361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Une seule bibliographie pour les onze sections.</w:t>
            </w:r>
          </w:p>
        </w:tc>
      </w:tr>
      <w:tr w:rsidR="00F50D70" w:rsidRPr="00BE4F47" w14:paraId="0F9B7310" w14:textId="77777777">
        <w:trPr>
          <w:cantSplit/>
        </w:trPr>
        <w:tc>
          <w:tcPr>
            <w:tcW w:w="3709" w:type="dxa"/>
            <w:tcBorders>
              <w:top w:val="single" w:sz="4" w:space="0" w:color="000000"/>
              <w:left w:val="single" w:sz="4" w:space="0" w:color="000000"/>
              <w:bottom w:val="single" w:sz="4" w:space="0" w:color="000000"/>
              <w:right w:val="single" w:sz="4" w:space="0" w:color="000000"/>
            </w:tcBorders>
          </w:tcPr>
          <w:p w14:paraId="51DFB4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Fichier d’environnement au dépôt</w:t>
            </w:r>
          </w:p>
        </w:tc>
        <w:tc>
          <w:tcPr>
            <w:tcW w:w="4848" w:type="dxa"/>
            <w:tcBorders>
              <w:top w:val="single" w:sz="4" w:space="0" w:color="000000"/>
              <w:left w:val="single" w:sz="4" w:space="0" w:color="000000"/>
              <w:bottom w:val="single" w:sz="4" w:space="0" w:color="000000"/>
              <w:right w:val="single" w:sz="4" w:space="0" w:color="000000"/>
            </w:tcBorders>
          </w:tcPr>
          <w:p w14:paraId="0E1D283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versions des bibliothèques employées pour un essai sont figées.</w:t>
            </w:r>
          </w:p>
        </w:tc>
      </w:tr>
    </w:tbl>
    <w:p w14:paraId="48F9749F" w14:textId="77777777" w:rsidR="00F50D70" w:rsidRPr="00136F18" w:rsidRDefault="00137D7F" w:rsidP="008E113B">
      <w:pPr>
        <w:pStyle w:val="Titre2"/>
        <w:spacing w:line="360" w:lineRule="auto"/>
      </w:pPr>
      <w:bookmarkStart w:id="290" w:name="_Toc241707788"/>
      <w:r w:rsidRPr="00136F18">
        <w:t>Flux de travail et revue par les pairs</w:t>
      </w:r>
      <w:bookmarkEnd w:id="290"/>
    </w:p>
    <w:p w14:paraId="24FBD054"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291" w:name="_Toc241082904"/>
      <w:bookmarkStart w:id="292" w:name="_Toc241670081"/>
      <w:bookmarkStart w:id="293" w:name="_Toc241707789"/>
      <w:r w:rsidRPr="00BE4F47">
        <w:rPr>
          <w:rFonts w:ascii="Aptos" w:hAnsi="Aptos"/>
          <w:color w:val="1A1A19"/>
          <w:sz w:val="20"/>
          <w:szCs w:val="20"/>
        </w:rPr>
        <w:t>Personne n’écrit directement dans la branche principale. Chaque travail se fait sur une branche nommée d’après le lot et l’objet du travail.</w:t>
      </w:r>
      <w:bookmarkEnd w:id="291"/>
      <w:bookmarkEnd w:id="292"/>
      <w:bookmarkEnd w:id="293"/>
    </w:p>
    <w:p w14:paraId="6B73F4D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94" w:name="_Toc241082905"/>
      <w:bookmarkStart w:id="295" w:name="_Toc241670082"/>
      <w:bookmarkStart w:id="296" w:name="_Toc241707790"/>
      <w:r w:rsidRPr="00BE4F47">
        <w:rPr>
          <w:rFonts w:ascii="Aptos" w:hAnsi="Aptos"/>
          <w:color w:val="1A1A19"/>
          <w:sz w:val="20"/>
          <w:szCs w:val="20"/>
        </w:rPr>
        <w:t>Pour intégrer, on ouvre une demande de tirage. Un autre membre la lit avant la fusion, jamais l’auteur lui-même. C’est la relecture croisée annoncée à la section 3.</w:t>
      </w:r>
      <w:bookmarkEnd w:id="294"/>
      <w:bookmarkEnd w:id="295"/>
      <w:bookmarkEnd w:id="296"/>
    </w:p>
    <w:p w14:paraId="5A83C8A5" w14:textId="77777777" w:rsidR="00F50D70" w:rsidRPr="00BE4F47" w:rsidRDefault="00137D7F" w:rsidP="008E113B">
      <w:pPr>
        <w:spacing w:after="130" w:line="360" w:lineRule="auto"/>
        <w:ind w:left="360"/>
        <w:rPr>
          <w:rFonts w:ascii="Aptos" w:hAnsi="Aptos"/>
        </w:rPr>
      </w:pPr>
      <w:bookmarkStart w:id="297" w:name="_Toc241082906"/>
      <w:bookmarkStart w:id="298" w:name="_Toc241670083"/>
      <w:bookmarkStart w:id="299" w:name="_Toc241707791"/>
      <w:r w:rsidRPr="00BE4F47">
        <w:rPr>
          <w:rFonts w:ascii="Aptos" w:hAnsi="Aptos"/>
          <w:color w:val="1A1A19"/>
          <w:sz w:val="20"/>
          <w:szCs w:val="20"/>
        </w:rPr>
        <w:t>Le relecteur vérifie trois choses : que le changement est rattaché à une tâche, que les essais existants passent encore, et que les sources ajoutées sont entrées dans Zotero. Les fichiers Word ne se fusionnent pas automatiquement : un seul responsable de consolidation les assemble, le chargé de projet, et les autres membres travaillent avec le suivi des modifications et les commentaires, sur une copie portant leur nom.</w:t>
      </w:r>
      <w:bookmarkEnd w:id="297"/>
      <w:bookmarkEnd w:id="298"/>
      <w:bookmarkEnd w:id="299"/>
    </w:p>
    <w:p w14:paraId="0CB5502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00" w:name="_Toc241082907"/>
      <w:bookmarkStart w:id="301" w:name="_Toc241670084"/>
      <w:bookmarkStart w:id="302" w:name="_Toc241707792"/>
      <w:r w:rsidRPr="00BE4F47">
        <w:rPr>
          <w:rFonts w:ascii="Aptos" w:hAnsi="Aptos"/>
          <w:color w:val="1A1A19"/>
          <w:sz w:val="20"/>
          <w:szCs w:val="20"/>
        </w:rPr>
        <w:t>Une tâche de code ou de document n’est fermée que par la fusion de la demande de tirage qui la traite, et pas par son auteur. Une tâche de réunion, de recherche ou d’administration se ferme sur une preuve déposée au dépôt, compte rendu, note de recherche ou fiche de décision, validée par un autre membre. La gestion des changements commence au jalon J1, date à laquelle le registre des exigences devient la référence du projet : toute demande de fonction nouvelle posée après J1 est ouverte comme une tâche marquée « changement » et évaluée avant d’être intégrée. À partir du jalon J3 s’y ajoute le gel des fonctionnalités, et une demande acceptée après cette date est reportée au-delà du mandat.</w:t>
      </w:r>
      <w:bookmarkEnd w:id="300"/>
      <w:bookmarkEnd w:id="301"/>
      <w:bookmarkEnd w:id="302"/>
    </w:p>
    <w:p w14:paraId="4A4BA72A" w14:textId="77777777" w:rsidR="00F50D70" w:rsidRPr="00136F18" w:rsidRDefault="00137D7F" w:rsidP="008E113B">
      <w:pPr>
        <w:pStyle w:val="Titre1"/>
        <w:spacing w:line="360" w:lineRule="auto"/>
      </w:pPr>
      <w:bookmarkStart w:id="303" w:name="__RefHeading___Toc240715125"/>
      <w:bookmarkStart w:id="304" w:name="_Toc241707793"/>
      <w:bookmarkEnd w:id="303"/>
      <w:r w:rsidRPr="00136F18">
        <w:t>Revue de l’état de l’art</w:t>
      </w:r>
      <w:bookmarkEnd w:id="304"/>
    </w:p>
    <w:p w14:paraId="5358DDA8" w14:textId="77777777" w:rsidR="00F50D70" w:rsidRPr="00BE4F47" w:rsidRDefault="00137D7F" w:rsidP="008E113B">
      <w:pPr>
        <w:spacing w:after="130" w:line="360" w:lineRule="auto"/>
        <w:ind w:left="360"/>
        <w:rPr>
          <w:rFonts w:ascii="Aptos" w:hAnsi="Aptos"/>
        </w:rPr>
      </w:pPr>
      <w:bookmarkStart w:id="305" w:name="_Toc241082909"/>
      <w:bookmarkStart w:id="306" w:name="_Toc241670086"/>
      <w:bookmarkStart w:id="307" w:name="_Toc241707794"/>
      <w:r w:rsidRPr="00BE4F47">
        <w:rPr>
          <w:rFonts w:ascii="Aptos" w:hAnsi="Aptos"/>
          <w:color w:val="1A1A19"/>
          <w:sz w:val="20"/>
          <w:szCs w:val="20"/>
        </w:rPr>
        <w:t>La revue porte sur les jumeaux numériques en contexte nucléaire, la modélisation thermohydraulique, la détection d’anomalies, la quantification de l’incertitude, la cybersécurité des systèmes industriels et l’aide à la décision. Elle situe ensuite le projet face à la solution la plus proche.</w:t>
      </w:r>
      <w:bookmarkEnd w:id="305"/>
      <w:bookmarkEnd w:id="306"/>
      <w:bookmarkEnd w:id="307"/>
    </w:p>
    <w:p w14:paraId="0FA243B7" w14:textId="77777777" w:rsidR="00F50D70" w:rsidRPr="00256140" w:rsidRDefault="00137D7F" w:rsidP="008E113B">
      <w:pPr>
        <w:pStyle w:val="Titre2"/>
        <w:spacing w:line="360" w:lineRule="auto"/>
      </w:pPr>
      <w:bookmarkStart w:id="308" w:name="__RefHeading___Toc240715127"/>
      <w:bookmarkStart w:id="309" w:name="_Toc241707795"/>
      <w:r w:rsidRPr="00256140">
        <w:t>Méthode de recherche</w:t>
      </w:r>
      <w:bookmarkEnd w:id="308"/>
      <w:bookmarkEnd w:id="309"/>
    </w:p>
    <w:p w14:paraId="5F0C88CA" w14:textId="77777777" w:rsidR="00F50D70" w:rsidRPr="00BE4F47" w:rsidRDefault="00137D7F" w:rsidP="008E113B">
      <w:pPr>
        <w:spacing w:after="130" w:line="360" w:lineRule="auto"/>
        <w:ind w:left="360"/>
        <w:rPr>
          <w:rFonts w:ascii="Aptos" w:hAnsi="Aptos"/>
        </w:rPr>
      </w:pPr>
      <w:bookmarkStart w:id="310" w:name="_Toc241082912"/>
      <w:bookmarkStart w:id="311" w:name="_Toc241670088"/>
      <w:bookmarkStart w:id="312" w:name="_Toc241707796"/>
      <w:r w:rsidRPr="00BE4F47">
        <w:rPr>
          <w:rFonts w:ascii="Aptos" w:hAnsi="Aptos"/>
          <w:color w:val="1A1A19"/>
          <w:sz w:val="20"/>
          <w:szCs w:val="20"/>
        </w:rPr>
        <w:t>Le tableau 5-1 donne le protocole suivi, pour qu’un tiers puisse refaire la recherche et obtenir un résultat comparable.</w:t>
      </w:r>
      <w:bookmarkEnd w:id="310"/>
      <w:bookmarkEnd w:id="311"/>
      <w:bookmarkEnd w:id="312"/>
    </w:p>
    <w:p w14:paraId="7EE887E5" w14:textId="77777777" w:rsidR="00F50D70" w:rsidRPr="00BE4F47" w:rsidRDefault="00137D7F" w:rsidP="008E113B">
      <w:pPr>
        <w:pStyle w:val="Lgende"/>
        <w:keepNext/>
        <w:spacing w:line="360" w:lineRule="auto"/>
        <w:rPr>
          <w:rFonts w:ascii="Aptos" w:hAnsi="Aptos"/>
        </w:rPr>
      </w:pPr>
      <w:bookmarkStart w:id="313" w:name="_Toc241082913"/>
      <w:bookmarkStart w:id="314" w:name="_Toc241670089"/>
      <w:bookmarkStart w:id="315" w:name="_Toc241707797"/>
      <w:r w:rsidRPr="00BE4F47">
        <w:rPr>
          <w:rFonts w:ascii="Aptos" w:hAnsi="Aptos"/>
        </w:rPr>
        <w:lastRenderedPageBreak/>
        <w:t>Tableau 5-1. Protocole de la recherche documentaire</w:t>
      </w:r>
      <w:bookmarkEnd w:id="313"/>
      <w:bookmarkEnd w:id="314"/>
      <w:bookmarkEnd w:id="315"/>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2102"/>
        <w:gridCol w:w="6455"/>
      </w:tblGrid>
      <w:tr w:rsidR="00F50D70" w:rsidRPr="00BE4F47" w14:paraId="38091969" w14:textId="77777777" w:rsidTr="0036725C">
        <w:trPr>
          <w:trHeight w:val="236"/>
          <w:tblHeader/>
        </w:trPr>
        <w:tc>
          <w:tcPr>
            <w:tcW w:w="2102"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9B2463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Élément</w:t>
            </w:r>
          </w:p>
        </w:tc>
        <w:tc>
          <w:tcPr>
            <w:tcW w:w="6455"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73C86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Valeur</w:t>
            </w:r>
          </w:p>
        </w:tc>
      </w:tr>
      <w:tr w:rsidR="00F50D70" w:rsidRPr="00BE4F47" w14:paraId="055F2593" w14:textId="77777777">
        <w:trPr>
          <w:trHeight w:val="254"/>
        </w:trPr>
        <w:tc>
          <w:tcPr>
            <w:tcW w:w="2102" w:type="dxa"/>
            <w:tcBorders>
              <w:top w:val="single" w:sz="4" w:space="0" w:color="000000"/>
              <w:left w:val="single" w:sz="4" w:space="0" w:color="000000"/>
              <w:bottom w:val="single" w:sz="4" w:space="0" w:color="000000"/>
              <w:right w:val="single" w:sz="4" w:space="0" w:color="000000"/>
            </w:tcBorders>
          </w:tcPr>
          <w:p w14:paraId="50209F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Date de la recherche</w:t>
            </w:r>
          </w:p>
        </w:tc>
        <w:tc>
          <w:tcPr>
            <w:tcW w:w="6455" w:type="dxa"/>
            <w:tcBorders>
              <w:top w:val="single" w:sz="4" w:space="0" w:color="000000"/>
              <w:left w:val="single" w:sz="4" w:space="0" w:color="000000"/>
              <w:bottom w:val="single" w:sz="4" w:space="0" w:color="000000"/>
              <w:right w:val="single" w:sz="4" w:space="0" w:color="000000"/>
            </w:tcBorders>
          </w:tcPr>
          <w:p w14:paraId="0E91AB23" w14:textId="3DEE4B16" w:rsidR="00F50D70" w:rsidRPr="00BE4F47" w:rsidRDefault="007E5FC7"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16, 17 et 18 septembre 2026</w:t>
            </w:r>
          </w:p>
        </w:tc>
      </w:tr>
      <w:tr w:rsidR="00F50D70" w:rsidRPr="00BE4F47" w14:paraId="2EEF10B6" w14:textId="77777777">
        <w:trPr>
          <w:trHeight w:val="244"/>
        </w:trPr>
        <w:tc>
          <w:tcPr>
            <w:tcW w:w="2102" w:type="dxa"/>
            <w:tcBorders>
              <w:top w:val="single" w:sz="4" w:space="0" w:color="000000"/>
              <w:left w:val="single" w:sz="4" w:space="0" w:color="000000"/>
              <w:bottom w:val="single" w:sz="4" w:space="0" w:color="000000"/>
              <w:right w:val="single" w:sz="4" w:space="0" w:color="000000"/>
            </w:tcBorders>
          </w:tcPr>
          <w:p w14:paraId="2E31334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Bases interrogées</w:t>
            </w:r>
          </w:p>
        </w:tc>
        <w:tc>
          <w:tcPr>
            <w:tcW w:w="6455" w:type="dxa"/>
            <w:tcBorders>
              <w:top w:val="single" w:sz="4" w:space="0" w:color="000000"/>
              <w:left w:val="single" w:sz="4" w:space="0" w:color="000000"/>
              <w:bottom w:val="single" w:sz="4" w:space="0" w:color="000000"/>
              <w:right w:val="single" w:sz="4" w:space="0" w:color="000000"/>
            </w:tcBorders>
          </w:tcPr>
          <w:p w14:paraId="3089BB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IEEE Xplore, Scopus, Google Scholar, ASME Digital Collection, Google Patents</w:t>
            </w:r>
          </w:p>
        </w:tc>
      </w:tr>
      <w:tr w:rsidR="00F50D70" w:rsidRPr="00DE097D" w14:paraId="08E848BC" w14:textId="77777777">
        <w:trPr>
          <w:trHeight w:val="1475"/>
        </w:trPr>
        <w:tc>
          <w:tcPr>
            <w:tcW w:w="2102" w:type="dxa"/>
            <w:tcBorders>
              <w:top w:val="single" w:sz="4" w:space="0" w:color="000000"/>
              <w:left w:val="single" w:sz="4" w:space="0" w:color="000000"/>
              <w:bottom w:val="single" w:sz="4" w:space="0" w:color="000000"/>
              <w:right w:val="single" w:sz="4" w:space="0" w:color="000000"/>
            </w:tcBorders>
          </w:tcPr>
          <w:p w14:paraId="2460E3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Équations de recherche</w:t>
            </w:r>
          </w:p>
        </w:tc>
        <w:tc>
          <w:tcPr>
            <w:tcW w:w="6455" w:type="dxa"/>
            <w:tcBorders>
              <w:top w:val="single" w:sz="4" w:space="0" w:color="000000"/>
              <w:left w:val="single" w:sz="4" w:space="0" w:color="000000"/>
              <w:bottom w:val="single" w:sz="4" w:space="0" w:color="000000"/>
              <w:right w:val="single" w:sz="4" w:space="0" w:color="000000"/>
            </w:tcBorders>
          </w:tcPr>
          <w:p w14:paraId="33F3F1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xml:space="preserve">« </w:t>
            </w:r>
            <w:proofErr w:type="gramStart"/>
            <w:r w:rsidRPr="00BE4F47">
              <w:rPr>
                <w:rFonts w:ascii="Aptos" w:eastAsia="Calibri" w:hAnsi="Aptos" w:cs="Calibri"/>
                <w:color w:val="1A1A19"/>
                <w:sz w:val="16"/>
                <w:szCs w:val="16"/>
                <w:lang w:val="en-CA"/>
              </w:rPr>
              <w:t>digital</w:t>
            </w:r>
            <w:proofErr w:type="gramEnd"/>
            <w:r w:rsidRPr="00BE4F47">
              <w:rPr>
                <w:rFonts w:ascii="Aptos" w:eastAsia="Calibri" w:hAnsi="Aptos" w:cs="Calibri"/>
                <w:color w:val="1A1A19"/>
                <w:sz w:val="16"/>
                <w:szCs w:val="16"/>
                <w:lang w:val="en-CA"/>
              </w:rPr>
              <w:t xml:space="preserve"> twin » AND « nuclear »</w:t>
            </w:r>
          </w:p>
          <w:p w14:paraId="3094B00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xml:space="preserve">« </w:t>
            </w:r>
            <w:proofErr w:type="gramStart"/>
            <w:r w:rsidRPr="00BE4F47">
              <w:rPr>
                <w:rFonts w:ascii="Aptos" w:eastAsia="Calibri" w:hAnsi="Aptos" w:cs="Calibri"/>
                <w:color w:val="1A1A19"/>
                <w:sz w:val="16"/>
                <w:szCs w:val="16"/>
                <w:lang w:val="en-CA"/>
              </w:rPr>
              <w:t>digital</w:t>
            </w:r>
            <w:proofErr w:type="gramEnd"/>
            <w:r w:rsidRPr="00BE4F47">
              <w:rPr>
                <w:rFonts w:ascii="Aptos" w:eastAsia="Calibri" w:hAnsi="Aptos" w:cs="Calibri"/>
                <w:color w:val="1A1A19"/>
                <w:sz w:val="16"/>
                <w:szCs w:val="16"/>
                <w:lang w:val="en-CA"/>
              </w:rPr>
              <w:t xml:space="preserve"> twin » AND « thermal-hydraulic »</w:t>
            </w:r>
          </w:p>
          <w:p w14:paraId="533270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xml:space="preserve">« </w:t>
            </w:r>
            <w:proofErr w:type="gramStart"/>
            <w:r w:rsidRPr="00BE4F47">
              <w:rPr>
                <w:rFonts w:ascii="Aptos" w:eastAsia="Calibri" w:hAnsi="Aptos" w:cs="Calibri"/>
                <w:color w:val="1A1A19"/>
                <w:sz w:val="16"/>
                <w:szCs w:val="16"/>
                <w:lang w:val="en-CA"/>
              </w:rPr>
              <w:t>digital</w:t>
            </w:r>
            <w:proofErr w:type="gramEnd"/>
            <w:r w:rsidRPr="00BE4F47">
              <w:rPr>
                <w:rFonts w:ascii="Aptos" w:eastAsia="Calibri" w:hAnsi="Aptos" w:cs="Calibri"/>
                <w:color w:val="1A1A19"/>
                <w:sz w:val="16"/>
                <w:szCs w:val="16"/>
                <w:lang w:val="en-CA"/>
              </w:rPr>
              <w:t xml:space="preserve"> twin » AND « anomaly detection »</w:t>
            </w:r>
          </w:p>
          <w:p w14:paraId="511315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xml:space="preserve">« </w:t>
            </w:r>
            <w:proofErr w:type="gramStart"/>
            <w:r w:rsidRPr="00BE4F47">
              <w:rPr>
                <w:rFonts w:ascii="Aptos" w:eastAsia="Calibri" w:hAnsi="Aptos" w:cs="Calibri"/>
                <w:color w:val="1A1A19"/>
                <w:sz w:val="16"/>
                <w:szCs w:val="16"/>
                <w:lang w:val="en-CA"/>
              </w:rPr>
              <w:t>digital</w:t>
            </w:r>
            <w:proofErr w:type="gramEnd"/>
            <w:r w:rsidRPr="00BE4F47">
              <w:rPr>
                <w:rFonts w:ascii="Aptos" w:eastAsia="Calibri" w:hAnsi="Aptos" w:cs="Calibri"/>
                <w:color w:val="1A1A19"/>
                <w:sz w:val="16"/>
                <w:szCs w:val="16"/>
                <w:lang w:val="en-CA"/>
              </w:rPr>
              <w:t xml:space="preserve"> twin » AND « uncertainty quantification »</w:t>
            </w:r>
          </w:p>
          <w:p w14:paraId="30996C9B" w14:textId="2AAB9E0A" w:rsidR="00F50D70" w:rsidRPr="007E5FC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xml:space="preserve">« </w:t>
            </w:r>
            <w:proofErr w:type="gramStart"/>
            <w:r w:rsidRPr="00BE4F47">
              <w:rPr>
                <w:rFonts w:ascii="Aptos" w:eastAsia="Calibri" w:hAnsi="Aptos" w:cs="Calibri"/>
                <w:color w:val="1A1A19"/>
                <w:sz w:val="16"/>
                <w:szCs w:val="16"/>
                <w:lang w:val="en-CA"/>
              </w:rPr>
              <w:t>digital</w:t>
            </w:r>
            <w:proofErr w:type="gramEnd"/>
            <w:r w:rsidRPr="00BE4F47">
              <w:rPr>
                <w:rFonts w:ascii="Aptos" w:eastAsia="Calibri" w:hAnsi="Aptos" w:cs="Calibri"/>
                <w:color w:val="1A1A19"/>
                <w:sz w:val="16"/>
                <w:szCs w:val="16"/>
                <w:lang w:val="en-CA"/>
              </w:rPr>
              <w:t xml:space="preserve"> twin » AND « SCADA » AND « cybersecurity »</w:t>
            </w:r>
          </w:p>
        </w:tc>
      </w:tr>
      <w:tr w:rsidR="00F50D70" w:rsidRPr="00BE4F47" w14:paraId="12237846" w14:textId="77777777">
        <w:trPr>
          <w:trHeight w:val="244"/>
        </w:trPr>
        <w:tc>
          <w:tcPr>
            <w:tcW w:w="2102" w:type="dxa"/>
            <w:tcBorders>
              <w:top w:val="single" w:sz="4" w:space="0" w:color="000000"/>
              <w:left w:val="single" w:sz="4" w:space="0" w:color="000000"/>
              <w:bottom w:val="single" w:sz="4" w:space="0" w:color="000000"/>
              <w:right w:val="single" w:sz="4" w:space="0" w:color="000000"/>
            </w:tcBorders>
          </w:tcPr>
          <w:p w14:paraId="523B00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Période couverte</w:t>
            </w:r>
          </w:p>
        </w:tc>
        <w:tc>
          <w:tcPr>
            <w:tcW w:w="6455" w:type="dxa"/>
            <w:tcBorders>
              <w:top w:val="single" w:sz="4" w:space="0" w:color="000000"/>
              <w:left w:val="single" w:sz="4" w:space="0" w:color="000000"/>
              <w:bottom w:val="single" w:sz="4" w:space="0" w:color="000000"/>
              <w:right w:val="single" w:sz="4" w:space="0" w:color="000000"/>
            </w:tcBorders>
          </w:tcPr>
          <w:p w14:paraId="3C8695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2020 à 2026, avec conservation de références antérieures lorsqu’elles sont fondatrices</w:t>
            </w:r>
          </w:p>
        </w:tc>
      </w:tr>
      <w:tr w:rsidR="00F50D70" w:rsidRPr="00BE4F47" w14:paraId="1E596CBE" w14:textId="77777777">
        <w:trPr>
          <w:trHeight w:val="438"/>
        </w:trPr>
        <w:tc>
          <w:tcPr>
            <w:tcW w:w="2102" w:type="dxa"/>
            <w:tcBorders>
              <w:top w:val="single" w:sz="4" w:space="0" w:color="000000"/>
              <w:left w:val="single" w:sz="4" w:space="0" w:color="000000"/>
              <w:bottom w:val="single" w:sz="4" w:space="0" w:color="000000"/>
              <w:right w:val="single" w:sz="4" w:space="0" w:color="000000"/>
            </w:tcBorders>
          </w:tcPr>
          <w:p w14:paraId="75C9BE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Critères d’inclusion</w:t>
            </w:r>
          </w:p>
        </w:tc>
        <w:tc>
          <w:tcPr>
            <w:tcW w:w="6455" w:type="dxa"/>
            <w:tcBorders>
              <w:top w:val="single" w:sz="4" w:space="0" w:color="000000"/>
              <w:left w:val="single" w:sz="4" w:space="0" w:color="000000"/>
              <w:bottom w:val="single" w:sz="4" w:space="0" w:color="000000"/>
              <w:right w:val="single" w:sz="4" w:space="0" w:color="000000"/>
            </w:tcBorders>
          </w:tcPr>
          <w:p w14:paraId="579230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Pertinence avec un lot technique du projet ; publication dans une revue avec comité de lecture ou par un organisme reconnu ; texte intégral accessible</w:t>
            </w:r>
          </w:p>
        </w:tc>
      </w:tr>
      <w:tr w:rsidR="00F50D70" w:rsidRPr="00BE4F47" w14:paraId="2092445F" w14:textId="77777777">
        <w:trPr>
          <w:trHeight w:val="438"/>
        </w:trPr>
        <w:tc>
          <w:tcPr>
            <w:tcW w:w="2102" w:type="dxa"/>
            <w:tcBorders>
              <w:top w:val="single" w:sz="4" w:space="0" w:color="000000"/>
              <w:left w:val="single" w:sz="4" w:space="0" w:color="000000"/>
              <w:bottom w:val="single" w:sz="4" w:space="0" w:color="000000"/>
              <w:right w:val="single" w:sz="4" w:space="0" w:color="000000"/>
            </w:tcBorders>
          </w:tcPr>
          <w:p w14:paraId="67AD7B0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Critères d’exclusion</w:t>
            </w:r>
          </w:p>
        </w:tc>
        <w:tc>
          <w:tcPr>
            <w:tcW w:w="6455" w:type="dxa"/>
            <w:tcBorders>
              <w:top w:val="single" w:sz="4" w:space="0" w:color="000000"/>
              <w:left w:val="single" w:sz="4" w:space="0" w:color="000000"/>
              <w:bottom w:val="single" w:sz="4" w:space="0" w:color="000000"/>
              <w:right w:val="single" w:sz="4" w:space="0" w:color="000000"/>
            </w:tcBorders>
          </w:tcPr>
          <w:p w14:paraId="0554C8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Travaux limités à un domaine sans transposition possible ; documents sans méthode explicite ; doublons et préprints dont la version publiée est disponible</w:t>
            </w:r>
          </w:p>
        </w:tc>
      </w:tr>
    </w:tbl>
    <w:p w14:paraId="2CE02CF4" w14:textId="77777777" w:rsidR="00F50D70" w:rsidRPr="00BE4F47" w:rsidRDefault="00137D7F" w:rsidP="008E113B">
      <w:pPr>
        <w:spacing w:before="200" w:after="130" w:line="360" w:lineRule="auto"/>
        <w:ind w:left="360"/>
        <w:rPr>
          <w:rFonts w:ascii="Aptos" w:hAnsi="Aptos"/>
        </w:rPr>
      </w:pPr>
      <w:bookmarkStart w:id="316" w:name="_Toc241082914"/>
      <w:bookmarkStart w:id="317" w:name="_Toc241670090"/>
      <w:bookmarkStart w:id="318" w:name="_Toc241707798"/>
      <w:r w:rsidRPr="00BE4F47">
        <w:rPr>
          <w:rFonts w:ascii="Aptos" w:hAnsi="Aptos"/>
          <w:color w:val="1A1A19"/>
          <w:sz w:val="20"/>
          <w:szCs w:val="20"/>
        </w:rPr>
        <w:t>Chaque document retenu est rattaché à un lot technique : modèle de référence (L4), architecture et cybersécurité (L5), acquisition et noyau de simulation (L6), détection et incertitude (L7), interface (L8), vérification et validation (L9).</w:t>
      </w:r>
      <w:bookmarkEnd w:id="316"/>
      <w:bookmarkEnd w:id="317"/>
      <w:bookmarkEnd w:id="318"/>
    </w:p>
    <w:p w14:paraId="5DB2C361" w14:textId="77777777" w:rsidR="00F50D70" w:rsidRPr="00256140" w:rsidRDefault="00137D7F" w:rsidP="008E113B">
      <w:pPr>
        <w:pStyle w:val="Titre2"/>
        <w:spacing w:line="360" w:lineRule="auto"/>
      </w:pPr>
      <w:bookmarkStart w:id="319" w:name="__RefHeading___Toc240715130"/>
      <w:bookmarkStart w:id="320" w:name="_Toc241707799"/>
      <w:bookmarkEnd w:id="319"/>
      <w:r w:rsidRPr="00256140">
        <w:t>Ce qui existe</w:t>
      </w:r>
      <w:bookmarkEnd w:id="320"/>
    </w:p>
    <w:p w14:paraId="0D34E0D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21" w:name="_Toc241082916"/>
      <w:bookmarkStart w:id="322" w:name="_Toc241670092"/>
      <w:bookmarkStart w:id="323" w:name="_Toc241707800"/>
      <w:r w:rsidRPr="00BE4F47">
        <w:rPr>
          <w:rFonts w:ascii="Aptos" w:hAnsi="Aptos"/>
          <w:b/>
          <w:color w:val="1A1A19"/>
          <w:sz w:val="20"/>
          <w:szCs w:val="20"/>
        </w:rPr>
        <w:t xml:space="preserve">Les jumeaux numériques dans le nucléaire. </w:t>
      </w:r>
      <w:r w:rsidRPr="00BE4F47">
        <w:rPr>
          <w:rFonts w:ascii="Aptos" w:hAnsi="Aptos"/>
          <w:color w:val="1A1A19"/>
          <w:sz w:val="20"/>
          <w:szCs w:val="20"/>
        </w:rPr>
        <w:t>Le secteur nucléaire étudie les jumeaux numériques pour la surveillance, le diagnostic, la maintenance et l’aide à la décision.</w:t>
      </w:r>
      <w:bookmarkEnd w:id="321"/>
      <w:bookmarkEnd w:id="322"/>
      <w:bookmarkEnd w:id="323"/>
    </w:p>
    <w:p w14:paraId="40A388D4" w14:textId="77777777" w:rsidR="00F50D70" w:rsidRPr="00BE4F47" w:rsidRDefault="00137D7F" w:rsidP="008E113B">
      <w:pPr>
        <w:spacing w:after="130" w:line="360" w:lineRule="auto"/>
        <w:ind w:left="360"/>
        <w:rPr>
          <w:rFonts w:ascii="Aptos" w:hAnsi="Aptos"/>
        </w:rPr>
      </w:pPr>
      <w:bookmarkStart w:id="324" w:name="_Toc241082917"/>
      <w:bookmarkStart w:id="325" w:name="_Toc241670093"/>
      <w:bookmarkStart w:id="326" w:name="_Toc241707801"/>
      <w:r w:rsidRPr="00BE4F47">
        <w:rPr>
          <w:rFonts w:ascii="Aptos" w:hAnsi="Aptos"/>
          <w:color w:val="1A1A19"/>
          <w:sz w:val="20"/>
          <w:szCs w:val="20"/>
        </w:rPr>
        <w:t>M. Hu et ses coauteurs proposent une revue des architectures de jumeaux numériques appliquées au domaine nucléaire. Ils montrent que les solutions actuelles cherchent principalement à intégrer des modèles physiques, des données de fonctionnement et des fonctions d’analyse dans une architecture numérique cohérente, et soulignent l’importance des modèles thermohydrauliques pour représenter le comportement des systèmes nucléaires [4].</w:t>
      </w:r>
      <w:bookmarkEnd w:id="324"/>
      <w:bookmarkEnd w:id="325"/>
      <w:bookmarkEnd w:id="326"/>
    </w:p>
    <w:p w14:paraId="5CC5013C" w14:textId="77777777" w:rsidR="00F50D70" w:rsidRPr="00BE4F47" w:rsidRDefault="00137D7F" w:rsidP="008E113B">
      <w:pPr>
        <w:spacing w:after="130" w:line="360" w:lineRule="auto"/>
        <w:ind w:left="360"/>
        <w:rPr>
          <w:rFonts w:ascii="Aptos" w:hAnsi="Aptos"/>
        </w:rPr>
      </w:pPr>
      <w:bookmarkStart w:id="327" w:name="_Toc241082918"/>
      <w:bookmarkStart w:id="328" w:name="_Toc241670094"/>
      <w:bookmarkStart w:id="329" w:name="_Toc241707802"/>
      <w:r w:rsidRPr="00BE4F47">
        <w:rPr>
          <w:rFonts w:ascii="Aptos" w:hAnsi="Aptos"/>
          <w:color w:val="1A1A19"/>
          <w:sz w:val="20"/>
          <w:szCs w:val="20"/>
        </w:rPr>
        <w:t>Q. Huang et ses coauteurs montrent, dans une revue publiée en 2025, que les jumeaux numériques appliqués aux réacteurs nucléaires restent à des niveaux de maturité faibles à intermédiaires. Ils distinguent quatre familles de solutions : les modèles fondés sur la physique, les approches fondées sur les données, les modèles fondés sur les connaissances expertes, et les approches hybrides combinant plusieurs de ces méthodes [5].</w:t>
      </w:r>
      <w:bookmarkEnd w:id="327"/>
      <w:bookmarkEnd w:id="328"/>
      <w:bookmarkEnd w:id="329"/>
    </w:p>
    <w:p w14:paraId="0CCD3AEF" w14:textId="77777777" w:rsidR="00F50D70" w:rsidRPr="00BE4F47" w:rsidRDefault="00137D7F" w:rsidP="008E113B">
      <w:pPr>
        <w:spacing w:after="130" w:line="360" w:lineRule="auto"/>
        <w:ind w:left="360"/>
        <w:rPr>
          <w:rFonts w:ascii="Aptos" w:hAnsi="Aptos"/>
        </w:rPr>
      </w:pPr>
      <w:bookmarkStart w:id="330" w:name="_Toc241082919"/>
      <w:bookmarkStart w:id="331" w:name="_Toc241670095"/>
      <w:bookmarkStart w:id="332" w:name="_Toc241707803"/>
      <w:r w:rsidRPr="00BE4F47">
        <w:rPr>
          <w:rFonts w:ascii="Aptos" w:hAnsi="Aptos"/>
          <w:color w:val="1A1A19"/>
          <w:sz w:val="20"/>
          <w:szCs w:val="20"/>
        </w:rPr>
        <w:t>La norme ISO 23247-1 fournit le cadre de référence du jumeau numérique, employé ici par analogie et hors de son domaine d’application déclaré. Cette limite est traitée dans la déclaration d’applicabilité de la section 6.</w:t>
      </w:r>
      <w:bookmarkEnd w:id="330"/>
      <w:bookmarkEnd w:id="331"/>
      <w:bookmarkEnd w:id="332"/>
    </w:p>
    <w:p w14:paraId="385A9806"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33" w:name="_Toc241082920"/>
      <w:bookmarkStart w:id="334" w:name="_Toc241670096"/>
      <w:bookmarkStart w:id="335" w:name="_Toc241707804"/>
      <w:r w:rsidRPr="00BE4F47">
        <w:rPr>
          <w:rFonts w:ascii="Aptos" w:hAnsi="Aptos"/>
          <w:color w:val="1A1A19"/>
          <w:sz w:val="20"/>
          <w:szCs w:val="20"/>
        </w:rPr>
        <w:t>Ces travaux montrent que le jumeau numérique constitue une approche pertinente pour la surveillance d’une boucle thermohydraulique, mais qu’il présente encore des difficultés liées à la fidélité des modèles, à la disponibilité des données et à l’interprétation des résultats.</w:t>
      </w:r>
      <w:bookmarkEnd w:id="333"/>
      <w:bookmarkEnd w:id="334"/>
      <w:bookmarkEnd w:id="335"/>
    </w:p>
    <w:p w14:paraId="02B1EBD2" w14:textId="77777777" w:rsidR="00F50D70" w:rsidRPr="00BE4F47" w:rsidRDefault="00137D7F" w:rsidP="008E113B">
      <w:pPr>
        <w:spacing w:after="130" w:line="360" w:lineRule="auto"/>
        <w:ind w:left="360"/>
        <w:rPr>
          <w:rFonts w:ascii="Aptos" w:hAnsi="Aptos"/>
        </w:rPr>
      </w:pPr>
      <w:bookmarkStart w:id="336" w:name="_Toc241082921"/>
      <w:bookmarkStart w:id="337" w:name="_Toc241670097"/>
      <w:bookmarkStart w:id="338" w:name="_Toc241707805"/>
      <w:r w:rsidRPr="00BE4F47">
        <w:rPr>
          <w:rFonts w:ascii="Aptos" w:hAnsi="Aptos"/>
          <w:b/>
          <w:color w:val="1A1A19"/>
          <w:sz w:val="20"/>
          <w:szCs w:val="20"/>
        </w:rPr>
        <w:lastRenderedPageBreak/>
        <w:t xml:space="preserve">La modélisation thermohydraulique. </w:t>
      </w:r>
      <w:r w:rsidRPr="00BE4F47">
        <w:rPr>
          <w:rFonts w:ascii="Aptos" w:hAnsi="Aptos"/>
          <w:color w:val="1A1A19"/>
          <w:sz w:val="20"/>
          <w:szCs w:val="20"/>
        </w:rPr>
        <w:t>Dans une boucle thermohydraulique, le modèle doit représenter l’évolution de la température, de la pression et du débit, les trois variables retenues par l’exigence EX-F-01.</w:t>
      </w:r>
      <w:bookmarkEnd w:id="336"/>
      <w:bookmarkEnd w:id="337"/>
      <w:bookmarkEnd w:id="338"/>
    </w:p>
    <w:p w14:paraId="7EB087C4" w14:textId="24A8D0E2" w:rsidR="00F50D70" w:rsidRPr="00BE4F47" w:rsidRDefault="00137D7F" w:rsidP="008E113B">
      <w:pPr>
        <w:spacing w:after="130" w:line="360" w:lineRule="auto"/>
        <w:ind w:left="360"/>
        <w:rPr>
          <w:rFonts w:ascii="Aptos" w:hAnsi="Aptos"/>
        </w:rPr>
      </w:pPr>
      <w:bookmarkStart w:id="339" w:name="_Toc241082922"/>
      <w:bookmarkStart w:id="340" w:name="_Toc241670098"/>
      <w:bookmarkStart w:id="341" w:name="_Toc241707806"/>
      <w:r w:rsidRPr="00BE4F47">
        <w:rPr>
          <w:rFonts w:ascii="Aptos" w:hAnsi="Aptos"/>
          <w:color w:val="1A1A19"/>
          <w:sz w:val="20"/>
          <w:szCs w:val="20"/>
        </w:rPr>
        <w:t>Les modèles de haute fidélité fournissent une représentation détaillée du comportement du système, au prix d’un coût de calcul élevé. Cette contrainte devient déterminante lorsque le modèle doit être exploité dans un contexte de surveillance ou d’aide à la décision en temps réel, situation dans laquelle se place le prototype [4], [5].</w:t>
      </w:r>
      <w:bookmarkEnd w:id="339"/>
      <w:bookmarkEnd w:id="340"/>
      <w:bookmarkEnd w:id="341"/>
    </w:p>
    <w:p w14:paraId="5555580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42" w:name="_Toc241082923"/>
      <w:bookmarkStart w:id="343" w:name="_Toc241670099"/>
      <w:bookmarkStart w:id="344" w:name="_Toc241707807"/>
      <w:r w:rsidRPr="00BE4F47">
        <w:rPr>
          <w:rFonts w:ascii="Aptos" w:hAnsi="Aptos"/>
          <w:color w:val="1A1A19"/>
          <w:sz w:val="20"/>
          <w:szCs w:val="20"/>
        </w:rPr>
        <w:t>Un modèle simplifié de type 0D/1D à paramètres concentrés répond à cette contrainte. Sa suffisance pour les phénomènes et les scénarios retenus reste à démontrer : c’est l’un des objets de la campagne d’essais du lot L9, et le risque RT4 la surveille.</w:t>
      </w:r>
      <w:bookmarkEnd w:id="342"/>
      <w:bookmarkEnd w:id="343"/>
      <w:bookmarkEnd w:id="344"/>
    </w:p>
    <w:p w14:paraId="4B1DE17C" w14:textId="77777777" w:rsidR="00F50D70" w:rsidRPr="00BE4F47" w:rsidRDefault="00137D7F" w:rsidP="008E113B">
      <w:pPr>
        <w:spacing w:after="130" w:line="360" w:lineRule="auto"/>
        <w:ind w:left="360"/>
        <w:rPr>
          <w:rFonts w:ascii="Aptos" w:hAnsi="Aptos"/>
        </w:rPr>
      </w:pPr>
      <w:bookmarkStart w:id="345" w:name="_Toc241082924"/>
      <w:bookmarkStart w:id="346" w:name="_Toc241670100"/>
      <w:bookmarkStart w:id="347" w:name="_Toc241707808"/>
      <w:r w:rsidRPr="00BE4F47">
        <w:rPr>
          <w:rFonts w:ascii="Aptos" w:hAnsi="Aptos"/>
          <w:b/>
          <w:color w:val="1A1A19"/>
          <w:sz w:val="20"/>
          <w:szCs w:val="20"/>
        </w:rPr>
        <w:t xml:space="preserve">La détection d’anomalies. </w:t>
      </w:r>
      <w:r w:rsidRPr="00BE4F47">
        <w:rPr>
          <w:rFonts w:ascii="Aptos" w:hAnsi="Aptos"/>
          <w:color w:val="1A1A19"/>
          <w:sz w:val="20"/>
          <w:szCs w:val="20"/>
        </w:rPr>
        <w:t>La détection repose sur la comparaison entre les données observées et les données attendues produites par le modèle, ce que reprend l’exigence EX-F-03.</w:t>
      </w:r>
      <w:bookmarkEnd w:id="345"/>
      <w:bookmarkEnd w:id="346"/>
      <w:bookmarkEnd w:id="347"/>
    </w:p>
    <w:p w14:paraId="5460344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48" w:name="_Toc241082925"/>
      <w:bookmarkStart w:id="349" w:name="_Toc241670101"/>
      <w:bookmarkStart w:id="350" w:name="_Toc241707809"/>
      <w:r w:rsidRPr="00BE4F47">
        <w:rPr>
          <w:rFonts w:ascii="Aptos" w:hAnsi="Aptos"/>
          <w:color w:val="1A1A19"/>
          <w:sz w:val="20"/>
          <w:szCs w:val="20"/>
        </w:rPr>
        <w:t>H. Huang et ses coauteurs proposent une approche de détection d’anomalies en ligne fondée sur un jumeau numérique et des données en temps réel, dans un contexte de système d’automatisation. Leurs travaux montrent qu’un modèle numérique peut servir de référence pour détecter un comportement qui s’écarte du fonctionnement normal [6].</w:t>
      </w:r>
      <w:bookmarkEnd w:id="348"/>
      <w:bookmarkEnd w:id="349"/>
      <w:bookmarkEnd w:id="350"/>
    </w:p>
    <w:p w14:paraId="01E8ECD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51" w:name="_Toc241082927"/>
      <w:bookmarkStart w:id="352" w:name="_Toc241670102"/>
      <w:bookmarkStart w:id="353" w:name="_Toc241707810"/>
      <w:r w:rsidRPr="00BE4F47">
        <w:rPr>
          <w:rFonts w:ascii="Aptos" w:hAnsi="Aptos"/>
          <w:color w:val="1A1A19"/>
          <w:sz w:val="20"/>
          <w:szCs w:val="20"/>
        </w:rPr>
        <w:t>Dans le GEMMA de l’équipe, cette fonction correspond à la transition de l’état F1 vers l’état D2, franchie dès qu’une dérive ou une anomalie est confirmée en fonctionnement.</w:t>
      </w:r>
      <w:bookmarkEnd w:id="351"/>
      <w:bookmarkEnd w:id="352"/>
      <w:bookmarkEnd w:id="353"/>
    </w:p>
    <w:p w14:paraId="3EA6A6AF" w14:textId="77777777" w:rsidR="00F50D70" w:rsidRPr="00BE4F47" w:rsidRDefault="00137D7F" w:rsidP="008E113B">
      <w:pPr>
        <w:spacing w:after="130" w:line="360" w:lineRule="auto"/>
        <w:ind w:left="360"/>
        <w:rPr>
          <w:rFonts w:ascii="Aptos" w:hAnsi="Aptos"/>
        </w:rPr>
      </w:pPr>
      <w:bookmarkStart w:id="354" w:name="_Toc241082928"/>
      <w:bookmarkStart w:id="355" w:name="_Toc241670103"/>
      <w:bookmarkStart w:id="356" w:name="_Toc241707811"/>
      <w:r w:rsidRPr="00BE4F47">
        <w:rPr>
          <w:rFonts w:ascii="Aptos" w:hAnsi="Aptos"/>
          <w:b/>
          <w:color w:val="1A1A19"/>
          <w:sz w:val="20"/>
          <w:szCs w:val="20"/>
        </w:rPr>
        <w:t xml:space="preserve">La quantification de l’incertitude. </w:t>
      </w:r>
      <w:r w:rsidRPr="00BE4F47">
        <w:rPr>
          <w:rFonts w:ascii="Aptos" w:hAnsi="Aptos"/>
          <w:color w:val="1A1A19"/>
          <w:sz w:val="20"/>
          <w:szCs w:val="20"/>
        </w:rPr>
        <w:t>Dans un système d’aide à la décision, produire un diagnostic ne suffit pas. Il faut également évaluer le niveau de confiance associé au résultat, ce qu’exige EX-F-07.</w:t>
      </w:r>
      <w:bookmarkEnd w:id="354"/>
      <w:bookmarkEnd w:id="355"/>
      <w:bookmarkEnd w:id="356"/>
    </w:p>
    <w:p w14:paraId="1A554B03"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57" w:name="_Toc241082929"/>
      <w:bookmarkStart w:id="358" w:name="_Toc241670104"/>
      <w:bookmarkStart w:id="359" w:name="_Toc241707812"/>
      <w:r w:rsidRPr="00BE4F47">
        <w:rPr>
          <w:rFonts w:ascii="Aptos" w:hAnsi="Aptos"/>
          <w:color w:val="1A1A19"/>
          <w:sz w:val="20"/>
          <w:szCs w:val="20"/>
        </w:rPr>
        <w:t>K. Kobayashi, D. Kumar et S. B. Alam ont étudié l’emploi de techniques de quantification de l’incertitude pour les technologies de jumeaux numériques nucléaires. Leurs travaux montrent l’importance d’estimer les incertitudes associées aux paramètres et aux modèles, afin d’éviter qu’un résultat numérique soit interprété avec une certitude qu’il n’a pas [7].</w:t>
      </w:r>
      <w:bookmarkEnd w:id="357"/>
      <w:bookmarkEnd w:id="358"/>
      <w:bookmarkEnd w:id="359"/>
    </w:p>
    <w:p w14:paraId="552B77D9" w14:textId="77777777" w:rsidR="00F50D70" w:rsidRPr="00BE4F47" w:rsidRDefault="00137D7F" w:rsidP="008E113B">
      <w:pPr>
        <w:spacing w:after="130" w:line="360" w:lineRule="auto"/>
        <w:ind w:left="360"/>
        <w:rPr>
          <w:rFonts w:ascii="Aptos" w:hAnsi="Aptos"/>
        </w:rPr>
      </w:pPr>
      <w:bookmarkStart w:id="360" w:name="_Toc241082930"/>
      <w:bookmarkStart w:id="361" w:name="_Toc241670105"/>
      <w:bookmarkStart w:id="362" w:name="_Toc241707813"/>
      <w:r w:rsidRPr="00BE4F47">
        <w:rPr>
          <w:rFonts w:ascii="Aptos" w:hAnsi="Aptos"/>
          <w:color w:val="1A1A19"/>
          <w:sz w:val="20"/>
          <w:szCs w:val="20"/>
        </w:rPr>
        <w:t>La norme ASME V&amp;V 20 apporte le complément méthodologique que la littérature laisse ouvert. La décomposition de l’écart entre modèle et référence et ses conséquences sur la campagne d’essais sont détaillées à la section 6.5.</w:t>
      </w:r>
      <w:bookmarkEnd w:id="360"/>
      <w:bookmarkEnd w:id="361"/>
      <w:bookmarkEnd w:id="362"/>
    </w:p>
    <w:p w14:paraId="7FA19DCA" w14:textId="77777777" w:rsidR="00B03F2E" w:rsidRDefault="00137D7F" w:rsidP="008E113B">
      <w:pPr>
        <w:spacing w:after="130" w:line="360" w:lineRule="auto"/>
        <w:ind w:left="360"/>
        <w:rPr>
          <w:rFonts w:ascii="Aptos" w:eastAsia="Calibri" w:hAnsi="Aptos" w:cs="Calibri"/>
          <w:color w:val="1A1A19"/>
          <w:sz w:val="20"/>
          <w:szCs w:val="20"/>
        </w:rPr>
      </w:pPr>
      <w:bookmarkStart w:id="363" w:name="_Toc241082931"/>
      <w:bookmarkStart w:id="364" w:name="_Toc241670106"/>
      <w:bookmarkStart w:id="365" w:name="_Toc241707814"/>
      <w:r w:rsidRPr="00BE4F47">
        <w:rPr>
          <w:rFonts w:ascii="Aptos" w:hAnsi="Aptos"/>
          <w:color w:val="1A1A19"/>
          <w:sz w:val="20"/>
          <w:szCs w:val="20"/>
        </w:rPr>
        <w:t>Le niveau de confiance affiché par le prototype pourra dépendre :</w:t>
      </w:r>
      <w:bookmarkEnd w:id="363"/>
      <w:bookmarkEnd w:id="364"/>
      <w:bookmarkEnd w:id="365"/>
    </w:p>
    <w:p w14:paraId="762F460A"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366" w:name="_Toc241082932"/>
      <w:bookmarkStart w:id="367" w:name="_Toc241670107"/>
      <w:bookmarkStart w:id="368" w:name="_Toc241707815"/>
      <w:proofErr w:type="gramStart"/>
      <w:r w:rsidRPr="00BE4F47">
        <w:rPr>
          <w:rFonts w:ascii="Aptos" w:hAnsi="Aptos"/>
          <w:color w:val="1A1A19"/>
          <w:sz w:val="20"/>
          <w:szCs w:val="20"/>
        </w:rPr>
        <w:t>de</w:t>
      </w:r>
      <w:proofErr w:type="gramEnd"/>
      <w:r w:rsidRPr="00BE4F47">
        <w:rPr>
          <w:rFonts w:ascii="Aptos" w:hAnsi="Aptos"/>
          <w:color w:val="1A1A19"/>
          <w:sz w:val="20"/>
          <w:szCs w:val="20"/>
        </w:rPr>
        <w:t xml:space="preserve"> la disponibilité des données.</w:t>
      </w:r>
      <w:bookmarkEnd w:id="366"/>
      <w:bookmarkEnd w:id="367"/>
      <w:bookmarkEnd w:id="368"/>
    </w:p>
    <w:p w14:paraId="0E9EF0FC"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369" w:name="_Toc241082933"/>
      <w:bookmarkStart w:id="370" w:name="_Toc241670108"/>
      <w:bookmarkStart w:id="371" w:name="_Toc241707816"/>
      <w:proofErr w:type="gramStart"/>
      <w:r w:rsidRPr="00BE4F47">
        <w:rPr>
          <w:rFonts w:ascii="Aptos" w:hAnsi="Aptos"/>
          <w:color w:val="1A1A19"/>
          <w:sz w:val="20"/>
          <w:szCs w:val="20"/>
        </w:rPr>
        <w:t>de</w:t>
      </w:r>
      <w:proofErr w:type="gramEnd"/>
      <w:r w:rsidRPr="00BE4F47">
        <w:rPr>
          <w:rFonts w:ascii="Aptos" w:hAnsi="Aptos"/>
          <w:color w:val="1A1A19"/>
          <w:sz w:val="20"/>
          <w:szCs w:val="20"/>
        </w:rPr>
        <w:t xml:space="preserve"> leur qualité.</w:t>
      </w:r>
      <w:bookmarkEnd w:id="369"/>
      <w:bookmarkEnd w:id="370"/>
      <w:bookmarkEnd w:id="371"/>
    </w:p>
    <w:p w14:paraId="028FB710"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372" w:name="_Toc241082934"/>
      <w:bookmarkStart w:id="373" w:name="_Toc241670109"/>
      <w:bookmarkStart w:id="374" w:name="_Toc241707817"/>
      <w:proofErr w:type="gramStart"/>
      <w:r w:rsidRPr="00BE4F47">
        <w:rPr>
          <w:rFonts w:ascii="Aptos" w:hAnsi="Aptos"/>
          <w:color w:val="1A1A19"/>
          <w:sz w:val="20"/>
          <w:szCs w:val="20"/>
        </w:rPr>
        <w:t>de</w:t>
      </w:r>
      <w:proofErr w:type="gramEnd"/>
      <w:r w:rsidRPr="00BE4F47">
        <w:rPr>
          <w:rFonts w:ascii="Aptos" w:hAnsi="Aptos"/>
          <w:color w:val="1A1A19"/>
          <w:sz w:val="20"/>
          <w:szCs w:val="20"/>
        </w:rPr>
        <w:t xml:space="preserve"> l’écart entre le modèle et les mesures.</w:t>
      </w:r>
      <w:bookmarkEnd w:id="372"/>
      <w:bookmarkEnd w:id="373"/>
      <w:bookmarkEnd w:id="374"/>
    </w:p>
    <w:p w14:paraId="5E6E872D"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375" w:name="_Toc241082935"/>
      <w:bookmarkStart w:id="376" w:name="_Toc241670110"/>
      <w:bookmarkStart w:id="377" w:name="_Toc241707818"/>
      <w:proofErr w:type="gramStart"/>
      <w:r w:rsidRPr="00BE4F47">
        <w:rPr>
          <w:rFonts w:ascii="Aptos" w:hAnsi="Aptos"/>
          <w:color w:val="1A1A19"/>
          <w:sz w:val="20"/>
          <w:szCs w:val="20"/>
        </w:rPr>
        <w:t>du</w:t>
      </w:r>
      <w:proofErr w:type="gramEnd"/>
      <w:r w:rsidRPr="00BE4F47">
        <w:rPr>
          <w:rFonts w:ascii="Aptos" w:hAnsi="Aptos"/>
          <w:color w:val="1A1A19"/>
          <w:sz w:val="20"/>
          <w:szCs w:val="20"/>
        </w:rPr>
        <w:t xml:space="preserve"> nombre de capteurs cohérents entre eux.</w:t>
      </w:r>
      <w:bookmarkEnd w:id="375"/>
      <w:bookmarkEnd w:id="376"/>
      <w:bookmarkEnd w:id="377"/>
    </w:p>
    <w:p w14:paraId="5144A330" w14:textId="77777777" w:rsidR="00F50D70" w:rsidRPr="00BE4F47" w:rsidRDefault="00137D7F" w:rsidP="008E113B">
      <w:pPr>
        <w:numPr>
          <w:ilvl w:val="0"/>
          <w:numId w:val="20"/>
        </w:numPr>
        <w:spacing w:after="130" w:line="360" w:lineRule="auto"/>
        <w:ind w:left="720"/>
        <w:rPr>
          <w:rFonts w:ascii="Aptos" w:eastAsia="Times New Roman" w:hAnsi="Aptos"/>
        </w:rPr>
      </w:pPr>
      <w:bookmarkStart w:id="378" w:name="_Toc241670111"/>
      <w:bookmarkStart w:id="379" w:name="_Toc241707819"/>
      <w:proofErr w:type="gramStart"/>
      <w:r w:rsidRPr="00BE4F47">
        <w:rPr>
          <w:rFonts w:ascii="Aptos" w:hAnsi="Aptos"/>
          <w:color w:val="1A1A19"/>
          <w:sz w:val="20"/>
          <w:szCs w:val="20"/>
        </w:rPr>
        <w:t>du</w:t>
      </w:r>
      <w:proofErr w:type="gramEnd"/>
      <w:r w:rsidRPr="00BE4F47">
        <w:rPr>
          <w:rFonts w:ascii="Aptos" w:hAnsi="Aptos"/>
          <w:color w:val="1A1A19"/>
          <w:sz w:val="20"/>
          <w:szCs w:val="20"/>
        </w:rPr>
        <w:t xml:space="preserve"> domaine de validité du modèle.</w:t>
      </w:r>
      <w:bookmarkEnd w:id="378"/>
      <w:bookmarkEnd w:id="379"/>
    </w:p>
    <w:p w14:paraId="057595D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80" w:name="_Toc241082937"/>
      <w:bookmarkStart w:id="381" w:name="_Toc241670112"/>
      <w:bookmarkStart w:id="382" w:name="_Toc241707820"/>
      <w:r w:rsidRPr="00BE4F47">
        <w:rPr>
          <w:rFonts w:ascii="Aptos" w:hAnsi="Aptos"/>
          <w:b/>
          <w:color w:val="1A1A19"/>
          <w:sz w:val="20"/>
          <w:szCs w:val="20"/>
        </w:rPr>
        <w:lastRenderedPageBreak/>
        <w:t xml:space="preserve">La cybersécurité et la cyber-résilience. </w:t>
      </w:r>
      <w:r w:rsidRPr="00BE4F47">
        <w:rPr>
          <w:rFonts w:ascii="Aptos" w:hAnsi="Aptos"/>
          <w:color w:val="1A1A19"/>
          <w:sz w:val="20"/>
          <w:szCs w:val="20"/>
        </w:rPr>
        <w:t>Une donnée falsifiée, retardée ou supprimée entraîne une représentation erronée de l’état du système, donc une décision erronée de l’opérateur.</w:t>
      </w:r>
      <w:bookmarkEnd w:id="380"/>
      <w:bookmarkEnd w:id="381"/>
      <w:bookmarkEnd w:id="382"/>
    </w:p>
    <w:p w14:paraId="0B02E7FA" w14:textId="6C0987A6" w:rsidR="00F50D70" w:rsidRPr="00BE4F47" w:rsidRDefault="00137D7F" w:rsidP="008E113B">
      <w:pPr>
        <w:spacing w:after="130" w:line="360" w:lineRule="auto"/>
        <w:ind w:left="360"/>
        <w:rPr>
          <w:rFonts w:ascii="Aptos" w:hAnsi="Aptos"/>
        </w:rPr>
      </w:pPr>
      <w:bookmarkStart w:id="383" w:name="_Toc241082938"/>
      <w:bookmarkStart w:id="384" w:name="_Toc241670113"/>
      <w:bookmarkStart w:id="385" w:name="_Toc241707821"/>
      <w:r w:rsidRPr="00BE4F47">
        <w:rPr>
          <w:rFonts w:ascii="Aptos" w:hAnsi="Aptos"/>
          <w:color w:val="1A1A19"/>
          <w:sz w:val="20"/>
          <w:szCs w:val="20"/>
        </w:rPr>
        <w:t>A. Sayghe propose une architecture de détection d’intrusions reposant sur un jumeau numérique d’un système SCADA. Le jumeau permet de simuler le procédé, d’y injecter différents types de cyberattaques et d’en évaluer l’incidence [8]. C. Alcaraz et J. Lopez montrent de leur côté que les jumeaux numériques peuvent servir de mécanisme complémentaire de détection dans les systèmes cyberphysiques [9].</w:t>
      </w:r>
      <w:bookmarkEnd w:id="383"/>
      <w:bookmarkEnd w:id="384"/>
      <w:bookmarkEnd w:id="385"/>
    </w:p>
    <w:p w14:paraId="098A0723"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86" w:name="_Toc241082939"/>
      <w:bookmarkStart w:id="387" w:name="_Toc241670114"/>
      <w:bookmarkStart w:id="388" w:name="_Toc241707822"/>
      <w:r w:rsidRPr="00BE4F47">
        <w:rPr>
          <w:rFonts w:ascii="Aptos" w:hAnsi="Aptos"/>
          <w:color w:val="1A1A19"/>
          <w:sz w:val="20"/>
          <w:szCs w:val="20"/>
        </w:rPr>
        <w:t>Pour le projet, la cyber-résilience ne se limite pas à empêcher une attaque. Le système doit pouvoir :</w:t>
      </w:r>
      <w:bookmarkEnd w:id="386"/>
      <w:bookmarkEnd w:id="387"/>
      <w:bookmarkEnd w:id="388"/>
    </w:p>
    <w:p w14:paraId="3AB03436"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389" w:name="_Toc241082940"/>
      <w:bookmarkStart w:id="390" w:name="_Toc241670115"/>
      <w:bookmarkStart w:id="391" w:name="_Toc241707823"/>
      <w:proofErr w:type="gramStart"/>
      <w:r w:rsidRPr="00BE4F47">
        <w:rPr>
          <w:rFonts w:ascii="Aptos" w:hAnsi="Aptos"/>
          <w:color w:val="1A1A19"/>
          <w:sz w:val="20"/>
          <w:szCs w:val="20"/>
        </w:rPr>
        <w:t>identifier</w:t>
      </w:r>
      <w:proofErr w:type="gramEnd"/>
      <w:r w:rsidRPr="00BE4F47">
        <w:rPr>
          <w:rFonts w:ascii="Aptos" w:hAnsi="Aptos"/>
          <w:color w:val="1A1A19"/>
          <w:sz w:val="20"/>
          <w:szCs w:val="20"/>
        </w:rPr>
        <w:t xml:space="preserve"> une donnée incohérente.</w:t>
      </w:r>
      <w:bookmarkEnd w:id="389"/>
      <w:bookmarkEnd w:id="390"/>
      <w:bookmarkEnd w:id="391"/>
    </w:p>
    <w:p w14:paraId="03624502"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392" w:name="_Toc241082941"/>
      <w:bookmarkStart w:id="393" w:name="_Toc241670116"/>
      <w:bookmarkStart w:id="394" w:name="_Toc241707824"/>
      <w:proofErr w:type="gramStart"/>
      <w:r w:rsidRPr="00BE4F47">
        <w:rPr>
          <w:rFonts w:ascii="Aptos" w:hAnsi="Aptos"/>
          <w:color w:val="1A1A19"/>
          <w:sz w:val="20"/>
          <w:szCs w:val="20"/>
        </w:rPr>
        <w:t>détecter</w:t>
      </w:r>
      <w:proofErr w:type="gramEnd"/>
      <w:r w:rsidRPr="00BE4F47">
        <w:rPr>
          <w:rFonts w:ascii="Aptos" w:hAnsi="Aptos"/>
          <w:color w:val="1A1A19"/>
          <w:sz w:val="20"/>
          <w:szCs w:val="20"/>
        </w:rPr>
        <w:t xml:space="preserve"> une perte de communication.</w:t>
      </w:r>
      <w:bookmarkEnd w:id="392"/>
      <w:bookmarkEnd w:id="393"/>
      <w:bookmarkEnd w:id="394"/>
    </w:p>
    <w:p w14:paraId="0DC6FF7A" w14:textId="77777777" w:rsidR="00F50D70" w:rsidRPr="00BE4F47" w:rsidRDefault="00137D7F" w:rsidP="008E113B">
      <w:pPr>
        <w:numPr>
          <w:ilvl w:val="0"/>
          <w:numId w:val="20"/>
        </w:numPr>
        <w:spacing w:after="130" w:line="360" w:lineRule="auto"/>
        <w:ind w:left="720"/>
        <w:rPr>
          <w:rFonts w:ascii="Aptos" w:eastAsia="Segoe UI Symbol" w:hAnsi="Aptos" w:cs="Calibri"/>
          <w:color w:val="1A1A19"/>
          <w:sz w:val="20"/>
          <w:szCs w:val="20"/>
        </w:rPr>
      </w:pPr>
      <w:bookmarkStart w:id="395" w:name="_Toc241082942"/>
      <w:bookmarkStart w:id="396" w:name="_Toc241670117"/>
      <w:bookmarkStart w:id="397" w:name="_Toc241707825"/>
      <w:proofErr w:type="gramStart"/>
      <w:r w:rsidRPr="00BE4F47">
        <w:rPr>
          <w:rFonts w:ascii="Aptos" w:hAnsi="Aptos"/>
          <w:color w:val="1A1A19"/>
          <w:sz w:val="20"/>
          <w:szCs w:val="20"/>
        </w:rPr>
        <w:t>reconnaître</w:t>
      </w:r>
      <w:proofErr w:type="gramEnd"/>
      <w:r w:rsidRPr="00BE4F47">
        <w:rPr>
          <w:rFonts w:ascii="Aptos" w:hAnsi="Aptos"/>
          <w:color w:val="1A1A19"/>
          <w:sz w:val="20"/>
          <w:szCs w:val="20"/>
        </w:rPr>
        <w:t xml:space="preserve"> une mesure potentiellement falsifiée.</w:t>
      </w:r>
      <w:bookmarkEnd w:id="395"/>
      <w:bookmarkEnd w:id="396"/>
      <w:bookmarkEnd w:id="397"/>
    </w:p>
    <w:p w14:paraId="0EB0A16F" w14:textId="77777777" w:rsidR="00F50D70" w:rsidRPr="00BE4F47" w:rsidRDefault="00137D7F" w:rsidP="008E113B">
      <w:pPr>
        <w:numPr>
          <w:ilvl w:val="0"/>
          <w:numId w:val="20"/>
        </w:numPr>
        <w:spacing w:after="130" w:line="360" w:lineRule="auto"/>
        <w:ind w:left="720"/>
        <w:rPr>
          <w:rFonts w:ascii="Aptos" w:eastAsia="Segoe UI Symbol" w:hAnsi="Aptos" w:cs="Calibri"/>
          <w:color w:val="1A1A19"/>
          <w:sz w:val="20"/>
          <w:szCs w:val="20"/>
        </w:rPr>
      </w:pPr>
      <w:bookmarkStart w:id="398" w:name="_Toc241082943"/>
      <w:bookmarkStart w:id="399" w:name="_Toc241670118"/>
      <w:bookmarkStart w:id="400" w:name="_Toc241707826"/>
      <w:proofErr w:type="gramStart"/>
      <w:r w:rsidRPr="00BE4F47">
        <w:rPr>
          <w:rFonts w:ascii="Aptos" w:hAnsi="Aptos"/>
          <w:color w:val="1A1A19"/>
          <w:sz w:val="20"/>
          <w:szCs w:val="20"/>
        </w:rPr>
        <w:t>continuer</w:t>
      </w:r>
      <w:proofErr w:type="gramEnd"/>
      <w:r w:rsidRPr="00BE4F47">
        <w:rPr>
          <w:rFonts w:ascii="Aptos" w:hAnsi="Aptos"/>
          <w:color w:val="1A1A19"/>
          <w:sz w:val="20"/>
          <w:szCs w:val="20"/>
        </w:rPr>
        <w:t xml:space="preserve"> à fonctionner en mode dégradé lorsque cela reste sûr.</w:t>
      </w:r>
      <w:bookmarkEnd w:id="398"/>
      <w:bookmarkEnd w:id="399"/>
      <w:bookmarkEnd w:id="400"/>
    </w:p>
    <w:p w14:paraId="60B474D9" w14:textId="77777777" w:rsidR="00F50D70" w:rsidRPr="00BE4F47" w:rsidRDefault="00137D7F" w:rsidP="008E113B">
      <w:pPr>
        <w:numPr>
          <w:ilvl w:val="0"/>
          <w:numId w:val="20"/>
        </w:numPr>
        <w:spacing w:after="130" w:line="360" w:lineRule="auto"/>
        <w:ind w:left="720"/>
        <w:rPr>
          <w:rFonts w:ascii="Aptos" w:eastAsia="Segoe UI Symbol" w:hAnsi="Aptos" w:cs="Segoe UI Symbol"/>
          <w:lang w:eastAsia="ja-JP"/>
        </w:rPr>
      </w:pPr>
      <w:bookmarkStart w:id="401" w:name="_Toc241082944"/>
      <w:bookmarkStart w:id="402" w:name="_Toc241670119"/>
      <w:bookmarkStart w:id="403" w:name="_Toc241707827"/>
      <w:proofErr w:type="gramStart"/>
      <w:r w:rsidRPr="00BE4F47">
        <w:rPr>
          <w:rFonts w:ascii="Aptos" w:hAnsi="Aptos"/>
          <w:color w:val="1A1A19"/>
          <w:sz w:val="20"/>
          <w:szCs w:val="20"/>
        </w:rPr>
        <w:t>indiquer</w:t>
      </w:r>
      <w:proofErr w:type="gramEnd"/>
      <w:r w:rsidRPr="00BE4F47">
        <w:rPr>
          <w:rFonts w:ascii="Aptos" w:hAnsi="Aptos"/>
          <w:color w:val="1A1A19"/>
          <w:sz w:val="20"/>
          <w:szCs w:val="20"/>
        </w:rPr>
        <w:t xml:space="preserve"> clairement qu’un diagnostic fiable n’est plus possible.</w:t>
      </w:r>
      <w:bookmarkEnd w:id="401"/>
      <w:bookmarkEnd w:id="402"/>
      <w:bookmarkEnd w:id="403"/>
    </w:p>
    <w:p w14:paraId="69DD52AC" w14:textId="77777777" w:rsidR="00F50D70" w:rsidRPr="00BE4F47" w:rsidRDefault="00137D7F" w:rsidP="008E113B">
      <w:pPr>
        <w:spacing w:after="130" w:line="360" w:lineRule="auto"/>
        <w:ind w:left="360"/>
        <w:rPr>
          <w:rFonts w:ascii="Aptos" w:hAnsi="Aptos"/>
        </w:rPr>
      </w:pPr>
      <w:bookmarkStart w:id="404" w:name="_Toc241082945"/>
      <w:bookmarkStart w:id="405" w:name="_Toc241670120"/>
      <w:bookmarkStart w:id="406" w:name="_Toc241707828"/>
      <w:r w:rsidRPr="00BE4F47">
        <w:rPr>
          <w:rFonts w:ascii="Aptos" w:hAnsi="Aptos"/>
          <w:color w:val="1A1A19"/>
          <w:sz w:val="20"/>
          <w:szCs w:val="20"/>
        </w:rPr>
        <w:t>Ces cinq comportements correspondent aux exigences EX-Q-04 et EX-F-06 et, dans le GEMMA, aux états D2 et D3. La norme IEC 62859 ajoute une contrainte que la littérature n’énonce pas : une mesure de cybersécurité ne doit jamais empêcher l’opérateur de percevoir l’état réel du système. Une coupure de flux décidée pour des motifs de sécurité doit donc être signalée, et non silencieuse.</w:t>
      </w:r>
      <w:bookmarkEnd w:id="404"/>
      <w:bookmarkEnd w:id="405"/>
      <w:bookmarkEnd w:id="406"/>
    </w:p>
    <w:p w14:paraId="6897E825"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07" w:name="_Toc241082946"/>
      <w:bookmarkStart w:id="408" w:name="_Toc241670121"/>
      <w:bookmarkStart w:id="409" w:name="_Toc241707829"/>
      <w:r w:rsidRPr="00BE4F47">
        <w:rPr>
          <w:rFonts w:ascii="Aptos" w:hAnsi="Aptos"/>
          <w:b/>
          <w:color w:val="1A1A19"/>
          <w:sz w:val="20"/>
          <w:szCs w:val="20"/>
        </w:rPr>
        <w:t xml:space="preserve">L’aide à la décision et l’explicabilité. </w:t>
      </w:r>
      <w:r w:rsidRPr="00BE4F47">
        <w:rPr>
          <w:rFonts w:ascii="Aptos" w:hAnsi="Aptos"/>
          <w:color w:val="1A1A19"/>
          <w:sz w:val="20"/>
          <w:szCs w:val="20"/>
        </w:rPr>
        <w:t>La littérature relève une limite d’interprétabilité des modèles numériques, en particulier avec l’apprentissage automatique [5]. En contexte nucléaire, une indication « normal » ou « anormal » ne suffit pas : l’opérateur doit pouvoir comprendre quelles variables ont conduit au diagnostic. Les exigences EX-F-04, EX-F-05 et EX-F-07 traduisent ce besoin en contenu d’interface.</w:t>
      </w:r>
      <w:bookmarkEnd w:id="407"/>
      <w:bookmarkEnd w:id="408"/>
      <w:bookmarkEnd w:id="409"/>
    </w:p>
    <w:p w14:paraId="26B1D3A5"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10" w:name="_Toc241082948"/>
      <w:bookmarkStart w:id="411" w:name="_Toc241670122"/>
      <w:bookmarkStart w:id="412" w:name="_Toc241707830"/>
      <w:r w:rsidRPr="00BE4F47">
        <w:rPr>
          <w:rFonts w:ascii="Aptos" w:hAnsi="Aptos"/>
          <w:color w:val="1A1A19"/>
          <w:sz w:val="20"/>
          <w:szCs w:val="20"/>
        </w:rPr>
        <w:t>Le système demeure un outil d’aide à la décision, la responsabilité finale restant celle de l’opérateur (EX-F-08, norme ISO 9241-210 sur la conception centrée sur l’opérateur humain).</w:t>
      </w:r>
      <w:bookmarkEnd w:id="410"/>
      <w:bookmarkEnd w:id="411"/>
      <w:bookmarkEnd w:id="412"/>
    </w:p>
    <w:p w14:paraId="0068DFE4" w14:textId="77777777" w:rsidR="00F50D70" w:rsidRPr="00BE4F47" w:rsidRDefault="00137D7F" w:rsidP="008E113B">
      <w:pPr>
        <w:spacing w:after="130" w:line="360" w:lineRule="auto"/>
        <w:ind w:left="360"/>
        <w:rPr>
          <w:rFonts w:ascii="Aptos" w:hAnsi="Aptos"/>
        </w:rPr>
      </w:pPr>
      <w:bookmarkStart w:id="413" w:name="_Toc241082967"/>
      <w:bookmarkStart w:id="414" w:name="_Toc241670123"/>
      <w:bookmarkStart w:id="415" w:name="_Toc241707831"/>
      <w:r w:rsidRPr="00BE4F47">
        <w:rPr>
          <w:rFonts w:ascii="Aptos" w:hAnsi="Aptos"/>
          <w:b/>
          <w:color w:val="1A1A19"/>
          <w:sz w:val="20"/>
          <w:szCs w:val="20"/>
        </w:rPr>
        <w:t xml:space="preserve">Les solutions du marché. </w:t>
      </w:r>
      <w:r w:rsidRPr="00BE4F47">
        <w:rPr>
          <w:rFonts w:ascii="Aptos" w:hAnsi="Aptos"/>
          <w:color w:val="1A1A19"/>
          <w:sz w:val="20"/>
          <w:szCs w:val="20"/>
        </w:rPr>
        <w:t>La revue qui précède porte sur les travaux publiés et sur les brevets. Quatre familles de solutions du marché ont aussi été examinées, pour situer ce que le projet aurait pu acheter plutôt que construire.</w:t>
      </w:r>
      <w:bookmarkEnd w:id="413"/>
      <w:bookmarkEnd w:id="414"/>
      <w:bookmarkEnd w:id="415"/>
    </w:p>
    <w:p w14:paraId="5261D59D" w14:textId="77777777" w:rsidR="00F50D70" w:rsidRPr="00BE4F47" w:rsidRDefault="00137D7F" w:rsidP="008E113B">
      <w:pPr>
        <w:pStyle w:val="Lgende"/>
        <w:keepNext/>
        <w:spacing w:line="360" w:lineRule="auto"/>
        <w:rPr>
          <w:rFonts w:ascii="Aptos" w:hAnsi="Aptos"/>
        </w:rPr>
      </w:pPr>
      <w:bookmarkStart w:id="416" w:name="_Toc241082968"/>
      <w:bookmarkStart w:id="417" w:name="_Toc241670124"/>
      <w:bookmarkStart w:id="418" w:name="_Toc241707832"/>
      <w:r w:rsidRPr="00BE4F47">
        <w:rPr>
          <w:rFonts w:ascii="Aptos" w:hAnsi="Aptos"/>
        </w:rPr>
        <w:lastRenderedPageBreak/>
        <w:t>Tableau 5-2. Solutions existantes et raison de la décision</w:t>
      </w:r>
      <w:bookmarkEnd w:id="416"/>
      <w:bookmarkEnd w:id="417"/>
      <w:bookmarkEnd w:id="418"/>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900"/>
        <w:gridCol w:w="1500"/>
        <w:gridCol w:w="2600"/>
        <w:gridCol w:w="2557"/>
      </w:tblGrid>
      <w:tr w:rsidR="00F50D70" w:rsidRPr="00BE4F47" w14:paraId="4F5E33BE" w14:textId="77777777" w:rsidTr="0036725C">
        <w:trPr>
          <w:trHeight w:val="227"/>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E4CD3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Solution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44E90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Nature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0C99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apporte</w:t>
            </w:r>
          </w:p>
        </w:tc>
        <w:tc>
          <w:tcPr>
            <w:tcW w:w="25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F6FCED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qui la met hors de portée du mandat</w:t>
            </w:r>
          </w:p>
        </w:tc>
      </w:tr>
      <w:tr w:rsidR="00F50D70" w:rsidRPr="00BE4F47" w14:paraId="7A57DA0D"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6BF3D7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Ansys Twin Builder [10]</w:t>
            </w:r>
          </w:p>
        </w:tc>
        <w:tc>
          <w:tcPr>
            <w:tcW w:w="1500" w:type="dxa"/>
            <w:tcBorders>
              <w:top w:val="single" w:sz="4" w:space="0" w:color="000000"/>
              <w:left w:val="single" w:sz="4" w:space="0" w:color="000000"/>
              <w:bottom w:val="single" w:sz="4" w:space="0" w:color="000000"/>
              <w:right w:val="single" w:sz="4" w:space="0" w:color="000000"/>
            </w:tcBorders>
          </w:tcPr>
          <w:p w14:paraId="04A388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Plateforme commerciale de jumeaux numériques.</w:t>
            </w:r>
          </w:p>
        </w:tc>
        <w:tc>
          <w:tcPr>
            <w:tcW w:w="2600" w:type="dxa"/>
            <w:tcBorders>
              <w:top w:val="single" w:sz="4" w:space="0" w:color="000000"/>
              <w:left w:val="single" w:sz="4" w:space="0" w:color="000000"/>
              <w:bottom w:val="single" w:sz="4" w:space="0" w:color="000000"/>
              <w:right w:val="single" w:sz="4" w:space="0" w:color="000000"/>
            </w:tcBorders>
          </w:tcPr>
          <w:p w14:paraId="10C55B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Chaîne complète, de la modélisation au déploiement, avec réduction de modèle et connexion aux données d’exploitation.</w:t>
            </w:r>
          </w:p>
        </w:tc>
        <w:tc>
          <w:tcPr>
            <w:tcW w:w="2557" w:type="dxa"/>
            <w:tcBorders>
              <w:top w:val="single" w:sz="4" w:space="0" w:color="000000"/>
              <w:left w:val="single" w:sz="4" w:space="0" w:color="000000"/>
              <w:bottom w:val="single" w:sz="4" w:space="0" w:color="000000"/>
              <w:right w:val="single" w:sz="4" w:space="0" w:color="000000"/>
            </w:tcBorders>
          </w:tcPr>
          <w:p w14:paraId="7E5ABED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Licence commerciale, hors du budget nul du mandat. Un outil fermé n’interdit pas de rejouer un essai, mais il suppose que le tiers dispose de la même licence, ce que l’exigence EX-F-02 ne peut pas garantir.</w:t>
            </w:r>
          </w:p>
        </w:tc>
      </w:tr>
      <w:tr w:rsidR="00F50D70" w:rsidRPr="00BE4F47" w14:paraId="7AF51EF8"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7551B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Siemens Simcenter Amesim [11]</w:t>
            </w:r>
          </w:p>
        </w:tc>
        <w:tc>
          <w:tcPr>
            <w:tcW w:w="1500" w:type="dxa"/>
            <w:tcBorders>
              <w:top w:val="single" w:sz="4" w:space="0" w:color="000000"/>
              <w:left w:val="single" w:sz="4" w:space="0" w:color="000000"/>
              <w:bottom w:val="single" w:sz="4" w:space="0" w:color="000000"/>
              <w:right w:val="single" w:sz="4" w:space="0" w:color="000000"/>
            </w:tcBorders>
          </w:tcPr>
          <w:p w14:paraId="370C3A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Environnement commercial de simulation de systèmes.</w:t>
            </w:r>
          </w:p>
        </w:tc>
        <w:tc>
          <w:tcPr>
            <w:tcW w:w="2600" w:type="dxa"/>
            <w:tcBorders>
              <w:top w:val="single" w:sz="4" w:space="0" w:color="000000"/>
              <w:left w:val="single" w:sz="4" w:space="0" w:color="000000"/>
              <w:bottom w:val="single" w:sz="4" w:space="0" w:color="000000"/>
              <w:right w:val="single" w:sz="4" w:space="0" w:color="000000"/>
            </w:tcBorders>
          </w:tcPr>
          <w:p w14:paraId="6B1F45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Bibliothèques thermiques et hydrauliques éprouvées, adaptées à une boucle de refroidissement.</w:t>
            </w:r>
          </w:p>
        </w:tc>
        <w:tc>
          <w:tcPr>
            <w:tcW w:w="2557" w:type="dxa"/>
            <w:tcBorders>
              <w:top w:val="single" w:sz="4" w:space="0" w:color="000000"/>
              <w:left w:val="single" w:sz="4" w:space="0" w:color="000000"/>
              <w:bottom w:val="single" w:sz="4" w:space="0" w:color="000000"/>
              <w:right w:val="single" w:sz="4" w:space="0" w:color="000000"/>
            </w:tcBorders>
          </w:tcPr>
          <w:p w14:paraId="29BE0C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Même obstacle de licence. La compétence d’équipe sur cet outil est nulle, ce qui consommerait le lot L4 en apprentissage.</w:t>
            </w:r>
          </w:p>
        </w:tc>
      </w:tr>
      <w:tr w:rsidR="00F50D70" w:rsidRPr="00BE4F47" w14:paraId="6EBA399B"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28B1F9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OpenModelica et la bibliothèque ThermoPower [12]</w:t>
            </w:r>
          </w:p>
        </w:tc>
        <w:tc>
          <w:tcPr>
            <w:tcW w:w="1500" w:type="dxa"/>
            <w:tcBorders>
              <w:top w:val="single" w:sz="4" w:space="0" w:color="000000"/>
              <w:left w:val="single" w:sz="4" w:space="0" w:color="000000"/>
              <w:bottom w:val="single" w:sz="4" w:space="0" w:color="000000"/>
              <w:right w:val="single" w:sz="4" w:space="0" w:color="000000"/>
            </w:tcBorders>
          </w:tcPr>
          <w:p w14:paraId="4EBB4CE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Environnement et bibliothèque libres.</w:t>
            </w:r>
          </w:p>
        </w:tc>
        <w:tc>
          <w:tcPr>
            <w:tcW w:w="2600" w:type="dxa"/>
            <w:tcBorders>
              <w:top w:val="single" w:sz="4" w:space="0" w:color="000000"/>
              <w:left w:val="single" w:sz="4" w:space="0" w:color="000000"/>
              <w:bottom w:val="single" w:sz="4" w:space="0" w:color="000000"/>
              <w:right w:val="single" w:sz="4" w:space="0" w:color="000000"/>
            </w:tcBorders>
          </w:tcPr>
          <w:p w14:paraId="02810BA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Modélisation dynamique des centrales thermiques, langage normalisé à équations acausales, code lisible et vérifiable.</w:t>
            </w:r>
          </w:p>
        </w:tc>
        <w:tc>
          <w:tcPr>
            <w:tcW w:w="2557" w:type="dxa"/>
            <w:tcBorders>
              <w:top w:val="single" w:sz="4" w:space="0" w:color="000000"/>
              <w:left w:val="single" w:sz="4" w:space="0" w:color="000000"/>
              <w:bottom w:val="single" w:sz="4" w:space="0" w:color="000000"/>
              <w:right w:val="single" w:sz="4" w:space="0" w:color="000000"/>
            </w:tcBorders>
          </w:tcPr>
          <w:p w14:paraId="2BA8330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Rien. C’est la piste retenue comme hypothèse de travail à la section 8.5.</w:t>
            </w:r>
          </w:p>
        </w:tc>
      </w:tr>
      <w:tr w:rsidR="00F50D70" w:rsidRPr="00BE4F47" w14:paraId="7E9DE8F4"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7940EA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Codes TRACE et RELAP5 de la NRC [13]</w:t>
            </w:r>
          </w:p>
        </w:tc>
        <w:tc>
          <w:tcPr>
            <w:tcW w:w="1500" w:type="dxa"/>
            <w:tcBorders>
              <w:top w:val="single" w:sz="4" w:space="0" w:color="000000"/>
              <w:left w:val="single" w:sz="4" w:space="0" w:color="000000"/>
              <w:bottom w:val="single" w:sz="4" w:space="0" w:color="000000"/>
              <w:right w:val="single" w:sz="4" w:space="0" w:color="000000"/>
            </w:tcBorders>
          </w:tcPr>
          <w:p w14:paraId="4A766ED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Codes de référence en thermohydraulique nucléaire.</w:t>
            </w:r>
          </w:p>
        </w:tc>
        <w:tc>
          <w:tcPr>
            <w:tcW w:w="2600" w:type="dxa"/>
            <w:tcBorders>
              <w:top w:val="single" w:sz="4" w:space="0" w:color="000000"/>
              <w:left w:val="single" w:sz="4" w:space="0" w:color="000000"/>
              <w:bottom w:val="single" w:sz="4" w:space="0" w:color="000000"/>
              <w:right w:val="single" w:sz="4" w:space="0" w:color="000000"/>
            </w:tcBorders>
          </w:tcPr>
          <w:p w14:paraId="3C862EA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Référence reconnue pour l’analyse des transitoires de réacteurs à eau sous pression et à eau bouillante.</w:t>
            </w:r>
          </w:p>
        </w:tc>
        <w:tc>
          <w:tcPr>
            <w:tcW w:w="2557" w:type="dxa"/>
            <w:tcBorders>
              <w:top w:val="single" w:sz="4" w:space="0" w:color="000000"/>
              <w:left w:val="single" w:sz="4" w:space="0" w:color="000000"/>
              <w:bottom w:val="single" w:sz="4" w:space="0" w:color="000000"/>
              <w:right w:val="single" w:sz="4" w:space="0" w:color="000000"/>
            </w:tcBorders>
          </w:tcPr>
          <w:p w14:paraId="02B897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Distribution soumise à une entente institutionnelle, et non librement accessible. Domaine d’emploi très au-delà du périmètre du prototype.</w:t>
            </w:r>
          </w:p>
        </w:tc>
      </w:tr>
    </w:tbl>
    <w:p w14:paraId="0AFEE74F" w14:textId="2FCBC250" w:rsidR="00F50D70" w:rsidRPr="00BE4F47" w:rsidRDefault="00137D7F" w:rsidP="008E113B">
      <w:pPr>
        <w:spacing w:before="200" w:after="130" w:line="360" w:lineRule="auto"/>
        <w:ind w:left="360"/>
        <w:rPr>
          <w:rFonts w:ascii="Aptos" w:hAnsi="Aptos"/>
        </w:rPr>
      </w:pPr>
      <w:bookmarkStart w:id="419" w:name="_Toc241082969"/>
      <w:bookmarkStart w:id="420" w:name="_Toc241670125"/>
      <w:bookmarkStart w:id="421" w:name="_Toc241707833"/>
      <w:r w:rsidRPr="00BE4F47">
        <w:rPr>
          <w:rFonts w:ascii="Aptos" w:hAnsi="Aptos"/>
          <w:color w:val="1A1A19"/>
          <w:sz w:val="20"/>
          <w:szCs w:val="20"/>
        </w:rPr>
        <w:t xml:space="preserve">Aucune plateforme commerciale n’a été chiffrée : le mandat ne prévoit aucun budget de licence (hypothèse H-05 de la section 8), et aucun devis n’a donc été demandé. La reproductibilité exigée par EX-F-02 suppose par ailleurs qu’un tiers puisse relancer les calculs sans acquérir le même logiciel. Le projet est enfin un exercice de conception : employer une plateforme qui </w:t>
      </w:r>
      <w:proofErr w:type="gramStart"/>
      <w:r w:rsidRPr="00BE4F47">
        <w:rPr>
          <w:rFonts w:ascii="Aptos" w:hAnsi="Aptos"/>
          <w:color w:val="1A1A19"/>
          <w:sz w:val="20"/>
          <w:szCs w:val="20"/>
        </w:rPr>
        <w:t>fait</w:t>
      </w:r>
      <w:proofErr w:type="gramEnd"/>
      <w:r w:rsidRPr="00BE4F47">
        <w:rPr>
          <w:rFonts w:ascii="Aptos" w:hAnsi="Aptos"/>
          <w:color w:val="1A1A19"/>
          <w:sz w:val="20"/>
          <w:szCs w:val="20"/>
        </w:rPr>
        <w:t xml:space="preserve"> déjà le travail viderait les lots L4, L6 et L7 de leur contenu. Le choix d’outillage sera arrêté à la conception préliminaire ; la section 8.5 présente l’hypothèse de travail retenue pour chiffrer le mandat.</w:t>
      </w:r>
      <w:bookmarkEnd w:id="419"/>
      <w:bookmarkEnd w:id="420"/>
      <w:bookmarkEnd w:id="421"/>
    </w:p>
    <w:p w14:paraId="6FFC8642" w14:textId="77777777" w:rsidR="00F50D70" w:rsidRPr="00BE4F47" w:rsidRDefault="00137D7F" w:rsidP="008E113B">
      <w:pPr>
        <w:spacing w:after="130" w:line="360" w:lineRule="auto"/>
        <w:ind w:left="360"/>
        <w:rPr>
          <w:rFonts w:ascii="Aptos" w:hAnsi="Aptos"/>
        </w:rPr>
      </w:pPr>
      <w:bookmarkStart w:id="422" w:name="_Toc241082970"/>
      <w:bookmarkStart w:id="423" w:name="_Toc241670126"/>
      <w:bookmarkStart w:id="424" w:name="_Toc241707834"/>
      <w:r w:rsidRPr="00BE4F47">
        <w:rPr>
          <w:rFonts w:ascii="Aptos" w:hAnsi="Aptos"/>
          <w:color w:val="1A1A19"/>
          <w:sz w:val="20"/>
          <w:szCs w:val="20"/>
        </w:rPr>
        <w:t>Ce constat a un revers. Les outils libres offrent moins de garanties de support et de validation industrielle que les plateformes commerciales, et la charge de vérification retombe sur le lot L9.</w:t>
      </w:r>
      <w:bookmarkEnd w:id="422"/>
      <w:bookmarkEnd w:id="423"/>
      <w:bookmarkEnd w:id="424"/>
    </w:p>
    <w:p w14:paraId="21CF8A6D" w14:textId="77777777" w:rsidR="00F50D70" w:rsidRPr="00B03F2E" w:rsidRDefault="00137D7F" w:rsidP="008E113B">
      <w:pPr>
        <w:pStyle w:val="Titre2"/>
        <w:spacing w:line="360" w:lineRule="auto"/>
      </w:pPr>
      <w:bookmarkStart w:id="425" w:name="_Toc241707835"/>
      <w:r w:rsidRPr="00B03F2E">
        <w:t>Brevets, droits et redevances</w:t>
      </w:r>
      <w:bookmarkStart w:id="426" w:name="__RefHeading___Toc240715169"/>
      <w:bookmarkEnd w:id="425"/>
      <w:bookmarkEnd w:id="426"/>
    </w:p>
    <w:p w14:paraId="02C97B69"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27" w:name="_Toc241082950"/>
      <w:bookmarkStart w:id="428" w:name="_Toc241670128"/>
      <w:bookmarkStart w:id="429" w:name="_Toc241707836"/>
      <w:r w:rsidRPr="00BE4F47">
        <w:rPr>
          <w:rFonts w:ascii="Aptos" w:hAnsi="Aptos"/>
          <w:color w:val="1A1A19"/>
          <w:sz w:val="20"/>
          <w:szCs w:val="20"/>
        </w:rPr>
        <w:t>La recherche a été menée dans Google Patents. C’est une recherche préliminaire d’antériorité, qui établit ce qui est déjà connu dans le domaine. Ce n’est pas une analyse de liberté d’exploitation : celle-ci suppose l’examen des revendications de chaque brevet, la vérification de son statut juridique et des territoires où il est en vigueur, et relève d’un agent de brevets.</w:t>
      </w:r>
      <w:bookmarkEnd w:id="427"/>
      <w:bookmarkEnd w:id="428"/>
      <w:bookmarkEnd w:id="429"/>
    </w:p>
    <w:p w14:paraId="26568BF0" w14:textId="77777777" w:rsidR="00F50D70" w:rsidRDefault="00137D7F" w:rsidP="008E113B">
      <w:pPr>
        <w:spacing w:after="130" w:line="360" w:lineRule="auto"/>
        <w:ind w:left="360"/>
        <w:rPr>
          <w:rFonts w:ascii="Aptos" w:eastAsia="Calibri" w:hAnsi="Aptos" w:cs="Calibri"/>
          <w:color w:val="1A1A19"/>
          <w:sz w:val="20"/>
          <w:szCs w:val="20"/>
        </w:rPr>
      </w:pPr>
      <w:bookmarkStart w:id="430" w:name="_Toc241082951"/>
      <w:bookmarkStart w:id="431" w:name="_Toc241670129"/>
      <w:bookmarkStart w:id="432" w:name="_Toc241707837"/>
      <w:r w:rsidRPr="00BE4F47">
        <w:rPr>
          <w:rFonts w:ascii="Aptos" w:hAnsi="Aptos"/>
          <w:b/>
          <w:color w:val="1A1A19"/>
          <w:sz w:val="20"/>
          <w:szCs w:val="20"/>
        </w:rPr>
        <w:t xml:space="preserve">Les brevets identifiés. </w:t>
      </w:r>
      <w:r w:rsidRPr="00BE4F47">
        <w:rPr>
          <w:rFonts w:ascii="Aptos" w:hAnsi="Aptos"/>
          <w:color w:val="1A1A19"/>
          <w:sz w:val="20"/>
          <w:szCs w:val="20"/>
        </w:rPr>
        <w:t>Cinq brevets présentent des similitudes avec des composantes du projet. Le statut et la juridiction ont été vérifiés le 18 septembre 2026.</w:t>
      </w:r>
      <w:bookmarkEnd w:id="430"/>
      <w:bookmarkEnd w:id="431"/>
      <w:bookmarkEnd w:id="432"/>
    </w:p>
    <w:p w14:paraId="6C7AEDD3" w14:textId="77777777" w:rsidR="00F50D70" w:rsidRPr="00BE4F47" w:rsidRDefault="00137D7F" w:rsidP="008E113B">
      <w:pPr>
        <w:pStyle w:val="Lgende"/>
        <w:keepNext/>
        <w:spacing w:line="360" w:lineRule="auto"/>
        <w:rPr>
          <w:rFonts w:ascii="Aptos" w:hAnsi="Aptos"/>
        </w:rPr>
      </w:pPr>
      <w:bookmarkStart w:id="433" w:name="_Toc241082952"/>
      <w:bookmarkStart w:id="434" w:name="_Toc241670130"/>
      <w:bookmarkStart w:id="435" w:name="_Toc241707838"/>
      <w:r w:rsidRPr="00BE4F47">
        <w:rPr>
          <w:rFonts w:ascii="Aptos" w:hAnsi="Aptos"/>
        </w:rPr>
        <w:lastRenderedPageBreak/>
        <w:t>Tableau 5-3. Brevets identifiés et différence avec le projet</w:t>
      </w:r>
      <w:bookmarkEnd w:id="433"/>
      <w:bookmarkEnd w:id="434"/>
      <w:bookmarkEnd w:id="435"/>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298"/>
        <w:gridCol w:w="1993"/>
        <w:gridCol w:w="1554"/>
        <w:gridCol w:w="1427"/>
        <w:gridCol w:w="2285"/>
      </w:tblGrid>
      <w:tr w:rsidR="00F50D70" w:rsidRPr="00BE4F47" w14:paraId="5A9322BC" w14:textId="77777777" w:rsidTr="0036725C">
        <w:trPr>
          <w:trHeight w:val="229"/>
          <w:tblHeader/>
        </w:trPr>
        <w:tc>
          <w:tcPr>
            <w:tcW w:w="1298"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3029C2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Numéro</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62C8E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Objet</w:t>
            </w:r>
          </w:p>
        </w:tc>
        <w:tc>
          <w:tcPr>
            <w:tcW w:w="155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6566B2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Titulaire</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C5969B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Statut et juridiction</w:t>
            </w:r>
          </w:p>
        </w:tc>
        <w:tc>
          <w:tcPr>
            <w:tcW w:w="2285"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D3A8F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Différence avec le projet</w:t>
            </w:r>
          </w:p>
        </w:tc>
      </w:tr>
      <w:tr w:rsidR="00F50D70" w:rsidRPr="00BE4F47" w14:paraId="6C1A7B70" w14:textId="77777777">
        <w:trPr>
          <w:cantSplit/>
          <w:trHeight w:val="748"/>
        </w:trPr>
        <w:tc>
          <w:tcPr>
            <w:tcW w:w="1298" w:type="dxa"/>
            <w:tcBorders>
              <w:top w:val="single" w:sz="4" w:space="0" w:color="000000"/>
              <w:left w:val="single" w:sz="4" w:space="0" w:color="000000"/>
              <w:bottom w:val="single" w:sz="4" w:space="0" w:color="000000"/>
              <w:right w:val="single" w:sz="4" w:space="0" w:color="000000"/>
            </w:tcBorders>
          </w:tcPr>
          <w:p w14:paraId="59A876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CN118709527B</w:t>
            </w:r>
          </w:p>
        </w:tc>
        <w:tc>
          <w:tcPr>
            <w:tcW w:w="1993" w:type="dxa"/>
            <w:tcBorders>
              <w:top w:val="single" w:sz="4" w:space="0" w:color="000000"/>
              <w:left w:val="single" w:sz="4" w:space="0" w:color="000000"/>
              <w:bottom w:val="single" w:sz="4" w:space="0" w:color="000000"/>
              <w:right w:val="single" w:sz="4" w:space="0" w:color="000000"/>
            </w:tcBorders>
          </w:tcPr>
          <w:p w14:paraId="2ED2A9F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Modèle de jumeau numérique de centrale nucléaire à approche hybride physique-données [14]</w:t>
            </w:r>
          </w:p>
        </w:tc>
        <w:tc>
          <w:tcPr>
            <w:tcW w:w="1554" w:type="dxa"/>
            <w:tcBorders>
              <w:top w:val="single" w:sz="4" w:space="0" w:color="000000"/>
              <w:left w:val="single" w:sz="4" w:space="0" w:color="000000"/>
              <w:bottom w:val="single" w:sz="4" w:space="0" w:color="000000"/>
              <w:right w:val="single" w:sz="4" w:space="0" w:color="000000"/>
            </w:tcBorders>
          </w:tcPr>
          <w:p w14:paraId="62CFB8E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Jiao Tong de Shanghai</w:t>
            </w:r>
          </w:p>
        </w:tc>
        <w:tc>
          <w:tcPr>
            <w:tcW w:w="1427" w:type="dxa"/>
            <w:tcBorders>
              <w:top w:val="single" w:sz="4" w:space="0" w:color="000000"/>
              <w:left w:val="single" w:sz="4" w:space="0" w:color="000000"/>
              <w:bottom w:val="single" w:sz="4" w:space="0" w:color="000000"/>
              <w:right w:val="single" w:sz="4" w:space="0" w:color="000000"/>
            </w:tcBorders>
          </w:tcPr>
          <w:p w14:paraId="55F480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Délivré, actif</w:t>
            </w:r>
          </w:p>
          <w:p w14:paraId="1FF2BC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3E4448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4 juin 2024</w:t>
            </w:r>
          </w:p>
        </w:tc>
        <w:tc>
          <w:tcPr>
            <w:tcW w:w="2285" w:type="dxa"/>
            <w:tcBorders>
              <w:top w:val="single" w:sz="4" w:space="0" w:color="000000"/>
              <w:left w:val="single" w:sz="4" w:space="0" w:color="000000"/>
              <w:bottom w:val="single" w:sz="4" w:space="0" w:color="000000"/>
              <w:right w:val="single" w:sz="4" w:space="0" w:color="000000"/>
            </w:tcBorders>
          </w:tcPr>
          <w:p w14:paraId="5CA2C9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Centré sur la construction du modèle numérique, non sur la surveillance et la décision.</w:t>
            </w:r>
          </w:p>
        </w:tc>
      </w:tr>
      <w:tr w:rsidR="00F50D70" w:rsidRPr="00BE4F47" w14:paraId="3656787B" w14:textId="77777777">
        <w:trPr>
          <w:cantSplit/>
          <w:trHeight w:val="1020"/>
        </w:trPr>
        <w:tc>
          <w:tcPr>
            <w:tcW w:w="1298" w:type="dxa"/>
            <w:tcBorders>
              <w:top w:val="single" w:sz="4" w:space="0" w:color="000000"/>
              <w:left w:val="single" w:sz="4" w:space="0" w:color="000000"/>
              <w:bottom w:val="single" w:sz="4" w:space="0" w:color="000000"/>
              <w:right w:val="single" w:sz="4" w:space="0" w:color="000000"/>
            </w:tcBorders>
          </w:tcPr>
          <w:p w14:paraId="4EFE5C6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CN118228587A</w:t>
            </w:r>
          </w:p>
        </w:tc>
        <w:tc>
          <w:tcPr>
            <w:tcW w:w="1993" w:type="dxa"/>
            <w:tcBorders>
              <w:top w:val="single" w:sz="4" w:space="0" w:color="000000"/>
              <w:left w:val="single" w:sz="4" w:space="0" w:color="000000"/>
              <w:bottom w:val="single" w:sz="4" w:space="0" w:color="000000"/>
              <w:right w:val="single" w:sz="4" w:space="0" w:color="000000"/>
            </w:tcBorders>
          </w:tcPr>
          <w:p w14:paraId="0F2B46F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Analyse d’incertitude d’un jumeau numérique de cœur par méthode MCMC [15]</w:t>
            </w:r>
          </w:p>
        </w:tc>
        <w:tc>
          <w:tcPr>
            <w:tcW w:w="1554" w:type="dxa"/>
            <w:tcBorders>
              <w:top w:val="single" w:sz="4" w:space="0" w:color="000000"/>
              <w:left w:val="single" w:sz="4" w:space="0" w:color="000000"/>
              <w:bottom w:val="single" w:sz="4" w:space="0" w:color="000000"/>
              <w:right w:val="single" w:sz="4" w:space="0" w:color="000000"/>
            </w:tcBorders>
          </w:tcPr>
          <w:p w14:paraId="0A4E35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Jiao Tong de Shanghai</w:t>
            </w:r>
          </w:p>
        </w:tc>
        <w:tc>
          <w:tcPr>
            <w:tcW w:w="1427" w:type="dxa"/>
            <w:tcBorders>
              <w:top w:val="single" w:sz="4" w:space="0" w:color="000000"/>
              <w:left w:val="single" w:sz="4" w:space="0" w:color="000000"/>
              <w:bottom w:val="single" w:sz="4" w:space="0" w:color="000000"/>
              <w:right w:val="single" w:sz="4" w:space="0" w:color="000000"/>
            </w:tcBorders>
          </w:tcPr>
          <w:p w14:paraId="7554B8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Demande publiée, rejetée après publication</w:t>
            </w:r>
          </w:p>
          <w:p w14:paraId="4E3C2B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755A78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26 mars 2024</w:t>
            </w:r>
          </w:p>
        </w:tc>
        <w:tc>
          <w:tcPr>
            <w:tcW w:w="2285" w:type="dxa"/>
            <w:tcBorders>
              <w:top w:val="single" w:sz="4" w:space="0" w:color="000000"/>
              <w:left w:val="single" w:sz="4" w:space="0" w:color="000000"/>
              <w:bottom w:val="single" w:sz="4" w:space="0" w:color="000000"/>
              <w:right w:val="single" w:sz="4" w:space="0" w:color="000000"/>
            </w:tcBorders>
          </w:tcPr>
          <w:p w14:paraId="2ACA84D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Centré sur une méthode statistique d’analyse de l’incertitude du cœur.</w:t>
            </w:r>
          </w:p>
        </w:tc>
      </w:tr>
      <w:tr w:rsidR="00F50D70" w:rsidRPr="00BE4F47" w14:paraId="39CCEF52" w14:textId="77777777">
        <w:trPr>
          <w:cantSplit/>
          <w:trHeight w:val="849"/>
        </w:trPr>
        <w:tc>
          <w:tcPr>
            <w:tcW w:w="1298" w:type="dxa"/>
            <w:tcBorders>
              <w:top w:val="single" w:sz="4" w:space="0" w:color="000000"/>
              <w:left w:val="single" w:sz="4" w:space="0" w:color="000000"/>
              <w:bottom w:val="single" w:sz="4" w:space="0" w:color="000000"/>
              <w:right w:val="single" w:sz="4" w:space="0" w:color="000000"/>
            </w:tcBorders>
          </w:tcPr>
          <w:p w14:paraId="2E58DAC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CN118779601A</w:t>
            </w:r>
          </w:p>
        </w:tc>
        <w:tc>
          <w:tcPr>
            <w:tcW w:w="1993" w:type="dxa"/>
            <w:tcBorders>
              <w:top w:val="single" w:sz="4" w:space="0" w:color="000000"/>
              <w:left w:val="single" w:sz="4" w:space="0" w:color="000000"/>
              <w:bottom w:val="single" w:sz="4" w:space="0" w:color="000000"/>
              <w:right w:val="single" w:sz="4" w:space="0" w:color="000000"/>
            </w:tcBorders>
          </w:tcPr>
          <w:p w14:paraId="21CCF050" w14:textId="1BD3F80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Prédiction en ligne à long terme et analyse d’incertitude multiparamètre [16]</w:t>
            </w:r>
          </w:p>
        </w:tc>
        <w:tc>
          <w:tcPr>
            <w:tcW w:w="1554" w:type="dxa"/>
            <w:tcBorders>
              <w:top w:val="single" w:sz="4" w:space="0" w:color="000000"/>
              <w:left w:val="single" w:sz="4" w:space="0" w:color="000000"/>
              <w:bottom w:val="single" w:sz="4" w:space="0" w:color="000000"/>
              <w:right w:val="single" w:sz="4" w:space="0" w:color="000000"/>
            </w:tcBorders>
          </w:tcPr>
          <w:p w14:paraId="4E2BEA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Jiao Tong de Shanghai</w:t>
            </w:r>
          </w:p>
        </w:tc>
        <w:tc>
          <w:tcPr>
            <w:tcW w:w="1427" w:type="dxa"/>
            <w:tcBorders>
              <w:top w:val="single" w:sz="4" w:space="0" w:color="000000"/>
              <w:left w:val="single" w:sz="4" w:space="0" w:color="000000"/>
              <w:bottom w:val="single" w:sz="4" w:space="0" w:color="000000"/>
              <w:right w:val="single" w:sz="4" w:space="0" w:color="000000"/>
            </w:tcBorders>
          </w:tcPr>
          <w:p w14:paraId="05D02E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Demande publiée, en instance</w:t>
            </w:r>
          </w:p>
          <w:p w14:paraId="1E98BE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64D8194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14 juin 2024</w:t>
            </w:r>
          </w:p>
        </w:tc>
        <w:tc>
          <w:tcPr>
            <w:tcW w:w="2285" w:type="dxa"/>
            <w:tcBorders>
              <w:top w:val="single" w:sz="4" w:space="0" w:color="000000"/>
              <w:left w:val="single" w:sz="4" w:space="0" w:color="000000"/>
              <w:bottom w:val="single" w:sz="4" w:space="0" w:color="000000"/>
              <w:right w:val="single" w:sz="4" w:space="0" w:color="000000"/>
            </w:tcBorders>
          </w:tcPr>
          <w:p w14:paraId="514E09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Axé sur la prédiction à long terme, non sur la détection en temps réel.</w:t>
            </w:r>
          </w:p>
        </w:tc>
      </w:tr>
      <w:tr w:rsidR="00F50D70" w:rsidRPr="00BE4F47" w14:paraId="67EEA34C" w14:textId="77777777">
        <w:trPr>
          <w:cantSplit/>
          <w:trHeight w:val="918"/>
        </w:trPr>
        <w:tc>
          <w:tcPr>
            <w:tcW w:w="1298" w:type="dxa"/>
            <w:tcBorders>
              <w:top w:val="single" w:sz="4" w:space="0" w:color="000000"/>
              <w:left w:val="single" w:sz="4" w:space="0" w:color="000000"/>
              <w:bottom w:val="single" w:sz="4" w:space="0" w:color="000000"/>
              <w:right w:val="single" w:sz="4" w:space="0" w:color="000000"/>
            </w:tcBorders>
          </w:tcPr>
          <w:p w14:paraId="0605EA4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CN118068765A</w:t>
            </w:r>
          </w:p>
        </w:tc>
        <w:tc>
          <w:tcPr>
            <w:tcW w:w="1993" w:type="dxa"/>
            <w:tcBorders>
              <w:top w:val="single" w:sz="4" w:space="0" w:color="000000"/>
              <w:left w:val="single" w:sz="4" w:space="0" w:color="000000"/>
              <w:bottom w:val="single" w:sz="4" w:space="0" w:color="000000"/>
              <w:right w:val="single" w:sz="4" w:space="0" w:color="000000"/>
            </w:tcBorders>
          </w:tcPr>
          <w:p w14:paraId="2BF905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Construction d’un modèle de détection d’anomalies pour systèmes de contrôle industriels à partir d’un jumeau numérique [17]</w:t>
            </w:r>
          </w:p>
        </w:tc>
        <w:tc>
          <w:tcPr>
            <w:tcW w:w="1554" w:type="dxa"/>
            <w:tcBorders>
              <w:top w:val="single" w:sz="4" w:space="0" w:color="000000"/>
              <w:left w:val="single" w:sz="4" w:space="0" w:color="000000"/>
              <w:bottom w:val="single" w:sz="4" w:space="0" w:color="000000"/>
              <w:right w:val="single" w:sz="4" w:space="0" w:color="000000"/>
            </w:tcBorders>
          </w:tcPr>
          <w:p w14:paraId="0B54CE5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des sciences et technologies de Huazhong</w:t>
            </w:r>
          </w:p>
        </w:tc>
        <w:tc>
          <w:tcPr>
            <w:tcW w:w="1427" w:type="dxa"/>
            <w:tcBorders>
              <w:top w:val="single" w:sz="4" w:space="0" w:color="000000"/>
              <w:left w:val="single" w:sz="4" w:space="0" w:color="000000"/>
              <w:bottom w:val="single" w:sz="4" w:space="0" w:color="000000"/>
              <w:right w:val="single" w:sz="4" w:space="0" w:color="000000"/>
            </w:tcBorders>
          </w:tcPr>
          <w:p w14:paraId="4F7C23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Demande publiée, en instance</w:t>
            </w:r>
          </w:p>
          <w:p w14:paraId="68629F4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2A8464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8 mars 2024</w:t>
            </w:r>
          </w:p>
        </w:tc>
        <w:tc>
          <w:tcPr>
            <w:tcW w:w="2285" w:type="dxa"/>
            <w:tcBorders>
              <w:top w:val="single" w:sz="4" w:space="0" w:color="000000"/>
              <w:left w:val="single" w:sz="4" w:space="0" w:color="000000"/>
              <w:bottom w:val="single" w:sz="4" w:space="0" w:color="000000"/>
              <w:right w:val="single" w:sz="4" w:space="0" w:color="000000"/>
            </w:tcBorders>
          </w:tcPr>
          <w:p w14:paraId="3410147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Industries de procédés en général, non spécifique au nucléaire.</w:t>
            </w:r>
          </w:p>
        </w:tc>
      </w:tr>
      <w:tr w:rsidR="00F50D70" w:rsidRPr="00BE4F47" w14:paraId="1489173E" w14:textId="77777777">
        <w:trPr>
          <w:cantSplit/>
          <w:trHeight w:val="748"/>
        </w:trPr>
        <w:tc>
          <w:tcPr>
            <w:tcW w:w="1298" w:type="dxa"/>
            <w:tcBorders>
              <w:top w:val="single" w:sz="4" w:space="0" w:color="000000"/>
              <w:left w:val="single" w:sz="4" w:space="0" w:color="000000"/>
              <w:bottom w:val="single" w:sz="4" w:space="0" w:color="000000"/>
              <w:right w:val="single" w:sz="4" w:space="0" w:color="000000"/>
            </w:tcBorders>
          </w:tcPr>
          <w:p w14:paraId="48FB9B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US12093818B2</w:t>
            </w:r>
          </w:p>
        </w:tc>
        <w:tc>
          <w:tcPr>
            <w:tcW w:w="1993" w:type="dxa"/>
            <w:tcBorders>
              <w:top w:val="single" w:sz="4" w:space="0" w:color="000000"/>
              <w:left w:val="single" w:sz="4" w:space="0" w:color="000000"/>
              <w:bottom w:val="single" w:sz="4" w:space="0" w:color="000000"/>
              <w:right w:val="single" w:sz="4" w:space="0" w:color="000000"/>
            </w:tcBorders>
          </w:tcPr>
          <w:p w14:paraId="77778E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Détection semi-supervisée d’anomalies à partir de données de simulation issues d’un jumeau numérique [18]</w:t>
            </w:r>
          </w:p>
        </w:tc>
        <w:tc>
          <w:tcPr>
            <w:tcW w:w="1554" w:type="dxa"/>
            <w:tcBorders>
              <w:top w:val="single" w:sz="4" w:space="0" w:color="000000"/>
              <w:left w:val="single" w:sz="4" w:space="0" w:color="000000"/>
              <w:bottom w:val="single" w:sz="4" w:space="0" w:color="000000"/>
              <w:right w:val="single" w:sz="4" w:space="0" w:color="000000"/>
            </w:tcBorders>
          </w:tcPr>
          <w:p w14:paraId="40AFE7D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Honda Motor Co.</w:t>
            </w:r>
          </w:p>
        </w:tc>
        <w:tc>
          <w:tcPr>
            <w:tcW w:w="1427" w:type="dxa"/>
            <w:tcBorders>
              <w:top w:val="single" w:sz="4" w:space="0" w:color="000000"/>
              <w:left w:val="single" w:sz="4" w:space="0" w:color="000000"/>
              <w:bottom w:val="single" w:sz="4" w:space="0" w:color="000000"/>
              <w:right w:val="single" w:sz="4" w:space="0" w:color="000000"/>
            </w:tcBorders>
          </w:tcPr>
          <w:p w14:paraId="375EB2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Délivré, actif</w:t>
            </w:r>
          </w:p>
          <w:p w14:paraId="46E9E89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États-Unis</w:t>
            </w:r>
          </w:p>
          <w:p w14:paraId="168DD0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13 octobre 2020</w:t>
            </w:r>
          </w:p>
        </w:tc>
        <w:tc>
          <w:tcPr>
            <w:tcW w:w="2285" w:type="dxa"/>
            <w:tcBorders>
              <w:top w:val="single" w:sz="4" w:space="0" w:color="000000"/>
              <w:left w:val="single" w:sz="4" w:space="0" w:color="000000"/>
              <w:bottom w:val="single" w:sz="4" w:space="0" w:color="000000"/>
              <w:right w:val="single" w:sz="4" w:space="0" w:color="000000"/>
            </w:tcBorders>
          </w:tcPr>
          <w:p w14:paraId="597C67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Application industrielle générale, fondée sur l’apprentissage semi-supervisé.</w:t>
            </w:r>
          </w:p>
        </w:tc>
      </w:tr>
    </w:tbl>
    <w:p w14:paraId="30E3452B"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436" w:name="_Toc241082953"/>
      <w:bookmarkStart w:id="437" w:name="_Toc241670131"/>
      <w:bookmarkStart w:id="438" w:name="_Toc241707839"/>
      <w:r w:rsidRPr="00BE4F47">
        <w:rPr>
          <w:rFonts w:ascii="Aptos" w:hAnsi="Aptos"/>
          <w:color w:val="1A1A19"/>
          <w:sz w:val="20"/>
          <w:szCs w:val="20"/>
        </w:rPr>
        <w:t>Trois constats se dégagent :</w:t>
      </w:r>
      <w:bookmarkEnd w:id="436"/>
      <w:bookmarkEnd w:id="437"/>
      <w:bookmarkEnd w:id="438"/>
    </w:p>
    <w:p w14:paraId="19E1575E" w14:textId="77777777" w:rsidR="00F50D70" w:rsidRPr="00BE4F47" w:rsidRDefault="00137D7F" w:rsidP="008E113B">
      <w:pPr>
        <w:spacing w:after="130" w:line="360" w:lineRule="auto"/>
        <w:ind w:left="360"/>
        <w:rPr>
          <w:rFonts w:ascii="Aptos" w:hAnsi="Aptos"/>
        </w:rPr>
      </w:pPr>
      <w:bookmarkStart w:id="439" w:name="_Toc241082954"/>
      <w:bookmarkStart w:id="440" w:name="_Toc241670132"/>
      <w:bookmarkStart w:id="441" w:name="_Toc241707840"/>
      <w:r w:rsidRPr="00BE4F47">
        <w:rPr>
          <w:rFonts w:ascii="Aptos" w:hAnsi="Aptos"/>
          <w:b/>
          <w:color w:val="1A1A19"/>
          <w:sz w:val="20"/>
          <w:szCs w:val="20"/>
        </w:rPr>
        <w:t xml:space="preserve">Les composantes existent séparément. </w:t>
      </w:r>
      <w:r w:rsidRPr="00BE4F47">
        <w:rPr>
          <w:rFonts w:ascii="Aptos" w:hAnsi="Aptos"/>
          <w:color w:val="1A1A19"/>
          <w:sz w:val="20"/>
          <w:szCs w:val="20"/>
        </w:rPr>
        <w:t>Modélisation, quantification de l’incertitude, prédiction et détection d’anomalies font chacune l’objet de brevets. Aucun de ces documents ne décrit toutefois un système combinant la surveillance, la détection, l’évaluation de la confiance et la gestion explicite des données compromises dans un même prototype.</w:t>
      </w:r>
      <w:bookmarkEnd w:id="439"/>
      <w:bookmarkEnd w:id="440"/>
      <w:bookmarkEnd w:id="441"/>
    </w:p>
    <w:p w14:paraId="74E17555" w14:textId="77777777" w:rsidR="00F50D70" w:rsidRPr="00BE4F47" w:rsidRDefault="00137D7F" w:rsidP="008E113B">
      <w:pPr>
        <w:spacing w:after="130" w:line="360" w:lineRule="auto"/>
        <w:ind w:left="360"/>
        <w:rPr>
          <w:rFonts w:ascii="Aptos" w:hAnsi="Aptos"/>
        </w:rPr>
      </w:pPr>
      <w:bookmarkStart w:id="442" w:name="_Toc241082955"/>
      <w:bookmarkStart w:id="443" w:name="_Toc241670133"/>
      <w:bookmarkStart w:id="444" w:name="_Toc241707841"/>
      <w:r w:rsidRPr="00BE4F47">
        <w:rPr>
          <w:rFonts w:ascii="Aptos" w:hAnsi="Aptos"/>
          <w:b/>
          <w:color w:val="1A1A19"/>
          <w:sz w:val="20"/>
          <w:szCs w:val="20"/>
        </w:rPr>
        <w:t xml:space="preserve">Aucun de ces brevets n’a été trouvé sous une forme opposable au Canada. </w:t>
      </w:r>
      <w:r w:rsidRPr="00BE4F47">
        <w:rPr>
          <w:rFonts w:ascii="Aptos" w:hAnsi="Aptos"/>
          <w:color w:val="1A1A19"/>
          <w:sz w:val="20"/>
          <w:szCs w:val="20"/>
        </w:rPr>
        <w:t>Quatre sont chinois et le cinquième est américain, et un brevet ne confère de droits que dans la juridiction qui l’a délivré. La recherche n’a pas couvert les éventuels membres canadiens de ces familles : cette vérification resterait à faire si la question devenait pertinente.</w:t>
      </w:r>
      <w:bookmarkEnd w:id="442"/>
      <w:bookmarkEnd w:id="443"/>
      <w:bookmarkEnd w:id="444"/>
    </w:p>
    <w:p w14:paraId="085F22F6" w14:textId="77777777" w:rsidR="00F50D70" w:rsidRPr="00BE4F47" w:rsidRDefault="00137D7F" w:rsidP="008E113B">
      <w:pPr>
        <w:spacing w:after="130" w:line="360" w:lineRule="auto"/>
        <w:ind w:left="360"/>
        <w:rPr>
          <w:rFonts w:ascii="Aptos" w:hAnsi="Aptos"/>
        </w:rPr>
      </w:pPr>
      <w:bookmarkStart w:id="445" w:name="_Toc241082956"/>
      <w:bookmarkStart w:id="446" w:name="_Toc241670134"/>
      <w:bookmarkStart w:id="447" w:name="_Toc241707842"/>
      <w:r w:rsidRPr="00BE4F47">
        <w:rPr>
          <w:rFonts w:ascii="Aptos" w:hAnsi="Aptos"/>
          <w:color w:val="1A1A19"/>
          <w:sz w:val="20"/>
          <w:szCs w:val="20"/>
        </w:rPr>
        <w:t>Le projet n’est pas une exploitation commerciale. Le prototype est un livrable universitaire entièrement simulé, non destiné à la vente ni au raccordement à une installation réelle, conformément à l’exigence EX-C-02. La question d’une redevance ne se poserait qu’en cas d’exploitation commerciale, et supposerait alors l’analyse décrite au début de 5.3.</w:t>
      </w:r>
      <w:bookmarkEnd w:id="445"/>
      <w:bookmarkEnd w:id="446"/>
      <w:bookmarkEnd w:id="447"/>
    </w:p>
    <w:p w14:paraId="29D8156E" w14:textId="77777777" w:rsidR="00F50D70" w:rsidRDefault="00137D7F" w:rsidP="008E113B">
      <w:pPr>
        <w:spacing w:after="130" w:line="360" w:lineRule="auto"/>
        <w:ind w:left="360"/>
        <w:rPr>
          <w:rFonts w:ascii="Aptos" w:eastAsia="Calibri" w:hAnsi="Aptos" w:cs="Calibri"/>
          <w:color w:val="1A1A19"/>
          <w:sz w:val="20"/>
          <w:szCs w:val="20"/>
        </w:rPr>
      </w:pPr>
      <w:bookmarkStart w:id="448" w:name="_Toc241082971"/>
      <w:bookmarkStart w:id="449" w:name="_Toc241670135"/>
      <w:bookmarkStart w:id="450" w:name="_Toc241707843"/>
      <w:r w:rsidRPr="00BE4F47">
        <w:rPr>
          <w:rFonts w:ascii="Aptos" w:hAnsi="Aptos"/>
          <w:b/>
          <w:color w:val="1A1A19"/>
          <w:sz w:val="20"/>
          <w:szCs w:val="20"/>
        </w:rPr>
        <w:t xml:space="preserve">Les licences et les redevances. </w:t>
      </w:r>
      <w:r w:rsidRPr="00BE4F47">
        <w:rPr>
          <w:rFonts w:ascii="Aptos" w:hAnsi="Aptos"/>
          <w:color w:val="1A1A19"/>
          <w:sz w:val="20"/>
          <w:szCs w:val="20"/>
        </w:rPr>
        <w:t>La question des droits se pose sur les outils employés et sur les techniques mises en œuvre.</w:t>
      </w:r>
      <w:bookmarkEnd w:id="448"/>
      <w:bookmarkEnd w:id="449"/>
      <w:bookmarkEnd w:id="450"/>
    </w:p>
    <w:p w14:paraId="5881B759" w14:textId="77777777" w:rsidR="00F50D70" w:rsidRPr="00BE4F47" w:rsidRDefault="00137D7F" w:rsidP="008E113B">
      <w:pPr>
        <w:pStyle w:val="Lgende"/>
        <w:keepNext/>
        <w:spacing w:line="360" w:lineRule="auto"/>
        <w:rPr>
          <w:rFonts w:ascii="Aptos" w:hAnsi="Aptos"/>
        </w:rPr>
      </w:pPr>
      <w:bookmarkStart w:id="451" w:name="_Toc241082972"/>
      <w:bookmarkStart w:id="452" w:name="_Toc241670136"/>
      <w:bookmarkStart w:id="453" w:name="_Toc241707844"/>
      <w:r w:rsidRPr="00BE4F47">
        <w:rPr>
          <w:rFonts w:ascii="Aptos" w:hAnsi="Aptos"/>
        </w:rPr>
        <w:lastRenderedPageBreak/>
        <w:t>Tableau 5-4. Régime de droits des outils et des techniques employés</w:t>
      </w:r>
      <w:bookmarkEnd w:id="451"/>
      <w:bookmarkEnd w:id="452"/>
      <w:bookmarkEnd w:id="45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900"/>
        <w:gridCol w:w="3400"/>
        <w:gridCol w:w="3257"/>
      </w:tblGrid>
      <w:tr w:rsidR="00F50D70" w:rsidRPr="00BE4F47" w14:paraId="373997F1" w14:textId="77777777" w:rsidTr="0036725C">
        <w:trPr>
          <w:trHeight w:val="227"/>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363B2B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Objet</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2CCDB9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Régime de droits</w:t>
            </w:r>
          </w:p>
        </w:tc>
        <w:tc>
          <w:tcPr>
            <w:tcW w:w="32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811356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Conséquence pour le mandat</w:t>
            </w:r>
          </w:p>
        </w:tc>
      </w:tr>
      <w:tr w:rsidR="00F50D70" w:rsidRPr="00BE4F47" w14:paraId="221F0540"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3786B9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OpenModelica et ThermoPower</w:t>
            </w:r>
          </w:p>
        </w:tc>
        <w:tc>
          <w:tcPr>
            <w:tcW w:w="3400" w:type="dxa"/>
            <w:tcBorders>
              <w:top w:val="single" w:sz="4" w:space="0" w:color="000000"/>
              <w:left w:val="single" w:sz="4" w:space="0" w:color="000000"/>
              <w:bottom w:val="single" w:sz="4" w:space="0" w:color="000000"/>
              <w:right w:val="single" w:sz="4" w:space="0" w:color="000000"/>
            </w:tcBorders>
          </w:tcPr>
          <w:p w14:paraId="469622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Diffusion libre. La licence exacte de chaque composant doit être vérifiée et consignée avant la première livraison.</w:t>
            </w:r>
          </w:p>
        </w:tc>
        <w:tc>
          <w:tcPr>
            <w:tcW w:w="3257" w:type="dxa"/>
            <w:tcBorders>
              <w:top w:val="single" w:sz="4" w:space="0" w:color="000000"/>
              <w:left w:val="single" w:sz="4" w:space="0" w:color="000000"/>
              <w:bottom w:val="single" w:sz="4" w:space="0" w:color="000000"/>
              <w:right w:val="single" w:sz="4" w:space="0" w:color="000000"/>
            </w:tcBorders>
          </w:tcPr>
          <w:p w14:paraId="08AE4F2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redevance prévue. Vérification inscrite au lot L9 avant le jalon J2.</w:t>
            </w:r>
          </w:p>
        </w:tc>
      </w:tr>
      <w:tr w:rsidR="00F50D70" w:rsidRPr="00BE4F47" w14:paraId="57E669C1"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B1934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Bibliothèques de calcul et d’apprentissage automatique</w:t>
            </w:r>
          </w:p>
        </w:tc>
        <w:tc>
          <w:tcPr>
            <w:tcW w:w="3400" w:type="dxa"/>
            <w:tcBorders>
              <w:top w:val="single" w:sz="4" w:space="0" w:color="000000"/>
              <w:left w:val="single" w:sz="4" w:space="0" w:color="000000"/>
              <w:bottom w:val="single" w:sz="4" w:space="0" w:color="000000"/>
              <w:right w:val="single" w:sz="4" w:space="0" w:color="000000"/>
            </w:tcBorders>
          </w:tcPr>
          <w:p w14:paraId="3106B52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Licences libres permissives.</w:t>
            </w:r>
          </w:p>
        </w:tc>
        <w:tc>
          <w:tcPr>
            <w:tcW w:w="3257" w:type="dxa"/>
            <w:tcBorders>
              <w:top w:val="single" w:sz="4" w:space="0" w:color="000000"/>
              <w:left w:val="single" w:sz="4" w:space="0" w:color="000000"/>
              <w:bottom w:val="single" w:sz="4" w:space="0" w:color="000000"/>
              <w:right w:val="single" w:sz="4" w:space="0" w:color="000000"/>
            </w:tcBorders>
          </w:tcPr>
          <w:p w14:paraId="696161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redevance. Les licences sont consignées dans le dépôt, conformément à la section 4.</w:t>
            </w:r>
          </w:p>
        </w:tc>
      </w:tr>
      <w:tr w:rsidR="00F50D70" w:rsidRPr="00BE4F47" w14:paraId="1CF1C90F"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3D73ED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Normes consultées</w:t>
            </w:r>
          </w:p>
        </w:tc>
        <w:tc>
          <w:tcPr>
            <w:tcW w:w="3400" w:type="dxa"/>
            <w:tcBorders>
              <w:top w:val="single" w:sz="4" w:space="0" w:color="000000"/>
              <w:left w:val="single" w:sz="4" w:space="0" w:color="000000"/>
              <w:bottom w:val="single" w:sz="4" w:space="0" w:color="000000"/>
              <w:right w:val="single" w:sz="4" w:space="0" w:color="000000"/>
            </w:tcBorders>
          </w:tcPr>
          <w:p w14:paraId="2368400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Accès par l’abonnement institutionnel de l’UQAC. Le texte des normes ne peut pas être reproduit dans les livrables.</w:t>
            </w:r>
          </w:p>
        </w:tc>
        <w:tc>
          <w:tcPr>
            <w:tcW w:w="3257" w:type="dxa"/>
            <w:tcBorders>
              <w:top w:val="single" w:sz="4" w:space="0" w:color="000000"/>
              <w:left w:val="single" w:sz="4" w:space="0" w:color="000000"/>
              <w:bottom w:val="single" w:sz="4" w:space="0" w:color="000000"/>
              <w:right w:val="single" w:sz="4" w:space="0" w:color="000000"/>
            </w:tcBorders>
          </w:tcPr>
          <w:p w14:paraId="716DD0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 coût imputé au mandat. Les normes sont citées, jamais recopiées.</w:t>
            </w:r>
          </w:p>
        </w:tc>
      </w:tr>
      <w:tr w:rsidR="00F50D70" w:rsidRPr="00BE4F47" w14:paraId="68457116"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02BB0F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Brevets recensés au tableau des brevets</w:t>
            </w:r>
          </w:p>
        </w:tc>
        <w:tc>
          <w:tcPr>
            <w:tcW w:w="3400" w:type="dxa"/>
            <w:tcBorders>
              <w:top w:val="single" w:sz="4" w:space="0" w:color="000000"/>
              <w:left w:val="single" w:sz="4" w:space="0" w:color="000000"/>
              <w:bottom w:val="single" w:sz="4" w:space="0" w:color="000000"/>
              <w:right w:val="single" w:sz="4" w:space="0" w:color="000000"/>
            </w:tcBorders>
          </w:tcPr>
          <w:p w14:paraId="5D4128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Quatre demandes chinoises et un brevet états-unien, sans protection en vigueur au Canada à la date de la revue.</w:t>
            </w:r>
          </w:p>
        </w:tc>
        <w:tc>
          <w:tcPr>
            <w:tcW w:w="3257" w:type="dxa"/>
            <w:tcBorders>
              <w:top w:val="single" w:sz="4" w:space="0" w:color="000000"/>
              <w:left w:val="single" w:sz="4" w:space="0" w:color="000000"/>
              <w:bottom w:val="single" w:sz="4" w:space="0" w:color="000000"/>
              <w:right w:val="single" w:sz="4" w:space="0" w:color="000000"/>
            </w:tcBorders>
          </w:tcPr>
          <w:p w14:paraId="27C2691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redevance exigible dans le contexte du mandat, qui est une démonstration universitaire sans exploitation commerciale.</w:t>
            </w:r>
          </w:p>
        </w:tc>
      </w:tr>
      <w:tr w:rsidR="00F50D70" w:rsidRPr="00BE4F47" w14:paraId="0926534B"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4B1056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Exploitation ultérieure du prototype</w:t>
            </w:r>
          </w:p>
        </w:tc>
        <w:tc>
          <w:tcPr>
            <w:tcW w:w="3400" w:type="dxa"/>
            <w:tcBorders>
              <w:top w:val="single" w:sz="4" w:space="0" w:color="000000"/>
              <w:left w:val="single" w:sz="4" w:space="0" w:color="000000"/>
              <w:bottom w:val="single" w:sz="4" w:space="0" w:color="000000"/>
              <w:right w:val="single" w:sz="4" w:space="0" w:color="000000"/>
            </w:tcBorders>
          </w:tcPr>
          <w:p w14:paraId="4CE188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Non couverte par le présent mandat.</w:t>
            </w:r>
          </w:p>
        </w:tc>
        <w:tc>
          <w:tcPr>
            <w:tcW w:w="3257" w:type="dxa"/>
            <w:tcBorders>
              <w:top w:val="single" w:sz="4" w:space="0" w:color="000000"/>
              <w:left w:val="single" w:sz="4" w:space="0" w:color="000000"/>
              <w:bottom w:val="single" w:sz="4" w:space="0" w:color="000000"/>
              <w:right w:val="single" w:sz="4" w:space="0" w:color="000000"/>
            </w:tcBorders>
          </w:tcPr>
          <w:p w14:paraId="034BAC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Une exploitation commerciale exigerait une recherche de liberté d’exploitation, qui n’est pas au périmètre. Cette réserve figure au rapport final.</w:t>
            </w:r>
          </w:p>
        </w:tc>
      </w:tr>
    </w:tbl>
    <w:p w14:paraId="1E562A16" w14:textId="77777777" w:rsidR="00F50D70" w:rsidRPr="00BE4F47" w:rsidRDefault="00137D7F" w:rsidP="008E113B">
      <w:pPr>
        <w:spacing w:before="200" w:after="130" w:line="360" w:lineRule="auto"/>
        <w:ind w:left="360"/>
        <w:rPr>
          <w:rFonts w:ascii="Aptos" w:hAnsi="Aptos"/>
        </w:rPr>
      </w:pPr>
      <w:bookmarkStart w:id="454" w:name="_Toc241082973"/>
      <w:bookmarkStart w:id="455" w:name="_Toc241670137"/>
      <w:bookmarkStart w:id="456" w:name="_Toc241707845"/>
      <w:r w:rsidRPr="00BE4F47">
        <w:rPr>
          <w:rFonts w:ascii="Aptos" w:hAnsi="Aptos"/>
          <w:color w:val="1A1A19"/>
          <w:sz w:val="20"/>
          <w:szCs w:val="20"/>
        </w:rPr>
        <w:t>La conclusion est qu’aucune redevance n’est à prévoir au budget du mandat. Cette conclusion vaut pour le périmètre académique défini à la section 1 et pour lui seul. Elle ne constitue pas un avis de liberté d’exploitation, lequel relèverait d’un conseil juridique spécialisé.</w:t>
      </w:r>
      <w:bookmarkEnd w:id="454"/>
      <w:bookmarkEnd w:id="455"/>
      <w:bookmarkEnd w:id="456"/>
    </w:p>
    <w:p w14:paraId="048DEFD1" w14:textId="77777777" w:rsidR="00F50D70" w:rsidRPr="00B03F2E" w:rsidRDefault="00137D7F" w:rsidP="008E113B">
      <w:pPr>
        <w:pStyle w:val="Titre2"/>
        <w:spacing w:line="360" w:lineRule="auto"/>
      </w:pPr>
      <w:bookmarkStart w:id="457" w:name="__RefHeading___Toc240715179"/>
      <w:bookmarkStart w:id="458" w:name="_Toc241707846"/>
      <w:bookmarkEnd w:id="457"/>
      <w:r w:rsidRPr="00B03F2E">
        <w:t>Positionnement du projet</w:t>
      </w:r>
      <w:bookmarkEnd w:id="458"/>
    </w:p>
    <w:p w14:paraId="3C6C15AF" w14:textId="62F04AA9" w:rsidR="00F50D70" w:rsidRPr="00BE4F47" w:rsidRDefault="00137D7F" w:rsidP="008E113B">
      <w:pPr>
        <w:spacing w:after="130" w:line="360" w:lineRule="auto"/>
        <w:ind w:left="360"/>
        <w:rPr>
          <w:rFonts w:ascii="Aptos" w:hAnsi="Aptos"/>
        </w:rPr>
      </w:pPr>
      <w:bookmarkStart w:id="459" w:name="_Toc241082958"/>
      <w:bookmarkStart w:id="460" w:name="_Toc241670139"/>
      <w:bookmarkStart w:id="461" w:name="_Toc241707847"/>
      <w:r w:rsidRPr="00BE4F47">
        <w:rPr>
          <w:rFonts w:ascii="Aptos" w:hAnsi="Aptos"/>
          <w:color w:val="1A1A19"/>
          <w:sz w:val="20"/>
          <w:szCs w:val="20"/>
        </w:rPr>
        <w:t>Trois des cinq brevets identifiés appartiennent à la même équipe, celle de l’Université Jiao Tong de Shanghai [14], [15], [16]. Ensemble, ils couvrent la construction du modèle hybride, la quantification de l’incertitude du cœur et la prédiction multiparamètre avec intervalle de confiance. C’est l’ensemble le plus proche du projet.</w:t>
      </w:r>
      <w:bookmarkEnd w:id="459"/>
      <w:bookmarkEnd w:id="460"/>
      <w:bookmarkEnd w:id="461"/>
    </w:p>
    <w:p w14:paraId="1988B34B" w14:textId="77777777" w:rsidR="00F50D70" w:rsidRPr="00BE4F47" w:rsidRDefault="00137D7F" w:rsidP="008E113B">
      <w:pPr>
        <w:spacing w:after="130" w:line="360" w:lineRule="auto"/>
        <w:ind w:left="360"/>
        <w:rPr>
          <w:rFonts w:ascii="Aptos" w:hAnsi="Aptos"/>
        </w:rPr>
      </w:pPr>
      <w:bookmarkStart w:id="462" w:name="_Toc241082959"/>
      <w:bookmarkStart w:id="463" w:name="_Toc241670140"/>
      <w:bookmarkStart w:id="464" w:name="_Toc241707848"/>
      <w:r w:rsidRPr="00BE4F47">
        <w:rPr>
          <w:rFonts w:ascii="Aptos" w:hAnsi="Aptos"/>
          <w:color w:val="1A1A19"/>
          <w:sz w:val="20"/>
          <w:szCs w:val="20"/>
        </w:rPr>
        <w:t>Deux écarts le séparent du prototype. Cet ensemble porte sur le cœur du réacteur et vise la prédiction du comportement à long terme, alors que le projet porte sur une boucle thermohydraulique simplifiée et vise la détection sur des données rejouées, hors ligne. Il ne traite pas non plus le cas des données compromises ou manquantes : l’incertitude y est une propriété du modèle, pas la conséquence possible d’un capteur défaillant ou d’un événement de cybersécurité. C’est sur ce second écart que le projet se place.</w:t>
      </w:r>
      <w:bookmarkEnd w:id="462"/>
      <w:bookmarkEnd w:id="463"/>
      <w:bookmarkEnd w:id="464"/>
    </w:p>
    <w:p w14:paraId="1CB0DEA2" w14:textId="77777777" w:rsidR="00F50D70" w:rsidRPr="00BE4F47" w:rsidRDefault="00137D7F" w:rsidP="008E113B">
      <w:pPr>
        <w:spacing w:after="130" w:line="360" w:lineRule="auto"/>
        <w:ind w:left="360"/>
        <w:rPr>
          <w:rFonts w:ascii="Aptos" w:hAnsi="Aptos"/>
        </w:rPr>
      </w:pPr>
      <w:bookmarkStart w:id="465" w:name="_Toc241082961"/>
      <w:bookmarkStart w:id="466" w:name="_Toc241670141"/>
      <w:bookmarkStart w:id="467" w:name="_Toc241707849"/>
      <w:r w:rsidRPr="00BE4F47">
        <w:rPr>
          <w:rFonts w:ascii="Aptos" w:hAnsi="Aptos"/>
          <w:color w:val="1A1A19"/>
          <w:sz w:val="20"/>
          <w:szCs w:val="20"/>
        </w:rPr>
        <w:t>Les composantes du projet sont déjà étudiées dans la littérature, mais séparément et pour des objectifs distincts : fidélité des modèles et maintenance prédictive [4], [5], comparaison entre données réelles et valeurs attendues [6], confiance associée aux résultats [7], jumeau numérique employé comme référence de détection [8], [9].</w:t>
      </w:r>
      <w:bookmarkEnd w:id="465"/>
      <w:bookmarkEnd w:id="466"/>
      <w:bookmarkEnd w:id="467"/>
    </w:p>
    <w:p w14:paraId="4859A0B4"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68" w:name="_Toc241082962"/>
      <w:bookmarkStart w:id="469" w:name="_Toc241670142"/>
      <w:bookmarkStart w:id="470" w:name="_Toc241707850"/>
      <w:r w:rsidRPr="00BE4F47">
        <w:rPr>
          <w:rFonts w:ascii="Aptos" w:hAnsi="Aptos"/>
          <w:color w:val="1A1A19"/>
          <w:sz w:val="20"/>
          <w:szCs w:val="20"/>
        </w:rPr>
        <w:t>Le projet se situe à l’intersection de ces approches. Cinq caractéristiques le distinguent.</w:t>
      </w:r>
      <w:bookmarkEnd w:id="468"/>
      <w:bookmarkEnd w:id="469"/>
      <w:bookmarkEnd w:id="470"/>
    </w:p>
    <w:p w14:paraId="399D8448" w14:textId="77777777" w:rsidR="00F50D70" w:rsidRPr="00BE4F47" w:rsidRDefault="00137D7F" w:rsidP="008E113B">
      <w:pPr>
        <w:pStyle w:val="Lgende"/>
        <w:keepNext/>
        <w:spacing w:line="360" w:lineRule="auto"/>
        <w:rPr>
          <w:rFonts w:ascii="Aptos" w:hAnsi="Aptos"/>
        </w:rPr>
      </w:pPr>
      <w:bookmarkStart w:id="471" w:name="_Toc241082963"/>
      <w:bookmarkStart w:id="472" w:name="_Toc241670143"/>
      <w:bookmarkStart w:id="473" w:name="_Toc241707851"/>
      <w:r w:rsidRPr="00BE4F47">
        <w:rPr>
          <w:rFonts w:ascii="Aptos" w:hAnsi="Aptos"/>
        </w:rPr>
        <w:lastRenderedPageBreak/>
        <w:t>Tableau 5-5. Cinq distinctions entre le projet et la solution la plus proche</w:t>
      </w:r>
      <w:bookmarkEnd w:id="471"/>
      <w:bookmarkEnd w:id="472"/>
      <w:bookmarkEnd w:id="47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511"/>
        <w:gridCol w:w="2652"/>
        <w:gridCol w:w="5394"/>
      </w:tblGrid>
      <w:tr w:rsidR="00F50D70" w:rsidRPr="00BE4F47" w14:paraId="31E3B14C" w14:textId="77777777" w:rsidTr="0036725C">
        <w:trPr>
          <w:trHeight w:val="293"/>
          <w:tblHeader/>
        </w:trPr>
        <w:tc>
          <w:tcPr>
            <w:tcW w:w="511"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AE88E41"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rPr>
            </w:pPr>
            <w:r>
              <w:rPr>
                <w:rFonts w:ascii="Aptos" w:hAnsi="Aptos"/>
                <w:sz w:val="15"/>
                <w:szCs w:val="15"/>
              </w:rPr>
              <w:t>Nº</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6A6341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Caractéristique</w:t>
            </w:r>
          </w:p>
        </w:tc>
        <w:tc>
          <w:tcPr>
            <w:tcW w:w="539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12A614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Contenu et rattachement</w:t>
            </w:r>
          </w:p>
        </w:tc>
      </w:tr>
      <w:tr w:rsidR="00F50D70" w:rsidRPr="00BE4F47" w14:paraId="25175DB1" w14:textId="77777777">
        <w:trPr>
          <w:cantSplit/>
          <w:trHeight w:val="803"/>
        </w:trPr>
        <w:tc>
          <w:tcPr>
            <w:tcW w:w="511" w:type="dxa"/>
            <w:tcBorders>
              <w:top w:val="single" w:sz="4" w:space="0" w:color="000000"/>
              <w:left w:val="single" w:sz="4" w:space="0" w:color="000000"/>
              <w:bottom w:val="single" w:sz="4" w:space="0" w:color="000000"/>
              <w:right w:val="single" w:sz="4" w:space="0" w:color="000000"/>
            </w:tcBorders>
          </w:tcPr>
          <w:p w14:paraId="071580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w:t>
            </w:r>
          </w:p>
        </w:tc>
        <w:tc>
          <w:tcPr>
            <w:tcW w:w="2652" w:type="dxa"/>
            <w:tcBorders>
              <w:top w:val="single" w:sz="4" w:space="0" w:color="000000"/>
              <w:left w:val="single" w:sz="4" w:space="0" w:color="000000"/>
              <w:bottom w:val="single" w:sz="4" w:space="0" w:color="000000"/>
              <w:right w:val="single" w:sz="4" w:space="0" w:color="000000"/>
            </w:tcBorders>
          </w:tcPr>
          <w:p w14:paraId="5EFA60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Portée du modèle</w:t>
            </w:r>
          </w:p>
        </w:tc>
        <w:tc>
          <w:tcPr>
            <w:tcW w:w="5394" w:type="dxa"/>
            <w:tcBorders>
              <w:top w:val="single" w:sz="4" w:space="0" w:color="000000"/>
              <w:left w:val="single" w:sz="4" w:space="0" w:color="000000"/>
              <w:bottom w:val="single" w:sz="4" w:space="0" w:color="000000"/>
              <w:right w:val="single" w:sz="4" w:space="0" w:color="000000"/>
            </w:tcBorders>
          </w:tcPr>
          <w:p w14:paraId="4646CC4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Boucle thermohydraulique simplifiée, modélisation 0D/1D à paramètres concentrés, plutôt qu’une représentation détaillée d’un réacteur. Complexité compatible avec un prototype universitaire tout en couvrant les trois variables de fonctionnement (EX-F-01).</w:t>
            </w:r>
          </w:p>
        </w:tc>
      </w:tr>
      <w:tr w:rsidR="00F50D70" w:rsidRPr="00BE4F47" w14:paraId="6607E2C2" w14:textId="77777777">
        <w:trPr>
          <w:cantSplit/>
          <w:trHeight w:val="803"/>
        </w:trPr>
        <w:tc>
          <w:tcPr>
            <w:tcW w:w="511" w:type="dxa"/>
            <w:tcBorders>
              <w:top w:val="single" w:sz="4" w:space="0" w:color="000000"/>
              <w:left w:val="single" w:sz="4" w:space="0" w:color="000000"/>
              <w:bottom w:val="single" w:sz="4" w:space="0" w:color="000000"/>
              <w:right w:val="single" w:sz="4" w:space="0" w:color="000000"/>
            </w:tcBorders>
          </w:tcPr>
          <w:p w14:paraId="0C7214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w:t>
            </w:r>
          </w:p>
        </w:tc>
        <w:tc>
          <w:tcPr>
            <w:tcW w:w="2652" w:type="dxa"/>
            <w:tcBorders>
              <w:top w:val="single" w:sz="4" w:space="0" w:color="000000"/>
              <w:left w:val="single" w:sz="4" w:space="0" w:color="000000"/>
              <w:bottom w:val="single" w:sz="4" w:space="0" w:color="000000"/>
              <w:right w:val="single" w:sz="4" w:space="0" w:color="000000"/>
            </w:tcBorders>
          </w:tcPr>
          <w:p w14:paraId="0F9BDE8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Nature des anomalies détectées</w:t>
            </w:r>
          </w:p>
        </w:tc>
        <w:tc>
          <w:tcPr>
            <w:tcW w:w="5394" w:type="dxa"/>
            <w:tcBorders>
              <w:top w:val="single" w:sz="4" w:space="0" w:color="000000"/>
              <w:left w:val="single" w:sz="4" w:space="0" w:color="000000"/>
              <w:bottom w:val="single" w:sz="4" w:space="0" w:color="000000"/>
              <w:right w:val="single" w:sz="4" w:space="0" w:color="000000"/>
            </w:tcBorders>
          </w:tcPr>
          <w:p w14:paraId="69B5298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ne vise pas seulement la défaillance physique, mais aussi les incohérences dues à un capteur défectueux, à des données manquantes, à une désynchronisation ou à une altération malveillante. La cohérence entre le modèle et les données devient elle-même un mécanisme de surveillance (EX-Q-04).</w:t>
            </w:r>
          </w:p>
        </w:tc>
      </w:tr>
      <w:tr w:rsidR="00F50D70" w:rsidRPr="00BE4F47" w14:paraId="1086F50C" w14:textId="77777777">
        <w:trPr>
          <w:cantSplit/>
          <w:trHeight w:val="613"/>
        </w:trPr>
        <w:tc>
          <w:tcPr>
            <w:tcW w:w="511" w:type="dxa"/>
            <w:tcBorders>
              <w:top w:val="single" w:sz="4" w:space="0" w:color="000000"/>
              <w:left w:val="single" w:sz="4" w:space="0" w:color="000000"/>
              <w:bottom w:val="single" w:sz="4" w:space="0" w:color="000000"/>
              <w:right w:val="single" w:sz="4" w:space="0" w:color="000000"/>
            </w:tcBorders>
          </w:tcPr>
          <w:p w14:paraId="579312D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w:t>
            </w:r>
          </w:p>
        </w:tc>
        <w:tc>
          <w:tcPr>
            <w:tcW w:w="2652" w:type="dxa"/>
            <w:tcBorders>
              <w:top w:val="single" w:sz="4" w:space="0" w:color="000000"/>
              <w:left w:val="single" w:sz="4" w:space="0" w:color="000000"/>
              <w:bottom w:val="single" w:sz="4" w:space="0" w:color="000000"/>
              <w:right w:val="single" w:sz="4" w:space="0" w:color="000000"/>
            </w:tcBorders>
          </w:tcPr>
          <w:p w14:paraId="40462D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 explicite des modes dégradés</w:t>
            </w:r>
          </w:p>
        </w:tc>
        <w:tc>
          <w:tcPr>
            <w:tcW w:w="5394" w:type="dxa"/>
            <w:tcBorders>
              <w:top w:val="single" w:sz="4" w:space="0" w:color="000000"/>
              <w:left w:val="single" w:sz="4" w:space="0" w:color="000000"/>
              <w:bottom w:val="single" w:sz="4" w:space="0" w:color="000000"/>
              <w:right w:val="single" w:sz="4" w:space="0" w:color="000000"/>
            </w:tcBorders>
          </w:tcPr>
          <w:p w14:paraId="5F4C63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système doit pouvoir déclarer qu’il ne dispose pas d’informations suffisantes pour établir un diagnostic fiable, et distinguer fonctionnement normal, état anormal, donnée suspecte et état non déterminable (EX-F-06 ; états D2 et D3 du GEMMA).</w:t>
            </w:r>
          </w:p>
        </w:tc>
      </w:tr>
      <w:tr w:rsidR="00F50D70" w:rsidRPr="00BE4F47" w14:paraId="00AC7F36" w14:textId="77777777">
        <w:trPr>
          <w:cantSplit/>
          <w:trHeight w:val="621"/>
        </w:trPr>
        <w:tc>
          <w:tcPr>
            <w:tcW w:w="511" w:type="dxa"/>
            <w:tcBorders>
              <w:top w:val="single" w:sz="4" w:space="0" w:color="000000"/>
              <w:left w:val="single" w:sz="4" w:space="0" w:color="000000"/>
              <w:bottom w:val="single" w:sz="4" w:space="0" w:color="000000"/>
              <w:right w:val="single" w:sz="4" w:space="0" w:color="000000"/>
            </w:tcBorders>
          </w:tcPr>
          <w:p w14:paraId="24738C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w:t>
            </w:r>
          </w:p>
        </w:tc>
        <w:tc>
          <w:tcPr>
            <w:tcW w:w="2652" w:type="dxa"/>
            <w:tcBorders>
              <w:top w:val="single" w:sz="4" w:space="0" w:color="000000"/>
              <w:left w:val="single" w:sz="4" w:space="0" w:color="000000"/>
              <w:bottom w:val="single" w:sz="4" w:space="0" w:color="000000"/>
              <w:right w:val="single" w:sz="4" w:space="0" w:color="000000"/>
            </w:tcBorders>
          </w:tcPr>
          <w:p w14:paraId="7FDFEF5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Quantification de l’incertitude</w:t>
            </w:r>
          </w:p>
        </w:tc>
        <w:tc>
          <w:tcPr>
            <w:tcW w:w="5394" w:type="dxa"/>
            <w:tcBorders>
              <w:top w:val="single" w:sz="4" w:space="0" w:color="000000"/>
              <w:left w:val="single" w:sz="4" w:space="0" w:color="000000"/>
              <w:bottom w:val="single" w:sz="4" w:space="0" w:color="000000"/>
              <w:right w:val="single" w:sz="4" w:space="0" w:color="000000"/>
            </w:tcBorders>
          </w:tcPr>
          <w:p w14:paraId="4CEECFF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estimation d’état est accompagnée d’un niveau de confiance, de façon qu’une information incertaine ne soit pas interprétée comme une conclusion définitive (EX-F-07 ; méthode d’ASME V&amp;V 20).</w:t>
            </w:r>
          </w:p>
        </w:tc>
      </w:tr>
      <w:tr w:rsidR="00F50D70" w:rsidRPr="00BE4F47" w14:paraId="21670800" w14:textId="77777777">
        <w:trPr>
          <w:cantSplit/>
          <w:trHeight w:val="613"/>
        </w:trPr>
        <w:tc>
          <w:tcPr>
            <w:tcW w:w="511" w:type="dxa"/>
            <w:tcBorders>
              <w:top w:val="single" w:sz="4" w:space="0" w:color="000000"/>
              <w:left w:val="single" w:sz="4" w:space="0" w:color="000000"/>
              <w:bottom w:val="single" w:sz="4" w:space="0" w:color="000000"/>
              <w:right w:val="single" w:sz="4" w:space="0" w:color="000000"/>
            </w:tcBorders>
          </w:tcPr>
          <w:p w14:paraId="7498FD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w:t>
            </w:r>
          </w:p>
        </w:tc>
        <w:tc>
          <w:tcPr>
            <w:tcW w:w="2652" w:type="dxa"/>
            <w:tcBorders>
              <w:top w:val="single" w:sz="4" w:space="0" w:color="000000"/>
              <w:left w:val="single" w:sz="4" w:space="0" w:color="000000"/>
              <w:bottom w:val="single" w:sz="4" w:space="0" w:color="000000"/>
              <w:right w:val="single" w:sz="4" w:space="0" w:color="000000"/>
            </w:tcBorders>
          </w:tcPr>
          <w:p w14:paraId="2C45E5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Rôle de l’opérateur</w:t>
            </w:r>
          </w:p>
        </w:tc>
        <w:tc>
          <w:tcPr>
            <w:tcW w:w="5394" w:type="dxa"/>
            <w:tcBorders>
              <w:top w:val="single" w:sz="4" w:space="0" w:color="000000"/>
              <w:left w:val="single" w:sz="4" w:space="0" w:color="000000"/>
              <w:bottom w:val="single" w:sz="4" w:space="0" w:color="000000"/>
              <w:right w:val="single" w:sz="4" w:space="0" w:color="000000"/>
            </w:tcBorders>
          </w:tcPr>
          <w:p w14:paraId="1086E0B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Outil d’aide à la décision et non système de commande autonome. L’interface montre les variables ayant contribué au diagnostic, les anomalies détectées et le niveau de confiance associé (EX-F-05, EX-F-08 ; ISO 9241-210).</w:t>
            </w:r>
          </w:p>
        </w:tc>
      </w:tr>
    </w:tbl>
    <w:p w14:paraId="2BD78EC2" w14:textId="77777777" w:rsidR="00F50D70" w:rsidRPr="00BE4F47" w:rsidRDefault="00137D7F" w:rsidP="008E113B">
      <w:pPr>
        <w:spacing w:before="200" w:after="130" w:line="360" w:lineRule="auto"/>
        <w:ind w:left="360"/>
        <w:rPr>
          <w:rFonts w:ascii="Aptos" w:hAnsi="Aptos"/>
        </w:rPr>
      </w:pPr>
      <w:bookmarkStart w:id="474" w:name="_Toc241082964"/>
      <w:bookmarkStart w:id="475" w:name="_Toc241670144"/>
      <w:bookmarkStart w:id="476" w:name="_Toc241707852"/>
      <w:r w:rsidRPr="00BE4F47">
        <w:rPr>
          <w:rFonts w:ascii="Aptos" w:hAnsi="Aptos"/>
          <w:color w:val="1A1A19"/>
          <w:sz w:val="20"/>
          <w:szCs w:val="20"/>
        </w:rPr>
        <w:t>Le projet ne revendique aucune nouveauté sur les méthodes prises isolément, ni aucune performance supérieure aux travaux cités. Son apport est l’intégration cohérente de plusieurs fonctions dans un même démonstrateur appliqué à une boucle simplifiée, et un comportement documenté lorsque les données deviennent incertaines, incomplètes ou compromises.</w:t>
      </w:r>
      <w:bookmarkEnd w:id="474"/>
      <w:bookmarkEnd w:id="475"/>
      <w:bookmarkEnd w:id="476"/>
    </w:p>
    <w:p w14:paraId="6A993D2F" w14:textId="77777777" w:rsidR="00F50D70" w:rsidRPr="00B03F2E" w:rsidRDefault="00137D7F" w:rsidP="008E113B">
      <w:pPr>
        <w:pStyle w:val="Titre2"/>
        <w:spacing w:line="360" w:lineRule="auto"/>
      </w:pPr>
      <w:bookmarkStart w:id="477" w:name="__RefHeading___Toc240715190"/>
      <w:bookmarkStart w:id="478" w:name="_Toc241707853"/>
      <w:r w:rsidRPr="00B03F2E">
        <w:t>Lacunes de notre revue</w:t>
      </w:r>
      <w:bookmarkEnd w:id="477"/>
      <w:bookmarkEnd w:id="478"/>
    </w:p>
    <w:p w14:paraId="13CD35AA" w14:textId="77777777" w:rsidR="00F50D70" w:rsidRPr="00BE4F47" w:rsidRDefault="00137D7F" w:rsidP="008E113B">
      <w:pPr>
        <w:spacing w:after="130" w:line="360" w:lineRule="auto"/>
        <w:ind w:left="360"/>
        <w:rPr>
          <w:rFonts w:ascii="Aptos" w:hAnsi="Aptos"/>
        </w:rPr>
      </w:pPr>
      <w:bookmarkStart w:id="479" w:name="_Toc241082975"/>
      <w:bookmarkStart w:id="480" w:name="_Toc241670146"/>
      <w:bookmarkStart w:id="481" w:name="_Toc241707854"/>
      <w:r w:rsidRPr="00BE4F47">
        <w:rPr>
          <w:rFonts w:ascii="Aptos" w:hAnsi="Aptos"/>
          <w:color w:val="1A1A19"/>
          <w:sz w:val="20"/>
          <w:szCs w:val="20"/>
        </w:rPr>
        <w:t>Quatre limites sont à signaler :</w:t>
      </w:r>
      <w:bookmarkEnd w:id="479"/>
      <w:bookmarkEnd w:id="480"/>
      <w:bookmarkEnd w:id="481"/>
    </w:p>
    <w:p w14:paraId="5999D413" w14:textId="77777777" w:rsidR="00F50D70" w:rsidRPr="00BE4F47" w:rsidRDefault="00137D7F" w:rsidP="008E113B">
      <w:pPr>
        <w:numPr>
          <w:ilvl w:val="0"/>
          <w:numId w:val="20"/>
        </w:numPr>
        <w:spacing w:after="130" w:line="360" w:lineRule="auto"/>
        <w:ind w:left="720"/>
        <w:rPr>
          <w:rFonts w:ascii="Aptos" w:eastAsia="Times New Roman" w:hAnsi="Aptos"/>
        </w:rPr>
      </w:pPr>
      <w:bookmarkStart w:id="482" w:name="_Toc241670147"/>
      <w:bookmarkStart w:id="483" w:name="_Toc241707855"/>
      <w:proofErr w:type="gramStart"/>
      <w:r w:rsidRPr="00BE4F47">
        <w:rPr>
          <w:rFonts w:ascii="Aptos" w:hAnsi="Aptos"/>
          <w:color w:val="1A1A19"/>
          <w:sz w:val="20"/>
          <w:szCs w:val="20"/>
        </w:rPr>
        <w:t>deux</w:t>
      </w:r>
      <w:proofErr w:type="gramEnd"/>
      <w:r w:rsidRPr="00BE4F47">
        <w:rPr>
          <w:rFonts w:ascii="Aptos" w:hAnsi="Aptos"/>
          <w:color w:val="1A1A19"/>
          <w:sz w:val="20"/>
          <w:szCs w:val="20"/>
        </w:rPr>
        <w:t xml:space="preserve"> des six articles retenus sont des revues de littérature, donc des sources de seconde main, et aucun des six ne porte directement sur une boucle thermohydraulique de centrale.</w:t>
      </w:r>
      <w:bookmarkEnd w:id="482"/>
      <w:bookmarkEnd w:id="483"/>
    </w:p>
    <w:p w14:paraId="7D69BDA2" w14:textId="77777777" w:rsidR="00F50D70" w:rsidRPr="00BE4F47" w:rsidRDefault="00137D7F" w:rsidP="008E113B">
      <w:pPr>
        <w:numPr>
          <w:ilvl w:val="0"/>
          <w:numId w:val="20"/>
        </w:numPr>
        <w:spacing w:after="130" w:line="360" w:lineRule="auto"/>
        <w:ind w:left="720"/>
        <w:rPr>
          <w:rFonts w:ascii="Aptos" w:eastAsia="Times New Roman" w:hAnsi="Aptos"/>
        </w:rPr>
      </w:pPr>
      <w:bookmarkStart w:id="484" w:name="_Toc241670148"/>
      <w:bookmarkStart w:id="485" w:name="_Toc241707856"/>
      <w:proofErr w:type="gramStart"/>
      <w:r w:rsidRPr="00BE4F47">
        <w:rPr>
          <w:rFonts w:ascii="Aptos" w:hAnsi="Aptos"/>
          <w:color w:val="1A1A19"/>
          <w:sz w:val="20"/>
          <w:szCs w:val="20"/>
        </w:rPr>
        <w:t>la</w:t>
      </w:r>
      <w:proofErr w:type="gramEnd"/>
      <w:r w:rsidRPr="00BE4F47">
        <w:rPr>
          <w:rFonts w:ascii="Aptos" w:hAnsi="Aptos"/>
          <w:color w:val="1A1A19"/>
          <w:sz w:val="20"/>
          <w:szCs w:val="20"/>
        </w:rPr>
        <w:t xml:space="preserve"> modélisation thermohydraulique, qui est le cœur technique du projet, reste la partie la moins documentée de la revue.</w:t>
      </w:r>
      <w:bookmarkEnd w:id="484"/>
      <w:bookmarkEnd w:id="485"/>
    </w:p>
    <w:p w14:paraId="5C9CDCCC" w14:textId="77777777" w:rsidR="00F50D70" w:rsidRPr="00BE4F47" w:rsidRDefault="00137D7F" w:rsidP="008E113B">
      <w:pPr>
        <w:numPr>
          <w:ilvl w:val="0"/>
          <w:numId w:val="20"/>
        </w:numPr>
        <w:spacing w:after="130" w:line="360" w:lineRule="auto"/>
        <w:ind w:left="720"/>
        <w:rPr>
          <w:rFonts w:ascii="Aptos" w:eastAsia="Times New Roman" w:hAnsi="Aptos"/>
        </w:rPr>
      </w:pPr>
      <w:bookmarkStart w:id="486" w:name="_Toc241670149"/>
      <w:bookmarkStart w:id="487" w:name="_Toc241707857"/>
      <w:proofErr w:type="gramStart"/>
      <w:r w:rsidRPr="00BE4F47">
        <w:rPr>
          <w:rFonts w:ascii="Aptos" w:hAnsi="Aptos"/>
          <w:color w:val="1A1A19"/>
          <w:sz w:val="20"/>
          <w:szCs w:val="20"/>
        </w:rPr>
        <w:t>aucune</w:t>
      </w:r>
      <w:proofErr w:type="gramEnd"/>
      <w:r w:rsidRPr="00BE4F47">
        <w:rPr>
          <w:rFonts w:ascii="Aptos" w:hAnsi="Aptos"/>
          <w:color w:val="1A1A19"/>
          <w:sz w:val="20"/>
          <w:szCs w:val="20"/>
        </w:rPr>
        <w:t xml:space="preserve"> source ne porte sur le parc canadien ni sur la filière CANDU, alors que le scénario s’y situe.</w:t>
      </w:r>
      <w:bookmarkEnd w:id="486"/>
      <w:bookmarkEnd w:id="487"/>
    </w:p>
    <w:p w14:paraId="08CF5C26" w14:textId="77777777" w:rsidR="00F50D70" w:rsidRPr="00BE4F47" w:rsidRDefault="00137D7F" w:rsidP="008E113B">
      <w:pPr>
        <w:numPr>
          <w:ilvl w:val="0"/>
          <w:numId w:val="20"/>
        </w:numPr>
        <w:spacing w:after="130" w:line="360" w:lineRule="auto"/>
        <w:ind w:left="720"/>
        <w:rPr>
          <w:rFonts w:ascii="Aptos" w:eastAsia="Times New Roman" w:hAnsi="Aptos"/>
        </w:rPr>
      </w:pPr>
      <w:bookmarkStart w:id="488" w:name="_Toc241082936"/>
      <w:bookmarkStart w:id="489" w:name="_Toc241670150"/>
      <w:bookmarkStart w:id="490" w:name="_Toc241707858"/>
      <w:proofErr w:type="gramStart"/>
      <w:r w:rsidRPr="00BE4F47">
        <w:rPr>
          <w:rFonts w:ascii="Aptos" w:hAnsi="Aptos"/>
          <w:color w:val="1A1A19"/>
          <w:sz w:val="20"/>
          <w:szCs w:val="20"/>
        </w:rPr>
        <w:t>la</w:t>
      </w:r>
      <w:proofErr w:type="gramEnd"/>
      <w:r w:rsidRPr="00BE4F47">
        <w:rPr>
          <w:rFonts w:ascii="Aptos" w:hAnsi="Aptos"/>
          <w:color w:val="1A1A19"/>
          <w:sz w:val="20"/>
          <w:szCs w:val="20"/>
        </w:rPr>
        <w:t xml:space="preserve"> recherche de brevets s’est limitée à Google Patents, ce qui suffit pour une antériorité préliminaire mais pas davantage.</w:t>
      </w:r>
      <w:bookmarkEnd w:id="488"/>
      <w:bookmarkEnd w:id="489"/>
      <w:bookmarkEnd w:id="490"/>
    </w:p>
    <w:p w14:paraId="17E42F22" w14:textId="77777777" w:rsidR="00F50D70" w:rsidRPr="00B03F2E" w:rsidRDefault="00137D7F" w:rsidP="008E113B">
      <w:pPr>
        <w:pStyle w:val="Titre1"/>
        <w:spacing w:line="360" w:lineRule="auto"/>
      </w:pPr>
      <w:bookmarkStart w:id="491" w:name="__RefHeading___Toc240715192"/>
      <w:bookmarkStart w:id="492" w:name="_Toc241707859"/>
      <w:bookmarkEnd w:id="491"/>
      <w:r w:rsidRPr="00B03F2E">
        <w:t>Normes, codes et standards</w:t>
      </w:r>
      <w:bookmarkEnd w:id="492"/>
    </w:p>
    <w:p w14:paraId="27F0D77C" w14:textId="77777777" w:rsidR="00F50D70" w:rsidRPr="00BE4F47" w:rsidRDefault="00137D7F" w:rsidP="008E113B">
      <w:pPr>
        <w:spacing w:after="130" w:line="360" w:lineRule="auto"/>
        <w:ind w:left="360"/>
        <w:rPr>
          <w:rFonts w:ascii="Aptos" w:hAnsi="Aptos"/>
        </w:rPr>
      </w:pPr>
      <w:bookmarkStart w:id="493" w:name="_Toc241082978"/>
      <w:bookmarkStart w:id="494" w:name="_Toc241670152"/>
      <w:bookmarkStart w:id="495" w:name="_Toc241707860"/>
      <w:r w:rsidRPr="00BE4F47">
        <w:rPr>
          <w:rFonts w:ascii="Aptos" w:hAnsi="Aptos"/>
          <w:color w:val="1A1A19"/>
          <w:sz w:val="20"/>
          <w:szCs w:val="20"/>
        </w:rPr>
        <w:t>La revue a montré ce que d’autres ont fait. Cette section établit le cadre dans lequel le projet doit le faire : la loi, la réglementation, les normes retenues, et ce qui en découle pour la conception.</w:t>
      </w:r>
      <w:bookmarkEnd w:id="493"/>
      <w:bookmarkEnd w:id="494"/>
      <w:bookmarkEnd w:id="495"/>
    </w:p>
    <w:p w14:paraId="33AD7C0B" w14:textId="77777777" w:rsidR="00F50D70" w:rsidRPr="00BE4F47" w:rsidRDefault="00137D7F" w:rsidP="008E113B">
      <w:pPr>
        <w:spacing w:after="130" w:line="360" w:lineRule="auto"/>
        <w:ind w:left="360"/>
        <w:rPr>
          <w:rFonts w:ascii="Aptos" w:hAnsi="Aptos"/>
        </w:rPr>
      </w:pPr>
      <w:bookmarkStart w:id="496" w:name="_Toc241082979"/>
      <w:bookmarkStart w:id="497" w:name="_Toc241670153"/>
      <w:bookmarkStart w:id="498" w:name="_Toc241707861"/>
      <w:r w:rsidRPr="00BE4F47">
        <w:rPr>
          <w:rFonts w:ascii="Aptos" w:hAnsi="Aptos"/>
          <w:color w:val="1A1A19"/>
          <w:sz w:val="20"/>
          <w:szCs w:val="20"/>
        </w:rPr>
        <w:lastRenderedPageBreak/>
        <w:t>Les lois, règlements et normes ont été retenus pour leur pertinence pour les activités du projet : ingénierie des exigences, modélisation de la boucle, conception logicielle, cybersécurité, acquisition des données, détection d’anomalies, quantification de l’incertitude, interface homme-machine, vérification et validation. La revue distingue trois niveaux : le cadre législatif, qui détermine ce qui relève de l’exercice de l’ingénierie, le cadre réglementaire, qui s’applique aux installations nucléaires canadiennes, et les normes techniques, qui orientent la conception et fournissent les critères de validation.</w:t>
      </w:r>
      <w:bookmarkEnd w:id="496"/>
      <w:bookmarkEnd w:id="497"/>
      <w:bookmarkEnd w:id="498"/>
    </w:p>
    <w:p w14:paraId="4BF05270" w14:textId="77777777" w:rsidR="00F50D70" w:rsidRPr="00B03F2E" w:rsidRDefault="00137D7F" w:rsidP="008E113B">
      <w:pPr>
        <w:pStyle w:val="Titre2"/>
        <w:spacing w:line="360" w:lineRule="auto"/>
      </w:pPr>
      <w:bookmarkStart w:id="499" w:name="__RefHeading___Toc240715195"/>
      <w:bookmarkStart w:id="500" w:name="_Toc241707862"/>
      <w:bookmarkEnd w:id="499"/>
      <w:r w:rsidRPr="00B03F2E">
        <w:t>Cadre législatif</w:t>
      </w:r>
      <w:bookmarkEnd w:id="500"/>
    </w:p>
    <w:p w14:paraId="1775AE56" w14:textId="77777777" w:rsidR="00F50D70" w:rsidRPr="00BE4F47" w:rsidRDefault="00137D7F" w:rsidP="008E113B">
      <w:pPr>
        <w:spacing w:after="130" w:line="360" w:lineRule="auto"/>
        <w:ind w:left="360"/>
        <w:rPr>
          <w:rFonts w:ascii="Aptos" w:hAnsi="Aptos"/>
        </w:rPr>
      </w:pPr>
      <w:bookmarkStart w:id="501" w:name="_Toc241082982"/>
      <w:bookmarkStart w:id="502" w:name="_Toc241670155"/>
      <w:bookmarkStart w:id="503" w:name="_Toc241707863"/>
      <w:r w:rsidRPr="00BE4F47">
        <w:rPr>
          <w:rFonts w:ascii="Aptos" w:hAnsi="Aptos"/>
          <w:color w:val="1A1A19"/>
          <w:sz w:val="20"/>
          <w:szCs w:val="20"/>
        </w:rPr>
        <w:t>Au Québec, l’exercice de l’ingénierie est encadré par la Loi sur les ingénieurs, RLRQ, chapitre I-9 [19]. L’Ordre des ingénieurs du Québec rappelle que cette loi définit l’exercice de l’ingénierie, les activités réservées, les ouvrages auxquels elles se rapportent ainsi que certaines responsabilités professionnelles [20]. Elle s’inscrit dans la mission de protection du public du système professionnel québécois. Quatre dispositions concernent directement le projet.</w:t>
      </w:r>
      <w:bookmarkEnd w:id="501"/>
      <w:bookmarkEnd w:id="502"/>
      <w:bookmarkEnd w:id="503"/>
    </w:p>
    <w:p w14:paraId="18ADCF91" w14:textId="77777777" w:rsidR="00F50D70" w:rsidRPr="00BE4F47" w:rsidRDefault="00137D7F" w:rsidP="008E113B">
      <w:pPr>
        <w:pStyle w:val="Lgende"/>
        <w:keepNext/>
        <w:spacing w:line="360" w:lineRule="auto"/>
        <w:rPr>
          <w:rFonts w:ascii="Aptos" w:hAnsi="Aptos"/>
        </w:rPr>
      </w:pPr>
      <w:bookmarkStart w:id="504" w:name="_Toc241082983"/>
      <w:bookmarkStart w:id="505" w:name="_Toc241670156"/>
      <w:bookmarkStart w:id="506" w:name="_Toc241707864"/>
      <w:r w:rsidRPr="00BE4F47">
        <w:rPr>
          <w:rFonts w:ascii="Aptos" w:hAnsi="Aptos"/>
        </w:rPr>
        <w:t>Tableau 6-1. Cadre législatif applicable</w:t>
      </w:r>
      <w:bookmarkEnd w:id="504"/>
      <w:bookmarkEnd w:id="505"/>
      <w:bookmarkEnd w:id="506"/>
    </w:p>
    <w:tbl>
      <w:tblPr>
        <w:tblW w:w="8557" w:type="dxa"/>
        <w:tblInd w:w="413" w:type="dxa"/>
        <w:tblLayout w:type="fixed"/>
        <w:tblCellMar>
          <w:top w:w="70" w:type="dxa"/>
          <w:left w:w="100" w:type="dxa"/>
          <w:bottom w:w="70" w:type="dxa"/>
          <w:right w:w="100" w:type="dxa"/>
        </w:tblCellMar>
        <w:tblLook w:val="04A0" w:firstRow="1" w:lastRow="0" w:firstColumn="1" w:lastColumn="0" w:noHBand="0" w:noVBand="1"/>
      </w:tblPr>
      <w:tblGrid>
        <w:gridCol w:w="1371"/>
        <w:gridCol w:w="3566"/>
        <w:gridCol w:w="3620"/>
      </w:tblGrid>
      <w:tr w:rsidR="00F50D70" w:rsidRPr="00BE4F47" w14:paraId="627670F0" w14:textId="77777777" w:rsidTr="0036725C">
        <w:trPr>
          <w:trHeight w:val="232"/>
          <w:tblHeader/>
        </w:trPr>
        <w:tc>
          <w:tcPr>
            <w:tcW w:w="1371"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5F00BB9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Disposition</w:t>
            </w:r>
          </w:p>
        </w:tc>
        <w:tc>
          <w:tcPr>
            <w:tcW w:w="3566"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3A29D9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Portée</w:t>
            </w:r>
          </w:p>
        </w:tc>
        <w:tc>
          <w:tcPr>
            <w:tcW w:w="3620"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727DE2E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Lien avec le projet</w:t>
            </w:r>
          </w:p>
        </w:tc>
      </w:tr>
      <w:tr w:rsidR="00F50D70" w:rsidRPr="00BE4F47" w14:paraId="2D2230AA" w14:textId="77777777">
        <w:trPr>
          <w:cantSplit/>
          <w:trHeight w:val="621"/>
        </w:trPr>
        <w:tc>
          <w:tcPr>
            <w:tcW w:w="1371" w:type="dxa"/>
            <w:tcBorders>
              <w:top w:val="single" w:sz="4" w:space="0" w:color="000000"/>
              <w:left w:val="single" w:sz="4" w:space="0" w:color="000000"/>
              <w:bottom w:val="single" w:sz="4" w:space="0" w:color="000000"/>
              <w:right w:val="single" w:sz="4" w:space="0" w:color="000000"/>
            </w:tcBorders>
            <w:vAlign w:val="center"/>
          </w:tcPr>
          <w:p w14:paraId="74D789D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2 (1°)</w:t>
            </w:r>
          </w:p>
        </w:tc>
        <w:tc>
          <w:tcPr>
            <w:tcW w:w="3566" w:type="dxa"/>
            <w:tcBorders>
              <w:top w:val="single" w:sz="4" w:space="0" w:color="000000"/>
              <w:left w:val="single" w:sz="4" w:space="0" w:color="000000"/>
              <w:bottom w:val="single" w:sz="4" w:space="0" w:color="000000"/>
              <w:right w:val="single" w:sz="4" w:space="0" w:color="000000"/>
            </w:tcBorders>
            <w:vAlign w:val="center"/>
          </w:tcPr>
          <w:p w14:paraId="0BD0EBF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Déterminer les concepts, les paramètres, les équations ou les modèles permettant d’anticiper le comportement des procédés ou des systèmes.</w:t>
            </w:r>
          </w:p>
        </w:tc>
        <w:tc>
          <w:tcPr>
            <w:tcW w:w="3620" w:type="dxa"/>
            <w:tcBorders>
              <w:top w:val="single" w:sz="4" w:space="0" w:color="000000"/>
              <w:left w:val="single" w:sz="4" w:space="0" w:color="000000"/>
              <w:bottom w:val="single" w:sz="4" w:space="0" w:color="000000"/>
              <w:right w:val="single" w:sz="4" w:space="0" w:color="000000"/>
            </w:tcBorders>
            <w:vAlign w:val="center"/>
          </w:tcPr>
          <w:p w14:paraId="68F8D57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Modélisation de la boucle thermohydraulique, définition de ses paramètres et construction du jumeau numérique.</w:t>
            </w:r>
          </w:p>
        </w:tc>
      </w:tr>
      <w:tr w:rsidR="00F50D70" w:rsidRPr="00BE4F47" w14:paraId="2C28A0E8" w14:textId="77777777">
        <w:trPr>
          <w:cantSplit/>
          <w:trHeight w:val="422"/>
        </w:trPr>
        <w:tc>
          <w:tcPr>
            <w:tcW w:w="1371" w:type="dxa"/>
            <w:tcBorders>
              <w:top w:val="single" w:sz="4" w:space="0" w:color="000000"/>
              <w:left w:val="single" w:sz="4" w:space="0" w:color="000000"/>
              <w:bottom w:val="single" w:sz="4" w:space="0" w:color="000000"/>
              <w:right w:val="single" w:sz="4" w:space="0" w:color="000000"/>
            </w:tcBorders>
            <w:vAlign w:val="center"/>
          </w:tcPr>
          <w:p w14:paraId="13B1BBF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2 (2°)</w:t>
            </w:r>
          </w:p>
        </w:tc>
        <w:tc>
          <w:tcPr>
            <w:tcW w:w="3566" w:type="dxa"/>
            <w:tcBorders>
              <w:top w:val="single" w:sz="4" w:space="0" w:color="000000"/>
              <w:left w:val="single" w:sz="4" w:space="0" w:color="000000"/>
              <w:bottom w:val="single" w:sz="4" w:space="0" w:color="000000"/>
              <w:right w:val="single" w:sz="4" w:space="0" w:color="000000"/>
            </w:tcBorders>
            <w:vAlign w:val="center"/>
          </w:tcPr>
          <w:p w14:paraId="2484637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Effectuer des essais ou des calculs nécessitant le recours à des modèles issus de principes d’ingénierie.</w:t>
            </w:r>
          </w:p>
        </w:tc>
        <w:tc>
          <w:tcPr>
            <w:tcW w:w="3620" w:type="dxa"/>
            <w:tcBorders>
              <w:top w:val="single" w:sz="4" w:space="0" w:color="000000"/>
              <w:left w:val="single" w:sz="4" w:space="0" w:color="000000"/>
              <w:bottom w:val="single" w:sz="4" w:space="0" w:color="000000"/>
              <w:right w:val="single" w:sz="4" w:space="0" w:color="000000"/>
            </w:tcBorders>
            <w:vAlign w:val="center"/>
          </w:tcPr>
          <w:p w14:paraId="05E7E429"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Simulations, calculs, injection d’anomalies et campagne de vérification et de validation.</w:t>
            </w:r>
          </w:p>
        </w:tc>
      </w:tr>
      <w:tr w:rsidR="00F50D70" w:rsidRPr="00BE4F47" w14:paraId="382289CD" w14:textId="77777777">
        <w:trPr>
          <w:cantSplit/>
          <w:trHeight w:val="432"/>
        </w:trPr>
        <w:tc>
          <w:tcPr>
            <w:tcW w:w="1371" w:type="dxa"/>
            <w:tcBorders>
              <w:top w:val="single" w:sz="4" w:space="0" w:color="000000"/>
              <w:left w:val="single" w:sz="4" w:space="0" w:color="000000"/>
              <w:bottom w:val="single" w:sz="4" w:space="0" w:color="000000"/>
              <w:right w:val="single" w:sz="4" w:space="0" w:color="000000"/>
            </w:tcBorders>
            <w:vAlign w:val="center"/>
          </w:tcPr>
          <w:p w14:paraId="2DB1BDF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2 (6°)</w:t>
            </w:r>
          </w:p>
        </w:tc>
        <w:tc>
          <w:tcPr>
            <w:tcW w:w="3566" w:type="dxa"/>
            <w:tcBorders>
              <w:top w:val="single" w:sz="4" w:space="0" w:color="000000"/>
              <w:left w:val="single" w:sz="4" w:space="0" w:color="000000"/>
              <w:bottom w:val="single" w:sz="4" w:space="0" w:color="000000"/>
              <w:right w:val="single" w:sz="4" w:space="0" w:color="000000"/>
            </w:tcBorders>
            <w:vAlign w:val="center"/>
          </w:tcPr>
          <w:p w14:paraId="16D1BD3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Donner un avis relatif à une activité professionnelle d’ingénierie.</w:t>
            </w:r>
          </w:p>
        </w:tc>
        <w:tc>
          <w:tcPr>
            <w:tcW w:w="3620" w:type="dxa"/>
            <w:tcBorders>
              <w:top w:val="single" w:sz="4" w:space="0" w:color="000000"/>
              <w:left w:val="single" w:sz="4" w:space="0" w:color="000000"/>
              <w:bottom w:val="single" w:sz="4" w:space="0" w:color="000000"/>
              <w:right w:val="single" w:sz="4" w:space="0" w:color="000000"/>
            </w:tcBorders>
            <w:vAlign w:val="center"/>
          </w:tcPr>
          <w:p w14:paraId="0753E27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Analyse des résultats, interprétation et recommandation d’ingénierie remise en fin de projet.</w:t>
            </w:r>
          </w:p>
        </w:tc>
      </w:tr>
      <w:tr w:rsidR="00F50D70" w:rsidRPr="00BE4F47" w14:paraId="6390FD1A" w14:textId="77777777">
        <w:trPr>
          <w:cantSplit/>
          <w:trHeight w:val="989"/>
        </w:trPr>
        <w:tc>
          <w:tcPr>
            <w:tcW w:w="1371" w:type="dxa"/>
            <w:tcBorders>
              <w:top w:val="single" w:sz="4" w:space="0" w:color="000000"/>
              <w:left w:val="single" w:sz="4" w:space="0" w:color="000000"/>
              <w:bottom w:val="single" w:sz="4" w:space="0" w:color="000000"/>
              <w:right w:val="single" w:sz="4" w:space="0" w:color="000000"/>
            </w:tcBorders>
            <w:vAlign w:val="center"/>
          </w:tcPr>
          <w:p w14:paraId="200D504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3 (3°)</w:t>
            </w:r>
          </w:p>
        </w:tc>
        <w:tc>
          <w:tcPr>
            <w:tcW w:w="3566" w:type="dxa"/>
            <w:tcBorders>
              <w:top w:val="single" w:sz="4" w:space="0" w:color="000000"/>
              <w:left w:val="single" w:sz="4" w:space="0" w:color="000000"/>
              <w:bottom w:val="single" w:sz="4" w:space="0" w:color="000000"/>
              <w:right w:val="single" w:sz="4" w:space="0" w:color="000000"/>
            </w:tcBorders>
            <w:vAlign w:val="center"/>
          </w:tcPr>
          <w:p w14:paraId="39CD35E4"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Système de génération, d’accumulation, de transmission, d’utilisation ou de distribution d’énergie sous forme électrique, mécanique ou thermique, à l’exclusion d’un système dont le dysfonctionnement ne présente pas de risque pour la sécurité des personnes.</w:t>
            </w:r>
          </w:p>
        </w:tc>
        <w:tc>
          <w:tcPr>
            <w:tcW w:w="3620" w:type="dxa"/>
            <w:tcBorders>
              <w:top w:val="single" w:sz="4" w:space="0" w:color="000000"/>
              <w:left w:val="single" w:sz="4" w:space="0" w:color="000000"/>
              <w:bottom w:val="single" w:sz="4" w:space="0" w:color="000000"/>
              <w:right w:val="single" w:sz="4" w:space="0" w:color="000000"/>
            </w:tcBorders>
            <w:vAlign w:val="center"/>
          </w:tcPr>
          <w:p w14:paraId="109948F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Boucle thermohydraulique : les phénomènes thermiques et mécaniques constituent le cœur du modèle. Applicabilité discutée au début de 6.1.</w:t>
            </w:r>
          </w:p>
        </w:tc>
      </w:tr>
    </w:tbl>
    <w:p w14:paraId="2234620E" w14:textId="77777777" w:rsidR="00F50D70" w:rsidRPr="00BE4F47" w:rsidRDefault="00137D7F" w:rsidP="008E113B">
      <w:pPr>
        <w:spacing w:before="200" w:after="130" w:line="360" w:lineRule="auto"/>
        <w:ind w:left="360"/>
        <w:rPr>
          <w:rFonts w:ascii="Aptos" w:hAnsi="Aptos"/>
        </w:rPr>
      </w:pPr>
      <w:bookmarkStart w:id="507" w:name="_Toc241082985"/>
      <w:bookmarkStart w:id="508" w:name="_Toc241670157"/>
      <w:bookmarkStart w:id="509" w:name="_Toc241707865"/>
      <w:r w:rsidRPr="00BE4F47">
        <w:rPr>
          <w:rFonts w:ascii="Aptos" w:hAnsi="Aptos"/>
          <w:b/>
          <w:color w:val="1A1A19"/>
          <w:sz w:val="20"/>
          <w:szCs w:val="20"/>
        </w:rPr>
        <w:t xml:space="preserve">L’applicabilité de l’article 3 (3°). </w:t>
      </w:r>
      <w:r w:rsidRPr="00BE4F47">
        <w:rPr>
          <w:rFonts w:ascii="Aptos" w:hAnsi="Aptos"/>
          <w:color w:val="1A1A19"/>
          <w:sz w:val="20"/>
          <w:szCs w:val="20"/>
        </w:rPr>
        <w:t>L’article 3 (3°) ne s’applique qu’à deux conditions cumulatives : le système doit appartenir à la catégorie décrite, et la clause d’exclusion finale ne doit pas jouer.</w:t>
      </w:r>
      <w:bookmarkEnd w:id="507"/>
      <w:bookmarkEnd w:id="508"/>
      <w:bookmarkEnd w:id="509"/>
    </w:p>
    <w:p w14:paraId="4EA2679C" w14:textId="77777777" w:rsidR="00F50D70" w:rsidRPr="00BE4F47" w:rsidRDefault="00137D7F" w:rsidP="008E113B">
      <w:pPr>
        <w:spacing w:after="130" w:line="360" w:lineRule="auto"/>
        <w:ind w:left="360"/>
        <w:rPr>
          <w:rFonts w:ascii="Aptos" w:hAnsi="Aptos" w:cs="Calibri"/>
        </w:rPr>
      </w:pPr>
      <w:bookmarkStart w:id="510" w:name="_Toc241082986"/>
      <w:bookmarkStart w:id="511" w:name="_Toc241670158"/>
      <w:bookmarkStart w:id="512" w:name="_Toc241707866"/>
      <w:r w:rsidRPr="00BE4F47">
        <w:rPr>
          <w:rFonts w:ascii="Aptos" w:hAnsi="Aptos"/>
          <w:color w:val="1A1A19"/>
          <w:sz w:val="20"/>
          <w:szCs w:val="20"/>
        </w:rPr>
        <w:t>Première condition, l’appartenance à la catégorie. Le texte vise l’énergie sous forme électrique, thermique ou mécanique. La boucle thermohydraulique est un système d’utilisation et de transmission d’énergie thermique et mécanique. La mention de ces deux formes d’énergie suffit à établir l’appartenance, sans avoir à invoquer une composante électrique.</w:t>
      </w:r>
      <w:bookmarkEnd w:id="510"/>
      <w:bookmarkEnd w:id="511"/>
      <w:bookmarkEnd w:id="512"/>
    </w:p>
    <w:p w14:paraId="476DB22C" w14:textId="77777777" w:rsidR="00F50D70" w:rsidRPr="00BE4F47" w:rsidRDefault="00137D7F" w:rsidP="008E113B">
      <w:pPr>
        <w:spacing w:after="130" w:line="360" w:lineRule="auto"/>
        <w:ind w:left="360"/>
        <w:rPr>
          <w:rFonts w:ascii="Aptos" w:hAnsi="Aptos"/>
        </w:rPr>
      </w:pPr>
      <w:bookmarkStart w:id="513" w:name="_Toc241082987"/>
      <w:bookmarkStart w:id="514" w:name="_Toc241670159"/>
      <w:bookmarkStart w:id="515" w:name="_Toc241707867"/>
      <w:r w:rsidRPr="00BE4F47">
        <w:rPr>
          <w:rFonts w:ascii="Aptos" w:hAnsi="Aptos"/>
          <w:color w:val="1A1A19"/>
          <w:sz w:val="20"/>
          <w:szCs w:val="20"/>
        </w:rPr>
        <w:t>Seconde condition, la clause d’exclusion. Le législateur écarte les systèmes « dont le dysfonctionnement ne présente pas de risque pour la sécurité des personnes ». Il faut donc montrer que le dysfonctionnement du système présente un tel risque.</w:t>
      </w:r>
      <w:bookmarkEnd w:id="513"/>
      <w:bookmarkEnd w:id="514"/>
      <w:bookmarkEnd w:id="515"/>
    </w:p>
    <w:p w14:paraId="11D5F029" w14:textId="77777777" w:rsidR="00F50D70" w:rsidRPr="00BE4F47" w:rsidRDefault="00137D7F" w:rsidP="008E113B">
      <w:pPr>
        <w:spacing w:after="130" w:line="360" w:lineRule="auto"/>
        <w:ind w:left="360"/>
        <w:rPr>
          <w:rFonts w:ascii="Aptos" w:hAnsi="Aptos"/>
        </w:rPr>
      </w:pPr>
      <w:bookmarkStart w:id="516" w:name="_Toc241670160"/>
      <w:bookmarkStart w:id="517" w:name="_Toc241707868"/>
      <w:r w:rsidRPr="00BE4F47">
        <w:rPr>
          <w:rFonts w:ascii="Aptos" w:hAnsi="Aptos"/>
          <w:color w:val="1A1A19"/>
          <w:sz w:val="20"/>
          <w:szCs w:val="20"/>
        </w:rPr>
        <w:lastRenderedPageBreak/>
        <w:t>Le jumeau numérique ne commande aucun équipement, mais il produit une estimation de l’état de l’installation sur laquelle un opérateur fonde une décision. Trois dysfonctionnements conduisent à un risque pour les personnes :</w:t>
      </w:r>
      <w:bookmarkEnd w:id="516"/>
      <w:bookmarkEnd w:id="517"/>
    </w:p>
    <w:p w14:paraId="574BD222"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18" w:name="_Toc241670161"/>
      <w:bookmarkStart w:id="519" w:name="_Toc241707869"/>
      <w:proofErr w:type="gramStart"/>
      <w:r w:rsidRPr="00BE4F47">
        <w:rPr>
          <w:rFonts w:ascii="Aptos" w:hAnsi="Aptos"/>
          <w:color w:val="1A1A19"/>
          <w:sz w:val="20"/>
          <w:szCs w:val="20"/>
        </w:rPr>
        <w:t>une</w:t>
      </w:r>
      <w:proofErr w:type="gramEnd"/>
      <w:r w:rsidRPr="00BE4F47">
        <w:rPr>
          <w:rFonts w:ascii="Aptos" w:hAnsi="Aptos"/>
          <w:color w:val="1A1A19"/>
          <w:sz w:val="20"/>
          <w:szCs w:val="20"/>
        </w:rPr>
        <w:t xml:space="preserve"> anomalie réelle non détectée, présentée comme un fonctionnement normal.</w:t>
      </w:r>
      <w:bookmarkEnd w:id="518"/>
      <w:bookmarkEnd w:id="519"/>
    </w:p>
    <w:p w14:paraId="160ECFB6"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20" w:name="_Toc241670162"/>
      <w:bookmarkStart w:id="521" w:name="_Toc241707870"/>
      <w:proofErr w:type="gramStart"/>
      <w:r w:rsidRPr="00BE4F47">
        <w:rPr>
          <w:rFonts w:ascii="Aptos" w:hAnsi="Aptos"/>
          <w:color w:val="1A1A19"/>
          <w:sz w:val="20"/>
          <w:szCs w:val="20"/>
        </w:rPr>
        <w:t>une</w:t>
      </w:r>
      <w:proofErr w:type="gramEnd"/>
      <w:r w:rsidRPr="00BE4F47">
        <w:rPr>
          <w:rFonts w:ascii="Aptos" w:hAnsi="Aptos"/>
          <w:color w:val="1A1A19"/>
          <w:sz w:val="20"/>
          <w:szCs w:val="20"/>
        </w:rPr>
        <w:t xml:space="preserve"> estimation d’état erronée provenant d’un capteur défaillant ou de données altérées.</w:t>
      </w:r>
      <w:bookmarkEnd w:id="520"/>
      <w:bookmarkEnd w:id="521"/>
    </w:p>
    <w:p w14:paraId="51432B8B"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22" w:name="_Toc241670163"/>
      <w:bookmarkStart w:id="523" w:name="_Toc241707871"/>
      <w:proofErr w:type="gramStart"/>
      <w:r w:rsidRPr="00BE4F47">
        <w:rPr>
          <w:rFonts w:ascii="Aptos" w:hAnsi="Aptos"/>
          <w:color w:val="1A1A19"/>
          <w:sz w:val="20"/>
          <w:szCs w:val="20"/>
        </w:rPr>
        <w:t>l’indisponibilité</w:t>
      </w:r>
      <w:proofErr w:type="gramEnd"/>
      <w:r w:rsidRPr="00BE4F47">
        <w:rPr>
          <w:rFonts w:ascii="Aptos" w:hAnsi="Aptos"/>
          <w:color w:val="1A1A19"/>
          <w:sz w:val="20"/>
          <w:szCs w:val="20"/>
        </w:rPr>
        <w:t xml:space="preserve"> du système au moment où l’opérateur s’attend à en disposer.</w:t>
      </w:r>
      <w:bookmarkEnd w:id="522"/>
      <w:bookmarkEnd w:id="523"/>
    </w:p>
    <w:p w14:paraId="18EA56B4" w14:textId="77777777" w:rsidR="00F50D70" w:rsidRPr="00BE4F47" w:rsidRDefault="00137D7F" w:rsidP="008E113B">
      <w:pPr>
        <w:spacing w:after="130" w:line="360" w:lineRule="auto"/>
        <w:ind w:left="360"/>
        <w:rPr>
          <w:rFonts w:ascii="Aptos" w:hAnsi="Aptos"/>
        </w:rPr>
      </w:pPr>
      <w:bookmarkStart w:id="524" w:name="_Toc241670164"/>
      <w:bookmarkStart w:id="525" w:name="_Toc241707872"/>
      <w:r w:rsidRPr="00BE4F47">
        <w:rPr>
          <w:rFonts w:ascii="Aptos" w:hAnsi="Aptos"/>
          <w:color w:val="1A1A19"/>
          <w:sz w:val="20"/>
          <w:szCs w:val="20"/>
        </w:rPr>
        <w:t>Dans les trois cas, la défaillance se propage à la décision humaine, donc à la sécurité des personnes. La clause d’exclusion ne s’applique pas.</w:t>
      </w:r>
      <w:bookmarkEnd w:id="524"/>
      <w:bookmarkEnd w:id="525"/>
    </w:p>
    <w:p w14:paraId="36561F41" w14:textId="77777777" w:rsidR="00F50D70" w:rsidRPr="00B03F2E" w:rsidRDefault="00137D7F" w:rsidP="008E113B">
      <w:pPr>
        <w:pStyle w:val="Titre2"/>
        <w:spacing w:line="360" w:lineRule="auto"/>
      </w:pPr>
      <w:bookmarkStart w:id="526" w:name="__RefHeading___Toc240715201"/>
      <w:bookmarkStart w:id="527" w:name="_Toc241707873"/>
      <w:bookmarkEnd w:id="526"/>
      <w:r w:rsidRPr="00B03F2E">
        <w:t>Cadre réglementaire</w:t>
      </w:r>
      <w:bookmarkEnd w:id="527"/>
    </w:p>
    <w:p w14:paraId="287E5102" w14:textId="77777777" w:rsidR="00F50D70" w:rsidRPr="00BE4F47" w:rsidRDefault="00137D7F" w:rsidP="008E113B">
      <w:pPr>
        <w:spacing w:after="130" w:line="360" w:lineRule="auto"/>
        <w:ind w:left="360"/>
        <w:rPr>
          <w:rFonts w:ascii="Aptos" w:hAnsi="Aptos"/>
        </w:rPr>
      </w:pPr>
      <w:bookmarkStart w:id="528" w:name="_Toc241082989"/>
      <w:bookmarkStart w:id="529" w:name="_Toc241670166"/>
      <w:bookmarkStart w:id="530" w:name="_Toc241707874"/>
      <w:r w:rsidRPr="00BE4F47">
        <w:rPr>
          <w:rFonts w:ascii="Aptos" w:hAnsi="Aptos"/>
          <w:color w:val="1A1A19"/>
          <w:sz w:val="20"/>
          <w:szCs w:val="20"/>
        </w:rPr>
        <w:t>Même si le prototype reste entièrement simulé, le cadre réglementaire des installations nucléaires détermine les attentes envers un système réel de même fonction. La Loi sur la sûreté et la réglementation nucléaires [21] en constitue la base, mise en œuvre par le Règlement général [22] et, pour les centrales, par le Règlement sur les installations nucléaires de catégorie I [23].</w:t>
      </w:r>
      <w:bookmarkEnd w:id="528"/>
      <w:bookmarkEnd w:id="529"/>
      <w:bookmarkEnd w:id="530"/>
    </w:p>
    <w:p w14:paraId="5DC47C24" w14:textId="77777777" w:rsidR="00F50D70" w:rsidRPr="00BE4F47" w:rsidRDefault="00137D7F" w:rsidP="008E113B">
      <w:pPr>
        <w:spacing w:after="130" w:line="360" w:lineRule="auto"/>
        <w:ind w:left="360"/>
        <w:rPr>
          <w:rFonts w:ascii="Aptos" w:hAnsi="Aptos"/>
        </w:rPr>
      </w:pPr>
      <w:bookmarkStart w:id="531" w:name="_Toc241082990"/>
      <w:bookmarkStart w:id="532" w:name="_Toc241670167"/>
      <w:bookmarkStart w:id="533" w:name="_Toc241707875"/>
      <w:r w:rsidRPr="00BE4F47">
        <w:rPr>
          <w:rFonts w:ascii="Aptos" w:hAnsi="Aptos"/>
          <w:color w:val="1A1A19"/>
          <w:sz w:val="20"/>
          <w:szCs w:val="20"/>
        </w:rPr>
        <w:t>Ces textes sont toutefois des instruments de portée générale. Les attentes techniques de la Commission canadienne de sûreté nucléaire s’expriment dans ses documents d’application. Deux d’entre eux concernent directement le projet, et ce sont les conditions de permis qui rendent opposables des normes comme CSA N290.7 [24].</w:t>
      </w:r>
      <w:bookmarkEnd w:id="531"/>
      <w:bookmarkEnd w:id="532"/>
      <w:bookmarkEnd w:id="533"/>
    </w:p>
    <w:p w14:paraId="55DB5628" w14:textId="77777777" w:rsidR="00F50D70" w:rsidRPr="00BE4F47" w:rsidRDefault="00137D7F" w:rsidP="008E113B">
      <w:pPr>
        <w:pStyle w:val="Lgende"/>
        <w:keepNext/>
        <w:spacing w:line="360" w:lineRule="auto"/>
        <w:rPr>
          <w:rFonts w:ascii="Aptos" w:hAnsi="Aptos"/>
        </w:rPr>
      </w:pPr>
      <w:bookmarkStart w:id="534" w:name="_Toc241082991"/>
      <w:bookmarkStart w:id="535" w:name="_Toc241670168"/>
      <w:bookmarkStart w:id="536" w:name="_Toc241707876"/>
      <w:r w:rsidRPr="00BE4F47">
        <w:rPr>
          <w:rFonts w:ascii="Aptos" w:hAnsi="Aptos"/>
        </w:rPr>
        <w:t>Tableau 6-2. Cadre réglementaire applicable</w:t>
      </w:r>
      <w:bookmarkEnd w:id="534"/>
      <w:bookmarkEnd w:id="535"/>
      <w:bookmarkEnd w:id="536"/>
    </w:p>
    <w:tbl>
      <w:tblPr>
        <w:tblW w:w="8557" w:type="dxa"/>
        <w:tblInd w:w="413" w:type="dxa"/>
        <w:tblLayout w:type="fixed"/>
        <w:tblCellMar>
          <w:top w:w="70" w:type="dxa"/>
          <w:left w:w="100" w:type="dxa"/>
          <w:bottom w:w="70" w:type="dxa"/>
          <w:right w:w="100" w:type="dxa"/>
        </w:tblCellMar>
        <w:tblLook w:val="04A0" w:firstRow="1" w:lastRow="0" w:firstColumn="1" w:lastColumn="0" w:noHBand="0" w:noVBand="1"/>
      </w:tblPr>
      <w:tblGrid>
        <w:gridCol w:w="2089"/>
        <w:gridCol w:w="3107"/>
        <w:gridCol w:w="3361"/>
      </w:tblGrid>
      <w:tr w:rsidR="00F50D70" w:rsidRPr="00BE4F47" w14:paraId="309F36E7" w14:textId="77777777" w:rsidTr="0036725C">
        <w:trPr>
          <w:trHeight w:val="249"/>
          <w:tblHeader/>
        </w:trPr>
        <w:tc>
          <w:tcPr>
            <w:tcW w:w="2089"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5A8517A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Référence</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3EE8E9F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Objet</w:t>
            </w:r>
          </w:p>
        </w:tc>
        <w:tc>
          <w:tcPr>
            <w:tcW w:w="3361"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0865489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Lien avec le projet</w:t>
            </w:r>
          </w:p>
        </w:tc>
      </w:tr>
      <w:tr w:rsidR="00F50D70" w:rsidRPr="00BE4F47" w14:paraId="3B4CCFE4" w14:textId="77777777">
        <w:trPr>
          <w:cantSplit/>
          <w:trHeight w:val="462"/>
        </w:trPr>
        <w:tc>
          <w:tcPr>
            <w:tcW w:w="2089" w:type="dxa"/>
            <w:tcBorders>
              <w:top w:val="single" w:sz="4" w:space="0" w:color="000000"/>
              <w:left w:val="single" w:sz="4" w:space="0" w:color="000000"/>
              <w:bottom w:val="single" w:sz="4" w:space="0" w:color="000000"/>
              <w:right w:val="single" w:sz="4" w:space="0" w:color="000000"/>
            </w:tcBorders>
            <w:vAlign w:val="center"/>
          </w:tcPr>
          <w:p w14:paraId="670A188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Loi sur la sûreté et la réglementation nucléaires [21]</w:t>
            </w:r>
          </w:p>
        </w:tc>
        <w:tc>
          <w:tcPr>
            <w:tcW w:w="3107" w:type="dxa"/>
            <w:tcBorders>
              <w:top w:val="single" w:sz="4" w:space="0" w:color="000000"/>
              <w:left w:val="single" w:sz="4" w:space="0" w:color="000000"/>
              <w:bottom w:val="single" w:sz="4" w:space="0" w:color="000000"/>
              <w:right w:val="single" w:sz="4" w:space="0" w:color="000000"/>
            </w:tcBorders>
            <w:vAlign w:val="center"/>
          </w:tcPr>
          <w:p w14:paraId="095BE05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Cadre fédéral applicable aux activités et installations nucléaires.</w:t>
            </w:r>
          </w:p>
        </w:tc>
        <w:tc>
          <w:tcPr>
            <w:tcW w:w="3361" w:type="dxa"/>
            <w:tcBorders>
              <w:top w:val="single" w:sz="4" w:space="0" w:color="000000"/>
              <w:left w:val="single" w:sz="4" w:space="0" w:color="000000"/>
              <w:bottom w:val="single" w:sz="4" w:space="0" w:color="000000"/>
              <w:right w:val="single" w:sz="4" w:space="0" w:color="000000"/>
            </w:tcBorders>
            <w:vAlign w:val="center"/>
          </w:tcPr>
          <w:p w14:paraId="24BB2A2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Établit le contexte de sûreté, de responsabilité et de protection du public.</w:t>
            </w:r>
          </w:p>
        </w:tc>
      </w:tr>
      <w:tr w:rsidR="00F50D70" w:rsidRPr="00BE4F47" w14:paraId="36BED27A" w14:textId="77777777">
        <w:trPr>
          <w:cantSplit/>
          <w:trHeight w:val="652"/>
        </w:trPr>
        <w:tc>
          <w:tcPr>
            <w:tcW w:w="2089" w:type="dxa"/>
            <w:tcBorders>
              <w:top w:val="single" w:sz="4" w:space="0" w:color="000000"/>
              <w:left w:val="single" w:sz="4" w:space="0" w:color="000000"/>
              <w:bottom w:val="single" w:sz="4" w:space="0" w:color="000000"/>
              <w:right w:val="single" w:sz="4" w:space="0" w:color="000000"/>
            </w:tcBorders>
            <w:vAlign w:val="center"/>
          </w:tcPr>
          <w:p w14:paraId="0CD040B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Règlement général sur la sûreté et la réglementation nucléaires [22]</w:t>
            </w:r>
          </w:p>
        </w:tc>
        <w:tc>
          <w:tcPr>
            <w:tcW w:w="3107" w:type="dxa"/>
            <w:tcBorders>
              <w:top w:val="single" w:sz="4" w:space="0" w:color="000000"/>
              <w:left w:val="single" w:sz="4" w:space="0" w:color="000000"/>
              <w:bottom w:val="single" w:sz="4" w:space="0" w:color="000000"/>
              <w:right w:val="single" w:sz="4" w:space="0" w:color="000000"/>
            </w:tcBorders>
            <w:vAlign w:val="center"/>
          </w:tcPr>
          <w:p w14:paraId="2C503D2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Exigences générales applicables aux activités réglementées et aux titulaires de permis.</w:t>
            </w:r>
          </w:p>
        </w:tc>
        <w:tc>
          <w:tcPr>
            <w:tcW w:w="3361" w:type="dxa"/>
            <w:tcBorders>
              <w:top w:val="single" w:sz="4" w:space="0" w:color="000000"/>
              <w:left w:val="single" w:sz="4" w:space="0" w:color="000000"/>
              <w:bottom w:val="single" w:sz="4" w:space="0" w:color="000000"/>
              <w:right w:val="single" w:sz="4" w:space="0" w:color="000000"/>
            </w:tcBorders>
            <w:vAlign w:val="center"/>
          </w:tcPr>
          <w:p w14:paraId="1D468DE9"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Fonde les exigences de documentation, de traçabilité et de gestion de l’information du projet.</w:t>
            </w:r>
          </w:p>
        </w:tc>
      </w:tr>
      <w:tr w:rsidR="00F50D70" w:rsidRPr="00BE4F47" w14:paraId="5B1B3F21" w14:textId="77777777">
        <w:trPr>
          <w:cantSplit/>
          <w:trHeight w:val="664"/>
        </w:trPr>
        <w:tc>
          <w:tcPr>
            <w:tcW w:w="2089" w:type="dxa"/>
            <w:tcBorders>
              <w:top w:val="single" w:sz="4" w:space="0" w:color="000000"/>
              <w:left w:val="single" w:sz="4" w:space="0" w:color="000000"/>
              <w:bottom w:val="single" w:sz="4" w:space="0" w:color="000000"/>
              <w:right w:val="single" w:sz="4" w:space="0" w:color="000000"/>
            </w:tcBorders>
            <w:vAlign w:val="center"/>
          </w:tcPr>
          <w:p w14:paraId="519D59F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Règlement sur les installations nucléaires de catégorie I [23]</w:t>
            </w:r>
          </w:p>
        </w:tc>
        <w:tc>
          <w:tcPr>
            <w:tcW w:w="3107" w:type="dxa"/>
            <w:tcBorders>
              <w:top w:val="single" w:sz="4" w:space="0" w:color="000000"/>
              <w:left w:val="single" w:sz="4" w:space="0" w:color="000000"/>
              <w:bottom w:val="single" w:sz="4" w:space="0" w:color="000000"/>
              <w:right w:val="single" w:sz="4" w:space="0" w:color="000000"/>
            </w:tcBorders>
            <w:vAlign w:val="center"/>
          </w:tcPr>
          <w:p w14:paraId="1C90B1F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Encadre les phases de vie d’une installation de catégorie I, y compris l’examen périodique de sûreté.</w:t>
            </w:r>
          </w:p>
        </w:tc>
        <w:tc>
          <w:tcPr>
            <w:tcW w:w="3361" w:type="dxa"/>
            <w:tcBorders>
              <w:top w:val="single" w:sz="4" w:space="0" w:color="000000"/>
              <w:left w:val="single" w:sz="4" w:space="0" w:color="000000"/>
              <w:bottom w:val="single" w:sz="4" w:space="0" w:color="000000"/>
              <w:right w:val="single" w:sz="4" w:space="0" w:color="000000"/>
            </w:tcBorders>
            <w:vAlign w:val="center"/>
          </w:tcPr>
          <w:p w14:paraId="76093AA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Replace le jumeau numérique dans un cycle de vie : exploitation, surveillance, validation, déclassement.</w:t>
            </w:r>
          </w:p>
        </w:tc>
      </w:tr>
      <w:tr w:rsidR="00F50D70" w:rsidRPr="00BE4F47" w14:paraId="0925DFA9" w14:textId="77777777">
        <w:trPr>
          <w:cantSplit/>
          <w:trHeight w:val="652"/>
        </w:trPr>
        <w:tc>
          <w:tcPr>
            <w:tcW w:w="2089" w:type="dxa"/>
            <w:tcBorders>
              <w:top w:val="single" w:sz="4" w:space="0" w:color="000000"/>
              <w:left w:val="single" w:sz="4" w:space="0" w:color="000000"/>
              <w:bottom w:val="single" w:sz="4" w:space="0" w:color="000000"/>
              <w:right w:val="single" w:sz="4" w:space="0" w:color="000000"/>
            </w:tcBorders>
            <w:vAlign w:val="center"/>
          </w:tcPr>
          <w:p w14:paraId="3F51AC9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REGDOC-2.5.2, Conception d’installations dotées de réacteurs [25]</w:t>
            </w:r>
          </w:p>
        </w:tc>
        <w:tc>
          <w:tcPr>
            <w:tcW w:w="3107" w:type="dxa"/>
            <w:tcBorders>
              <w:top w:val="single" w:sz="4" w:space="0" w:color="000000"/>
              <w:left w:val="single" w:sz="4" w:space="0" w:color="000000"/>
              <w:bottom w:val="single" w:sz="4" w:space="0" w:color="000000"/>
              <w:right w:val="single" w:sz="4" w:space="0" w:color="000000"/>
            </w:tcBorders>
            <w:vAlign w:val="center"/>
          </w:tcPr>
          <w:p w14:paraId="3B56909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Attentes de conception, dont celles visant l’instrumentation et le contrôle.</w:t>
            </w:r>
          </w:p>
        </w:tc>
        <w:tc>
          <w:tcPr>
            <w:tcW w:w="3361" w:type="dxa"/>
            <w:tcBorders>
              <w:top w:val="single" w:sz="4" w:space="0" w:color="000000"/>
              <w:left w:val="single" w:sz="4" w:space="0" w:color="000000"/>
              <w:bottom w:val="single" w:sz="4" w:space="0" w:color="000000"/>
              <w:right w:val="single" w:sz="4" w:space="0" w:color="000000"/>
            </w:tcBorders>
            <w:vAlign w:val="center"/>
          </w:tcPr>
          <w:p w14:paraId="02F4EC9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Source des attentes envers un système d’aide à la décision raccordé à une installation réelle.</w:t>
            </w:r>
          </w:p>
        </w:tc>
      </w:tr>
      <w:tr w:rsidR="00F50D70" w:rsidRPr="00BE4F47" w14:paraId="0368DC50" w14:textId="77777777">
        <w:trPr>
          <w:cantSplit/>
          <w:trHeight w:val="450"/>
        </w:trPr>
        <w:tc>
          <w:tcPr>
            <w:tcW w:w="2089" w:type="dxa"/>
            <w:tcBorders>
              <w:top w:val="single" w:sz="4" w:space="0" w:color="000000"/>
              <w:left w:val="single" w:sz="4" w:space="0" w:color="000000"/>
              <w:bottom w:val="single" w:sz="4" w:space="0" w:color="000000"/>
              <w:right w:val="single" w:sz="4" w:space="0" w:color="000000"/>
            </w:tcBorders>
            <w:vAlign w:val="center"/>
          </w:tcPr>
          <w:p w14:paraId="0D0218B6"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REGDOC-2.1.1, Système de gestion [2]</w:t>
            </w:r>
          </w:p>
        </w:tc>
        <w:tc>
          <w:tcPr>
            <w:tcW w:w="3107" w:type="dxa"/>
            <w:tcBorders>
              <w:top w:val="single" w:sz="4" w:space="0" w:color="000000"/>
              <w:left w:val="single" w:sz="4" w:space="0" w:color="000000"/>
              <w:bottom w:val="single" w:sz="4" w:space="0" w:color="000000"/>
              <w:right w:val="single" w:sz="4" w:space="0" w:color="000000"/>
            </w:tcBorders>
            <w:vAlign w:val="center"/>
          </w:tcPr>
          <w:p w14:paraId="247ABF1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Exigences relatives au système de gestion du titulaire de permis.</w:t>
            </w:r>
          </w:p>
        </w:tc>
        <w:tc>
          <w:tcPr>
            <w:tcW w:w="3361" w:type="dxa"/>
            <w:tcBorders>
              <w:top w:val="single" w:sz="4" w:space="0" w:color="000000"/>
              <w:left w:val="single" w:sz="4" w:space="0" w:color="000000"/>
              <w:bottom w:val="single" w:sz="4" w:space="0" w:color="000000"/>
              <w:right w:val="single" w:sz="4" w:space="0" w:color="000000"/>
            </w:tcBorders>
            <w:vAlign w:val="center"/>
          </w:tcPr>
          <w:p w14:paraId="1400F2A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Cadre la gestion documentaire, le contrôle des versions et la traçabilité des résultats d’essai.</w:t>
            </w:r>
          </w:p>
        </w:tc>
      </w:tr>
    </w:tbl>
    <w:p w14:paraId="19F1CB8C" w14:textId="77777777" w:rsidR="00F50D70" w:rsidRPr="00B03F2E" w:rsidRDefault="00137D7F" w:rsidP="008E113B">
      <w:pPr>
        <w:pStyle w:val="Titre2"/>
        <w:spacing w:line="360" w:lineRule="auto"/>
      </w:pPr>
      <w:bookmarkStart w:id="537" w:name="__RefHeading___Toc240715204"/>
      <w:bookmarkStart w:id="538" w:name="_Toc241707877"/>
      <w:bookmarkEnd w:id="537"/>
      <w:r w:rsidRPr="00B03F2E">
        <w:t>Normes applicables</w:t>
      </w:r>
      <w:bookmarkEnd w:id="538"/>
    </w:p>
    <w:p w14:paraId="4F7F0FC8" w14:textId="77777777" w:rsidR="00F50D70" w:rsidRPr="00BE4F47" w:rsidRDefault="00137D7F" w:rsidP="008E113B">
      <w:pPr>
        <w:spacing w:before="200" w:after="130" w:line="360" w:lineRule="auto"/>
        <w:ind w:left="360"/>
        <w:rPr>
          <w:rFonts w:ascii="Aptos" w:hAnsi="Aptos"/>
        </w:rPr>
      </w:pPr>
      <w:bookmarkStart w:id="539" w:name="_Toc241082993"/>
      <w:bookmarkStart w:id="540" w:name="_Toc241670170"/>
      <w:bookmarkStart w:id="541" w:name="_Toc241707878"/>
      <w:r w:rsidRPr="00BE4F47">
        <w:rPr>
          <w:rFonts w:ascii="Aptos" w:hAnsi="Aptos"/>
          <w:color w:val="1A1A19"/>
          <w:sz w:val="20"/>
          <w:szCs w:val="20"/>
        </w:rPr>
        <w:t xml:space="preserve">La revue couvre les principaux aspects techniques du projet : cycle de vie du système et du logiciel, cadre du jumeau numérique, qualité, gestion des risques, vérification et validation des modèles </w:t>
      </w:r>
      <w:r w:rsidRPr="00BE4F47">
        <w:rPr>
          <w:rFonts w:ascii="Aptos" w:hAnsi="Aptos"/>
          <w:color w:val="1A1A19"/>
          <w:sz w:val="20"/>
          <w:szCs w:val="20"/>
        </w:rPr>
        <w:lastRenderedPageBreak/>
        <w:t>numériques, cybersécurité, sûreté nucléaire, instrumentation et contrôle, et interface homme-machine. Dix-huit normes ont été examinées et figurent au tableau 6-3.</w:t>
      </w:r>
      <w:bookmarkEnd w:id="539"/>
      <w:bookmarkEnd w:id="540"/>
      <w:bookmarkEnd w:id="541"/>
    </w:p>
    <w:p w14:paraId="0CFE4B20" w14:textId="77777777" w:rsidR="00F50D70" w:rsidRPr="00BE4F47" w:rsidRDefault="00137D7F" w:rsidP="008E113B">
      <w:pPr>
        <w:spacing w:after="130" w:line="360" w:lineRule="auto"/>
        <w:ind w:left="360"/>
        <w:rPr>
          <w:rFonts w:ascii="Aptos" w:hAnsi="Aptos" w:cs="Calibri"/>
        </w:rPr>
      </w:pPr>
      <w:bookmarkStart w:id="542" w:name="_Toc241083002"/>
      <w:bookmarkStart w:id="543" w:name="_Toc241670171"/>
      <w:bookmarkStart w:id="544" w:name="_Toc241707879"/>
      <w:r w:rsidRPr="00BE4F47">
        <w:rPr>
          <w:rFonts w:ascii="Aptos" w:hAnsi="Aptos"/>
          <w:b/>
          <w:color w:val="1A1A19"/>
          <w:sz w:val="20"/>
          <w:szCs w:val="20"/>
        </w:rPr>
        <w:t xml:space="preserve">La déclaration d’applicabilité. </w:t>
      </w:r>
      <w:r w:rsidRPr="00BE4F47">
        <w:rPr>
          <w:rFonts w:ascii="Aptos" w:hAnsi="Aptos"/>
          <w:color w:val="1A1A19"/>
          <w:sz w:val="20"/>
          <w:szCs w:val="20"/>
        </w:rPr>
        <w:t>La revue distingue les normes retenues pour application de celles consultées à titre de référence, pour ne pas revendiquer une conformité qui ne peut pas encore être démontrée.</w:t>
      </w:r>
      <w:bookmarkEnd w:id="542"/>
      <w:bookmarkEnd w:id="543"/>
      <w:bookmarkEnd w:id="544"/>
    </w:p>
    <w:p w14:paraId="70CEEBC9" w14:textId="77777777" w:rsidR="00F50D70" w:rsidRPr="00BE4F47" w:rsidRDefault="00137D7F" w:rsidP="008E113B">
      <w:pPr>
        <w:spacing w:after="130" w:line="360" w:lineRule="auto"/>
        <w:ind w:left="360"/>
        <w:outlineLvl w:val="9"/>
        <w:rPr>
          <w:rFonts w:ascii="Aptos" w:hAnsi="Aptos"/>
        </w:rPr>
      </w:pPr>
      <w:r w:rsidRPr="00BE4F47">
        <w:rPr>
          <w:rFonts w:ascii="Aptos" w:hAnsi="Aptos"/>
          <w:color w:val="1A1A19"/>
          <w:sz w:val="20"/>
          <w:szCs w:val="20"/>
        </w:rPr>
        <w:t>Normes retenues pour application. Neuf normes structurent les travaux : ISO/IEC/IEEE 15288, ISO/IEC/IEEE 12207, ISO/IEC/IEEE 29148, ISO 23247, ISO/IEC 25010, ISO 31000, ASME V&amp;V 20, IEEE 1012 et ISO 9241-210. L’équipe en retient les principes et exigences pertinents pour les traduire en critères de conception ou d’essai. Les articles précis seront confirmés lorsque le texte intégral aura pu être consulté dans une version autorisée.</w:t>
      </w:r>
    </w:p>
    <w:p w14:paraId="4D386EA3" w14:textId="77777777" w:rsidR="00F50D70" w:rsidRPr="00BE4F47" w:rsidRDefault="00137D7F" w:rsidP="008E113B">
      <w:pPr>
        <w:spacing w:after="130" w:line="360" w:lineRule="auto"/>
        <w:ind w:left="360"/>
        <w:rPr>
          <w:rFonts w:ascii="Aptos" w:hAnsi="Aptos"/>
        </w:rPr>
      </w:pPr>
      <w:bookmarkStart w:id="545" w:name="_Toc241083003"/>
      <w:bookmarkStart w:id="546" w:name="_Toc241670172"/>
      <w:bookmarkStart w:id="547" w:name="_Toc241707880"/>
      <w:r w:rsidRPr="00BE4F47">
        <w:rPr>
          <w:rFonts w:ascii="Aptos" w:hAnsi="Aptos"/>
          <w:color w:val="1A1A19"/>
          <w:sz w:val="20"/>
          <w:szCs w:val="20"/>
        </w:rPr>
        <w:t>Normes consultées. Les neuf autres ne sont pas appliquées au prototype. Sept d’entre elles s’adressent à l’exploitant d’une installation nucléaire réelle, titulaire d’un permis : CSA N290.7, IEC 62645, IEC 63096, IEC 62859, IEC 61513, IEC 60880 et IEC 62138. Le prototype n’entre pas dans leur domaine d’application déclaré. Les deux dernières, ISO/IEC 27001 et ISO/IEC 27005, ne sont pas des normes nucléaires : ce sont des normes générales de sécurité de l’information, consultées pour leur méthode. Dans les deux cas, aucune exigence de norme n’est reprise telle quelle comme critère d’acceptation et le rapport final ne démontrera aucune conformité.</w:t>
      </w:r>
      <w:bookmarkEnd w:id="545"/>
      <w:bookmarkEnd w:id="546"/>
      <w:bookmarkEnd w:id="547"/>
    </w:p>
    <w:p w14:paraId="5CB3933D" w14:textId="77777777" w:rsidR="00F50D70" w:rsidRDefault="00137D7F" w:rsidP="008E113B">
      <w:pPr>
        <w:spacing w:after="130" w:line="360" w:lineRule="auto"/>
        <w:ind w:left="360"/>
        <w:rPr>
          <w:rFonts w:ascii="Aptos" w:eastAsia="Calibri" w:hAnsi="Aptos" w:cs="Calibri"/>
          <w:color w:val="1A1A19"/>
          <w:sz w:val="20"/>
          <w:szCs w:val="20"/>
        </w:rPr>
      </w:pPr>
      <w:bookmarkStart w:id="548" w:name="_Toc241083004"/>
      <w:bookmarkStart w:id="549" w:name="_Toc241670173"/>
      <w:bookmarkStart w:id="550" w:name="_Toc241707881"/>
      <w:r w:rsidRPr="00BE4F47">
        <w:rPr>
          <w:rFonts w:ascii="Aptos" w:hAnsi="Aptos"/>
          <w:color w:val="1A1A19"/>
          <w:sz w:val="20"/>
          <w:szCs w:val="20"/>
        </w:rPr>
        <w:t>L’équipe en retient tout de même quatre principes, inscrits au registre des exigences comme exigences internes du projet : séparation des fonctions, intégrité des données, journalisation des événements, coordination entre sûreté et cybersécurité. L’exigence EX-Q-04 en est l’exemple : elle reprend le principe d’intégrité des données d’IEC 62645 sans invoquer un article de cette norme. Leur respect sera vérifié par la campagne d’essais du lot L9, au même titre que les autres exigences internes.</w:t>
      </w:r>
      <w:bookmarkEnd w:id="548"/>
      <w:bookmarkEnd w:id="549"/>
      <w:bookmarkEnd w:id="550"/>
    </w:p>
    <w:p w14:paraId="52DECAD2" w14:textId="77777777" w:rsidR="00F50D70" w:rsidRPr="00BE4F47" w:rsidRDefault="00137D7F" w:rsidP="008E113B">
      <w:pPr>
        <w:pStyle w:val="Lgende"/>
        <w:keepNext/>
        <w:spacing w:line="360" w:lineRule="auto"/>
        <w:rPr>
          <w:rFonts w:ascii="Aptos" w:hAnsi="Aptos"/>
        </w:rPr>
      </w:pPr>
      <w:bookmarkStart w:id="551" w:name="_Toc241083006"/>
      <w:bookmarkStart w:id="552" w:name="_Toc241670174"/>
      <w:bookmarkStart w:id="553" w:name="_Toc241707882"/>
      <w:r w:rsidRPr="00BE4F47">
        <w:rPr>
          <w:rFonts w:ascii="Aptos" w:hAnsi="Aptos"/>
        </w:rPr>
        <w:t>Tableau 6-3. Normes retenues et incidence sur la conception</w:t>
      </w:r>
      <w:bookmarkEnd w:id="551"/>
      <w:bookmarkEnd w:id="552"/>
      <w:bookmarkEnd w:id="553"/>
    </w:p>
    <w:tbl>
      <w:tblPr>
        <w:tblW w:w="8557" w:type="dxa"/>
        <w:tblInd w:w="413" w:type="dxa"/>
        <w:tblLayout w:type="fixed"/>
        <w:tblCellMar>
          <w:top w:w="70" w:type="dxa"/>
          <w:left w:w="100" w:type="dxa"/>
          <w:bottom w:w="70" w:type="dxa"/>
          <w:right w:w="100" w:type="dxa"/>
        </w:tblCellMar>
        <w:tblLook w:val="04A0" w:firstRow="1" w:lastRow="0" w:firstColumn="1" w:lastColumn="0" w:noHBand="0" w:noVBand="1"/>
      </w:tblPr>
      <w:tblGrid>
        <w:gridCol w:w="1287"/>
        <w:gridCol w:w="1035"/>
        <w:gridCol w:w="1819"/>
        <w:gridCol w:w="1637"/>
        <w:gridCol w:w="2779"/>
      </w:tblGrid>
      <w:tr w:rsidR="00F50D70" w:rsidRPr="00BE4F47" w14:paraId="5A6BC6F7" w14:textId="77777777" w:rsidTr="0036725C">
        <w:trPr>
          <w:trHeight w:val="578"/>
          <w:tblHeader/>
        </w:trPr>
        <w:tc>
          <w:tcPr>
            <w:tcW w:w="1287"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4817CF0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Norme</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546E193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Millésime</w:t>
            </w:r>
          </w:p>
        </w:tc>
        <w:tc>
          <w:tcPr>
            <w:tcW w:w="1819"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1ECAD68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Objet principal</w:t>
            </w:r>
          </w:p>
        </w:tc>
        <w:tc>
          <w:tcPr>
            <w:tcW w:w="1637"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6695010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Éléments retenus</w:t>
            </w:r>
          </w:p>
        </w:tc>
        <w:tc>
          <w:tcPr>
            <w:tcW w:w="2779"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7D55AA1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Incidence sur la conception</w:t>
            </w:r>
          </w:p>
        </w:tc>
      </w:tr>
      <w:tr w:rsidR="00F50D70" w:rsidRPr="00BE4F47" w14:paraId="1A190ABF"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73BCE6F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ISO/IEC/IEEE 15288 [26]</w:t>
            </w:r>
          </w:p>
        </w:tc>
        <w:tc>
          <w:tcPr>
            <w:tcW w:w="1035" w:type="dxa"/>
            <w:tcBorders>
              <w:top w:val="single" w:sz="4" w:space="0" w:color="000000"/>
              <w:left w:val="single" w:sz="4" w:space="0" w:color="000000"/>
              <w:bottom w:val="single" w:sz="4" w:space="0" w:color="000000"/>
              <w:right w:val="single" w:sz="4" w:space="0" w:color="000000"/>
            </w:tcBorders>
            <w:vAlign w:val="center"/>
          </w:tcPr>
          <w:p w14:paraId="30F6826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2023</w:t>
            </w:r>
          </w:p>
        </w:tc>
        <w:tc>
          <w:tcPr>
            <w:tcW w:w="1819" w:type="dxa"/>
            <w:tcBorders>
              <w:top w:val="single" w:sz="4" w:space="0" w:color="000000"/>
              <w:left w:val="single" w:sz="4" w:space="0" w:color="000000"/>
              <w:bottom w:val="single" w:sz="4" w:space="0" w:color="000000"/>
              <w:right w:val="single" w:sz="4" w:space="0" w:color="000000"/>
            </w:tcBorders>
            <w:vAlign w:val="center"/>
          </w:tcPr>
          <w:p w14:paraId="7BF4907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Processus du cycle de vie des systèmes</w:t>
            </w:r>
          </w:p>
        </w:tc>
        <w:tc>
          <w:tcPr>
            <w:tcW w:w="1637" w:type="dxa"/>
            <w:tcBorders>
              <w:top w:val="single" w:sz="4" w:space="0" w:color="000000"/>
              <w:left w:val="single" w:sz="4" w:space="0" w:color="000000"/>
              <w:bottom w:val="single" w:sz="4" w:space="0" w:color="000000"/>
              <w:right w:val="single" w:sz="4" w:space="0" w:color="000000"/>
            </w:tcBorders>
            <w:vAlign w:val="center"/>
          </w:tcPr>
          <w:p w14:paraId="7057EFA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Besoins, architecture, intégration, V&amp;V</w:t>
            </w:r>
          </w:p>
        </w:tc>
        <w:tc>
          <w:tcPr>
            <w:tcW w:w="2779" w:type="dxa"/>
            <w:tcBorders>
              <w:top w:val="single" w:sz="4" w:space="0" w:color="000000"/>
              <w:left w:val="single" w:sz="4" w:space="0" w:color="000000"/>
              <w:bottom w:val="single" w:sz="4" w:space="0" w:color="000000"/>
              <w:right w:val="single" w:sz="4" w:space="0" w:color="000000"/>
            </w:tcBorders>
            <w:vAlign w:val="center"/>
          </w:tcPr>
          <w:p w14:paraId="7892281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Structure la démarche d’ingénierie : analyse des besoins, architecture globale, intégration et validation du jumeau numérique.</w:t>
            </w:r>
          </w:p>
        </w:tc>
      </w:tr>
      <w:tr w:rsidR="00F50D70" w:rsidRPr="00BE4F47" w14:paraId="20077DD1"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31920A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ISO/IEC/IEEE 29148 [1]</w:t>
            </w:r>
          </w:p>
        </w:tc>
        <w:tc>
          <w:tcPr>
            <w:tcW w:w="1035" w:type="dxa"/>
            <w:tcBorders>
              <w:top w:val="single" w:sz="4" w:space="0" w:color="000000"/>
              <w:left w:val="single" w:sz="4" w:space="0" w:color="000000"/>
              <w:bottom w:val="single" w:sz="4" w:space="0" w:color="000000"/>
              <w:right w:val="single" w:sz="4" w:space="0" w:color="000000"/>
            </w:tcBorders>
            <w:vAlign w:val="center"/>
          </w:tcPr>
          <w:p w14:paraId="4A9D90E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2018</w:t>
            </w:r>
          </w:p>
        </w:tc>
        <w:tc>
          <w:tcPr>
            <w:tcW w:w="1819" w:type="dxa"/>
            <w:tcBorders>
              <w:top w:val="single" w:sz="4" w:space="0" w:color="000000"/>
              <w:left w:val="single" w:sz="4" w:space="0" w:color="000000"/>
              <w:bottom w:val="single" w:sz="4" w:space="0" w:color="000000"/>
              <w:right w:val="single" w:sz="4" w:space="0" w:color="000000"/>
            </w:tcBorders>
            <w:vAlign w:val="center"/>
          </w:tcPr>
          <w:p w14:paraId="19CBDF7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Ingénierie des exigences</w:t>
            </w:r>
          </w:p>
        </w:tc>
        <w:tc>
          <w:tcPr>
            <w:tcW w:w="1637" w:type="dxa"/>
            <w:tcBorders>
              <w:top w:val="single" w:sz="4" w:space="0" w:color="000000"/>
              <w:left w:val="single" w:sz="4" w:space="0" w:color="000000"/>
              <w:bottom w:val="single" w:sz="4" w:space="0" w:color="000000"/>
              <w:right w:val="single" w:sz="4" w:space="0" w:color="000000"/>
            </w:tcBorders>
            <w:vAlign w:val="center"/>
          </w:tcPr>
          <w:p w14:paraId="3D49400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Règles de rédaction et caractéristiques d’une exigence vérifiable</w:t>
            </w:r>
          </w:p>
        </w:tc>
        <w:tc>
          <w:tcPr>
            <w:tcW w:w="2779" w:type="dxa"/>
            <w:tcBorders>
              <w:top w:val="single" w:sz="4" w:space="0" w:color="000000"/>
              <w:left w:val="single" w:sz="4" w:space="0" w:color="000000"/>
              <w:bottom w:val="single" w:sz="4" w:space="0" w:color="000000"/>
              <w:right w:val="single" w:sz="4" w:space="0" w:color="000000"/>
            </w:tcBorders>
            <w:vAlign w:val="center"/>
          </w:tcPr>
          <w:p w14:paraId="3E2B592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Fixe la forme des exigences du registre de la section 1 : un verbe d’action observable, une condition de déclenchement et un moyen de vérification.</w:t>
            </w:r>
          </w:p>
        </w:tc>
      </w:tr>
      <w:tr w:rsidR="00F50D70" w:rsidRPr="00BE4F47" w14:paraId="460B147B" w14:textId="77777777">
        <w:trPr>
          <w:cantSplit/>
          <w:trHeight w:val="1613"/>
        </w:trPr>
        <w:tc>
          <w:tcPr>
            <w:tcW w:w="1287" w:type="dxa"/>
            <w:tcBorders>
              <w:top w:val="single" w:sz="4" w:space="0" w:color="000000"/>
              <w:left w:val="single" w:sz="4" w:space="0" w:color="000000"/>
              <w:bottom w:val="single" w:sz="4" w:space="0" w:color="000000"/>
              <w:right w:val="single" w:sz="4" w:space="0" w:color="000000"/>
            </w:tcBorders>
            <w:vAlign w:val="center"/>
          </w:tcPr>
          <w:p w14:paraId="4DBDF5C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lastRenderedPageBreak/>
              <w:t>ISO/IEC/IEEE 12207 [3]</w:t>
            </w:r>
          </w:p>
        </w:tc>
        <w:tc>
          <w:tcPr>
            <w:tcW w:w="1035" w:type="dxa"/>
            <w:tcBorders>
              <w:top w:val="single" w:sz="4" w:space="0" w:color="000000"/>
              <w:left w:val="single" w:sz="4" w:space="0" w:color="000000"/>
              <w:bottom w:val="single" w:sz="4" w:space="0" w:color="000000"/>
              <w:right w:val="single" w:sz="4" w:space="0" w:color="000000"/>
            </w:tcBorders>
            <w:vAlign w:val="center"/>
          </w:tcPr>
          <w:p w14:paraId="0B8A126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2026</w:t>
            </w:r>
          </w:p>
        </w:tc>
        <w:tc>
          <w:tcPr>
            <w:tcW w:w="1819" w:type="dxa"/>
            <w:tcBorders>
              <w:top w:val="single" w:sz="4" w:space="0" w:color="000000"/>
              <w:left w:val="single" w:sz="4" w:space="0" w:color="000000"/>
              <w:bottom w:val="single" w:sz="4" w:space="0" w:color="000000"/>
              <w:right w:val="single" w:sz="4" w:space="0" w:color="000000"/>
            </w:tcBorders>
            <w:vAlign w:val="center"/>
          </w:tcPr>
          <w:p w14:paraId="4AF0EE1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Processus du cycle de vie du logiciel</w:t>
            </w:r>
          </w:p>
        </w:tc>
        <w:tc>
          <w:tcPr>
            <w:tcW w:w="1637" w:type="dxa"/>
            <w:tcBorders>
              <w:top w:val="single" w:sz="4" w:space="0" w:color="000000"/>
              <w:left w:val="single" w:sz="4" w:space="0" w:color="000000"/>
              <w:bottom w:val="single" w:sz="4" w:space="0" w:color="000000"/>
              <w:right w:val="single" w:sz="4" w:space="0" w:color="000000"/>
            </w:tcBorders>
            <w:vAlign w:val="center"/>
          </w:tcPr>
          <w:p w14:paraId="17EA6E5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Développement, intégration, essais, maintenance</w:t>
            </w:r>
          </w:p>
        </w:tc>
        <w:tc>
          <w:tcPr>
            <w:tcW w:w="2779" w:type="dxa"/>
            <w:tcBorders>
              <w:top w:val="single" w:sz="4" w:space="0" w:color="000000"/>
              <w:left w:val="single" w:sz="4" w:space="0" w:color="000000"/>
              <w:bottom w:val="single" w:sz="4" w:space="0" w:color="000000"/>
              <w:right w:val="single" w:sz="4" w:space="0" w:color="000000"/>
            </w:tcBorders>
            <w:vAlign w:val="center"/>
          </w:tcPr>
          <w:p w14:paraId="17983A8E"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Structure les activités logicielles : développement, simulation, intégration des modules et essais. Édition 2 publiée en avril 2026, remplace l’édition 2017 annulée.</w:t>
            </w:r>
          </w:p>
        </w:tc>
      </w:tr>
      <w:tr w:rsidR="00F50D70" w:rsidRPr="00BE4F47" w14:paraId="1FDA9E2D" w14:textId="77777777">
        <w:trPr>
          <w:cantSplit/>
          <w:trHeight w:val="1876"/>
        </w:trPr>
        <w:tc>
          <w:tcPr>
            <w:tcW w:w="1287" w:type="dxa"/>
            <w:tcBorders>
              <w:top w:val="single" w:sz="4" w:space="0" w:color="000000"/>
              <w:left w:val="single" w:sz="4" w:space="0" w:color="000000"/>
              <w:bottom w:val="single" w:sz="4" w:space="0" w:color="000000"/>
              <w:right w:val="single" w:sz="4" w:space="0" w:color="000000"/>
            </w:tcBorders>
            <w:vAlign w:val="center"/>
          </w:tcPr>
          <w:p w14:paraId="321D83A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 23247-1 et -2 [27], [28]</w:t>
            </w:r>
          </w:p>
        </w:tc>
        <w:tc>
          <w:tcPr>
            <w:tcW w:w="1035" w:type="dxa"/>
            <w:tcBorders>
              <w:top w:val="single" w:sz="4" w:space="0" w:color="000000"/>
              <w:left w:val="single" w:sz="4" w:space="0" w:color="000000"/>
              <w:bottom w:val="single" w:sz="4" w:space="0" w:color="000000"/>
              <w:right w:val="single" w:sz="4" w:space="0" w:color="000000"/>
            </w:tcBorders>
            <w:vAlign w:val="center"/>
          </w:tcPr>
          <w:p w14:paraId="3151919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2021</w:t>
            </w:r>
          </w:p>
        </w:tc>
        <w:tc>
          <w:tcPr>
            <w:tcW w:w="1819" w:type="dxa"/>
            <w:tcBorders>
              <w:top w:val="single" w:sz="4" w:space="0" w:color="000000"/>
              <w:left w:val="single" w:sz="4" w:space="0" w:color="000000"/>
              <w:bottom w:val="single" w:sz="4" w:space="0" w:color="000000"/>
              <w:right w:val="single" w:sz="4" w:space="0" w:color="000000"/>
            </w:tcBorders>
            <w:vAlign w:val="center"/>
          </w:tcPr>
          <w:p w14:paraId="214C00F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Cadre du jumeau numérique</w:t>
            </w:r>
          </w:p>
        </w:tc>
        <w:tc>
          <w:tcPr>
            <w:tcW w:w="1637" w:type="dxa"/>
            <w:tcBorders>
              <w:top w:val="single" w:sz="4" w:space="0" w:color="000000"/>
              <w:left w:val="single" w:sz="4" w:space="0" w:color="000000"/>
              <w:bottom w:val="single" w:sz="4" w:space="0" w:color="000000"/>
              <w:right w:val="single" w:sz="4" w:space="0" w:color="000000"/>
            </w:tcBorders>
            <w:vAlign w:val="center"/>
          </w:tcPr>
          <w:p w14:paraId="7BCEB24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Principes généraux, architecture de référence et découpage en entités</w:t>
            </w:r>
          </w:p>
        </w:tc>
        <w:tc>
          <w:tcPr>
            <w:tcW w:w="2779" w:type="dxa"/>
            <w:tcBorders>
              <w:top w:val="single" w:sz="4" w:space="0" w:color="000000"/>
              <w:left w:val="single" w:sz="4" w:space="0" w:color="000000"/>
              <w:bottom w:val="single" w:sz="4" w:space="0" w:color="000000"/>
              <w:right w:val="single" w:sz="4" w:space="0" w:color="000000"/>
            </w:tcBorders>
            <w:vAlign w:val="center"/>
          </w:tcPr>
          <w:p w14:paraId="439AAC8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Sépare les composantes : boucle simulée, acquisition, modèle numérique, analyse, interface. Norme établie pour la fabrication ; employée ici par analogie, hors de son domaine d’application déclaré.</w:t>
            </w:r>
          </w:p>
        </w:tc>
      </w:tr>
      <w:tr w:rsidR="00F50D70" w:rsidRPr="00BE4F47" w14:paraId="5C85796F"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20F2EEF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 25010 [29]</w:t>
            </w:r>
          </w:p>
        </w:tc>
        <w:tc>
          <w:tcPr>
            <w:tcW w:w="1035" w:type="dxa"/>
            <w:tcBorders>
              <w:top w:val="single" w:sz="4" w:space="0" w:color="000000"/>
              <w:left w:val="single" w:sz="4" w:space="0" w:color="000000"/>
              <w:bottom w:val="single" w:sz="4" w:space="0" w:color="000000"/>
              <w:right w:val="single" w:sz="4" w:space="0" w:color="000000"/>
            </w:tcBorders>
            <w:vAlign w:val="center"/>
          </w:tcPr>
          <w:p w14:paraId="22C6C35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2023</w:t>
            </w:r>
          </w:p>
        </w:tc>
        <w:tc>
          <w:tcPr>
            <w:tcW w:w="1819" w:type="dxa"/>
            <w:tcBorders>
              <w:top w:val="single" w:sz="4" w:space="0" w:color="000000"/>
              <w:left w:val="single" w:sz="4" w:space="0" w:color="000000"/>
              <w:bottom w:val="single" w:sz="4" w:space="0" w:color="000000"/>
              <w:right w:val="single" w:sz="4" w:space="0" w:color="000000"/>
            </w:tcBorders>
            <w:vAlign w:val="center"/>
          </w:tcPr>
          <w:p w14:paraId="3E4198C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Qualité des systèmes et du logiciel (SQuaRE)</w:t>
            </w:r>
          </w:p>
        </w:tc>
        <w:tc>
          <w:tcPr>
            <w:tcW w:w="1637" w:type="dxa"/>
            <w:tcBorders>
              <w:top w:val="single" w:sz="4" w:space="0" w:color="000000"/>
              <w:left w:val="single" w:sz="4" w:space="0" w:color="000000"/>
              <w:bottom w:val="single" w:sz="4" w:space="0" w:color="000000"/>
              <w:right w:val="single" w:sz="4" w:space="0" w:color="000000"/>
            </w:tcBorders>
            <w:vAlign w:val="center"/>
          </w:tcPr>
          <w:p w14:paraId="758E1960"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Fiabilité, performance, sécurité, maintenabilité, utilisabilité</w:t>
            </w:r>
          </w:p>
        </w:tc>
        <w:tc>
          <w:tcPr>
            <w:tcW w:w="2779" w:type="dxa"/>
            <w:tcBorders>
              <w:top w:val="single" w:sz="4" w:space="0" w:color="000000"/>
              <w:left w:val="single" w:sz="4" w:space="0" w:color="000000"/>
              <w:bottom w:val="single" w:sz="4" w:space="0" w:color="000000"/>
              <w:right w:val="single" w:sz="4" w:space="0" w:color="000000"/>
            </w:tcBorders>
            <w:vAlign w:val="center"/>
          </w:tcPr>
          <w:p w14:paraId="67705BF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Fournit les caractéristiques de qualité servant de critères d’acceptation mesurables du prototype.</w:t>
            </w:r>
          </w:p>
        </w:tc>
      </w:tr>
      <w:tr w:rsidR="00F50D70" w:rsidRPr="00BE4F47" w14:paraId="5541E4E2"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07907B9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 31000 [30]</w:t>
            </w:r>
          </w:p>
        </w:tc>
        <w:tc>
          <w:tcPr>
            <w:tcW w:w="1035" w:type="dxa"/>
            <w:tcBorders>
              <w:top w:val="single" w:sz="4" w:space="0" w:color="000000"/>
              <w:left w:val="single" w:sz="4" w:space="0" w:color="000000"/>
              <w:bottom w:val="single" w:sz="4" w:space="0" w:color="000000"/>
              <w:right w:val="single" w:sz="4" w:space="0" w:color="000000"/>
            </w:tcBorders>
            <w:vAlign w:val="center"/>
          </w:tcPr>
          <w:p w14:paraId="4CE1B7F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2018</w:t>
            </w:r>
          </w:p>
        </w:tc>
        <w:tc>
          <w:tcPr>
            <w:tcW w:w="1819" w:type="dxa"/>
            <w:tcBorders>
              <w:top w:val="single" w:sz="4" w:space="0" w:color="000000"/>
              <w:left w:val="single" w:sz="4" w:space="0" w:color="000000"/>
              <w:bottom w:val="single" w:sz="4" w:space="0" w:color="000000"/>
              <w:right w:val="single" w:sz="4" w:space="0" w:color="000000"/>
            </w:tcBorders>
            <w:vAlign w:val="center"/>
          </w:tcPr>
          <w:p w14:paraId="0A5AE7A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Management du risque</w:t>
            </w:r>
          </w:p>
        </w:tc>
        <w:tc>
          <w:tcPr>
            <w:tcW w:w="1637" w:type="dxa"/>
            <w:tcBorders>
              <w:top w:val="single" w:sz="4" w:space="0" w:color="000000"/>
              <w:left w:val="single" w:sz="4" w:space="0" w:color="000000"/>
              <w:bottom w:val="single" w:sz="4" w:space="0" w:color="000000"/>
              <w:right w:val="single" w:sz="4" w:space="0" w:color="000000"/>
            </w:tcBorders>
            <w:vAlign w:val="center"/>
          </w:tcPr>
          <w:p w14:paraId="5C75CD9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Identification, analyse, évaluation, traitement</w:t>
            </w:r>
          </w:p>
        </w:tc>
        <w:tc>
          <w:tcPr>
            <w:tcW w:w="2779" w:type="dxa"/>
            <w:tcBorders>
              <w:top w:val="single" w:sz="4" w:space="0" w:color="000000"/>
              <w:left w:val="single" w:sz="4" w:space="0" w:color="000000"/>
              <w:bottom w:val="single" w:sz="4" w:space="0" w:color="000000"/>
              <w:right w:val="single" w:sz="4" w:space="0" w:color="000000"/>
            </w:tcBorders>
            <w:vAlign w:val="center"/>
          </w:tcPr>
          <w:p w14:paraId="2E5D884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Structure la démarche de gestion des risques et alimente la section 7 du plan. Norme en cours de révision ; l’édition 2018 demeure en vigueur.</w:t>
            </w:r>
          </w:p>
        </w:tc>
      </w:tr>
      <w:tr w:rsidR="00F50D70" w:rsidRPr="00BE4F47" w14:paraId="20309386" w14:textId="77777777">
        <w:trPr>
          <w:cantSplit/>
          <w:trHeight w:val="1876"/>
        </w:trPr>
        <w:tc>
          <w:tcPr>
            <w:tcW w:w="1287" w:type="dxa"/>
            <w:tcBorders>
              <w:top w:val="single" w:sz="4" w:space="0" w:color="000000"/>
              <w:left w:val="single" w:sz="4" w:space="0" w:color="000000"/>
              <w:bottom w:val="single" w:sz="4" w:space="0" w:color="000000"/>
              <w:right w:val="single" w:sz="4" w:space="0" w:color="000000"/>
            </w:tcBorders>
            <w:vAlign w:val="center"/>
          </w:tcPr>
          <w:p w14:paraId="5BF68AD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ASME V&amp;V 20 [31]</w:t>
            </w:r>
          </w:p>
        </w:tc>
        <w:tc>
          <w:tcPr>
            <w:tcW w:w="1035" w:type="dxa"/>
            <w:tcBorders>
              <w:top w:val="single" w:sz="4" w:space="0" w:color="000000"/>
              <w:left w:val="single" w:sz="4" w:space="0" w:color="000000"/>
              <w:bottom w:val="single" w:sz="4" w:space="0" w:color="000000"/>
              <w:right w:val="single" w:sz="4" w:space="0" w:color="000000"/>
            </w:tcBorders>
            <w:vAlign w:val="center"/>
          </w:tcPr>
          <w:p w14:paraId="1C38502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2009 (R2021)</w:t>
            </w:r>
          </w:p>
        </w:tc>
        <w:tc>
          <w:tcPr>
            <w:tcW w:w="1819" w:type="dxa"/>
            <w:tcBorders>
              <w:top w:val="single" w:sz="4" w:space="0" w:color="000000"/>
              <w:left w:val="single" w:sz="4" w:space="0" w:color="000000"/>
              <w:bottom w:val="single" w:sz="4" w:space="0" w:color="000000"/>
              <w:right w:val="single" w:sz="4" w:space="0" w:color="000000"/>
            </w:tcBorders>
            <w:vAlign w:val="center"/>
          </w:tcPr>
          <w:p w14:paraId="376825B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Vérification et validation en mécanique des fluides numérique et transferts thermiques</w:t>
            </w:r>
          </w:p>
        </w:tc>
        <w:tc>
          <w:tcPr>
            <w:tcW w:w="1637" w:type="dxa"/>
            <w:tcBorders>
              <w:top w:val="single" w:sz="4" w:space="0" w:color="000000"/>
              <w:left w:val="single" w:sz="4" w:space="0" w:color="000000"/>
              <w:bottom w:val="single" w:sz="4" w:space="0" w:color="000000"/>
              <w:right w:val="single" w:sz="4" w:space="0" w:color="000000"/>
            </w:tcBorders>
            <w:vAlign w:val="center"/>
          </w:tcPr>
          <w:p w14:paraId="317C8C44"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Erreur numérique, erreur de modèle, incertitude de validation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121DE6E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Fournit la méthode pour établir la crédibilité du modèle thermohydraulique et pour quantifier l’incertitude comparée aux données de référence. C’est la norme qui outille la campagne d’essais.</w:t>
            </w:r>
          </w:p>
        </w:tc>
      </w:tr>
      <w:tr w:rsidR="00F50D70" w:rsidRPr="00BE4F47" w14:paraId="4EC858EE"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0298407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IEEE 1012 [32]</w:t>
            </w:r>
          </w:p>
        </w:tc>
        <w:tc>
          <w:tcPr>
            <w:tcW w:w="1035" w:type="dxa"/>
            <w:tcBorders>
              <w:top w:val="single" w:sz="4" w:space="0" w:color="000000"/>
              <w:left w:val="single" w:sz="4" w:space="0" w:color="000000"/>
              <w:bottom w:val="single" w:sz="4" w:space="0" w:color="000000"/>
              <w:right w:val="single" w:sz="4" w:space="0" w:color="000000"/>
            </w:tcBorders>
            <w:vAlign w:val="center"/>
          </w:tcPr>
          <w:p w14:paraId="25EDE55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2024</w:t>
            </w:r>
          </w:p>
        </w:tc>
        <w:tc>
          <w:tcPr>
            <w:tcW w:w="1819" w:type="dxa"/>
            <w:tcBorders>
              <w:top w:val="single" w:sz="4" w:space="0" w:color="000000"/>
              <w:left w:val="single" w:sz="4" w:space="0" w:color="000000"/>
              <w:bottom w:val="single" w:sz="4" w:space="0" w:color="000000"/>
              <w:right w:val="single" w:sz="4" w:space="0" w:color="000000"/>
            </w:tcBorders>
            <w:vAlign w:val="center"/>
          </w:tcPr>
          <w:p w14:paraId="3283A80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Vérification et validation des systèmes, du logiciel et du matériel</w:t>
            </w:r>
          </w:p>
        </w:tc>
        <w:tc>
          <w:tcPr>
            <w:tcW w:w="1637" w:type="dxa"/>
            <w:tcBorders>
              <w:top w:val="single" w:sz="4" w:space="0" w:color="000000"/>
              <w:left w:val="single" w:sz="4" w:space="0" w:color="000000"/>
              <w:bottom w:val="single" w:sz="4" w:space="0" w:color="000000"/>
              <w:right w:val="single" w:sz="4" w:space="0" w:color="000000"/>
            </w:tcBorders>
            <w:vAlign w:val="center"/>
          </w:tcPr>
          <w:p w14:paraId="7FD1DD3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Plan de V&amp;V, niveaux d’intégrité, indépendance de la V&amp;V</w:t>
            </w:r>
          </w:p>
        </w:tc>
        <w:tc>
          <w:tcPr>
            <w:tcW w:w="2779" w:type="dxa"/>
            <w:tcBorders>
              <w:top w:val="single" w:sz="4" w:space="0" w:color="000000"/>
              <w:left w:val="single" w:sz="4" w:space="0" w:color="000000"/>
              <w:bottom w:val="single" w:sz="4" w:space="0" w:color="000000"/>
              <w:right w:val="single" w:sz="4" w:space="0" w:color="000000"/>
            </w:tcBorders>
            <w:vAlign w:val="center"/>
          </w:tcPr>
          <w:p w14:paraId="3120B4E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Définit le contenu du plan de V&amp;V et le degré d’indépendance attendu entre le développement et la vérification.</w:t>
            </w:r>
          </w:p>
        </w:tc>
      </w:tr>
      <w:tr w:rsidR="00F50D70" w:rsidRPr="00BE4F47" w14:paraId="638DE0B6" w14:textId="77777777">
        <w:trPr>
          <w:cantSplit/>
          <w:trHeight w:val="1096"/>
        </w:trPr>
        <w:tc>
          <w:tcPr>
            <w:tcW w:w="1287" w:type="dxa"/>
            <w:tcBorders>
              <w:top w:val="single" w:sz="4" w:space="0" w:color="000000"/>
              <w:left w:val="single" w:sz="4" w:space="0" w:color="000000"/>
              <w:bottom w:val="single" w:sz="4" w:space="0" w:color="000000"/>
              <w:right w:val="single" w:sz="4" w:space="0" w:color="000000"/>
            </w:tcBorders>
            <w:vAlign w:val="center"/>
          </w:tcPr>
          <w:p w14:paraId="770894F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 9241-210 [33]</w:t>
            </w:r>
          </w:p>
        </w:tc>
        <w:tc>
          <w:tcPr>
            <w:tcW w:w="1035" w:type="dxa"/>
            <w:tcBorders>
              <w:top w:val="single" w:sz="4" w:space="0" w:color="000000"/>
              <w:left w:val="single" w:sz="4" w:space="0" w:color="000000"/>
              <w:bottom w:val="single" w:sz="4" w:space="0" w:color="000000"/>
              <w:right w:val="single" w:sz="4" w:space="0" w:color="000000"/>
            </w:tcBorders>
            <w:vAlign w:val="center"/>
          </w:tcPr>
          <w:p w14:paraId="1F471D1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2019</w:t>
            </w:r>
          </w:p>
        </w:tc>
        <w:tc>
          <w:tcPr>
            <w:tcW w:w="1819" w:type="dxa"/>
            <w:tcBorders>
              <w:top w:val="single" w:sz="4" w:space="0" w:color="000000"/>
              <w:left w:val="single" w:sz="4" w:space="0" w:color="000000"/>
              <w:bottom w:val="single" w:sz="4" w:space="0" w:color="000000"/>
              <w:right w:val="single" w:sz="4" w:space="0" w:color="000000"/>
            </w:tcBorders>
            <w:vAlign w:val="center"/>
          </w:tcPr>
          <w:p w14:paraId="06341470"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Conception centrée sur l’humain</w:t>
            </w:r>
          </w:p>
        </w:tc>
        <w:tc>
          <w:tcPr>
            <w:tcW w:w="1637" w:type="dxa"/>
            <w:tcBorders>
              <w:top w:val="single" w:sz="4" w:space="0" w:color="000000"/>
              <w:left w:val="single" w:sz="4" w:space="0" w:color="000000"/>
              <w:bottom w:val="single" w:sz="4" w:space="0" w:color="000000"/>
              <w:right w:val="single" w:sz="4" w:space="0" w:color="000000"/>
            </w:tcBorders>
            <w:vAlign w:val="center"/>
          </w:tcPr>
          <w:p w14:paraId="1700C3B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Principes de conception et d’évaluation de l’IHM</w:t>
            </w:r>
          </w:p>
        </w:tc>
        <w:tc>
          <w:tcPr>
            <w:tcW w:w="2779" w:type="dxa"/>
            <w:tcBorders>
              <w:top w:val="single" w:sz="4" w:space="0" w:color="000000"/>
              <w:left w:val="single" w:sz="4" w:space="0" w:color="000000"/>
              <w:bottom w:val="single" w:sz="4" w:space="0" w:color="000000"/>
              <w:right w:val="single" w:sz="4" w:space="0" w:color="000000"/>
            </w:tcBorders>
            <w:vAlign w:val="center"/>
          </w:tcPr>
          <w:p w14:paraId="135FF6D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Oriente l’affichage des alertes, la lisibilité des états et la présentation de l’incertitude à l’opérateur.</w:t>
            </w:r>
          </w:p>
        </w:tc>
      </w:tr>
      <w:tr w:rsidR="00F50D70" w:rsidRPr="00BE4F47" w14:paraId="5395A93A"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54F285F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CSA N290.7 [24]</w:t>
            </w:r>
          </w:p>
        </w:tc>
        <w:tc>
          <w:tcPr>
            <w:tcW w:w="1035" w:type="dxa"/>
            <w:tcBorders>
              <w:top w:val="single" w:sz="4" w:space="0" w:color="000000"/>
              <w:left w:val="single" w:sz="4" w:space="0" w:color="000000"/>
              <w:bottom w:val="single" w:sz="4" w:space="0" w:color="000000"/>
              <w:right w:val="single" w:sz="4" w:space="0" w:color="000000"/>
            </w:tcBorders>
            <w:vAlign w:val="center"/>
          </w:tcPr>
          <w:p w14:paraId="7709A15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2021</w:t>
            </w:r>
          </w:p>
        </w:tc>
        <w:tc>
          <w:tcPr>
            <w:tcW w:w="1819" w:type="dxa"/>
            <w:tcBorders>
              <w:top w:val="single" w:sz="4" w:space="0" w:color="000000"/>
              <w:left w:val="single" w:sz="4" w:space="0" w:color="000000"/>
              <w:bottom w:val="single" w:sz="4" w:space="0" w:color="000000"/>
              <w:right w:val="single" w:sz="4" w:space="0" w:color="000000"/>
            </w:tcBorders>
            <w:vAlign w:val="center"/>
          </w:tcPr>
          <w:p w14:paraId="477EFC7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Cybersécurité des installations nucléaires</w:t>
            </w:r>
          </w:p>
        </w:tc>
        <w:tc>
          <w:tcPr>
            <w:tcW w:w="1637" w:type="dxa"/>
            <w:tcBorders>
              <w:top w:val="single" w:sz="4" w:space="0" w:color="000000"/>
              <w:left w:val="single" w:sz="4" w:space="0" w:color="000000"/>
              <w:bottom w:val="single" w:sz="4" w:space="0" w:color="000000"/>
              <w:right w:val="single" w:sz="4" w:space="0" w:color="000000"/>
            </w:tcBorders>
            <w:vAlign w:val="center"/>
          </w:tcPr>
          <w:p w14:paraId="6DA933A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Intégrité, disponibilité, contrôle d’accès, surveillance</w:t>
            </w:r>
          </w:p>
        </w:tc>
        <w:tc>
          <w:tcPr>
            <w:tcW w:w="2779" w:type="dxa"/>
            <w:tcBorders>
              <w:top w:val="single" w:sz="4" w:space="0" w:color="000000"/>
              <w:left w:val="single" w:sz="4" w:space="0" w:color="000000"/>
              <w:bottom w:val="single" w:sz="4" w:space="0" w:color="000000"/>
              <w:right w:val="single" w:sz="4" w:space="0" w:color="000000"/>
            </w:tcBorders>
            <w:vAlign w:val="center"/>
          </w:tcPr>
          <w:p w14:paraId="0F30861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Oriente la protection des données du jumeau, la gestion des accès et la journalisation. Rendue opposable à l’exploitant par les conditions de permis.</w:t>
            </w:r>
          </w:p>
        </w:tc>
      </w:tr>
      <w:tr w:rsidR="00F50D70" w:rsidRPr="00BE4F47" w14:paraId="51FB96F1"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2F89F3B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lastRenderedPageBreak/>
              <w:t>IEC 62645 [34]</w:t>
            </w:r>
          </w:p>
        </w:tc>
        <w:tc>
          <w:tcPr>
            <w:tcW w:w="1035" w:type="dxa"/>
            <w:tcBorders>
              <w:top w:val="single" w:sz="4" w:space="0" w:color="000000"/>
              <w:left w:val="single" w:sz="4" w:space="0" w:color="000000"/>
              <w:bottom w:val="single" w:sz="4" w:space="0" w:color="000000"/>
              <w:right w:val="single" w:sz="4" w:space="0" w:color="000000"/>
            </w:tcBorders>
            <w:vAlign w:val="center"/>
          </w:tcPr>
          <w:p w14:paraId="5A5828B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2019</w:t>
            </w:r>
          </w:p>
        </w:tc>
        <w:tc>
          <w:tcPr>
            <w:tcW w:w="1819" w:type="dxa"/>
            <w:tcBorders>
              <w:top w:val="single" w:sz="4" w:space="0" w:color="000000"/>
              <w:left w:val="single" w:sz="4" w:space="0" w:color="000000"/>
              <w:bottom w:val="single" w:sz="4" w:space="0" w:color="000000"/>
              <w:right w:val="single" w:sz="4" w:space="0" w:color="000000"/>
            </w:tcBorders>
            <w:vAlign w:val="center"/>
          </w:tcPr>
          <w:p w14:paraId="031F083E"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Cybersécurité des systèmes I&amp;C nucléaires</w:t>
            </w:r>
          </w:p>
        </w:tc>
        <w:tc>
          <w:tcPr>
            <w:tcW w:w="1637" w:type="dxa"/>
            <w:tcBorders>
              <w:top w:val="single" w:sz="4" w:space="0" w:color="000000"/>
              <w:left w:val="single" w:sz="4" w:space="0" w:color="000000"/>
              <w:bottom w:val="single" w:sz="4" w:space="0" w:color="000000"/>
              <w:right w:val="single" w:sz="4" w:space="0" w:color="000000"/>
            </w:tcBorders>
            <w:vAlign w:val="center"/>
          </w:tcPr>
          <w:p w14:paraId="588BED7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Prévention, détection, surveillance, réaction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0B22D2B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Encadre l’acquisition de données, la détection d’informations incohérentes et le fonctionnement en mode dégradé.</w:t>
            </w:r>
          </w:p>
        </w:tc>
      </w:tr>
      <w:tr w:rsidR="00F50D70" w:rsidRPr="00BE4F47" w14:paraId="3C429DA1" w14:textId="77777777">
        <w:trPr>
          <w:cantSplit/>
          <w:trHeight w:val="841"/>
        </w:trPr>
        <w:tc>
          <w:tcPr>
            <w:tcW w:w="1287" w:type="dxa"/>
            <w:tcBorders>
              <w:top w:val="single" w:sz="4" w:space="0" w:color="000000"/>
              <w:left w:val="single" w:sz="4" w:space="0" w:color="000000"/>
              <w:bottom w:val="single" w:sz="4" w:space="0" w:color="000000"/>
              <w:right w:val="single" w:sz="4" w:space="0" w:color="000000"/>
            </w:tcBorders>
            <w:vAlign w:val="center"/>
          </w:tcPr>
          <w:p w14:paraId="3BDA862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63096 [35]</w:t>
            </w:r>
          </w:p>
        </w:tc>
        <w:tc>
          <w:tcPr>
            <w:tcW w:w="1035" w:type="dxa"/>
            <w:tcBorders>
              <w:top w:val="single" w:sz="4" w:space="0" w:color="000000"/>
              <w:left w:val="single" w:sz="4" w:space="0" w:color="000000"/>
              <w:bottom w:val="single" w:sz="4" w:space="0" w:color="000000"/>
              <w:right w:val="single" w:sz="4" w:space="0" w:color="000000"/>
            </w:tcBorders>
            <w:vAlign w:val="center"/>
          </w:tcPr>
          <w:p w14:paraId="495A320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2020</w:t>
            </w:r>
          </w:p>
        </w:tc>
        <w:tc>
          <w:tcPr>
            <w:tcW w:w="1819" w:type="dxa"/>
            <w:tcBorders>
              <w:top w:val="single" w:sz="4" w:space="0" w:color="000000"/>
              <w:left w:val="single" w:sz="4" w:space="0" w:color="000000"/>
              <w:bottom w:val="single" w:sz="4" w:space="0" w:color="000000"/>
              <w:right w:val="single" w:sz="4" w:space="0" w:color="000000"/>
            </w:tcBorders>
            <w:vAlign w:val="center"/>
          </w:tcPr>
          <w:p w14:paraId="243E33E6"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Contrôles de cybersécurité</w:t>
            </w:r>
          </w:p>
        </w:tc>
        <w:tc>
          <w:tcPr>
            <w:tcW w:w="1637" w:type="dxa"/>
            <w:tcBorders>
              <w:top w:val="single" w:sz="4" w:space="0" w:color="000000"/>
              <w:left w:val="single" w:sz="4" w:space="0" w:color="000000"/>
              <w:bottom w:val="single" w:sz="4" w:space="0" w:color="000000"/>
              <w:right w:val="single" w:sz="4" w:space="0" w:color="000000"/>
            </w:tcBorders>
            <w:vAlign w:val="center"/>
          </w:tcPr>
          <w:p w14:paraId="0159D3F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Accès, intégrité, journalisation, communications</w:t>
            </w:r>
          </w:p>
        </w:tc>
        <w:tc>
          <w:tcPr>
            <w:tcW w:w="2779" w:type="dxa"/>
            <w:tcBorders>
              <w:top w:val="single" w:sz="4" w:space="0" w:color="000000"/>
              <w:left w:val="single" w:sz="4" w:space="0" w:color="000000"/>
              <w:bottom w:val="single" w:sz="4" w:space="0" w:color="000000"/>
              <w:right w:val="single" w:sz="4" w:space="0" w:color="000000"/>
            </w:tcBorders>
            <w:vAlign w:val="center"/>
          </w:tcPr>
          <w:p w14:paraId="6E25D3F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Oriente le choix des mécanismes de contrôle d’accès et de protection des échanges.</w:t>
            </w:r>
          </w:p>
        </w:tc>
      </w:tr>
      <w:tr w:rsidR="00F50D70" w:rsidRPr="00BE4F47" w14:paraId="7C595D76"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62A5ED26"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62859 [36]</w:t>
            </w:r>
          </w:p>
        </w:tc>
        <w:tc>
          <w:tcPr>
            <w:tcW w:w="1035" w:type="dxa"/>
            <w:tcBorders>
              <w:top w:val="single" w:sz="4" w:space="0" w:color="000000"/>
              <w:left w:val="single" w:sz="4" w:space="0" w:color="000000"/>
              <w:bottom w:val="single" w:sz="4" w:space="0" w:color="000000"/>
              <w:right w:val="single" w:sz="4" w:space="0" w:color="000000"/>
            </w:tcBorders>
            <w:vAlign w:val="center"/>
          </w:tcPr>
          <w:p w14:paraId="1287A57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2016 + A1:2019</w:t>
            </w:r>
          </w:p>
        </w:tc>
        <w:tc>
          <w:tcPr>
            <w:tcW w:w="1819" w:type="dxa"/>
            <w:tcBorders>
              <w:top w:val="single" w:sz="4" w:space="0" w:color="000000"/>
              <w:left w:val="single" w:sz="4" w:space="0" w:color="000000"/>
              <w:bottom w:val="single" w:sz="4" w:space="0" w:color="000000"/>
              <w:right w:val="single" w:sz="4" w:space="0" w:color="000000"/>
            </w:tcBorders>
            <w:vAlign w:val="center"/>
          </w:tcPr>
          <w:p w14:paraId="78E3BE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Coordination entre sûreté et cybersécurité</w:t>
            </w:r>
          </w:p>
        </w:tc>
        <w:tc>
          <w:tcPr>
            <w:tcW w:w="1637" w:type="dxa"/>
            <w:tcBorders>
              <w:top w:val="single" w:sz="4" w:space="0" w:color="000000"/>
              <w:left w:val="single" w:sz="4" w:space="0" w:color="000000"/>
              <w:bottom w:val="single" w:sz="4" w:space="0" w:color="000000"/>
              <w:right w:val="single" w:sz="4" w:space="0" w:color="000000"/>
            </w:tcBorders>
            <w:vAlign w:val="center"/>
          </w:tcPr>
          <w:p w14:paraId="5404303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Interaction entre mesures de sûreté et mesures de sécurité</w:t>
            </w:r>
          </w:p>
        </w:tc>
        <w:tc>
          <w:tcPr>
            <w:tcW w:w="2779" w:type="dxa"/>
            <w:tcBorders>
              <w:top w:val="single" w:sz="4" w:space="0" w:color="000000"/>
              <w:left w:val="single" w:sz="4" w:space="0" w:color="000000"/>
              <w:bottom w:val="single" w:sz="4" w:space="0" w:color="000000"/>
              <w:right w:val="single" w:sz="4" w:space="0" w:color="000000"/>
            </w:tcBorders>
            <w:vAlign w:val="center"/>
          </w:tcPr>
          <w:p w14:paraId="3FBACD0E"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Garantit qu’une mesure de cybersécurité n’empêche pas l’opérateur de percevoir l’état réel du système.</w:t>
            </w:r>
          </w:p>
        </w:tc>
      </w:tr>
      <w:tr w:rsidR="00F50D70" w:rsidRPr="00BE4F47" w14:paraId="24155810" w14:textId="77777777">
        <w:trPr>
          <w:cantSplit/>
          <w:trHeight w:val="833"/>
        </w:trPr>
        <w:tc>
          <w:tcPr>
            <w:tcW w:w="1287" w:type="dxa"/>
            <w:tcBorders>
              <w:top w:val="single" w:sz="4" w:space="0" w:color="000000"/>
              <w:left w:val="single" w:sz="4" w:space="0" w:color="000000"/>
              <w:bottom w:val="single" w:sz="4" w:space="0" w:color="000000"/>
              <w:right w:val="single" w:sz="4" w:space="0" w:color="000000"/>
            </w:tcBorders>
            <w:vAlign w:val="center"/>
          </w:tcPr>
          <w:p w14:paraId="0B636DB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61513 [37]</w:t>
            </w:r>
          </w:p>
        </w:tc>
        <w:tc>
          <w:tcPr>
            <w:tcW w:w="1035" w:type="dxa"/>
            <w:tcBorders>
              <w:top w:val="single" w:sz="4" w:space="0" w:color="000000"/>
              <w:left w:val="single" w:sz="4" w:space="0" w:color="000000"/>
              <w:bottom w:val="single" w:sz="4" w:space="0" w:color="000000"/>
              <w:right w:val="single" w:sz="4" w:space="0" w:color="000000"/>
            </w:tcBorders>
            <w:vAlign w:val="center"/>
          </w:tcPr>
          <w:p w14:paraId="00756E2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2026 (éd. 3.0)</w:t>
            </w:r>
          </w:p>
        </w:tc>
        <w:tc>
          <w:tcPr>
            <w:tcW w:w="1819" w:type="dxa"/>
            <w:tcBorders>
              <w:top w:val="single" w:sz="4" w:space="0" w:color="000000"/>
              <w:left w:val="single" w:sz="4" w:space="0" w:color="000000"/>
              <w:bottom w:val="single" w:sz="4" w:space="0" w:color="000000"/>
              <w:right w:val="single" w:sz="4" w:space="0" w:color="000000"/>
            </w:tcBorders>
            <w:vAlign w:val="center"/>
          </w:tcPr>
          <w:p w14:paraId="340EE7F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Systèmes I&amp;C importants pour la sûreté</w:t>
            </w:r>
          </w:p>
        </w:tc>
        <w:tc>
          <w:tcPr>
            <w:tcW w:w="1637" w:type="dxa"/>
            <w:tcBorders>
              <w:top w:val="single" w:sz="4" w:space="0" w:color="000000"/>
              <w:left w:val="single" w:sz="4" w:space="0" w:color="000000"/>
              <w:bottom w:val="single" w:sz="4" w:space="0" w:color="000000"/>
              <w:right w:val="single" w:sz="4" w:space="0" w:color="000000"/>
            </w:tcBorders>
            <w:vAlign w:val="center"/>
          </w:tcPr>
          <w:p w14:paraId="3AE5D1D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Architecture, exigences, cycle de vie</w:t>
            </w:r>
          </w:p>
        </w:tc>
        <w:tc>
          <w:tcPr>
            <w:tcW w:w="2779" w:type="dxa"/>
            <w:tcBorders>
              <w:top w:val="single" w:sz="4" w:space="0" w:color="000000"/>
              <w:left w:val="single" w:sz="4" w:space="0" w:color="000000"/>
              <w:bottom w:val="single" w:sz="4" w:space="0" w:color="000000"/>
              <w:right w:val="single" w:sz="4" w:space="0" w:color="000000"/>
            </w:tcBorders>
            <w:vAlign w:val="center"/>
          </w:tcPr>
          <w:p w14:paraId="1DB0D62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Référence pour l’architecture, la définition des fonctions et la validation du système simulé.</w:t>
            </w:r>
          </w:p>
        </w:tc>
      </w:tr>
      <w:tr w:rsidR="00F50D70" w:rsidRPr="00BE4F47" w14:paraId="022CA0B0" w14:textId="77777777">
        <w:trPr>
          <w:cantSplit/>
          <w:trHeight w:val="1105"/>
        </w:trPr>
        <w:tc>
          <w:tcPr>
            <w:tcW w:w="1287" w:type="dxa"/>
            <w:tcBorders>
              <w:top w:val="single" w:sz="4" w:space="0" w:color="000000"/>
              <w:left w:val="single" w:sz="4" w:space="0" w:color="000000"/>
              <w:bottom w:val="single" w:sz="4" w:space="0" w:color="000000"/>
              <w:right w:val="single" w:sz="4" w:space="0" w:color="000000"/>
            </w:tcBorders>
            <w:vAlign w:val="center"/>
          </w:tcPr>
          <w:p w14:paraId="61E01DE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60880 [38]</w:t>
            </w:r>
          </w:p>
        </w:tc>
        <w:tc>
          <w:tcPr>
            <w:tcW w:w="1035" w:type="dxa"/>
            <w:tcBorders>
              <w:top w:val="single" w:sz="4" w:space="0" w:color="000000"/>
              <w:left w:val="single" w:sz="4" w:space="0" w:color="000000"/>
              <w:bottom w:val="single" w:sz="4" w:space="0" w:color="000000"/>
              <w:right w:val="single" w:sz="4" w:space="0" w:color="000000"/>
            </w:tcBorders>
            <w:vAlign w:val="center"/>
          </w:tcPr>
          <w:p w14:paraId="6DE6FFD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2006</w:t>
            </w:r>
          </w:p>
        </w:tc>
        <w:tc>
          <w:tcPr>
            <w:tcW w:w="1819" w:type="dxa"/>
            <w:tcBorders>
              <w:top w:val="single" w:sz="4" w:space="0" w:color="000000"/>
              <w:left w:val="single" w:sz="4" w:space="0" w:color="000000"/>
              <w:bottom w:val="single" w:sz="4" w:space="0" w:color="000000"/>
              <w:right w:val="single" w:sz="4" w:space="0" w:color="000000"/>
            </w:tcBorders>
            <w:vAlign w:val="center"/>
          </w:tcPr>
          <w:p w14:paraId="51F13F9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Logiciels des fonctions de catégorie A</w:t>
            </w:r>
          </w:p>
        </w:tc>
        <w:tc>
          <w:tcPr>
            <w:tcW w:w="1637" w:type="dxa"/>
            <w:tcBorders>
              <w:top w:val="single" w:sz="4" w:space="0" w:color="000000"/>
              <w:left w:val="single" w:sz="4" w:space="0" w:color="000000"/>
              <w:bottom w:val="single" w:sz="4" w:space="0" w:color="000000"/>
              <w:right w:val="single" w:sz="4" w:space="0" w:color="000000"/>
            </w:tcBorders>
            <w:vAlign w:val="center"/>
          </w:tcPr>
          <w:p w14:paraId="2F2204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Développement, vérification, validation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470767F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Référence de rigueur pour la vérification, la validation et la traçabilité des fonctions logicielles.</w:t>
            </w:r>
          </w:p>
        </w:tc>
      </w:tr>
      <w:tr w:rsidR="00F50D70" w:rsidRPr="00BE4F47" w14:paraId="4B09B0A9" w14:textId="77777777">
        <w:trPr>
          <w:cantSplit/>
          <w:trHeight w:val="833"/>
        </w:trPr>
        <w:tc>
          <w:tcPr>
            <w:tcW w:w="1287" w:type="dxa"/>
            <w:tcBorders>
              <w:top w:val="single" w:sz="4" w:space="0" w:color="000000"/>
              <w:left w:val="single" w:sz="4" w:space="0" w:color="000000"/>
              <w:bottom w:val="single" w:sz="4" w:space="0" w:color="000000"/>
              <w:right w:val="single" w:sz="4" w:space="0" w:color="000000"/>
            </w:tcBorders>
            <w:vAlign w:val="center"/>
          </w:tcPr>
          <w:p w14:paraId="051D42A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62138 [39]</w:t>
            </w:r>
          </w:p>
        </w:tc>
        <w:tc>
          <w:tcPr>
            <w:tcW w:w="1035" w:type="dxa"/>
            <w:tcBorders>
              <w:top w:val="single" w:sz="4" w:space="0" w:color="000000"/>
              <w:left w:val="single" w:sz="4" w:space="0" w:color="000000"/>
              <w:bottom w:val="single" w:sz="4" w:space="0" w:color="000000"/>
              <w:right w:val="single" w:sz="4" w:space="0" w:color="000000"/>
            </w:tcBorders>
            <w:vAlign w:val="center"/>
          </w:tcPr>
          <w:p w14:paraId="4E91C0E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2018</w:t>
            </w:r>
          </w:p>
        </w:tc>
        <w:tc>
          <w:tcPr>
            <w:tcW w:w="1819" w:type="dxa"/>
            <w:tcBorders>
              <w:top w:val="single" w:sz="4" w:space="0" w:color="000000"/>
              <w:left w:val="single" w:sz="4" w:space="0" w:color="000000"/>
              <w:bottom w:val="single" w:sz="4" w:space="0" w:color="000000"/>
              <w:right w:val="single" w:sz="4" w:space="0" w:color="000000"/>
            </w:tcBorders>
            <w:vAlign w:val="center"/>
          </w:tcPr>
          <w:p w14:paraId="48A33BE6"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Logiciels des fonctions de catégorie B ou C</w:t>
            </w:r>
          </w:p>
        </w:tc>
        <w:tc>
          <w:tcPr>
            <w:tcW w:w="1637" w:type="dxa"/>
            <w:tcBorders>
              <w:top w:val="single" w:sz="4" w:space="0" w:color="000000"/>
              <w:left w:val="single" w:sz="4" w:space="0" w:color="000000"/>
              <w:bottom w:val="single" w:sz="4" w:space="0" w:color="000000"/>
              <w:right w:val="single" w:sz="4" w:space="0" w:color="000000"/>
            </w:tcBorders>
            <w:vAlign w:val="center"/>
          </w:tcPr>
          <w:p w14:paraId="393DC21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Développement, essais, documentation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114CD16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Encadre les essais, la documentation et la validation des modules logiciels.</w:t>
            </w:r>
          </w:p>
        </w:tc>
      </w:tr>
      <w:tr w:rsidR="00F50D70" w:rsidRPr="00BE4F47" w14:paraId="56ABA15E" w14:textId="77777777">
        <w:trPr>
          <w:cantSplit/>
          <w:trHeight w:val="1105"/>
        </w:trPr>
        <w:tc>
          <w:tcPr>
            <w:tcW w:w="1287" w:type="dxa"/>
            <w:tcBorders>
              <w:top w:val="single" w:sz="4" w:space="0" w:color="000000"/>
              <w:left w:val="single" w:sz="4" w:space="0" w:color="000000"/>
              <w:bottom w:val="single" w:sz="4" w:space="0" w:color="000000"/>
              <w:right w:val="single" w:sz="4" w:space="0" w:color="000000"/>
            </w:tcBorders>
            <w:vAlign w:val="center"/>
          </w:tcPr>
          <w:p w14:paraId="4DCB1A3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 27001 [40]</w:t>
            </w:r>
          </w:p>
        </w:tc>
        <w:tc>
          <w:tcPr>
            <w:tcW w:w="1035" w:type="dxa"/>
            <w:tcBorders>
              <w:top w:val="single" w:sz="4" w:space="0" w:color="000000"/>
              <w:left w:val="single" w:sz="4" w:space="0" w:color="000000"/>
              <w:bottom w:val="single" w:sz="4" w:space="0" w:color="000000"/>
              <w:right w:val="single" w:sz="4" w:space="0" w:color="000000"/>
            </w:tcBorders>
            <w:vAlign w:val="center"/>
          </w:tcPr>
          <w:p w14:paraId="03BA5DA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2022</w:t>
            </w:r>
          </w:p>
        </w:tc>
        <w:tc>
          <w:tcPr>
            <w:tcW w:w="1819" w:type="dxa"/>
            <w:tcBorders>
              <w:top w:val="single" w:sz="4" w:space="0" w:color="000000"/>
              <w:left w:val="single" w:sz="4" w:space="0" w:color="000000"/>
              <w:bottom w:val="single" w:sz="4" w:space="0" w:color="000000"/>
              <w:right w:val="single" w:sz="4" w:space="0" w:color="000000"/>
            </w:tcBorders>
            <w:vAlign w:val="center"/>
          </w:tcPr>
          <w:p w14:paraId="1FA7415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Management de la sécurité de l’information</w:t>
            </w:r>
          </w:p>
        </w:tc>
        <w:tc>
          <w:tcPr>
            <w:tcW w:w="1637" w:type="dxa"/>
            <w:tcBorders>
              <w:top w:val="single" w:sz="4" w:space="0" w:color="000000"/>
              <w:left w:val="single" w:sz="4" w:space="0" w:color="000000"/>
              <w:bottom w:val="single" w:sz="4" w:space="0" w:color="000000"/>
              <w:right w:val="single" w:sz="4" w:space="0" w:color="000000"/>
            </w:tcBorders>
            <w:vAlign w:val="center"/>
          </w:tcPr>
          <w:p w14:paraId="6E8325A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Accès, intégrité, disponibilité</w:t>
            </w:r>
          </w:p>
        </w:tc>
        <w:tc>
          <w:tcPr>
            <w:tcW w:w="2779" w:type="dxa"/>
            <w:tcBorders>
              <w:top w:val="single" w:sz="4" w:space="0" w:color="000000"/>
              <w:left w:val="single" w:sz="4" w:space="0" w:color="000000"/>
              <w:bottom w:val="single" w:sz="4" w:space="0" w:color="000000"/>
              <w:right w:val="single" w:sz="4" w:space="0" w:color="000000"/>
            </w:tcBorders>
            <w:vAlign w:val="center"/>
          </w:tcPr>
          <w:p w14:paraId="3848A9E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Prise en compte de la disponibilité des données, de leur intégrité et de la gestion des accès au prototype.</w:t>
            </w:r>
          </w:p>
        </w:tc>
      </w:tr>
      <w:tr w:rsidR="00F50D70" w:rsidRPr="00BE4F47" w14:paraId="535BCC7C" w14:textId="77777777">
        <w:trPr>
          <w:cantSplit/>
          <w:trHeight w:val="1096"/>
        </w:trPr>
        <w:tc>
          <w:tcPr>
            <w:tcW w:w="1287" w:type="dxa"/>
            <w:tcBorders>
              <w:top w:val="single" w:sz="4" w:space="0" w:color="000000"/>
              <w:left w:val="single" w:sz="4" w:space="0" w:color="000000"/>
              <w:bottom w:val="single" w:sz="4" w:space="0" w:color="000000"/>
              <w:right w:val="single" w:sz="4" w:space="0" w:color="000000"/>
            </w:tcBorders>
            <w:vAlign w:val="center"/>
          </w:tcPr>
          <w:p w14:paraId="115A7CC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 27005 [41]</w:t>
            </w:r>
          </w:p>
        </w:tc>
        <w:tc>
          <w:tcPr>
            <w:tcW w:w="1035" w:type="dxa"/>
            <w:tcBorders>
              <w:top w:val="single" w:sz="4" w:space="0" w:color="000000"/>
              <w:left w:val="single" w:sz="4" w:space="0" w:color="000000"/>
              <w:bottom w:val="single" w:sz="4" w:space="0" w:color="000000"/>
              <w:right w:val="single" w:sz="4" w:space="0" w:color="000000"/>
            </w:tcBorders>
            <w:vAlign w:val="center"/>
          </w:tcPr>
          <w:p w14:paraId="57727C4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2022</w:t>
            </w:r>
          </w:p>
        </w:tc>
        <w:tc>
          <w:tcPr>
            <w:tcW w:w="1819" w:type="dxa"/>
            <w:tcBorders>
              <w:top w:val="single" w:sz="4" w:space="0" w:color="000000"/>
              <w:left w:val="single" w:sz="4" w:space="0" w:color="000000"/>
              <w:bottom w:val="single" w:sz="4" w:space="0" w:color="000000"/>
              <w:right w:val="single" w:sz="4" w:space="0" w:color="000000"/>
            </w:tcBorders>
            <w:vAlign w:val="center"/>
          </w:tcPr>
          <w:p w14:paraId="5E172F7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Gestion des risques de sécurité de l’information</w:t>
            </w:r>
          </w:p>
        </w:tc>
        <w:tc>
          <w:tcPr>
            <w:tcW w:w="1637" w:type="dxa"/>
            <w:tcBorders>
              <w:top w:val="single" w:sz="4" w:space="0" w:color="000000"/>
              <w:left w:val="single" w:sz="4" w:space="0" w:color="000000"/>
              <w:bottom w:val="single" w:sz="4" w:space="0" w:color="000000"/>
              <w:right w:val="single" w:sz="4" w:space="0" w:color="000000"/>
            </w:tcBorders>
            <w:vAlign w:val="center"/>
          </w:tcPr>
          <w:p w14:paraId="3A841F5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Identification, analyse et traitement des risques</w:t>
            </w:r>
          </w:p>
        </w:tc>
        <w:tc>
          <w:tcPr>
            <w:tcW w:w="2779" w:type="dxa"/>
            <w:tcBorders>
              <w:top w:val="single" w:sz="4" w:space="0" w:color="000000"/>
              <w:left w:val="single" w:sz="4" w:space="0" w:color="000000"/>
              <w:bottom w:val="single" w:sz="4" w:space="0" w:color="000000"/>
              <w:right w:val="single" w:sz="4" w:space="0" w:color="000000"/>
            </w:tcBorders>
            <w:vAlign w:val="center"/>
          </w:tcPr>
          <w:p w14:paraId="79B2971A"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Structure l’analyse des risques liés aux données, aux communications et aux fonctions numériques.</w:t>
            </w:r>
          </w:p>
        </w:tc>
      </w:tr>
    </w:tbl>
    <w:p w14:paraId="0F6B97CF" w14:textId="77777777" w:rsidR="00F50D70" w:rsidRPr="00B03F2E" w:rsidRDefault="00137D7F" w:rsidP="008E113B">
      <w:pPr>
        <w:pStyle w:val="Titre2"/>
        <w:spacing w:line="360" w:lineRule="auto"/>
      </w:pPr>
      <w:bookmarkStart w:id="554" w:name="_Toc241707883"/>
      <w:r w:rsidRPr="00B03F2E">
        <w:t>Esprit des normes et dépassement</w:t>
      </w:r>
      <w:bookmarkEnd w:id="554"/>
    </w:p>
    <w:p w14:paraId="2DAB98C6" w14:textId="77777777" w:rsidR="00F50D70" w:rsidRPr="00BE4F47" w:rsidRDefault="00137D7F" w:rsidP="008E113B">
      <w:pPr>
        <w:spacing w:before="200" w:after="130" w:line="360" w:lineRule="auto"/>
        <w:ind w:left="360"/>
        <w:rPr>
          <w:rFonts w:ascii="Aptos" w:hAnsi="Aptos"/>
        </w:rPr>
      </w:pPr>
      <w:bookmarkStart w:id="555" w:name="_Toc241083008"/>
      <w:bookmarkStart w:id="556" w:name="_Toc241670176"/>
      <w:bookmarkStart w:id="557" w:name="_Toc241707884"/>
      <w:r w:rsidRPr="00BE4F47">
        <w:rPr>
          <w:rFonts w:ascii="Aptos" w:hAnsi="Aptos"/>
          <w:color w:val="1A1A19"/>
          <w:sz w:val="20"/>
          <w:szCs w:val="20"/>
        </w:rPr>
        <w:t>Le guide de pratique professionnelle de l’Ordre des ingénieurs du Québec [42] demande trois choses en plus du respect des normes : comprendre la valeur qu’elles visent, les dépasser quand cette valeur l’exige, et se conduire par jugement quand aucune norme ne couvre la situation.</w:t>
      </w:r>
      <w:bookmarkEnd w:id="555"/>
      <w:bookmarkEnd w:id="556"/>
      <w:bookmarkEnd w:id="557"/>
    </w:p>
    <w:p w14:paraId="2B109CBA" w14:textId="77777777" w:rsidR="00F50D70" w:rsidRPr="00BE4F47" w:rsidRDefault="00137D7F" w:rsidP="008E113B">
      <w:pPr>
        <w:spacing w:after="130" w:line="360" w:lineRule="auto"/>
        <w:ind w:left="360"/>
        <w:rPr>
          <w:rFonts w:ascii="Aptos" w:hAnsi="Aptos"/>
        </w:rPr>
      </w:pPr>
      <w:bookmarkStart w:id="558" w:name="_Toc241083009"/>
      <w:bookmarkStart w:id="559" w:name="_Toc241670177"/>
      <w:bookmarkStart w:id="560" w:name="_Toc241707885"/>
      <w:r w:rsidRPr="00BE4F47">
        <w:rPr>
          <w:rFonts w:ascii="Aptos" w:hAnsi="Aptos"/>
          <w:b/>
          <w:color w:val="1A1A19"/>
          <w:sz w:val="20"/>
          <w:szCs w:val="20"/>
        </w:rPr>
        <w:t xml:space="preserve">L’esprit des normes retenues. </w:t>
      </w:r>
      <w:r w:rsidRPr="00BE4F47">
        <w:rPr>
          <w:rFonts w:ascii="Aptos" w:hAnsi="Aptos"/>
          <w:color w:val="1A1A19"/>
          <w:sz w:val="20"/>
          <w:szCs w:val="20"/>
        </w:rPr>
        <w:t xml:space="preserve">Les normes de sûreté et de cybersécurité du tableau précédent visent toutes la même chose : qu’un système ne laisse jamais croire que tout va bien quand on ne sait pas. Le projet traduit cette valeur en une exigence fonctionnelle, EX-F-06, qui impose un état « </w:t>
      </w:r>
      <w:r w:rsidRPr="00BE4F47">
        <w:rPr>
          <w:rFonts w:ascii="Aptos" w:hAnsi="Aptos"/>
          <w:color w:val="1A1A19"/>
          <w:sz w:val="20"/>
          <w:szCs w:val="20"/>
        </w:rPr>
        <w:lastRenderedPageBreak/>
        <w:t>incertain » explicite. Cette exigence ne vient pas d’un article de norme précis. Elle vient de ce que les normes cherchent à protéger.</w:t>
      </w:r>
      <w:bookmarkEnd w:id="558"/>
      <w:bookmarkEnd w:id="559"/>
      <w:bookmarkEnd w:id="560"/>
    </w:p>
    <w:p w14:paraId="37595946" w14:textId="77777777" w:rsidR="00F50D70" w:rsidRPr="00BE4F47" w:rsidRDefault="00137D7F" w:rsidP="008E113B">
      <w:pPr>
        <w:pStyle w:val="Lgende"/>
        <w:keepNext/>
        <w:spacing w:line="360" w:lineRule="auto"/>
        <w:rPr>
          <w:rFonts w:ascii="Aptos" w:hAnsi="Aptos"/>
        </w:rPr>
      </w:pPr>
      <w:bookmarkStart w:id="561" w:name="_Toc241083010"/>
      <w:bookmarkStart w:id="562" w:name="_Toc241670178"/>
      <w:bookmarkStart w:id="563" w:name="_Toc241707886"/>
      <w:r w:rsidRPr="00BE4F47">
        <w:rPr>
          <w:rFonts w:ascii="Aptos" w:hAnsi="Aptos"/>
        </w:rPr>
        <w:t>Tableau 6-4. Ce que le projet fait au-delà de ce que les normes imposent</w:t>
      </w:r>
      <w:bookmarkEnd w:id="561"/>
      <w:bookmarkEnd w:id="562"/>
      <w:bookmarkEnd w:id="56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2000"/>
        <w:gridCol w:w="2600"/>
        <w:gridCol w:w="3957"/>
      </w:tblGrid>
      <w:tr w:rsidR="00F50D70" w:rsidRPr="00BE4F47" w14:paraId="4FF7EE83" w14:textId="77777777" w:rsidTr="0036725C">
        <w:trPr>
          <w:trHeight w:val="227"/>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9C293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Norme retenue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8ABAF0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impose</w:t>
            </w:r>
          </w:p>
        </w:tc>
        <w:tc>
          <w:tcPr>
            <w:tcW w:w="39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D667DE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 le projet fait au-delà</w:t>
            </w:r>
          </w:p>
        </w:tc>
      </w:tr>
      <w:tr w:rsidR="00F50D70" w:rsidRPr="00BE4F47" w14:paraId="00F1FB1F"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7586064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IEEE 1012 sur la vérification et la validation</w:t>
            </w:r>
          </w:p>
        </w:tc>
        <w:tc>
          <w:tcPr>
            <w:tcW w:w="2600" w:type="dxa"/>
            <w:tcBorders>
              <w:top w:val="single" w:sz="4" w:space="0" w:color="000000"/>
              <w:left w:val="single" w:sz="4" w:space="0" w:color="000000"/>
              <w:bottom w:val="single" w:sz="4" w:space="0" w:color="000000"/>
              <w:right w:val="single" w:sz="4" w:space="0" w:color="000000"/>
            </w:tcBorders>
          </w:tcPr>
          <w:p w14:paraId="31AAF6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 plan de V&amp;V dont le contenu est fixé.</w:t>
            </w:r>
          </w:p>
        </w:tc>
        <w:tc>
          <w:tcPr>
            <w:tcW w:w="3957" w:type="dxa"/>
            <w:tcBorders>
              <w:top w:val="single" w:sz="4" w:space="0" w:color="000000"/>
              <w:left w:val="single" w:sz="4" w:space="0" w:color="000000"/>
              <w:bottom w:val="single" w:sz="4" w:space="0" w:color="000000"/>
              <w:right w:val="single" w:sz="4" w:space="0" w:color="000000"/>
            </w:tcBorders>
          </w:tcPr>
          <w:p w14:paraId="06C64F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Chaque essai est rattaché à la version exacte du modèle et du jeu de données qui l’a produit, de sorte qu’un tiers puisse le rejouer. La norme n’exige pas cette reproductibilité intégrale.</w:t>
            </w:r>
          </w:p>
        </w:tc>
      </w:tr>
      <w:tr w:rsidR="00F50D70" w:rsidRPr="00BE4F47" w14:paraId="2D2B8244"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5E3B8C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ISO 9241-210 sur la conception centrée sur l’humain</w:t>
            </w:r>
          </w:p>
        </w:tc>
        <w:tc>
          <w:tcPr>
            <w:tcW w:w="2600" w:type="dxa"/>
            <w:tcBorders>
              <w:top w:val="single" w:sz="4" w:space="0" w:color="000000"/>
              <w:left w:val="single" w:sz="4" w:space="0" w:color="000000"/>
              <w:bottom w:val="single" w:sz="4" w:space="0" w:color="000000"/>
              <w:right w:val="single" w:sz="4" w:space="0" w:color="000000"/>
            </w:tcBorders>
          </w:tcPr>
          <w:p w14:paraId="2D79E7D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Associer l’utilisateur à la conception de l’interface.</w:t>
            </w:r>
          </w:p>
        </w:tc>
        <w:tc>
          <w:tcPr>
            <w:tcW w:w="3957" w:type="dxa"/>
            <w:tcBorders>
              <w:top w:val="single" w:sz="4" w:space="0" w:color="000000"/>
              <w:left w:val="single" w:sz="4" w:space="0" w:color="000000"/>
              <w:bottom w:val="single" w:sz="4" w:space="0" w:color="000000"/>
              <w:right w:val="single" w:sz="4" w:space="0" w:color="000000"/>
            </w:tcBorders>
          </w:tcPr>
          <w:p w14:paraId="38BFB26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L’interface affiche les variables qui ont contribué au diagnostic, et pas seulement le verdict. La norme demande l’utilisabilité, le projet vise l’explicabilité.</w:t>
            </w:r>
          </w:p>
        </w:tc>
      </w:tr>
      <w:tr w:rsidR="00F50D70" w:rsidRPr="00BE4F47" w14:paraId="5DE3AD14"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79313F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ISO/IEC 27001 et les normes de cybersécurité nucléaire</w:t>
            </w:r>
          </w:p>
        </w:tc>
        <w:tc>
          <w:tcPr>
            <w:tcW w:w="2600" w:type="dxa"/>
            <w:tcBorders>
              <w:top w:val="single" w:sz="4" w:space="0" w:color="000000"/>
              <w:left w:val="single" w:sz="4" w:space="0" w:color="000000"/>
              <w:bottom w:val="single" w:sz="4" w:space="0" w:color="000000"/>
              <w:right w:val="single" w:sz="4" w:space="0" w:color="000000"/>
            </w:tcBorders>
          </w:tcPr>
          <w:p w14:paraId="7164829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Protéger la confidentialité, l’intégrité et la disponibilité.</w:t>
            </w:r>
          </w:p>
        </w:tc>
        <w:tc>
          <w:tcPr>
            <w:tcW w:w="3957" w:type="dxa"/>
            <w:tcBorders>
              <w:top w:val="single" w:sz="4" w:space="0" w:color="000000"/>
              <w:left w:val="single" w:sz="4" w:space="0" w:color="000000"/>
              <w:bottom w:val="single" w:sz="4" w:space="0" w:color="000000"/>
              <w:right w:val="single" w:sz="4" w:space="0" w:color="000000"/>
            </w:tcBorders>
          </w:tcPr>
          <w:p w14:paraId="37F21A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traite la donnée falsifiée comme un mode de défaillance à détecter, et non seulement comme une menace à repousser. Une donnée altérée doit produire un état « incertain », pas un état « normal ».</w:t>
            </w:r>
          </w:p>
        </w:tc>
      </w:tr>
      <w:tr w:rsidR="00F50D70" w:rsidRPr="00BE4F47" w14:paraId="47ADFB16"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0273CB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ASME V&amp;V 20 sur la validation en thermohydraulique</w:t>
            </w:r>
          </w:p>
        </w:tc>
        <w:tc>
          <w:tcPr>
            <w:tcW w:w="2600" w:type="dxa"/>
            <w:tcBorders>
              <w:top w:val="single" w:sz="4" w:space="0" w:color="000000"/>
              <w:left w:val="single" w:sz="4" w:space="0" w:color="000000"/>
              <w:bottom w:val="single" w:sz="4" w:space="0" w:color="000000"/>
              <w:right w:val="single" w:sz="4" w:space="0" w:color="000000"/>
            </w:tcBorders>
          </w:tcPr>
          <w:p w14:paraId="2F643AD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Décomposer l’écart entre modèle et référence.</w:t>
            </w:r>
          </w:p>
        </w:tc>
        <w:tc>
          <w:tcPr>
            <w:tcW w:w="3957" w:type="dxa"/>
            <w:tcBorders>
              <w:top w:val="single" w:sz="4" w:space="0" w:color="000000"/>
              <w:left w:val="single" w:sz="4" w:space="0" w:color="000000"/>
              <w:bottom w:val="single" w:sz="4" w:space="0" w:color="000000"/>
              <w:right w:val="single" w:sz="4" w:space="0" w:color="000000"/>
            </w:tcBorders>
          </w:tcPr>
          <w:p w14:paraId="3333075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publie l’écart et son domaine de validité dans le livrable remis au client, et non seulement dans ses notes internes.</w:t>
            </w:r>
          </w:p>
        </w:tc>
      </w:tr>
    </w:tbl>
    <w:p w14:paraId="78864A57" w14:textId="77777777" w:rsidR="00F50D70" w:rsidRPr="00BE4F47" w:rsidRDefault="00137D7F" w:rsidP="008E113B">
      <w:pPr>
        <w:spacing w:before="200" w:after="130" w:line="360" w:lineRule="auto"/>
        <w:ind w:left="360"/>
        <w:rPr>
          <w:rFonts w:ascii="Aptos" w:hAnsi="Aptos"/>
        </w:rPr>
      </w:pPr>
      <w:bookmarkStart w:id="564" w:name="_Toc241083011"/>
      <w:bookmarkStart w:id="565" w:name="_Toc241670179"/>
      <w:bookmarkStart w:id="566" w:name="_Toc241707887"/>
      <w:r w:rsidRPr="00BE4F47">
        <w:rPr>
          <w:rFonts w:ascii="Aptos" w:hAnsi="Aptos"/>
          <w:b/>
          <w:color w:val="1A1A19"/>
          <w:sz w:val="20"/>
          <w:szCs w:val="20"/>
        </w:rPr>
        <w:t xml:space="preserve">Là où aucune norme ne tranche. </w:t>
      </w:r>
      <w:r w:rsidRPr="00BE4F47">
        <w:rPr>
          <w:rFonts w:ascii="Aptos" w:hAnsi="Aptos"/>
          <w:color w:val="1A1A19"/>
          <w:sz w:val="20"/>
          <w:szCs w:val="20"/>
        </w:rPr>
        <w:t>Deux situations du projet ne sont couvertes par aucun des textes retenus. Aucune norme ne fixe le niveau de confiance en dessous duquel un outil d’aide à la décision doit se taire plutôt que de proposer une conclusion. Aucune n’indique non plus comment présenter une incertitude à un opérateur pressé sans qu’il la lise comme un défaut de l’outil.</w:t>
      </w:r>
      <w:bookmarkEnd w:id="564"/>
      <w:bookmarkEnd w:id="565"/>
      <w:bookmarkEnd w:id="566"/>
    </w:p>
    <w:p w14:paraId="52DED328" w14:textId="6ED4381F" w:rsidR="00F50D70" w:rsidRPr="00BE4F47" w:rsidRDefault="00137D7F" w:rsidP="008E113B">
      <w:pPr>
        <w:spacing w:after="130" w:line="360" w:lineRule="auto"/>
        <w:ind w:left="360"/>
        <w:rPr>
          <w:rFonts w:ascii="Aptos" w:hAnsi="Aptos"/>
        </w:rPr>
      </w:pPr>
      <w:bookmarkStart w:id="567" w:name="_Toc241083012"/>
      <w:bookmarkStart w:id="568" w:name="_Toc241670180"/>
      <w:bookmarkStart w:id="569" w:name="_Toc241707888"/>
      <w:r w:rsidRPr="00BE4F47">
        <w:rPr>
          <w:rFonts w:ascii="Aptos" w:hAnsi="Aptos"/>
          <w:color w:val="1A1A19"/>
          <w:sz w:val="20"/>
          <w:szCs w:val="20"/>
        </w:rPr>
        <w:t xml:space="preserve">Dans ces deux cas, l’équipe retient la même règle : en l’absence de norme, le système annonce son incertitude plutôt que de produire un résultat, et la décision reste humaine. Cette règle découle de l’obligation d’informer </w:t>
      </w:r>
      <w:proofErr w:type="gramStart"/>
      <w:r w:rsidRPr="00BE4F47">
        <w:rPr>
          <w:rFonts w:ascii="Aptos" w:hAnsi="Aptos"/>
          <w:color w:val="1A1A19"/>
          <w:sz w:val="20"/>
          <w:szCs w:val="20"/>
        </w:rPr>
        <w:t>le client inscrite</w:t>
      </w:r>
      <w:proofErr w:type="gramEnd"/>
      <w:r w:rsidRPr="00BE4F47">
        <w:rPr>
          <w:rFonts w:ascii="Aptos" w:hAnsi="Aptos"/>
          <w:color w:val="1A1A19"/>
          <w:sz w:val="20"/>
          <w:szCs w:val="20"/>
        </w:rPr>
        <w:t xml:space="preserve"> au Code de déontologie des ingénieurs [43], et elle est inscrite dans les exigences EX-F-06, EX-F-08 et EX-C-01.</w:t>
      </w:r>
      <w:bookmarkEnd w:id="567"/>
      <w:bookmarkEnd w:id="568"/>
      <w:bookmarkEnd w:id="569"/>
    </w:p>
    <w:p w14:paraId="49578092" w14:textId="77777777" w:rsidR="00F50D70" w:rsidRPr="00BE4F47" w:rsidRDefault="00137D7F" w:rsidP="008E113B">
      <w:pPr>
        <w:spacing w:after="130" w:line="360" w:lineRule="auto"/>
        <w:ind w:left="360"/>
        <w:rPr>
          <w:rFonts w:ascii="Aptos" w:hAnsi="Aptos"/>
        </w:rPr>
      </w:pPr>
      <w:bookmarkStart w:id="570" w:name="_Toc241083013"/>
      <w:bookmarkStart w:id="571" w:name="_Toc241670181"/>
      <w:bookmarkStart w:id="572" w:name="_Toc241707889"/>
      <w:r w:rsidRPr="00BE4F47">
        <w:rPr>
          <w:rFonts w:ascii="Aptos" w:hAnsi="Aptos"/>
          <w:color w:val="1A1A19"/>
          <w:sz w:val="20"/>
          <w:szCs w:val="20"/>
        </w:rPr>
        <w:t>Un point reste ouvert. Un prototype universitaire portant sur un contexte nucléaire peut être lu hors de son cadre. C’est pourquoi le domaine de validité de la section 2 et les limites d’emploi du rapport final comptent comme un livrable à part entière.</w:t>
      </w:r>
      <w:bookmarkEnd w:id="570"/>
      <w:bookmarkEnd w:id="571"/>
      <w:bookmarkEnd w:id="572"/>
    </w:p>
    <w:p w14:paraId="3CEC2F1D" w14:textId="77777777" w:rsidR="00F50D70" w:rsidRPr="00B03F2E" w:rsidRDefault="00137D7F" w:rsidP="008E113B">
      <w:pPr>
        <w:pStyle w:val="Titre2"/>
        <w:spacing w:line="360" w:lineRule="auto"/>
      </w:pPr>
      <w:bookmarkStart w:id="573" w:name="__RefHeading___Toc240715219"/>
      <w:bookmarkStart w:id="574" w:name="_Toc241707890"/>
      <w:bookmarkEnd w:id="573"/>
      <w:r w:rsidRPr="00B03F2E">
        <w:t>Incidence sur la conception</w:t>
      </w:r>
      <w:bookmarkEnd w:id="574"/>
    </w:p>
    <w:p w14:paraId="4476F3B3" w14:textId="77777777" w:rsidR="00F50D70" w:rsidRPr="00BE4F47" w:rsidRDefault="00137D7F" w:rsidP="008E113B">
      <w:pPr>
        <w:spacing w:after="130" w:line="360" w:lineRule="auto"/>
        <w:ind w:left="360"/>
        <w:outlineLvl w:val="9"/>
        <w:rPr>
          <w:rFonts w:ascii="Aptos" w:hAnsi="Aptos" w:cs="Calibri"/>
        </w:rPr>
      </w:pPr>
      <w:r w:rsidRPr="00BE4F47">
        <w:rPr>
          <w:rFonts w:ascii="Aptos" w:hAnsi="Aptos"/>
          <w:color w:val="1A1A19"/>
          <w:sz w:val="20"/>
          <w:szCs w:val="20"/>
        </w:rPr>
        <w:t>Les textes retenus se traduiront en contraintes techniques et en critères de validation vérifiables.</w:t>
      </w:r>
    </w:p>
    <w:p w14:paraId="3CDCD275" w14:textId="77777777" w:rsidR="00F50D70" w:rsidRPr="00BE4F47" w:rsidRDefault="00137D7F" w:rsidP="008E113B">
      <w:pPr>
        <w:spacing w:after="130" w:line="360" w:lineRule="auto"/>
        <w:ind w:left="360"/>
        <w:outlineLvl w:val="9"/>
        <w:rPr>
          <w:rFonts w:ascii="Aptos" w:hAnsi="Aptos"/>
        </w:rPr>
      </w:pPr>
      <w:r w:rsidRPr="00BE4F47">
        <w:rPr>
          <w:rFonts w:ascii="Aptos" w:hAnsi="Aptos"/>
          <w:b/>
          <w:color w:val="1A1A19"/>
          <w:sz w:val="20"/>
          <w:szCs w:val="20"/>
        </w:rPr>
        <w:t xml:space="preserve">La modélisation. </w:t>
      </w:r>
      <w:r w:rsidRPr="00BE4F47">
        <w:rPr>
          <w:rFonts w:ascii="Aptos" w:hAnsi="Aptos"/>
          <w:color w:val="1A1A19"/>
          <w:sz w:val="20"/>
          <w:szCs w:val="20"/>
        </w:rPr>
        <w:t>Les dispositions de la Loi sur les ingénieurs relatives aux modèles et aux calculs [19] s’appliquent à la boucle thermohydraulique simulée. Les variables de température, de pression et de débit devront reposer sur un modèle cohérent, documenté et vérifiable. Les hypothèses du modèle devront être énoncées, pour distinguer la simulation universitaire d’un modèle représentant réellement Gentilly-2.</w:t>
      </w:r>
    </w:p>
    <w:p w14:paraId="305F63F0" w14:textId="77777777" w:rsidR="00F50D70" w:rsidRPr="00BE4F47" w:rsidRDefault="00137D7F" w:rsidP="008E113B">
      <w:pPr>
        <w:spacing w:after="130" w:line="360" w:lineRule="auto"/>
        <w:ind w:left="360"/>
        <w:outlineLvl w:val="9"/>
        <w:rPr>
          <w:rFonts w:ascii="Aptos" w:hAnsi="Aptos"/>
        </w:rPr>
      </w:pPr>
      <w:r w:rsidRPr="00BE4F47">
        <w:rPr>
          <w:rFonts w:ascii="Aptos" w:hAnsi="Aptos"/>
          <w:b/>
          <w:color w:val="1A1A19"/>
          <w:sz w:val="20"/>
          <w:szCs w:val="20"/>
        </w:rPr>
        <w:t xml:space="preserve">La crédibilité du modèle. </w:t>
      </w:r>
      <w:r w:rsidRPr="00BE4F47">
        <w:rPr>
          <w:rFonts w:ascii="Aptos" w:hAnsi="Aptos"/>
          <w:color w:val="1A1A19"/>
          <w:sz w:val="20"/>
          <w:szCs w:val="20"/>
        </w:rPr>
        <w:t xml:space="preserve">La vérification montre que le programme est correct. La validation montre que le modèle représente le système physique. Les deux sont nécessaires. ASME V&amp;V 20 [31] décompose l’écart entre le modèle et la référence en erreur numérique, erreur de modélisation et </w:t>
      </w:r>
      <w:r w:rsidRPr="00BE4F47">
        <w:rPr>
          <w:rFonts w:ascii="Aptos" w:hAnsi="Aptos"/>
          <w:color w:val="1A1A19"/>
          <w:sz w:val="20"/>
          <w:szCs w:val="20"/>
        </w:rPr>
        <w:lastRenderedPageBreak/>
        <w:t>incertitude des données de référence, puis donne la méthode pour les combiner en une incertitude de validation. Cette méthode suppose des données expérimentales, dont le projet ne dispose pas : la comparaison entre deux modèles numériques établit leur cohérence, pas la fidélité au système physique réel. Les conclusions du rapport final s’en tiendront donc à la vérification numérique et à la cohérence avec une référence justifiée. L’incertitude ainsi obtenue servira à interpréter un écart et déterminera le contenu de la campagne d’essais.</w:t>
      </w:r>
    </w:p>
    <w:p w14:paraId="45CBD80C" w14:textId="77777777" w:rsidR="00F50D70" w:rsidRPr="00BE4F47" w:rsidRDefault="00137D7F" w:rsidP="008E113B">
      <w:pPr>
        <w:spacing w:after="130" w:line="360" w:lineRule="auto"/>
        <w:ind w:left="360"/>
        <w:outlineLvl w:val="9"/>
        <w:rPr>
          <w:rFonts w:ascii="Aptos" w:hAnsi="Aptos" w:cs="Calibri"/>
        </w:rPr>
      </w:pPr>
      <w:r w:rsidRPr="00BE4F47">
        <w:rPr>
          <w:rFonts w:ascii="Aptos" w:hAnsi="Aptos"/>
          <w:color w:val="1A1A19"/>
          <w:sz w:val="20"/>
          <w:szCs w:val="20"/>
        </w:rPr>
        <w:t>La norme IEEE 1012 [32] fixe le contenu du plan de vérification et de validation, ainsi que le degré d’indépendance exigé entre la personne qui développe une fonction et celle qui la vérifie.</w:t>
      </w:r>
    </w:p>
    <w:p w14:paraId="525FEC34" w14:textId="77777777" w:rsidR="00F50D70" w:rsidRPr="00BE4F47" w:rsidRDefault="00137D7F" w:rsidP="008E113B">
      <w:pPr>
        <w:spacing w:after="130" w:line="360" w:lineRule="auto"/>
        <w:ind w:left="360"/>
        <w:outlineLvl w:val="9"/>
        <w:rPr>
          <w:rFonts w:ascii="Aptos" w:hAnsi="Aptos"/>
        </w:rPr>
      </w:pPr>
      <w:r w:rsidRPr="00BE4F47">
        <w:rPr>
          <w:rFonts w:ascii="Aptos" w:hAnsi="Aptos"/>
          <w:b/>
          <w:color w:val="1A1A19"/>
          <w:sz w:val="20"/>
          <w:szCs w:val="20"/>
        </w:rPr>
        <w:t xml:space="preserve">L’architecture. </w:t>
      </w:r>
      <w:r w:rsidRPr="00BE4F47">
        <w:rPr>
          <w:rFonts w:ascii="Aptos" w:hAnsi="Aptos"/>
          <w:color w:val="1A1A19"/>
          <w:sz w:val="20"/>
          <w:szCs w:val="20"/>
        </w:rPr>
        <w:t>Les normes relatives au cycle de vie des systèmes [26], au cycle de vie du logiciel [3] et au cadre du jumeau numérique [27] conduiront à séparer les fonctions du prototype : boucle simulée, acquisition des données, jumeau numérique, analyse, interface d’aide à la décision. Cette séparation facilitera le développement, les essais et la validation de chaque fonction indépendamment.</w:t>
      </w:r>
    </w:p>
    <w:p w14:paraId="0EC1B511"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575" w:name="_Toc241083015"/>
      <w:bookmarkStart w:id="576" w:name="_Toc241670183"/>
      <w:bookmarkStart w:id="577" w:name="_Toc241707891"/>
      <w:r w:rsidRPr="00BE4F47">
        <w:rPr>
          <w:rFonts w:ascii="Aptos" w:hAnsi="Aptos"/>
          <w:b/>
          <w:color w:val="1A1A19"/>
          <w:sz w:val="20"/>
          <w:szCs w:val="20"/>
        </w:rPr>
        <w:t xml:space="preserve">La cybersécurité. </w:t>
      </w:r>
      <w:r w:rsidRPr="00BE4F47">
        <w:rPr>
          <w:rFonts w:ascii="Aptos" w:hAnsi="Aptos"/>
          <w:color w:val="1A1A19"/>
          <w:sz w:val="20"/>
          <w:szCs w:val="20"/>
        </w:rPr>
        <w:t>Les normes de cybersécurité [24], [34], [35], [40] conduiront à intégrer plusieurs principes dans la conception :</w:t>
      </w:r>
      <w:bookmarkEnd w:id="575"/>
      <w:bookmarkEnd w:id="576"/>
      <w:bookmarkEnd w:id="577"/>
    </w:p>
    <w:p w14:paraId="384C0440"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78" w:name="_Toc241083016"/>
      <w:bookmarkStart w:id="579" w:name="_Toc241670184"/>
      <w:bookmarkStart w:id="580" w:name="_Toc241707892"/>
      <w:proofErr w:type="gramStart"/>
      <w:r w:rsidRPr="00BE4F47">
        <w:rPr>
          <w:rFonts w:ascii="Aptos" w:hAnsi="Aptos"/>
          <w:color w:val="1A1A19"/>
          <w:sz w:val="20"/>
          <w:szCs w:val="20"/>
        </w:rPr>
        <w:t>protection</w:t>
      </w:r>
      <w:proofErr w:type="gramEnd"/>
      <w:r w:rsidRPr="00BE4F47">
        <w:rPr>
          <w:rFonts w:ascii="Aptos" w:hAnsi="Aptos"/>
          <w:color w:val="1A1A19"/>
          <w:sz w:val="20"/>
          <w:szCs w:val="20"/>
        </w:rPr>
        <w:t xml:space="preserve"> de l’intégrité des données.</w:t>
      </w:r>
      <w:bookmarkEnd w:id="578"/>
      <w:bookmarkEnd w:id="579"/>
      <w:bookmarkEnd w:id="580"/>
    </w:p>
    <w:p w14:paraId="710CFDBF"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81" w:name="_Toc241083017"/>
      <w:bookmarkStart w:id="582" w:name="_Toc241670185"/>
      <w:bookmarkStart w:id="583" w:name="_Toc241707893"/>
      <w:proofErr w:type="gramStart"/>
      <w:r w:rsidRPr="00BE4F47">
        <w:rPr>
          <w:rFonts w:ascii="Aptos" w:hAnsi="Aptos"/>
          <w:color w:val="1A1A19"/>
          <w:sz w:val="20"/>
          <w:szCs w:val="20"/>
        </w:rPr>
        <w:t>contrôle</w:t>
      </w:r>
      <w:proofErr w:type="gramEnd"/>
      <w:r w:rsidRPr="00BE4F47">
        <w:rPr>
          <w:rFonts w:ascii="Aptos" w:hAnsi="Aptos"/>
          <w:color w:val="1A1A19"/>
          <w:sz w:val="20"/>
          <w:szCs w:val="20"/>
        </w:rPr>
        <w:t xml:space="preserve"> des accès.</w:t>
      </w:r>
      <w:bookmarkEnd w:id="581"/>
      <w:bookmarkEnd w:id="582"/>
      <w:bookmarkEnd w:id="583"/>
    </w:p>
    <w:p w14:paraId="12C935C0"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84" w:name="_Toc241083018"/>
      <w:bookmarkStart w:id="585" w:name="_Toc241670186"/>
      <w:bookmarkStart w:id="586" w:name="_Toc241707894"/>
      <w:proofErr w:type="gramStart"/>
      <w:r w:rsidRPr="00BE4F47">
        <w:rPr>
          <w:rFonts w:ascii="Aptos" w:hAnsi="Aptos"/>
          <w:color w:val="1A1A19"/>
          <w:sz w:val="20"/>
          <w:szCs w:val="20"/>
        </w:rPr>
        <w:t>journalisation</w:t>
      </w:r>
      <w:proofErr w:type="gramEnd"/>
      <w:r w:rsidRPr="00BE4F47">
        <w:rPr>
          <w:rFonts w:ascii="Aptos" w:hAnsi="Aptos"/>
          <w:color w:val="1A1A19"/>
          <w:sz w:val="20"/>
          <w:szCs w:val="20"/>
        </w:rPr>
        <w:t xml:space="preserve"> des événements.</w:t>
      </w:r>
      <w:bookmarkEnd w:id="584"/>
      <w:bookmarkEnd w:id="585"/>
      <w:bookmarkEnd w:id="586"/>
    </w:p>
    <w:p w14:paraId="4C1FC098"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87" w:name="_Toc241083019"/>
      <w:bookmarkStart w:id="588" w:name="_Toc241670187"/>
      <w:bookmarkStart w:id="589" w:name="_Toc241707895"/>
      <w:proofErr w:type="gramStart"/>
      <w:r w:rsidRPr="00BE4F47">
        <w:rPr>
          <w:rFonts w:ascii="Aptos" w:hAnsi="Aptos"/>
          <w:color w:val="1A1A19"/>
          <w:sz w:val="20"/>
          <w:szCs w:val="20"/>
        </w:rPr>
        <w:t>surveillance</w:t>
      </w:r>
      <w:proofErr w:type="gramEnd"/>
      <w:r w:rsidRPr="00BE4F47">
        <w:rPr>
          <w:rFonts w:ascii="Aptos" w:hAnsi="Aptos"/>
          <w:color w:val="1A1A19"/>
          <w:sz w:val="20"/>
          <w:szCs w:val="20"/>
        </w:rPr>
        <w:t xml:space="preserve"> des communications.</w:t>
      </w:r>
      <w:bookmarkEnd w:id="587"/>
      <w:bookmarkEnd w:id="588"/>
      <w:bookmarkEnd w:id="589"/>
    </w:p>
    <w:p w14:paraId="792C69BF"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90" w:name="_Toc241083020"/>
      <w:bookmarkStart w:id="591" w:name="_Toc241670188"/>
      <w:bookmarkStart w:id="592" w:name="_Toc241707896"/>
      <w:proofErr w:type="gramStart"/>
      <w:r w:rsidRPr="00BE4F47">
        <w:rPr>
          <w:rFonts w:ascii="Aptos" w:hAnsi="Aptos"/>
          <w:color w:val="1A1A19"/>
          <w:sz w:val="20"/>
          <w:szCs w:val="20"/>
        </w:rPr>
        <w:t>identification</w:t>
      </w:r>
      <w:proofErr w:type="gramEnd"/>
      <w:r w:rsidRPr="00BE4F47">
        <w:rPr>
          <w:rFonts w:ascii="Aptos" w:hAnsi="Aptos"/>
          <w:color w:val="1A1A19"/>
          <w:sz w:val="20"/>
          <w:szCs w:val="20"/>
        </w:rPr>
        <w:t xml:space="preserve"> des données incohérentes.</w:t>
      </w:r>
      <w:bookmarkEnd w:id="590"/>
      <w:bookmarkEnd w:id="591"/>
      <w:bookmarkEnd w:id="592"/>
    </w:p>
    <w:p w14:paraId="37E1BF1F"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93" w:name="_Toc241083021"/>
      <w:bookmarkStart w:id="594" w:name="_Toc241670189"/>
      <w:bookmarkStart w:id="595" w:name="_Toc241707897"/>
      <w:proofErr w:type="gramStart"/>
      <w:r w:rsidRPr="00BE4F47">
        <w:rPr>
          <w:rFonts w:ascii="Aptos" w:hAnsi="Aptos"/>
          <w:color w:val="1A1A19"/>
          <w:sz w:val="20"/>
          <w:szCs w:val="20"/>
        </w:rPr>
        <w:t>détection</w:t>
      </w:r>
      <w:proofErr w:type="gramEnd"/>
      <w:r w:rsidRPr="00BE4F47">
        <w:rPr>
          <w:rFonts w:ascii="Aptos" w:hAnsi="Aptos"/>
          <w:color w:val="1A1A19"/>
          <w:sz w:val="20"/>
          <w:szCs w:val="20"/>
        </w:rPr>
        <w:t xml:space="preserve"> d’une perte de communication.</w:t>
      </w:r>
      <w:bookmarkEnd w:id="593"/>
      <w:bookmarkEnd w:id="594"/>
      <w:bookmarkEnd w:id="595"/>
    </w:p>
    <w:p w14:paraId="6A6DD01E"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596" w:name="_Toc241083022"/>
      <w:bookmarkStart w:id="597" w:name="_Toc241670190"/>
      <w:bookmarkStart w:id="598" w:name="_Toc241707898"/>
      <w:proofErr w:type="gramStart"/>
      <w:r w:rsidRPr="00BE4F47">
        <w:rPr>
          <w:rFonts w:ascii="Aptos" w:hAnsi="Aptos"/>
          <w:color w:val="1A1A19"/>
          <w:sz w:val="20"/>
          <w:szCs w:val="20"/>
        </w:rPr>
        <w:t>fonctionnement</w:t>
      </w:r>
      <w:proofErr w:type="gramEnd"/>
      <w:r w:rsidRPr="00BE4F47">
        <w:rPr>
          <w:rFonts w:ascii="Aptos" w:hAnsi="Aptos"/>
          <w:color w:val="1A1A19"/>
          <w:sz w:val="20"/>
          <w:szCs w:val="20"/>
        </w:rPr>
        <w:t xml:space="preserve"> contrôlé lorsque certaines informations deviennent indisponibles.</w:t>
      </w:r>
      <w:bookmarkEnd w:id="596"/>
      <w:bookmarkEnd w:id="597"/>
      <w:bookmarkEnd w:id="598"/>
    </w:p>
    <w:p w14:paraId="1A6F77BC" w14:textId="77777777" w:rsidR="00F50D70" w:rsidRPr="00BE4F47" w:rsidRDefault="00137D7F" w:rsidP="008E113B">
      <w:pPr>
        <w:spacing w:after="130" w:line="360" w:lineRule="auto"/>
        <w:ind w:left="360"/>
        <w:rPr>
          <w:rFonts w:ascii="Aptos" w:hAnsi="Aptos"/>
        </w:rPr>
      </w:pPr>
      <w:bookmarkStart w:id="599" w:name="_Toc241083023"/>
      <w:bookmarkStart w:id="600" w:name="_Toc241670191"/>
      <w:bookmarkStart w:id="601" w:name="_Toc241707899"/>
      <w:r w:rsidRPr="00BE4F47">
        <w:rPr>
          <w:rFonts w:ascii="Aptos" w:hAnsi="Aptos"/>
          <w:color w:val="1A1A19"/>
          <w:sz w:val="20"/>
          <w:szCs w:val="20"/>
        </w:rPr>
        <w:t>Le prototype devra signaler une information incertaine ou indisponible au lieu de la présenter comme fiable (EX-F-06). La norme IEC 62859 [36] ajoute une contrainte que les autres n’imposent pas : une mesure de cybersécurité ne doit jamais empêcher l’opérateur de percevoir l’état réel du système. Une coupure de flux décidée pour des motifs de sécurité doit donc être signalée, et non silencieuse.</w:t>
      </w:r>
      <w:bookmarkEnd w:id="599"/>
      <w:bookmarkEnd w:id="600"/>
      <w:bookmarkEnd w:id="601"/>
    </w:p>
    <w:p w14:paraId="4378735E"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602" w:name="_Toc241083024"/>
      <w:bookmarkStart w:id="603" w:name="_Toc241670192"/>
      <w:bookmarkStart w:id="604" w:name="_Toc241707900"/>
      <w:r w:rsidRPr="00BE4F47">
        <w:rPr>
          <w:rFonts w:ascii="Aptos" w:hAnsi="Aptos"/>
          <w:b/>
          <w:color w:val="1A1A19"/>
          <w:sz w:val="20"/>
          <w:szCs w:val="20"/>
        </w:rPr>
        <w:t xml:space="preserve">L’interface. </w:t>
      </w:r>
      <w:r w:rsidRPr="00BE4F47">
        <w:rPr>
          <w:rFonts w:ascii="Aptos" w:hAnsi="Aptos"/>
          <w:color w:val="1A1A19"/>
          <w:sz w:val="20"/>
          <w:szCs w:val="20"/>
        </w:rPr>
        <w:t>Le jumeau numérique reste un outil d’aide à la décision. Selon les principes de conception centrée sur l’humain [33], l’interface devra présenter clairement :</w:t>
      </w:r>
      <w:bookmarkEnd w:id="602"/>
      <w:bookmarkEnd w:id="603"/>
      <w:bookmarkEnd w:id="604"/>
    </w:p>
    <w:p w14:paraId="7EEEA587"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05" w:name="_Toc241083025"/>
      <w:bookmarkStart w:id="606" w:name="_Toc241670193"/>
      <w:bookmarkStart w:id="607" w:name="_Toc241707901"/>
      <w:proofErr w:type="gramStart"/>
      <w:r w:rsidRPr="00BE4F47">
        <w:rPr>
          <w:rFonts w:ascii="Aptos" w:hAnsi="Aptos"/>
          <w:color w:val="1A1A19"/>
          <w:sz w:val="20"/>
          <w:szCs w:val="20"/>
        </w:rPr>
        <w:t>l’état</w:t>
      </w:r>
      <w:proofErr w:type="gramEnd"/>
      <w:r w:rsidRPr="00BE4F47">
        <w:rPr>
          <w:rFonts w:ascii="Aptos" w:hAnsi="Aptos"/>
          <w:color w:val="1A1A19"/>
          <w:sz w:val="20"/>
          <w:szCs w:val="20"/>
        </w:rPr>
        <w:t xml:space="preserve"> de la boucle simulée.</w:t>
      </w:r>
      <w:bookmarkEnd w:id="605"/>
      <w:bookmarkEnd w:id="606"/>
      <w:bookmarkEnd w:id="607"/>
    </w:p>
    <w:p w14:paraId="245117B8"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08" w:name="_Toc241083026"/>
      <w:bookmarkStart w:id="609" w:name="_Toc241670194"/>
      <w:bookmarkStart w:id="610" w:name="_Toc241707902"/>
      <w:proofErr w:type="gramStart"/>
      <w:r w:rsidRPr="00BE4F47">
        <w:rPr>
          <w:rFonts w:ascii="Aptos" w:hAnsi="Aptos"/>
          <w:color w:val="1A1A19"/>
          <w:sz w:val="20"/>
          <w:szCs w:val="20"/>
        </w:rPr>
        <w:t>les</w:t>
      </w:r>
      <w:proofErr w:type="gramEnd"/>
      <w:r w:rsidRPr="00BE4F47">
        <w:rPr>
          <w:rFonts w:ascii="Aptos" w:hAnsi="Aptos"/>
          <w:color w:val="1A1A19"/>
          <w:sz w:val="20"/>
          <w:szCs w:val="20"/>
        </w:rPr>
        <w:t xml:space="preserve"> valeurs importantes.</w:t>
      </w:r>
      <w:bookmarkEnd w:id="608"/>
      <w:bookmarkEnd w:id="609"/>
      <w:bookmarkEnd w:id="610"/>
    </w:p>
    <w:p w14:paraId="5607A211"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11" w:name="_Toc241083027"/>
      <w:bookmarkStart w:id="612" w:name="_Toc241670195"/>
      <w:bookmarkStart w:id="613" w:name="_Toc241707903"/>
      <w:proofErr w:type="gramStart"/>
      <w:r w:rsidRPr="00BE4F47">
        <w:rPr>
          <w:rFonts w:ascii="Aptos" w:hAnsi="Aptos"/>
          <w:color w:val="1A1A19"/>
          <w:sz w:val="20"/>
          <w:szCs w:val="20"/>
        </w:rPr>
        <w:t>les</w:t>
      </w:r>
      <w:proofErr w:type="gramEnd"/>
      <w:r w:rsidRPr="00BE4F47">
        <w:rPr>
          <w:rFonts w:ascii="Aptos" w:hAnsi="Aptos"/>
          <w:color w:val="1A1A19"/>
          <w:sz w:val="20"/>
          <w:szCs w:val="20"/>
        </w:rPr>
        <w:t xml:space="preserve"> anomalies détectées.</w:t>
      </w:r>
      <w:bookmarkEnd w:id="611"/>
      <w:bookmarkEnd w:id="612"/>
      <w:bookmarkEnd w:id="613"/>
    </w:p>
    <w:p w14:paraId="7DE1572A"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14" w:name="_Toc241083028"/>
      <w:bookmarkStart w:id="615" w:name="_Toc241670196"/>
      <w:bookmarkStart w:id="616" w:name="_Toc241707904"/>
      <w:proofErr w:type="gramStart"/>
      <w:r w:rsidRPr="00BE4F47">
        <w:rPr>
          <w:rFonts w:ascii="Aptos" w:hAnsi="Aptos"/>
          <w:color w:val="1A1A19"/>
          <w:sz w:val="20"/>
          <w:szCs w:val="20"/>
        </w:rPr>
        <w:lastRenderedPageBreak/>
        <w:t>les</w:t>
      </w:r>
      <w:proofErr w:type="gramEnd"/>
      <w:r w:rsidRPr="00BE4F47">
        <w:rPr>
          <w:rFonts w:ascii="Aptos" w:hAnsi="Aptos"/>
          <w:color w:val="1A1A19"/>
          <w:sz w:val="20"/>
          <w:szCs w:val="20"/>
        </w:rPr>
        <w:t xml:space="preserve"> alertes.</w:t>
      </w:r>
      <w:bookmarkEnd w:id="614"/>
      <w:bookmarkEnd w:id="615"/>
      <w:bookmarkEnd w:id="616"/>
    </w:p>
    <w:p w14:paraId="48D9E32A"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17" w:name="_Toc241083029"/>
      <w:bookmarkStart w:id="618" w:name="_Toc241670197"/>
      <w:bookmarkStart w:id="619" w:name="_Toc241707905"/>
      <w:proofErr w:type="gramStart"/>
      <w:r w:rsidRPr="00BE4F47">
        <w:rPr>
          <w:rFonts w:ascii="Aptos" w:hAnsi="Aptos"/>
          <w:color w:val="1A1A19"/>
          <w:sz w:val="20"/>
          <w:szCs w:val="20"/>
        </w:rPr>
        <w:t>les</w:t>
      </w:r>
      <w:proofErr w:type="gramEnd"/>
      <w:r w:rsidRPr="00BE4F47">
        <w:rPr>
          <w:rFonts w:ascii="Aptos" w:hAnsi="Aptos"/>
          <w:color w:val="1A1A19"/>
          <w:sz w:val="20"/>
          <w:szCs w:val="20"/>
        </w:rPr>
        <w:t xml:space="preserve"> informations manquantes.</w:t>
      </w:r>
      <w:bookmarkEnd w:id="617"/>
      <w:bookmarkEnd w:id="618"/>
      <w:bookmarkEnd w:id="619"/>
    </w:p>
    <w:p w14:paraId="69EC944D"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20" w:name="_Toc241083030"/>
      <w:bookmarkStart w:id="621" w:name="_Toc241670198"/>
      <w:bookmarkStart w:id="622" w:name="_Toc241707906"/>
      <w:proofErr w:type="gramStart"/>
      <w:r w:rsidRPr="00BE4F47">
        <w:rPr>
          <w:rFonts w:ascii="Aptos" w:hAnsi="Aptos"/>
          <w:color w:val="1A1A19"/>
          <w:sz w:val="20"/>
          <w:szCs w:val="20"/>
        </w:rPr>
        <w:t>le</w:t>
      </w:r>
      <w:proofErr w:type="gramEnd"/>
      <w:r w:rsidRPr="00BE4F47">
        <w:rPr>
          <w:rFonts w:ascii="Aptos" w:hAnsi="Aptos"/>
          <w:color w:val="1A1A19"/>
          <w:sz w:val="20"/>
          <w:szCs w:val="20"/>
        </w:rPr>
        <w:t xml:space="preserve"> niveau d’incertitude lorsqu’il est pertinent.</w:t>
      </w:r>
      <w:bookmarkEnd w:id="620"/>
      <w:bookmarkEnd w:id="621"/>
      <w:bookmarkEnd w:id="622"/>
    </w:p>
    <w:p w14:paraId="34024A34"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623" w:name="_Toc241083031"/>
      <w:bookmarkStart w:id="624" w:name="_Toc241670199"/>
      <w:bookmarkStart w:id="625" w:name="_Toc241707907"/>
      <w:r w:rsidRPr="00BE4F47">
        <w:rPr>
          <w:rFonts w:ascii="Aptos" w:hAnsi="Aptos"/>
          <w:color w:val="1A1A19"/>
          <w:sz w:val="20"/>
          <w:szCs w:val="20"/>
        </w:rPr>
        <w:t>La décision finale reste celle de l’opérateur (EX-F-08) et le prototype ne commandera aucune installation.</w:t>
      </w:r>
      <w:bookmarkEnd w:id="623"/>
      <w:bookmarkEnd w:id="624"/>
      <w:bookmarkEnd w:id="625"/>
    </w:p>
    <w:p w14:paraId="03964FBD"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626" w:name="_Toc241083032"/>
      <w:bookmarkStart w:id="627" w:name="_Toc241670200"/>
      <w:bookmarkStart w:id="628" w:name="_Toc241707908"/>
      <w:r w:rsidRPr="00BE4F47">
        <w:rPr>
          <w:rFonts w:ascii="Aptos" w:hAnsi="Aptos"/>
          <w:b/>
          <w:color w:val="1A1A19"/>
          <w:sz w:val="20"/>
          <w:szCs w:val="20"/>
        </w:rPr>
        <w:t xml:space="preserve">La vérification et la validation. </w:t>
      </w:r>
      <w:r w:rsidRPr="00BE4F47">
        <w:rPr>
          <w:rFonts w:ascii="Aptos" w:hAnsi="Aptos"/>
          <w:color w:val="1A1A19"/>
          <w:sz w:val="20"/>
          <w:szCs w:val="20"/>
        </w:rPr>
        <w:t>Les exigences liées à la qualité logicielle [29], à la sûreté [37], [38], [39], à la gestion des risques [30] et à la validation des modèles [31], [32] conduiront à prévoir une campagne d’essais structurée :</w:t>
      </w:r>
      <w:bookmarkEnd w:id="626"/>
      <w:bookmarkEnd w:id="627"/>
      <w:bookmarkEnd w:id="628"/>
    </w:p>
    <w:p w14:paraId="387DA5E1"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29" w:name="_Toc241083033"/>
      <w:bookmarkStart w:id="630" w:name="_Toc241670201"/>
      <w:bookmarkStart w:id="631" w:name="_Toc241707909"/>
      <w:proofErr w:type="gramStart"/>
      <w:r w:rsidRPr="00BE4F47">
        <w:rPr>
          <w:rFonts w:ascii="Aptos" w:hAnsi="Aptos"/>
          <w:color w:val="1A1A19"/>
          <w:sz w:val="20"/>
          <w:szCs w:val="20"/>
        </w:rPr>
        <w:t>essais</w:t>
      </w:r>
      <w:proofErr w:type="gramEnd"/>
      <w:r w:rsidRPr="00BE4F47">
        <w:rPr>
          <w:rFonts w:ascii="Aptos" w:hAnsi="Aptos"/>
          <w:color w:val="1A1A19"/>
          <w:sz w:val="20"/>
          <w:szCs w:val="20"/>
        </w:rPr>
        <w:t xml:space="preserve"> du fonctionnement normal.</w:t>
      </w:r>
      <w:bookmarkEnd w:id="629"/>
      <w:bookmarkEnd w:id="630"/>
      <w:bookmarkEnd w:id="631"/>
    </w:p>
    <w:p w14:paraId="475186A0"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32" w:name="_Toc241083034"/>
      <w:bookmarkStart w:id="633" w:name="_Toc241670202"/>
      <w:bookmarkStart w:id="634" w:name="_Toc241707910"/>
      <w:proofErr w:type="gramStart"/>
      <w:r w:rsidRPr="00BE4F47">
        <w:rPr>
          <w:rFonts w:ascii="Aptos" w:hAnsi="Aptos"/>
          <w:color w:val="1A1A19"/>
          <w:sz w:val="20"/>
          <w:szCs w:val="20"/>
        </w:rPr>
        <w:t>essais</w:t>
      </w:r>
      <w:proofErr w:type="gramEnd"/>
      <w:r w:rsidRPr="00BE4F47">
        <w:rPr>
          <w:rFonts w:ascii="Aptos" w:hAnsi="Aptos"/>
          <w:color w:val="1A1A19"/>
          <w:sz w:val="20"/>
          <w:szCs w:val="20"/>
        </w:rPr>
        <w:t xml:space="preserve"> avec données anormales.</w:t>
      </w:r>
      <w:bookmarkEnd w:id="632"/>
      <w:bookmarkEnd w:id="633"/>
      <w:bookmarkEnd w:id="634"/>
    </w:p>
    <w:p w14:paraId="1DA67275"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35" w:name="_Toc241083035"/>
      <w:bookmarkStart w:id="636" w:name="_Toc241670203"/>
      <w:bookmarkStart w:id="637" w:name="_Toc241707911"/>
      <w:proofErr w:type="gramStart"/>
      <w:r w:rsidRPr="00BE4F47">
        <w:rPr>
          <w:rFonts w:ascii="Aptos" w:hAnsi="Aptos"/>
          <w:color w:val="1A1A19"/>
          <w:sz w:val="20"/>
          <w:szCs w:val="20"/>
        </w:rPr>
        <w:t>essais</w:t>
      </w:r>
      <w:proofErr w:type="gramEnd"/>
      <w:r w:rsidRPr="00BE4F47">
        <w:rPr>
          <w:rFonts w:ascii="Aptos" w:hAnsi="Aptos"/>
          <w:color w:val="1A1A19"/>
          <w:sz w:val="20"/>
          <w:szCs w:val="20"/>
        </w:rPr>
        <w:t xml:space="preserve"> de perte de données ou de communication.</w:t>
      </w:r>
      <w:bookmarkEnd w:id="635"/>
      <w:bookmarkEnd w:id="636"/>
      <w:bookmarkEnd w:id="637"/>
    </w:p>
    <w:p w14:paraId="1581AD2D"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38" w:name="_Toc241083036"/>
      <w:bookmarkStart w:id="639" w:name="_Toc241670204"/>
      <w:bookmarkStart w:id="640" w:name="_Toc241707912"/>
      <w:proofErr w:type="gramStart"/>
      <w:r w:rsidRPr="00BE4F47">
        <w:rPr>
          <w:rFonts w:ascii="Aptos" w:hAnsi="Aptos"/>
          <w:color w:val="1A1A19"/>
          <w:sz w:val="20"/>
          <w:szCs w:val="20"/>
        </w:rPr>
        <w:t>essais</w:t>
      </w:r>
      <w:proofErr w:type="gramEnd"/>
      <w:r w:rsidRPr="00BE4F47">
        <w:rPr>
          <w:rFonts w:ascii="Aptos" w:hAnsi="Aptos"/>
          <w:color w:val="1A1A19"/>
          <w:sz w:val="20"/>
          <w:szCs w:val="20"/>
        </w:rPr>
        <w:t xml:space="preserve"> des fonctions de détection et des alertes.</w:t>
      </w:r>
      <w:bookmarkEnd w:id="638"/>
      <w:bookmarkEnd w:id="639"/>
      <w:bookmarkEnd w:id="640"/>
    </w:p>
    <w:p w14:paraId="2ADD5371"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41" w:name="_Toc241083037"/>
      <w:bookmarkStart w:id="642" w:name="_Toc241670205"/>
      <w:bookmarkStart w:id="643" w:name="_Toc241707913"/>
      <w:proofErr w:type="gramStart"/>
      <w:r w:rsidRPr="00BE4F47">
        <w:rPr>
          <w:rFonts w:ascii="Aptos" w:hAnsi="Aptos"/>
          <w:color w:val="1A1A19"/>
          <w:sz w:val="20"/>
          <w:szCs w:val="20"/>
        </w:rPr>
        <w:t>essais</w:t>
      </w:r>
      <w:proofErr w:type="gramEnd"/>
      <w:r w:rsidRPr="00BE4F47">
        <w:rPr>
          <w:rFonts w:ascii="Aptos" w:hAnsi="Aptos"/>
          <w:color w:val="1A1A19"/>
          <w:sz w:val="20"/>
          <w:szCs w:val="20"/>
        </w:rPr>
        <w:t xml:space="preserve"> de l’interface.</w:t>
      </w:r>
      <w:bookmarkEnd w:id="641"/>
      <w:bookmarkEnd w:id="642"/>
      <w:bookmarkEnd w:id="643"/>
    </w:p>
    <w:p w14:paraId="59E0A4F8"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644" w:name="_Toc241083039"/>
      <w:bookmarkStart w:id="645" w:name="_Toc241670206"/>
      <w:bookmarkStart w:id="646" w:name="_Toc241707914"/>
      <w:proofErr w:type="gramStart"/>
      <w:r w:rsidRPr="00BE4F47">
        <w:rPr>
          <w:rFonts w:ascii="Aptos" w:hAnsi="Aptos"/>
          <w:color w:val="1A1A19"/>
          <w:sz w:val="20"/>
          <w:szCs w:val="20"/>
        </w:rPr>
        <w:t>quantification</w:t>
      </w:r>
      <w:proofErr w:type="gramEnd"/>
      <w:r w:rsidRPr="00BE4F47">
        <w:rPr>
          <w:rFonts w:ascii="Aptos" w:hAnsi="Aptos"/>
          <w:color w:val="1A1A19"/>
          <w:sz w:val="20"/>
          <w:szCs w:val="20"/>
        </w:rPr>
        <w:t xml:space="preserve"> de l’incertitude de validation.</w:t>
      </w:r>
      <w:bookmarkEnd w:id="644"/>
      <w:bookmarkEnd w:id="645"/>
      <w:bookmarkEnd w:id="646"/>
    </w:p>
    <w:p w14:paraId="03873C97"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647" w:name="_Toc241083042"/>
      <w:bookmarkStart w:id="648" w:name="_Toc241670207"/>
      <w:bookmarkStart w:id="649" w:name="_Toc241707915"/>
      <w:r w:rsidRPr="00BE4F47">
        <w:rPr>
          <w:rFonts w:ascii="Aptos" w:hAnsi="Aptos"/>
          <w:color w:val="1A1A19"/>
          <w:sz w:val="20"/>
          <w:szCs w:val="20"/>
        </w:rPr>
        <w:t>Les résultats serviront à déterminer si le système répond aux besoins définis et à produire les recommandations finales.</w:t>
      </w:r>
      <w:bookmarkEnd w:id="647"/>
      <w:bookmarkEnd w:id="648"/>
      <w:bookmarkEnd w:id="649"/>
    </w:p>
    <w:p w14:paraId="762C189C" w14:textId="77777777" w:rsidR="00F50D70" w:rsidRPr="00B36301" w:rsidRDefault="00137D7F" w:rsidP="008E113B">
      <w:pPr>
        <w:pStyle w:val="Titre1"/>
        <w:spacing w:line="360" w:lineRule="auto"/>
      </w:pPr>
      <w:bookmarkStart w:id="650" w:name="__RefHeading___Toc240715220"/>
      <w:bookmarkStart w:id="651" w:name="_Toc241707916"/>
      <w:bookmarkEnd w:id="650"/>
      <w:r w:rsidRPr="00B36301">
        <w:t>Impacts et gestion des risques</w:t>
      </w:r>
      <w:bookmarkEnd w:id="651"/>
    </w:p>
    <w:p w14:paraId="14B91BE0" w14:textId="77777777" w:rsidR="00F50D70" w:rsidRPr="00BE4F47" w:rsidRDefault="00137D7F" w:rsidP="008E113B">
      <w:pPr>
        <w:spacing w:after="130" w:line="360" w:lineRule="auto"/>
        <w:ind w:left="360"/>
        <w:rPr>
          <w:rFonts w:ascii="Aptos" w:hAnsi="Aptos"/>
        </w:rPr>
      </w:pPr>
      <w:bookmarkStart w:id="652" w:name="_Toc241083044"/>
      <w:bookmarkStart w:id="653" w:name="_Toc241670209"/>
      <w:bookmarkStart w:id="654" w:name="_Toc241707917"/>
      <w:r w:rsidRPr="00BE4F47">
        <w:rPr>
          <w:rFonts w:ascii="Aptos" w:hAnsi="Aptos"/>
          <w:color w:val="1A1A19"/>
          <w:sz w:val="20"/>
          <w:szCs w:val="20"/>
        </w:rPr>
        <w:t>Le cadre normatif est posé. Cette section examine les effets que le projet produit, puis ce qui peut l’empêcher d’aboutir. Chaque risque est rattaché à une exigence, à un lot de travail ou à un jalon.</w:t>
      </w:r>
      <w:bookmarkEnd w:id="652"/>
      <w:bookmarkEnd w:id="653"/>
      <w:bookmarkEnd w:id="654"/>
    </w:p>
    <w:p w14:paraId="6CA9E03E" w14:textId="77777777" w:rsidR="00F50D70" w:rsidRPr="00BE4F47" w:rsidRDefault="00137D7F" w:rsidP="008E113B">
      <w:pPr>
        <w:spacing w:after="130" w:line="360" w:lineRule="auto"/>
        <w:ind w:left="360"/>
        <w:rPr>
          <w:rFonts w:ascii="Aptos" w:hAnsi="Aptos"/>
        </w:rPr>
      </w:pPr>
      <w:bookmarkStart w:id="655" w:name="_Toc241083046"/>
      <w:bookmarkStart w:id="656" w:name="_Toc241670210"/>
      <w:bookmarkStart w:id="657" w:name="_Toc241707918"/>
      <w:r w:rsidRPr="00BE4F47">
        <w:rPr>
          <w:rFonts w:ascii="Aptos" w:hAnsi="Aptos"/>
          <w:color w:val="1A1A19"/>
          <w:sz w:val="20"/>
          <w:szCs w:val="20"/>
        </w:rPr>
        <w:t>Le projet et son périmètre sont décrits à la section 1. Deux caractéristiques comptent ici. Le prototype est un outil d’aide à la décision : il fournit l’état estimé, les variables qui ont contribué au diagnostic et le niveau de confiance associé. Il ne commande aucune installation : la décision finale reste celle de l’opérateur (EX-F-08). Quand les données ne permettent pas de conclure, il signale son incertitude au lieu d’afficher un état normal (EX-F-06). Ces deux règles reviennent dans tout ce qui suit.</w:t>
      </w:r>
      <w:bookmarkEnd w:id="655"/>
      <w:bookmarkEnd w:id="656"/>
      <w:bookmarkEnd w:id="657"/>
    </w:p>
    <w:p w14:paraId="1CE1B49D" w14:textId="77777777" w:rsidR="00F50D70" w:rsidRPr="00BE4F47" w:rsidRDefault="00137D7F" w:rsidP="008E113B">
      <w:pPr>
        <w:spacing w:after="130" w:line="360" w:lineRule="auto"/>
        <w:ind w:left="360"/>
        <w:rPr>
          <w:rFonts w:ascii="Aptos" w:hAnsi="Aptos"/>
        </w:rPr>
      </w:pPr>
      <w:bookmarkStart w:id="658" w:name="_Toc241083049"/>
      <w:bookmarkStart w:id="659" w:name="_Toc241670211"/>
      <w:bookmarkStart w:id="660" w:name="_Toc241707919"/>
      <w:r w:rsidRPr="00BE4F47">
        <w:rPr>
          <w:rFonts w:ascii="Aptos" w:hAnsi="Aptos"/>
          <w:color w:val="1A1A19"/>
          <w:sz w:val="20"/>
          <w:szCs w:val="20"/>
        </w:rPr>
        <w:t>Les impacts relevés ci-dessous sont ceux du problème considéré, non ceux de l’objet livré. Un prototype entièrement simulé n’a presque aucune incidence environnementale ou sanitaire par lui-même. Ce qui en a, c’est l’usage auquel il est destiné.</w:t>
      </w:r>
      <w:bookmarkEnd w:id="658"/>
      <w:bookmarkEnd w:id="659"/>
      <w:bookmarkEnd w:id="660"/>
    </w:p>
    <w:p w14:paraId="19DAA7E1" w14:textId="77777777" w:rsidR="00F50D70" w:rsidRPr="00B36301" w:rsidRDefault="00137D7F" w:rsidP="008E113B">
      <w:pPr>
        <w:pStyle w:val="Titre2"/>
        <w:spacing w:line="360" w:lineRule="auto"/>
      </w:pPr>
      <w:bookmarkStart w:id="661" w:name="__RefHeading___Toc240715226"/>
      <w:bookmarkStart w:id="662" w:name="_Toc241707920"/>
      <w:bookmarkEnd w:id="661"/>
      <w:r w:rsidRPr="00B36301">
        <w:t>Impacts du projet</w:t>
      </w:r>
      <w:bookmarkEnd w:id="662"/>
    </w:p>
    <w:p w14:paraId="34A06D1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63" w:name="_Toc241083051"/>
      <w:bookmarkStart w:id="664" w:name="_Toc241670213"/>
      <w:bookmarkStart w:id="665" w:name="_Toc241707921"/>
      <w:r w:rsidRPr="00BE4F47">
        <w:rPr>
          <w:rFonts w:ascii="Aptos" w:hAnsi="Aptos"/>
          <w:b/>
          <w:color w:val="1A1A19"/>
          <w:sz w:val="20"/>
          <w:szCs w:val="20"/>
        </w:rPr>
        <w:t xml:space="preserve">Les impacts techniques. </w:t>
      </w:r>
      <w:r w:rsidRPr="00BE4F47">
        <w:rPr>
          <w:rFonts w:ascii="Aptos" w:hAnsi="Aptos"/>
          <w:color w:val="1A1A19"/>
          <w:sz w:val="20"/>
          <w:szCs w:val="20"/>
        </w:rPr>
        <w:t xml:space="preserve">Le principal effet positif est de pouvoir étudier des états de fonctionnement et des scénarios de défaillance sans les provoquer sur une installation réelle. La </w:t>
      </w:r>
      <w:r w:rsidRPr="00BE4F47">
        <w:rPr>
          <w:rFonts w:ascii="Aptos" w:hAnsi="Aptos"/>
          <w:color w:val="1A1A19"/>
          <w:sz w:val="20"/>
          <w:szCs w:val="20"/>
        </w:rPr>
        <w:lastRenderedPageBreak/>
        <w:t>simulation permet de rejouer les essais à l’identique et de soumettre le prototype à une campagne structurée de vérification et de validation (EX-F-02).</w:t>
      </w:r>
      <w:bookmarkEnd w:id="663"/>
      <w:bookmarkEnd w:id="664"/>
      <w:bookmarkEnd w:id="665"/>
    </w:p>
    <w:p w14:paraId="0984D5A8" w14:textId="77777777" w:rsidR="00F50D70" w:rsidRPr="00BE4F47" w:rsidRDefault="00137D7F" w:rsidP="008E113B">
      <w:pPr>
        <w:spacing w:after="130" w:line="360" w:lineRule="auto"/>
        <w:ind w:left="360"/>
        <w:rPr>
          <w:rFonts w:ascii="Aptos" w:hAnsi="Aptos"/>
        </w:rPr>
      </w:pPr>
      <w:bookmarkStart w:id="666" w:name="_Toc241083052"/>
      <w:bookmarkStart w:id="667" w:name="_Toc241670214"/>
      <w:bookmarkStart w:id="668" w:name="_Toc241707922"/>
      <w:r w:rsidRPr="00BE4F47">
        <w:rPr>
          <w:rFonts w:ascii="Aptos" w:hAnsi="Aptos"/>
          <w:color w:val="1A1A19"/>
          <w:sz w:val="20"/>
          <w:szCs w:val="20"/>
        </w:rPr>
        <w:t>En contrepartie, le projet dépend de la qualité des données et de la fidélité du modèle. Une mesure incorrecte, une donnée indisponible ou une désynchronisation donnent une représentation erronée de l’état de la boucle.</w:t>
      </w:r>
      <w:bookmarkEnd w:id="666"/>
      <w:bookmarkEnd w:id="667"/>
      <w:bookmarkEnd w:id="668"/>
    </w:p>
    <w:p w14:paraId="0FAE675F" w14:textId="77777777" w:rsidR="00F50D70" w:rsidRPr="00BE4F47" w:rsidRDefault="00137D7F" w:rsidP="008E113B">
      <w:pPr>
        <w:spacing w:after="130" w:line="360" w:lineRule="auto"/>
        <w:ind w:left="360"/>
        <w:rPr>
          <w:rFonts w:ascii="Aptos" w:hAnsi="Aptos"/>
        </w:rPr>
      </w:pPr>
      <w:bookmarkStart w:id="669" w:name="_Toc241083053"/>
      <w:bookmarkStart w:id="670" w:name="_Toc241670215"/>
      <w:bookmarkStart w:id="671" w:name="_Toc241707923"/>
      <w:r w:rsidRPr="00BE4F47">
        <w:rPr>
          <w:rFonts w:ascii="Aptos" w:hAnsi="Aptos"/>
          <w:b/>
          <w:color w:val="1A1A19"/>
          <w:sz w:val="20"/>
          <w:szCs w:val="20"/>
        </w:rPr>
        <w:t xml:space="preserve">La sûreté et la cybersécurité. </w:t>
      </w:r>
      <w:r w:rsidRPr="00BE4F47">
        <w:rPr>
          <w:rFonts w:ascii="Aptos" w:hAnsi="Aptos"/>
          <w:color w:val="1A1A19"/>
          <w:sz w:val="20"/>
          <w:szCs w:val="20"/>
        </w:rPr>
        <w:t>La difficulté la plus sérieuse est un système qui reste fonctionnel tout en affichant une information crédible mais incorrecte. Une donnée falsifiée, corrompue ou erronée peut masquer une anomalie réelle ou provoquer une fausse alarme. Le premier cas retire une information à l’opérateur, le second lui fait perdre confiance dans l’outil.</w:t>
      </w:r>
      <w:bookmarkEnd w:id="669"/>
      <w:bookmarkEnd w:id="670"/>
      <w:bookmarkEnd w:id="671"/>
    </w:p>
    <w:p w14:paraId="30C066C1" w14:textId="77777777" w:rsidR="00F50D70" w:rsidRPr="00BE4F47" w:rsidRDefault="00137D7F" w:rsidP="008E113B">
      <w:pPr>
        <w:spacing w:after="130" w:line="360" w:lineRule="auto"/>
        <w:ind w:left="360"/>
        <w:rPr>
          <w:rFonts w:ascii="Aptos" w:hAnsi="Aptos"/>
        </w:rPr>
      </w:pPr>
      <w:bookmarkStart w:id="672" w:name="_Toc241083054"/>
      <w:bookmarkStart w:id="673" w:name="_Toc241670216"/>
      <w:bookmarkStart w:id="674" w:name="_Toc241707924"/>
      <w:r w:rsidRPr="00BE4F47">
        <w:rPr>
          <w:rFonts w:ascii="Aptos" w:hAnsi="Aptos"/>
          <w:color w:val="1A1A19"/>
          <w:sz w:val="20"/>
          <w:szCs w:val="20"/>
        </w:rPr>
        <w:t>Les mesures prévues devront donc protéger l’intégrité, la disponibilité et la traçabilité des données : contrôle des accès, authentification, journalisation, validation des entrées et segmentation de l’environnement d’essai (EX-Q-04). La norme IEC 62859 ajoute une contrainte, développée en 6.5.</w:t>
      </w:r>
      <w:bookmarkEnd w:id="672"/>
      <w:bookmarkEnd w:id="673"/>
      <w:bookmarkEnd w:id="674"/>
    </w:p>
    <w:p w14:paraId="7158DA60" w14:textId="77777777" w:rsidR="00F50D70" w:rsidRPr="00BE4F47" w:rsidRDefault="00137D7F" w:rsidP="008E113B">
      <w:pPr>
        <w:spacing w:after="130" w:line="360" w:lineRule="auto"/>
        <w:ind w:left="360"/>
        <w:rPr>
          <w:rFonts w:ascii="Aptos" w:hAnsi="Aptos"/>
        </w:rPr>
      </w:pPr>
      <w:bookmarkStart w:id="675" w:name="_Toc241083056"/>
      <w:bookmarkStart w:id="676" w:name="_Toc241670217"/>
      <w:bookmarkStart w:id="677" w:name="_Toc241707925"/>
      <w:r w:rsidRPr="00BE4F47">
        <w:rPr>
          <w:rFonts w:ascii="Aptos" w:hAnsi="Aptos"/>
          <w:b/>
          <w:color w:val="1A1A19"/>
          <w:sz w:val="20"/>
          <w:szCs w:val="20"/>
        </w:rPr>
        <w:t xml:space="preserve">Les impacts humains et organisationnels. </w:t>
      </w:r>
      <w:r w:rsidRPr="00BE4F47">
        <w:rPr>
          <w:rFonts w:ascii="Aptos" w:hAnsi="Aptos"/>
          <w:color w:val="1A1A19"/>
          <w:sz w:val="20"/>
          <w:szCs w:val="20"/>
        </w:rPr>
        <w:t>L’interface détermine la façon dont les ingénieurs et les opérateurs interprètent l’état estimé. Elle devra présenter les variables contributives et le niveau de confiance (EX-F-05, EX-F-07).</w:t>
      </w:r>
      <w:bookmarkEnd w:id="675"/>
      <w:bookmarkEnd w:id="676"/>
      <w:bookmarkEnd w:id="677"/>
    </w:p>
    <w:p w14:paraId="78BE772E" w14:textId="77777777" w:rsidR="00F50D70" w:rsidRPr="00BE4F47" w:rsidRDefault="00137D7F" w:rsidP="008E113B">
      <w:pPr>
        <w:spacing w:after="130" w:line="360" w:lineRule="auto"/>
        <w:ind w:left="360"/>
        <w:rPr>
          <w:rFonts w:ascii="Aptos" w:hAnsi="Aptos"/>
        </w:rPr>
      </w:pPr>
      <w:bookmarkStart w:id="678" w:name="_Toc241083057"/>
      <w:bookmarkStart w:id="679" w:name="_Toc241670218"/>
      <w:bookmarkStart w:id="680" w:name="_Toc241707926"/>
      <w:r w:rsidRPr="00BE4F47">
        <w:rPr>
          <w:rFonts w:ascii="Aptos" w:hAnsi="Aptos"/>
          <w:color w:val="1A1A19"/>
          <w:sz w:val="20"/>
          <w:szCs w:val="20"/>
        </w:rPr>
        <w:t>Le principal effet défavorable est la confiance excessive envers le jumeau numérique, appelée biais d’automatisation dans la littérature. Un opérateur qui s’habitue à un outil fiable finit par lui accorder plus de crédit qu’à ses propres instruments.</w:t>
      </w:r>
      <w:bookmarkEnd w:id="678"/>
      <w:bookmarkEnd w:id="679"/>
      <w:bookmarkEnd w:id="680"/>
    </w:p>
    <w:p w14:paraId="15B45348" w14:textId="77777777" w:rsidR="00F50D70" w:rsidRPr="00BE4F47" w:rsidRDefault="00137D7F" w:rsidP="008E113B">
      <w:pPr>
        <w:spacing w:after="130" w:line="360" w:lineRule="auto"/>
        <w:ind w:left="360"/>
        <w:rPr>
          <w:rFonts w:ascii="Aptos" w:hAnsi="Aptos"/>
        </w:rPr>
      </w:pPr>
      <w:bookmarkStart w:id="681" w:name="_Toc241083058"/>
      <w:bookmarkStart w:id="682" w:name="_Toc241670219"/>
      <w:bookmarkStart w:id="683" w:name="_Toc241707927"/>
      <w:r w:rsidRPr="00BE4F47">
        <w:rPr>
          <w:rFonts w:ascii="Aptos" w:hAnsi="Aptos"/>
          <w:b/>
          <w:color w:val="1A1A19"/>
          <w:sz w:val="20"/>
          <w:szCs w:val="20"/>
        </w:rPr>
        <w:t xml:space="preserve">La santé et la sécurité des personnes. </w:t>
      </w:r>
      <w:r w:rsidRPr="00BE4F47">
        <w:rPr>
          <w:rFonts w:ascii="Aptos" w:hAnsi="Aptos"/>
          <w:color w:val="1A1A19"/>
          <w:sz w:val="20"/>
          <w:szCs w:val="20"/>
        </w:rPr>
        <w:t>Le prototype ne présente aucun danger par lui-même : il est entièrement simulé, ne manipule aucun fluide, aucune énergie et aucune donnée réelle. Le travail de l’équipe se fait devant un poste informatique.</w:t>
      </w:r>
      <w:bookmarkEnd w:id="681"/>
      <w:bookmarkEnd w:id="682"/>
      <w:bookmarkEnd w:id="683"/>
    </w:p>
    <w:p w14:paraId="41EBA3F5" w14:textId="77777777" w:rsidR="00F50D70" w:rsidRPr="00BE4F47" w:rsidRDefault="00137D7F" w:rsidP="008E113B">
      <w:pPr>
        <w:spacing w:after="130" w:line="360" w:lineRule="auto"/>
        <w:ind w:left="360"/>
        <w:rPr>
          <w:rFonts w:ascii="Aptos" w:hAnsi="Aptos"/>
        </w:rPr>
      </w:pPr>
      <w:bookmarkStart w:id="684" w:name="_Toc241083059"/>
      <w:bookmarkStart w:id="685" w:name="_Toc241670220"/>
      <w:bookmarkStart w:id="686" w:name="_Toc241707928"/>
      <w:r w:rsidRPr="00BE4F47">
        <w:rPr>
          <w:rFonts w:ascii="Aptos" w:hAnsi="Aptos"/>
          <w:color w:val="1A1A19"/>
          <w:sz w:val="20"/>
          <w:szCs w:val="20"/>
        </w:rPr>
        <w:t>L’incidence sur la santé et la sécurité vient du problème considéré. Un outil d’aide à la décision destiné à une installation nucléaire participe à une chaîne qui aboutit à une décision humaine d’exploitation. Les trois modes de dysfonctionnement qui conduisent à un risque pour les personnes sont analysés en 6.1, où ils fondent l’applicabilité de l’article 3 (3°) de la Loi sur les ingénieurs.</w:t>
      </w:r>
      <w:bookmarkEnd w:id="684"/>
      <w:bookmarkEnd w:id="685"/>
      <w:bookmarkEnd w:id="686"/>
    </w:p>
    <w:p w14:paraId="1A8B52A3" w14:textId="77777777" w:rsidR="00F50D70" w:rsidRPr="00BE4F47" w:rsidRDefault="00137D7F" w:rsidP="008E113B">
      <w:pPr>
        <w:spacing w:after="130" w:line="360" w:lineRule="auto"/>
        <w:ind w:left="360"/>
        <w:rPr>
          <w:rFonts w:ascii="Aptos" w:hAnsi="Aptos"/>
        </w:rPr>
      </w:pPr>
      <w:bookmarkStart w:id="687" w:name="_Toc241083061"/>
      <w:bookmarkStart w:id="688" w:name="_Toc241670221"/>
      <w:bookmarkStart w:id="689" w:name="_Toc241707929"/>
      <w:r w:rsidRPr="00BE4F47">
        <w:rPr>
          <w:rFonts w:ascii="Aptos" w:hAnsi="Aptos"/>
          <w:b/>
          <w:color w:val="1A1A19"/>
          <w:sz w:val="20"/>
          <w:szCs w:val="20"/>
        </w:rPr>
        <w:t xml:space="preserve">Les impacts économiques. </w:t>
      </w:r>
      <w:r w:rsidRPr="00BE4F47">
        <w:rPr>
          <w:rFonts w:ascii="Aptos" w:hAnsi="Aptos"/>
          <w:color w:val="1A1A19"/>
          <w:sz w:val="20"/>
          <w:szCs w:val="20"/>
        </w:rPr>
        <w:t>Le projet mobilise surtout des ressources humaines et informatiques. Le mandat est limité à 1 080 heures d’ingénierie facturables, et les infrastructures, logiciels et ressources de l’UQAC sont privilégiés pour limiter les dépenses. Cette enveloppe est la contrainte de planification la plus structurante du projet, et elle fait l’objet du risque RP2.</w:t>
      </w:r>
      <w:bookmarkEnd w:id="687"/>
      <w:bookmarkEnd w:id="688"/>
      <w:bookmarkEnd w:id="689"/>
    </w:p>
    <w:p w14:paraId="6DEDFCD2"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90" w:name="_Toc241083062"/>
      <w:bookmarkStart w:id="691" w:name="_Toc241670222"/>
      <w:bookmarkStart w:id="692" w:name="_Toc241707930"/>
      <w:r w:rsidRPr="00BE4F47">
        <w:rPr>
          <w:rFonts w:ascii="Aptos" w:hAnsi="Aptos"/>
          <w:color w:val="1A1A19"/>
          <w:sz w:val="20"/>
          <w:szCs w:val="20"/>
        </w:rPr>
        <w:t>L’intérêt économique de ce type d’outil est indirect. Étudier un scénario de défaillance en simulation coûte une fraction de ce que coûterait sa reproduction sur une installation, et n’immobilise aucun équipement. L’argument vaut pour la classe d’outils, pas pour le prototype universitaire, qui ne produit aucune valeur marchande.</w:t>
      </w:r>
      <w:bookmarkEnd w:id="690"/>
      <w:bookmarkEnd w:id="691"/>
      <w:bookmarkEnd w:id="692"/>
    </w:p>
    <w:p w14:paraId="19859864" w14:textId="77777777" w:rsidR="00F50D70" w:rsidRPr="00BE4F47" w:rsidRDefault="00137D7F" w:rsidP="008E113B">
      <w:pPr>
        <w:spacing w:after="130" w:line="360" w:lineRule="auto"/>
        <w:ind w:left="360"/>
        <w:rPr>
          <w:rFonts w:ascii="Aptos" w:hAnsi="Aptos"/>
        </w:rPr>
      </w:pPr>
      <w:bookmarkStart w:id="693" w:name="_Toc241083063"/>
      <w:bookmarkStart w:id="694" w:name="_Toc241670223"/>
      <w:bookmarkStart w:id="695" w:name="_Toc241707931"/>
      <w:r w:rsidRPr="00BE4F47">
        <w:rPr>
          <w:rFonts w:ascii="Aptos" w:hAnsi="Aptos"/>
          <w:b/>
          <w:color w:val="1A1A19"/>
          <w:sz w:val="20"/>
          <w:szCs w:val="20"/>
        </w:rPr>
        <w:lastRenderedPageBreak/>
        <w:t xml:space="preserve">L’équité, la diversité et l’inclusion. </w:t>
      </w:r>
      <w:r w:rsidRPr="00BE4F47">
        <w:rPr>
          <w:rFonts w:ascii="Aptos" w:hAnsi="Aptos"/>
          <w:color w:val="1A1A19"/>
          <w:sz w:val="20"/>
          <w:szCs w:val="20"/>
        </w:rPr>
        <w:t xml:space="preserve">Le projet retient un second critère à côté des objectifs de développement durable : l’équité, la diversité et l’inclusion, qui </w:t>
      </w:r>
      <w:proofErr w:type="gramStart"/>
      <w:r w:rsidRPr="00BE4F47">
        <w:rPr>
          <w:rFonts w:ascii="Aptos" w:hAnsi="Aptos"/>
          <w:color w:val="1A1A19"/>
          <w:sz w:val="20"/>
          <w:szCs w:val="20"/>
        </w:rPr>
        <w:t>a</w:t>
      </w:r>
      <w:proofErr w:type="gramEnd"/>
      <w:r w:rsidRPr="00BE4F47">
        <w:rPr>
          <w:rFonts w:ascii="Aptos" w:hAnsi="Aptos"/>
          <w:color w:val="1A1A19"/>
          <w:sz w:val="20"/>
          <w:szCs w:val="20"/>
        </w:rPr>
        <w:t xml:space="preserve"> des conséquences vérifiables sur l’interface et sur la conduite de l’équipe.</w:t>
      </w:r>
      <w:bookmarkEnd w:id="693"/>
      <w:bookmarkEnd w:id="694"/>
      <w:bookmarkEnd w:id="695"/>
    </w:p>
    <w:p w14:paraId="3533EA21" w14:textId="77777777" w:rsidR="00F50D70" w:rsidRPr="00BE4F47" w:rsidRDefault="00137D7F" w:rsidP="008E113B">
      <w:pPr>
        <w:spacing w:after="130" w:line="360" w:lineRule="auto"/>
        <w:ind w:left="360"/>
        <w:rPr>
          <w:rFonts w:ascii="Aptos" w:hAnsi="Aptos"/>
        </w:rPr>
      </w:pPr>
      <w:bookmarkStart w:id="696" w:name="_Toc241083064"/>
      <w:bookmarkStart w:id="697" w:name="_Toc241670224"/>
      <w:bookmarkStart w:id="698" w:name="_Toc241707932"/>
      <w:r w:rsidRPr="00BE4F47">
        <w:rPr>
          <w:rFonts w:ascii="Aptos" w:hAnsi="Aptos"/>
          <w:color w:val="1A1A19"/>
          <w:sz w:val="20"/>
          <w:szCs w:val="20"/>
        </w:rPr>
        <w:t>L’interface est destinée à des opérateurs dont l’expérience, la formation et les conditions de travail varient. Trois orientations en découlent :</w:t>
      </w:r>
      <w:bookmarkEnd w:id="696"/>
      <w:bookmarkEnd w:id="697"/>
      <w:bookmarkEnd w:id="698"/>
    </w:p>
    <w:p w14:paraId="19699A9B"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699" w:name="_Toc241670225"/>
      <w:bookmarkStart w:id="700" w:name="_Toc241707933"/>
      <w:proofErr w:type="gramStart"/>
      <w:r w:rsidRPr="00B36301">
        <w:rPr>
          <w:rFonts w:ascii="Aptos" w:hAnsi="Aptos"/>
          <w:color w:val="1A1A19"/>
          <w:sz w:val="20"/>
          <w:szCs w:val="20"/>
        </w:rPr>
        <w:t>le</w:t>
      </w:r>
      <w:proofErr w:type="gramEnd"/>
      <w:r w:rsidRPr="00B36301">
        <w:rPr>
          <w:rFonts w:ascii="Aptos" w:hAnsi="Aptos"/>
          <w:color w:val="1A1A19"/>
          <w:sz w:val="20"/>
          <w:szCs w:val="20"/>
        </w:rPr>
        <w:t xml:space="preserve"> résultat est présenté en texte et par une forme, jamais par la couleur seule, ce qui le rend lisible pour une personne daltonienne et sur une impression en noir et blanc.</w:t>
      </w:r>
      <w:bookmarkEnd w:id="699"/>
      <w:bookmarkEnd w:id="700"/>
    </w:p>
    <w:p w14:paraId="415117C7"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701" w:name="_Toc241670226"/>
      <w:bookmarkStart w:id="702" w:name="_Toc241707934"/>
      <w:proofErr w:type="gramStart"/>
      <w:r w:rsidRPr="00B36301">
        <w:rPr>
          <w:rFonts w:ascii="Aptos" w:hAnsi="Aptos"/>
          <w:color w:val="1A1A19"/>
          <w:sz w:val="20"/>
          <w:szCs w:val="20"/>
        </w:rPr>
        <w:t>le</w:t>
      </w:r>
      <w:proofErr w:type="gramEnd"/>
      <w:r w:rsidRPr="00B36301">
        <w:rPr>
          <w:rFonts w:ascii="Aptos" w:hAnsi="Aptos"/>
          <w:color w:val="1A1A19"/>
          <w:sz w:val="20"/>
          <w:szCs w:val="20"/>
        </w:rPr>
        <w:t xml:space="preserve"> vocabulaire affiché est celui du métier, sans acronyme non défini.</w:t>
      </w:r>
      <w:bookmarkEnd w:id="701"/>
      <w:bookmarkEnd w:id="702"/>
    </w:p>
    <w:p w14:paraId="5F09F4C6"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703" w:name="_Toc241670227"/>
      <w:bookmarkStart w:id="704" w:name="_Toc241707935"/>
      <w:proofErr w:type="gramStart"/>
      <w:r w:rsidRPr="00B36301">
        <w:rPr>
          <w:rFonts w:ascii="Aptos" w:hAnsi="Aptos"/>
          <w:color w:val="1A1A19"/>
          <w:sz w:val="20"/>
          <w:szCs w:val="20"/>
        </w:rPr>
        <w:t>le</w:t>
      </w:r>
      <w:proofErr w:type="gramEnd"/>
      <w:r w:rsidRPr="00B36301">
        <w:rPr>
          <w:rFonts w:ascii="Aptos" w:hAnsi="Aptos"/>
          <w:color w:val="1A1A19"/>
          <w:sz w:val="20"/>
          <w:szCs w:val="20"/>
        </w:rPr>
        <w:t xml:space="preserve"> niveau de confiance est annoncé en clair plutôt que sous forme d’un score que seul un spécialiste saurait interpréter.</w:t>
      </w:r>
      <w:bookmarkEnd w:id="703"/>
      <w:bookmarkEnd w:id="704"/>
    </w:p>
    <w:p w14:paraId="23A9B780" w14:textId="77777777" w:rsidR="00F50D70" w:rsidRPr="00BE4F47" w:rsidRDefault="00137D7F" w:rsidP="008E113B">
      <w:pPr>
        <w:spacing w:after="130" w:line="360" w:lineRule="auto"/>
        <w:ind w:left="360"/>
        <w:rPr>
          <w:rFonts w:ascii="Aptos" w:hAnsi="Aptos"/>
        </w:rPr>
      </w:pPr>
      <w:bookmarkStart w:id="705" w:name="_Toc241670228"/>
      <w:bookmarkStart w:id="706" w:name="_Toc241707936"/>
      <w:r w:rsidRPr="00BE4F47">
        <w:rPr>
          <w:rFonts w:ascii="Aptos" w:hAnsi="Aptos"/>
          <w:color w:val="1A1A19"/>
          <w:sz w:val="20"/>
          <w:szCs w:val="20"/>
        </w:rPr>
        <w:t>Ces trois orientations rejoignent la norme ISO 9241-210 et l’exigence EX-Q-03.</w:t>
      </w:r>
      <w:bookmarkEnd w:id="705"/>
      <w:bookmarkEnd w:id="706"/>
    </w:p>
    <w:p w14:paraId="1C0034B6" w14:textId="77777777" w:rsidR="00F50D70" w:rsidRPr="00BE4F47" w:rsidRDefault="00137D7F" w:rsidP="008E113B">
      <w:pPr>
        <w:spacing w:after="130" w:line="360" w:lineRule="auto"/>
        <w:ind w:left="360"/>
        <w:rPr>
          <w:rFonts w:ascii="Aptos" w:hAnsi="Aptos"/>
        </w:rPr>
      </w:pPr>
      <w:bookmarkStart w:id="707" w:name="_Toc241083065"/>
      <w:bookmarkStart w:id="708" w:name="_Toc241670229"/>
      <w:bookmarkStart w:id="709" w:name="_Toc241707937"/>
      <w:r w:rsidRPr="00BE4F47">
        <w:rPr>
          <w:rFonts w:ascii="Aptos" w:hAnsi="Aptos"/>
          <w:color w:val="1A1A19"/>
          <w:sz w:val="20"/>
          <w:szCs w:val="20"/>
        </w:rPr>
        <w:t>L’équipe est composée de personnes venant de plusieurs pays et de plusieurs parcours. L’affectation suit les compétences du tableau des lots et non l’aisance à s’exprimer en réunion. Toute décision engageant le périmètre est consignée par écrit dans une issue du dépôt, ce qui permet d’y contribuer en différé.</w:t>
      </w:r>
      <w:bookmarkEnd w:id="707"/>
      <w:bookmarkEnd w:id="708"/>
      <w:bookmarkEnd w:id="709"/>
    </w:p>
    <w:p w14:paraId="40F1763A" w14:textId="77777777" w:rsidR="00F50D70" w:rsidRPr="00BE4F47" w:rsidRDefault="00137D7F" w:rsidP="008E113B">
      <w:pPr>
        <w:spacing w:after="130" w:line="360" w:lineRule="auto"/>
        <w:ind w:left="360"/>
        <w:rPr>
          <w:rFonts w:ascii="Aptos" w:hAnsi="Aptos"/>
        </w:rPr>
      </w:pPr>
      <w:bookmarkStart w:id="710" w:name="_Toc241083066"/>
      <w:bookmarkStart w:id="711" w:name="_Toc241670230"/>
      <w:bookmarkStart w:id="712" w:name="_Toc241707938"/>
      <w:r w:rsidRPr="00BE4F47">
        <w:rPr>
          <w:rFonts w:ascii="Aptos" w:hAnsi="Aptos"/>
          <w:color w:val="1A1A19"/>
          <w:sz w:val="20"/>
          <w:szCs w:val="20"/>
        </w:rPr>
        <w:t>Les outils libres de la section 5 permettent à chaque membre de travailler depuis son propre poste, sans licence payante ni accès privilégié à un laboratoire. Retenus pour le budget et la reproductibilité, ils servent aussi l’équité d’accès au travail.</w:t>
      </w:r>
      <w:bookmarkEnd w:id="710"/>
      <w:bookmarkEnd w:id="711"/>
      <w:bookmarkEnd w:id="712"/>
    </w:p>
    <w:p w14:paraId="5D0AF0D0" w14:textId="77777777" w:rsidR="00F50D70" w:rsidRPr="00BE4F47" w:rsidRDefault="00137D7F" w:rsidP="008E113B">
      <w:pPr>
        <w:spacing w:after="130" w:line="360" w:lineRule="auto"/>
        <w:ind w:left="360"/>
        <w:rPr>
          <w:rFonts w:ascii="Aptos" w:hAnsi="Aptos"/>
        </w:rPr>
      </w:pPr>
      <w:bookmarkStart w:id="713" w:name="_Toc241083067"/>
      <w:bookmarkStart w:id="714" w:name="_Toc241670231"/>
      <w:bookmarkStart w:id="715" w:name="_Toc241707939"/>
      <w:r w:rsidRPr="00BE4F47">
        <w:rPr>
          <w:rFonts w:ascii="Aptos" w:hAnsi="Aptos"/>
          <w:b/>
          <w:color w:val="1A1A19"/>
          <w:sz w:val="20"/>
          <w:szCs w:val="20"/>
        </w:rPr>
        <w:t xml:space="preserve">L’environnement et le développement durable. </w:t>
      </w:r>
      <w:r w:rsidRPr="00BE4F47">
        <w:rPr>
          <w:rFonts w:ascii="Aptos" w:hAnsi="Aptos"/>
          <w:color w:val="1A1A19"/>
          <w:sz w:val="20"/>
          <w:szCs w:val="20"/>
        </w:rPr>
        <w:t>Les incidences environnementales directes du prototype sont faibles : la consommation de ressources informatiques pendant le développement et les essais.</w:t>
      </w:r>
      <w:bookmarkEnd w:id="713"/>
      <w:bookmarkEnd w:id="714"/>
      <w:bookmarkEnd w:id="715"/>
    </w:p>
    <w:p w14:paraId="07C5503B"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716" w:name="_Toc241083068"/>
      <w:bookmarkStart w:id="717" w:name="_Toc241670232"/>
      <w:bookmarkStart w:id="718" w:name="_Toc241707940"/>
      <w:r w:rsidRPr="00BE4F47">
        <w:rPr>
          <w:rFonts w:ascii="Aptos" w:hAnsi="Aptos"/>
          <w:color w:val="1A1A19"/>
          <w:sz w:val="20"/>
          <w:szCs w:val="20"/>
        </w:rPr>
        <w:t>L’apport au développement durable est indirect. Deux objectifs de développement durable des Nations unies [44] s’y rattachent :</w:t>
      </w:r>
      <w:bookmarkEnd w:id="716"/>
      <w:bookmarkEnd w:id="717"/>
      <w:bookmarkEnd w:id="718"/>
    </w:p>
    <w:p w14:paraId="37A393CB" w14:textId="77777777" w:rsidR="00F50D70" w:rsidRPr="00BE4F47" w:rsidRDefault="00137D7F" w:rsidP="008E113B">
      <w:pPr>
        <w:numPr>
          <w:ilvl w:val="0"/>
          <w:numId w:val="20"/>
        </w:numPr>
        <w:spacing w:after="130" w:line="360" w:lineRule="auto"/>
        <w:ind w:left="720"/>
        <w:rPr>
          <w:rFonts w:ascii="Aptos" w:hAnsi="Aptos"/>
        </w:rPr>
      </w:pPr>
      <w:bookmarkStart w:id="719" w:name="_Toc241670233"/>
      <w:bookmarkStart w:id="720" w:name="_Toc241707941"/>
      <w:r w:rsidRPr="00BE4F47">
        <w:rPr>
          <w:rFonts w:ascii="Aptos" w:hAnsi="Aptos"/>
          <w:b/>
          <w:color w:val="1A1A19"/>
          <w:sz w:val="20"/>
          <w:szCs w:val="20"/>
        </w:rPr>
        <w:t xml:space="preserve">ODD 7, énergie propre et d’un coût abordable. </w:t>
      </w:r>
      <w:r w:rsidRPr="00BE4F47">
        <w:rPr>
          <w:rFonts w:ascii="Aptos" w:hAnsi="Aptos"/>
          <w:color w:val="1A1A19"/>
          <w:sz w:val="20"/>
          <w:szCs w:val="20"/>
        </w:rPr>
        <w:t>Un outil qui contribue à l’exploitation sûre d’une source de production à faibles émissions soutient indirectement cet objectif. La contribution du prototype est celle d’un démonstrateur, non celle d’un système exploité.</w:t>
      </w:r>
      <w:bookmarkEnd w:id="719"/>
      <w:bookmarkEnd w:id="720"/>
    </w:p>
    <w:p w14:paraId="4EF2E95B"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721" w:name="_Toc241670234"/>
      <w:bookmarkStart w:id="722" w:name="_Toc241707942"/>
      <w:r w:rsidRPr="00B36301">
        <w:rPr>
          <w:rFonts w:ascii="Aptos" w:hAnsi="Aptos"/>
          <w:b/>
          <w:color w:val="1A1A19"/>
          <w:sz w:val="20"/>
          <w:szCs w:val="20"/>
        </w:rPr>
        <w:t xml:space="preserve">ODD 9, industrie, innovation et infrastructure. </w:t>
      </w:r>
      <w:r w:rsidRPr="00B36301">
        <w:rPr>
          <w:rFonts w:ascii="Aptos" w:hAnsi="Aptos"/>
          <w:color w:val="1A1A19"/>
          <w:sz w:val="20"/>
          <w:szCs w:val="20"/>
        </w:rPr>
        <w:t>Le projet porte sur la résilience d’une infrastructure existante et sur la modernisation de ses moyens de surveillance.</w:t>
      </w:r>
      <w:bookmarkEnd w:id="721"/>
      <w:bookmarkEnd w:id="722"/>
    </w:p>
    <w:p w14:paraId="035CE735"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723" w:name="_Toc241083069"/>
      <w:bookmarkStart w:id="724" w:name="_Toc241670235"/>
      <w:bookmarkStart w:id="725" w:name="_Toc241707943"/>
      <w:r w:rsidRPr="00BE4F47">
        <w:rPr>
          <w:rFonts w:ascii="Aptos" w:hAnsi="Aptos"/>
          <w:color w:val="1A1A19"/>
          <w:sz w:val="20"/>
          <w:szCs w:val="20"/>
        </w:rPr>
        <w:t>L’ODD 12, sur la consommation et la production responsables, pourrait s’y ajouter au titre des essais évités. L’équipe s’en tient aux deux premiers.</w:t>
      </w:r>
      <w:bookmarkEnd w:id="723"/>
      <w:bookmarkEnd w:id="724"/>
      <w:bookmarkEnd w:id="725"/>
    </w:p>
    <w:p w14:paraId="142999DE" w14:textId="77777777" w:rsidR="00F50D70" w:rsidRPr="00BE4F47" w:rsidRDefault="00137D7F" w:rsidP="008E113B">
      <w:pPr>
        <w:spacing w:after="130" w:line="360" w:lineRule="auto"/>
        <w:ind w:left="360"/>
        <w:rPr>
          <w:rFonts w:ascii="Aptos" w:hAnsi="Aptos"/>
        </w:rPr>
      </w:pPr>
      <w:bookmarkStart w:id="726" w:name="_Toc241083070"/>
      <w:bookmarkStart w:id="727" w:name="_Toc241670236"/>
      <w:bookmarkStart w:id="728" w:name="_Toc241707944"/>
      <w:r w:rsidRPr="00BE4F47">
        <w:rPr>
          <w:rFonts w:ascii="Aptos" w:hAnsi="Aptos"/>
          <w:b/>
          <w:color w:val="1A1A19"/>
          <w:sz w:val="20"/>
          <w:szCs w:val="20"/>
        </w:rPr>
        <w:t xml:space="preserve">La confiance, la transparence et la responsabilité. </w:t>
      </w:r>
      <w:r w:rsidRPr="00BE4F47">
        <w:rPr>
          <w:rFonts w:ascii="Aptos" w:hAnsi="Aptos"/>
          <w:color w:val="1A1A19"/>
          <w:sz w:val="20"/>
          <w:szCs w:val="20"/>
        </w:rPr>
        <w:t>La population concernée par une éventuelle remise en service n’a pas accès au détail technique. Elle juge sur la clarté avec laquelle les capacités et les limites de l’outil sont énoncées.</w:t>
      </w:r>
      <w:bookmarkEnd w:id="726"/>
      <w:bookmarkEnd w:id="727"/>
      <w:bookmarkEnd w:id="728"/>
    </w:p>
    <w:p w14:paraId="1B00A69A" w14:textId="77777777" w:rsidR="00F50D70" w:rsidRPr="00BE4F47" w:rsidRDefault="00137D7F" w:rsidP="008E113B">
      <w:pPr>
        <w:spacing w:after="130" w:line="360" w:lineRule="auto"/>
        <w:ind w:left="360"/>
        <w:rPr>
          <w:rFonts w:ascii="Aptos" w:hAnsi="Aptos"/>
        </w:rPr>
      </w:pPr>
      <w:bookmarkStart w:id="729" w:name="_Toc241083071"/>
      <w:bookmarkStart w:id="730" w:name="_Toc241670237"/>
      <w:bookmarkStart w:id="731" w:name="_Toc241707945"/>
      <w:r w:rsidRPr="00BE4F47">
        <w:rPr>
          <w:rFonts w:ascii="Aptos" w:hAnsi="Aptos"/>
          <w:color w:val="1A1A19"/>
          <w:sz w:val="20"/>
          <w:szCs w:val="20"/>
        </w:rPr>
        <w:lastRenderedPageBreak/>
        <w:t>Deux engagements en découlent : documenter le domaine de validité du prototype et les limites au-delà desquelles ses résultats ne sont pas valides (EX-C-01), et maintenir la responsabilité de la décision chez l’opérateur (EX-F-08).</w:t>
      </w:r>
      <w:bookmarkEnd w:id="729"/>
      <w:bookmarkEnd w:id="730"/>
      <w:bookmarkEnd w:id="731"/>
    </w:p>
    <w:p w14:paraId="51D89DD3" w14:textId="77777777" w:rsidR="00F50D70" w:rsidRPr="00B36301" w:rsidRDefault="00137D7F" w:rsidP="008E113B">
      <w:pPr>
        <w:pStyle w:val="Titre2"/>
        <w:spacing w:line="360" w:lineRule="auto"/>
      </w:pPr>
      <w:bookmarkStart w:id="732" w:name="__RefHeading___Toc240715252"/>
      <w:bookmarkStart w:id="733" w:name="_Toc241707946"/>
      <w:bookmarkEnd w:id="732"/>
      <w:r w:rsidRPr="00B36301">
        <w:t>Bénéfices, inconvénients et rôle de l’équipe</w:t>
      </w:r>
      <w:bookmarkEnd w:id="733"/>
    </w:p>
    <w:p w14:paraId="7E2B822A" w14:textId="77777777" w:rsidR="00F50D70" w:rsidRDefault="00137D7F" w:rsidP="008E113B">
      <w:pPr>
        <w:spacing w:after="130" w:line="360" w:lineRule="auto"/>
        <w:ind w:left="360"/>
        <w:rPr>
          <w:rFonts w:ascii="Aptos" w:eastAsia="Calibri" w:hAnsi="Aptos" w:cs="Calibri"/>
          <w:color w:val="1A1A19"/>
          <w:sz w:val="20"/>
          <w:szCs w:val="20"/>
        </w:rPr>
      </w:pPr>
      <w:bookmarkStart w:id="734" w:name="_Toc241083073"/>
      <w:bookmarkStart w:id="735" w:name="_Toc241670239"/>
      <w:bookmarkStart w:id="736" w:name="_Toc241707947"/>
      <w:r w:rsidRPr="00BE4F47">
        <w:rPr>
          <w:rFonts w:ascii="Aptos" w:hAnsi="Aptos"/>
          <w:color w:val="1A1A19"/>
          <w:sz w:val="20"/>
          <w:szCs w:val="20"/>
        </w:rPr>
        <w:t>Le tableau 7-1 met en regard ce que le projet apporte et ce qu’il coûte ou fait courir comme risque.</w:t>
      </w:r>
      <w:bookmarkEnd w:id="734"/>
      <w:bookmarkEnd w:id="735"/>
      <w:bookmarkEnd w:id="736"/>
    </w:p>
    <w:p w14:paraId="4930C110" w14:textId="77777777" w:rsidR="00F50D70" w:rsidRPr="00BE4F47" w:rsidRDefault="00137D7F" w:rsidP="008E113B">
      <w:pPr>
        <w:pStyle w:val="Lgende"/>
        <w:keepNext/>
        <w:spacing w:line="360" w:lineRule="auto"/>
        <w:rPr>
          <w:rFonts w:ascii="Aptos" w:hAnsi="Aptos"/>
        </w:rPr>
      </w:pPr>
      <w:bookmarkStart w:id="737" w:name="_Toc241083074"/>
      <w:bookmarkStart w:id="738" w:name="_Toc241670240"/>
      <w:bookmarkStart w:id="739" w:name="_Toc241707948"/>
      <w:r w:rsidRPr="00BE4F47">
        <w:rPr>
          <w:rFonts w:ascii="Aptos" w:hAnsi="Aptos"/>
        </w:rPr>
        <w:t>Tableau 7-1. Bénéfices et inconvénients du projet</w:t>
      </w:r>
      <w:bookmarkEnd w:id="737"/>
      <w:bookmarkEnd w:id="738"/>
      <w:bookmarkEnd w:id="739"/>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4064"/>
        <w:gridCol w:w="4493"/>
      </w:tblGrid>
      <w:tr w:rsidR="00F50D70" w:rsidRPr="00BE4F47" w14:paraId="15EA8DE4" w14:textId="77777777" w:rsidTr="0036725C">
        <w:trPr>
          <w:trHeight w:val="223"/>
          <w:tblHeader/>
        </w:trPr>
        <w:tc>
          <w:tcPr>
            <w:tcW w:w="406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E6B4D1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Bénéfices</w:t>
            </w:r>
          </w:p>
        </w:tc>
        <w:tc>
          <w:tcPr>
            <w:tcW w:w="4493"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5785F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Inconvénients</w:t>
            </w:r>
          </w:p>
        </w:tc>
      </w:tr>
      <w:tr w:rsidR="00F50D70" w:rsidRPr="00BE4F47" w14:paraId="02CFA37B"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625218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Étudier des scénarios de défaillance sans les provoquer sur une installation réelle.</w:t>
            </w:r>
          </w:p>
        </w:tc>
        <w:tc>
          <w:tcPr>
            <w:tcW w:w="4493" w:type="dxa"/>
            <w:tcBorders>
              <w:top w:val="single" w:sz="4" w:space="0" w:color="000000"/>
              <w:left w:val="single" w:sz="4" w:space="0" w:color="000000"/>
              <w:bottom w:val="single" w:sz="4" w:space="0" w:color="000000"/>
              <w:right w:val="single" w:sz="4" w:space="0" w:color="000000"/>
            </w:tcBorders>
          </w:tcPr>
          <w:p w14:paraId="027FFB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Introduction d’un biais d’automatisation : l’opérateur peut accorder au modèle plus de crédit qu’à ses instruments (RT10).</w:t>
            </w:r>
          </w:p>
        </w:tc>
      </w:tr>
      <w:tr w:rsidR="00F50D70" w:rsidRPr="00BE4F47" w14:paraId="12ED062E"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72BF53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Reproductibilité des essais : un scénario peut être rejoué à l’identique et comparé.</w:t>
            </w:r>
          </w:p>
        </w:tc>
        <w:tc>
          <w:tcPr>
            <w:tcW w:w="4493" w:type="dxa"/>
            <w:tcBorders>
              <w:top w:val="single" w:sz="4" w:space="0" w:color="000000"/>
              <w:left w:val="single" w:sz="4" w:space="0" w:color="000000"/>
              <w:bottom w:val="single" w:sz="4" w:space="0" w:color="000000"/>
              <w:right w:val="single" w:sz="4" w:space="0" w:color="000000"/>
            </w:tcBorders>
          </w:tcPr>
          <w:p w14:paraId="30E66C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Fausse assurance si le modèle est présenté comme la réalité plutôt que comme une représentation assortie d’une incertitude (RT4).</w:t>
            </w:r>
          </w:p>
        </w:tc>
      </w:tr>
      <w:tr w:rsidR="00F50D70" w:rsidRPr="00BE4F47" w14:paraId="0E0AED70" w14:textId="77777777">
        <w:trPr>
          <w:cantSplit/>
          <w:trHeight w:val="419"/>
        </w:trPr>
        <w:tc>
          <w:tcPr>
            <w:tcW w:w="4064" w:type="dxa"/>
            <w:tcBorders>
              <w:top w:val="single" w:sz="4" w:space="0" w:color="000000"/>
              <w:left w:val="single" w:sz="4" w:space="0" w:color="000000"/>
              <w:bottom w:val="single" w:sz="4" w:space="0" w:color="000000"/>
              <w:right w:val="single" w:sz="4" w:space="0" w:color="000000"/>
            </w:tcBorders>
          </w:tcPr>
          <w:p w14:paraId="2A12DC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Détection précoce des dérives lentes, difficiles à percevoir sur des relevés instantanés.</w:t>
            </w:r>
          </w:p>
        </w:tc>
        <w:tc>
          <w:tcPr>
            <w:tcW w:w="4493" w:type="dxa"/>
            <w:tcBorders>
              <w:top w:val="single" w:sz="4" w:space="0" w:color="000000"/>
              <w:left w:val="single" w:sz="4" w:space="0" w:color="000000"/>
              <w:bottom w:val="single" w:sz="4" w:space="0" w:color="000000"/>
              <w:right w:val="single" w:sz="4" w:space="0" w:color="000000"/>
            </w:tcBorders>
          </w:tcPr>
          <w:p w14:paraId="30B0E9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Banalisation des alarmes si le taux de fausses détections est élevé (RT6).</w:t>
            </w:r>
          </w:p>
        </w:tc>
      </w:tr>
      <w:tr w:rsidR="00F50D70" w:rsidRPr="00BE4F47" w14:paraId="2FF1E018"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544387F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Quantification de l’incertitude : une estimation est accompagnée de son degré de confiance (EX-F-07).</w:t>
            </w:r>
          </w:p>
        </w:tc>
        <w:tc>
          <w:tcPr>
            <w:tcW w:w="4493" w:type="dxa"/>
            <w:tcBorders>
              <w:top w:val="single" w:sz="4" w:space="0" w:color="000000"/>
              <w:left w:val="single" w:sz="4" w:space="0" w:color="000000"/>
              <w:bottom w:val="single" w:sz="4" w:space="0" w:color="000000"/>
              <w:right w:val="single" w:sz="4" w:space="0" w:color="000000"/>
            </w:tcBorders>
          </w:tcPr>
          <w:p w14:paraId="3DC454B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Surface d’attaque ajoutée par la chaîne d’acquisition, qui n’existait pas avant sa construction (RT7, RT8).</w:t>
            </w:r>
          </w:p>
        </w:tc>
      </w:tr>
      <w:tr w:rsidR="00F50D70" w:rsidRPr="00BE4F47" w14:paraId="47B5E56E"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6D2ED1B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Environnement d’apprentissage sans conséquence réelle pour la formation des intervenants.</w:t>
            </w:r>
          </w:p>
        </w:tc>
        <w:tc>
          <w:tcPr>
            <w:tcW w:w="4493" w:type="dxa"/>
            <w:tcBorders>
              <w:top w:val="single" w:sz="4" w:space="0" w:color="000000"/>
              <w:left w:val="single" w:sz="4" w:space="0" w:color="000000"/>
              <w:bottom w:val="single" w:sz="4" w:space="0" w:color="000000"/>
              <w:right w:val="single" w:sz="4" w:space="0" w:color="000000"/>
            </w:tcBorders>
          </w:tcPr>
          <w:p w14:paraId="3830EB0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Dérive du modèle dans le temps si celui-ci n’est pas entretenu ni revalidé (RT3, RT4).</w:t>
            </w:r>
          </w:p>
        </w:tc>
      </w:tr>
      <w:tr w:rsidR="00F50D70" w:rsidRPr="00BE4F47" w14:paraId="276F57A0"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282F7E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Traçabilité : chaque acquisition et chaque changement d’état sont journalisés (EX-F-10).</w:t>
            </w:r>
          </w:p>
        </w:tc>
        <w:tc>
          <w:tcPr>
            <w:tcW w:w="4493" w:type="dxa"/>
            <w:tcBorders>
              <w:top w:val="single" w:sz="4" w:space="0" w:color="000000"/>
              <w:left w:val="single" w:sz="4" w:space="0" w:color="000000"/>
              <w:bottom w:val="single" w:sz="4" w:space="0" w:color="000000"/>
              <w:right w:val="single" w:sz="4" w:space="0" w:color="000000"/>
            </w:tcBorders>
          </w:tcPr>
          <w:p w14:paraId="4102E7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Coût de maintien du modèle et des compétences nécessaires pour l’interpréter.</w:t>
            </w:r>
          </w:p>
        </w:tc>
      </w:tr>
    </w:tbl>
    <w:p w14:paraId="1A552AE0"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740" w:name="_Toc241083076"/>
      <w:bookmarkStart w:id="741" w:name="_Toc241670241"/>
      <w:bookmarkStart w:id="742" w:name="_Toc241707949"/>
      <w:r w:rsidRPr="00BE4F47">
        <w:rPr>
          <w:rFonts w:ascii="Aptos" w:hAnsi="Aptos"/>
          <w:b/>
          <w:color w:val="1A1A19"/>
          <w:sz w:val="20"/>
          <w:szCs w:val="20"/>
        </w:rPr>
        <w:t xml:space="preserve">Le rôle de l’équipe. </w:t>
      </w:r>
      <w:r w:rsidRPr="00BE4F47">
        <w:rPr>
          <w:rFonts w:ascii="Aptos" w:hAnsi="Aptos"/>
          <w:color w:val="1A1A19"/>
          <w:sz w:val="20"/>
          <w:szCs w:val="20"/>
        </w:rPr>
        <w:t>La protection du public est la mission première du système professionnel québécois et la raison d’être de l’encadrement légal de la section 6. La question posée par le mandat est de savoir comment l’équipe exerce ce rôle.</w:t>
      </w:r>
      <w:bookmarkEnd w:id="740"/>
      <w:bookmarkEnd w:id="741"/>
      <w:bookmarkEnd w:id="742"/>
    </w:p>
    <w:p w14:paraId="505A874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743" w:name="_Toc241083077"/>
      <w:bookmarkStart w:id="744" w:name="_Toc241670242"/>
      <w:bookmarkStart w:id="745" w:name="_Toc241707950"/>
      <w:r w:rsidRPr="00BE4F47">
        <w:rPr>
          <w:rFonts w:ascii="Aptos" w:hAnsi="Aptos"/>
          <w:color w:val="1A1A19"/>
          <w:sz w:val="20"/>
          <w:szCs w:val="20"/>
        </w:rPr>
        <w:t>L’équipe n’est pas encore composée d’ingénieurs. Le rôle s’exerce par trois pratiques concrètes :</w:t>
      </w:r>
      <w:bookmarkEnd w:id="743"/>
      <w:bookmarkEnd w:id="744"/>
      <w:bookmarkEnd w:id="745"/>
    </w:p>
    <w:p w14:paraId="3C056A17" w14:textId="77777777" w:rsidR="00F50D70" w:rsidRPr="00BE4F47" w:rsidRDefault="00137D7F" w:rsidP="008E113B">
      <w:pPr>
        <w:spacing w:after="130" w:line="360" w:lineRule="auto"/>
        <w:ind w:left="360"/>
        <w:rPr>
          <w:rFonts w:ascii="Aptos" w:hAnsi="Aptos"/>
        </w:rPr>
      </w:pPr>
      <w:bookmarkStart w:id="746" w:name="_Toc241083078"/>
      <w:bookmarkStart w:id="747" w:name="_Toc241670243"/>
      <w:bookmarkStart w:id="748" w:name="_Toc241707951"/>
      <w:r w:rsidRPr="00BE4F47">
        <w:rPr>
          <w:rFonts w:ascii="Aptos" w:hAnsi="Aptos"/>
          <w:color w:val="1A1A19"/>
          <w:sz w:val="20"/>
          <w:szCs w:val="20"/>
        </w:rPr>
        <w:t>Ne pas surestimer ce que le modèle sait faire. Un prototype universitaire de 1 080 heures ne reproduit pas une centrale. Le rapport final devra énoncer le domaine de validité et les limites au-delà desquelles les résultats ne sont pas valides (EX-C-01).</w:t>
      </w:r>
      <w:bookmarkEnd w:id="746"/>
      <w:bookmarkEnd w:id="747"/>
      <w:bookmarkEnd w:id="748"/>
    </w:p>
    <w:p w14:paraId="36C3DB62" w14:textId="77777777" w:rsidR="00F50D70" w:rsidRPr="00BE4F47" w:rsidRDefault="00137D7F" w:rsidP="008E113B">
      <w:pPr>
        <w:spacing w:after="130" w:line="360" w:lineRule="auto"/>
        <w:ind w:left="360"/>
        <w:rPr>
          <w:rFonts w:ascii="Aptos" w:hAnsi="Aptos"/>
        </w:rPr>
      </w:pPr>
      <w:bookmarkStart w:id="749" w:name="_Toc241083079"/>
      <w:bookmarkStart w:id="750" w:name="_Toc241670244"/>
      <w:bookmarkStart w:id="751" w:name="_Toc241707952"/>
      <w:r w:rsidRPr="00BE4F47">
        <w:rPr>
          <w:rFonts w:ascii="Aptos" w:hAnsi="Aptos"/>
          <w:color w:val="1A1A19"/>
          <w:sz w:val="20"/>
          <w:szCs w:val="20"/>
        </w:rPr>
        <w:t>Rendre l’incertitude visible plutôt que la dissimuler. Une erreur silencieuse ne se voit pas, contrairement à une panne. C’est la raison d’être des exigences EX-F-06 et EX-F-07, et de l’état D2 du GEMMA.</w:t>
      </w:r>
      <w:bookmarkEnd w:id="749"/>
      <w:bookmarkEnd w:id="750"/>
      <w:bookmarkEnd w:id="751"/>
    </w:p>
    <w:p w14:paraId="12C40F14" w14:textId="77777777" w:rsidR="00F50D70" w:rsidRPr="00BE4F47" w:rsidRDefault="00137D7F" w:rsidP="008E113B">
      <w:pPr>
        <w:spacing w:after="130" w:line="360" w:lineRule="auto"/>
        <w:ind w:left="360"/>
        <w:rPr>
          <w:rFonts w:ascii="Aptos" w:hAnsi="Aptos"/>
        </w:rPr>
      </w:pPr>
      <w:bookmarkStart w:id="752" w:name="_Toc241083080"/>
      <w:bookmarkStart w:id="753" w:name="_Toc241670245"/>
      <w:bookmarkStart w:id="754" w:name="_Toc241707953"/>
      <w:r w:rsidRPr="00BE4F47">
        <w:rPr>
          <w:rFonts w:ascii="Aptos" w:hAnsi="Aptos"/>
          <w:color w:val="1A1A19"/>
          <w:sz w:val="20"/>
          <w:szCs w:val="20"/>
        </w:rPr>
        <w:t>Maintenir la décision chez l’humain. Le prototype n’émet aucune commande (EX-F-08). Le passage en fonctionnement dégradé exigera une confirmation explicite de l’opérateur et sera journalisé (EX-F-09, état D3 du GEMMA).</w:t>
      </w:r>
      <w:bookmarkEnd w:id="752"/>
      <w:bookmarkEnd w:id="753"/>
      <w:bookmarkEnd w:id="754"/>
    </w:p>
    <w:p w14:paraId="068328E4" w14:textId="77777777" w:rsidR="00F50D70" w:rsidRPr="00BE4F47" w:rsidRDefault="00137D7F" w:rsidP="008E113B">
      <w:pPr>
        <w:spacing w:after="130" w:line="360" w:lineRule="auto"/>
        <w:ind w:left="360"/>
        <w:rPr>
          <w:rFonts w:ascii="Aptos" w:hAnsi="Aptos"/>
        </w:rPr>
      </w:pPr>
      <w:bookmarkStart w:id="755" w:name="_Toc241083081"/>
      <w:bookmarkStart w:id="756" w:name="_Toc241670246"/>
      <w:bookmarkStart w:id="757" w:name="_Toc241707954"/>
      <w:r w:rsidRPr="00BE4F47">
        <w:rPr>
          <w:rFonts w:ascii="Aptos" w:hAnsi="Aptos"/>
          <w:color w:val="1A1A19"/>
          <w:sz w:val="20"/>
          <w:szCs w:val="20"/>
        </w:rPr>
        <w:t>Ces trois pratiques se voient le mieux dans le traitement du risque RT5, la non-détection d’une anomalie réelle. Sa probabilité se réduit par les essais, sa gravité beaucoup moins. Elle ne descend de 5 à 4 que grâce à l’affichage du niveau de confiance et à la déclaration de l’incertitude, qui donnent à l’opérateur un signal indépendant du diagnostic.</w:t>
      </w:r>
      <w:bookmarkEnd w:id="755"/>
      <w:bookmarkEnd w:id="756"/>
      <w:bookmarkEnd w:id="757"/>
    </w:p>
    <w:p w14:paraId="7A5890E6" w14:textId="77777777" w:rsidR="00F50D70" w:rsidRPr="00BE4F47" w:rsidRDefault="00137D7F" w:rsidP="008E113B">
      <w:pPr>
        <w:spacing w:after="130" w:line="360" w:lineRule="auto"/>
        <w:ind w:left="360"/>
        <w:rPr>
          <w:rFonts w:ascii="Aptos" w:hAnsi="Aptos"/>
        </w:rPr>
      </w:pPr>
      <w:bookmarkStart w:id="758" w:name="_Toc241083083"/>
      <w:bookmarkStart w:id="759" w:name="_Toc241670247"/>
      <w:bookmarkStart w:id="760" w:name="_Toc241707955"/>
      <w:r w:rsidRPr="00BE4F47">
        <w:rPr>
          <w:rFonts w:ascii="Aptos" w:hAnsi="Aptos"/>
          <w:b/>
          <w:color w:val="1A1A19"/>
          <w:sz w:val="20"/>
          <w:szCs w:val="20"/>
        </w:rPr>
        <w:lastRenderedPageBreak/>
        <w:t xml:space="preserve">L’arbitrage retenu. </w:t>
      </w:r>
      <w:r w:rsidRPr="00BE4F47">
        <w:rPr>
          <w:rFonts w:ascii="Aptos" w:hAnsi="Aptos"/>
          <w:color w:val="1A1A19"/>
          <w:sz w:val="20"/>
          <w:szCs w:val="20"/>
        </w:rPr>
        <w:t>Quatre orientations structurent cet arbitrage.</w:t>
      </w:r>
      <w:bookmarkEnd w:id="758"/>
      <w:bookmarkEnd w:id="759"/>
      <w:bookmarkEnd w:id="760"/>
    </w:p>
    <w:p w14:paraId="68AED203" w14:textId="77777777" w:rsidR="00F50D70" w:rsidRPr="00BE4F47" w:rsidRDefault="00137D7F" w:rsidP="008E113B">
      <w:pPr>
        <w:pStyle w:val="Lgende"/>
        <w:keepNext/>
        <w:spacing w:line="360" w:lineRule="auto"/>
        <w:rPr>
          <w:rFonts w:ascii="Aptos" w:hAnsi="Aptos"/>
        </w:rPr>
      </w:pPr>
      <w:bookmarkStart w:id="761" w:name="_Toc241083084"/>
      <w:bookmarkStart w:id="762" w:name="_Toc241670248"/>
      <w:bookmarkStart w:id="763" w:name="_Toc241707956"/>
      <w:r w:rsidRPr="00BE4F47">
        <w:rPr>
          <w:rFonts w:ascii="Aptos" w:hAnsi="Aptos"/>
        </w:rPr>
        <w:t>Tableau 7-2. Orientations retenues et ce qu’elles visent</w:t>
      </w:r>
      <w:bookmarkEnd w:id="761"/>
      <w:bookmarkEnd w:id="762"/>
      <w:bookmarkEnd w:id="763"/>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2611"/>
        <w:gridCol w:w="3040"/>
        <w:gridCol w:w="2906"/>
      </w:tblGrid>
      <w:tr w:rsidR="00F50D70" w:rsidRPr="00BE4F47" w14:paraId="60A08D4F" w14:textId="77777777">
        <w:trPr>
          <w:trHeight w:val="216"/>
          <w:tblHeader/>
        </w:trPr>
        <w:tc>
          <w:tcPr>
            <w:tcW w:w="2611" w:type="dxa"/>
            <w:tcBorders>
              <w:top w:val="single" w:sz="4" w:space="0" w:color="000000"/>
              <w:left w:val="single" w:sz="4" w:space="0" w:color="000000"/>
              <w:bottom w:val="single" w:sz="4" w:space="0" w:color="000000"/>
              <w:right w:val="single" w:sz="4" w:space="0" w:color="000000"/>
            </w:tcBorders>
            <w:shd w:val="clear" w:color="auto" w:fill="EFF4FB"/>
          </w:tcPr>
          <w:p w14:paraId="15BBAE3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Orientation</w:t>
            </w:r>
          </w:p>
        </w:tc>
        <w:tc>
          <w:tcPr>
            <w:tcW w:w="3040" w:type="dxa"/>
            <w:tcBorders>
              <w:top w:val="single" w:sz="4" w:space="0" w:color="000000"/>
              <w:left w:val="single" w:sz="4" w:space="0" w:color="000000"/>
              <w:bottom w:val="single" w:sz="4" w:space="0" w:color="000000"/>
              <w:right w:val="single" w:sz="4" w:space="0" w:color="000000"/>
            </w:tcBorders>
            <w:shd w:val="clear" w:color="auto" w:fill="EFF4FB"/>
          </w:tcPr>
          <w:p w14:paraId="5C17F1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maximise</w:t>
            </w:r>
          </w:p>
        </w:tc>
        <w:tc>
          <w:tcPr>
            <w:tcW w:w="2906" w:type="dxa"/>
            <w:tcBorders>
              <w:top w:val="single" w:sz="4" w:space="0" w:color="000000"/>
              <w:left w:val="single" w:sz="4" w:space="0" w:color="000000"/>
              <w:bottom w:val="single" w:sz="4" w:space="0" w:color="000000"/>
              <w:right w:val="single" w:sz="4" w:space="0" w:color="000000"/>
            </w:tcBorders>
            <w:shd w:val="clear" w:color="auto" w:fill="EFF4FB"/>
          </w:tcPr>
          <w:p w14:paraId="1DA867B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minimise</w:t>
            </w:r>
          </w:p>
        </w:tc>
      </w:tr>
      <w:tr w:rsidR="00F50D70" w:rsidRPr="00BE4F47" w14:paraId="4AF21404" w14:textId="77777777">
        <w:trPr>
          <w:cantSplit/>
          <w:trHeight w:val="612"/>
        </w:trPr>
        <w:tc>
          <w:tcPr>
            <w:tcW w:w="2611" w:type="dxa"/>
            <w:tcBorders>
              <w:top w:val="single" w:sz="4" w:space="0" w:color="000000"/>
              <w:left w:val="single" w:sz="4" w:space="0" w:color="000000"/>
              <w:bottom w:val="single" w:sz="4" w:space="0" w:color="000000"/>
              <w:right w:val="single" w:sz="4" w:space="0" w:color="000000"/>
            </w:tcBorders>
          </w:tcPr>
          <w:p w14:paraId="0A59EC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D3 du GEMMA, fonctionnement dégradé autorisé sous surveillance renforcée et validation humaine.</w:t>
            </w:r>
          </w:p>
        </w:tc>
        <w:tc>
          <w:tcPr>
            <w:tcW w:w="3040" w:type="dxa"/>
            <w:tcBorders>
              <w:top w:val="single" w:sz="4" w:space="0" w:color="000000"/>
              <w:left w:val="single" w:sz="4" w:space="0" w:color="000000"/>
              <w:bottom w:val="single" w:sz="4" w:space="0" w:color="000000"/>
              <w:right w:val="single" w:sz="4" w:space="0" w:color="000000"/>
            </w:tcBorders>
          </w:tcPr>
          <w:p w14:paraId="36DCBF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disponibilité de l’outil : une donnée partiellement dégradée n’entraîne pas l’arrêt complet de la surveillance.</w:t>
            </w:r>
          </w:p>
        </w:tc>
        <w:tc>
          <w:tcPr>
            <w:tcW w:w="2906" w:type="dxa"/>
            <w:tcBorders>
              <w:top w:val="single" w:sz="4" w:space="0" w:color="000000"/>
              <w:left w:val="single" w:sz="4" w:space="0" w:color="000000"/>
              <w:bottom w:val="single" w:sz="4" w:space="0" w:color="000000"/>
              <w:right w:val="single" w:sz="4" w:space="0" w:color="000000"/>
            </w:tcBorders>
          </w:tcPr>
          <w:p w14:paraId="4DA195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risque d’exploiter un diagnostic non fiable, puisque le passage exige une confirmation explicite (EX-F-09).</w:t>
            </w:r>
          </w:p>
        </w:tc>
      </w:tr>
      <w:tr w:rsidR="00F50D70" w:rsidRPr="00BE4F47" w14:paraId="6D03F76B" w14:textId="77777777">
        <w:trPr>
          <w:cantSplit/>
          <w:trHeight w:val="612"/>
        </w:trPr>
        <w:tc>
          <w:tcPr>
            <w:tcW w:w="2611" w:type="dxa"/>
            <w:tcBorders>
              <w:top w:val="single" w:sz="4" w:space="0" w:color="000000"/>
              <w:left w:val="single" w:sz="4" w:space="0" w:color="000000"/>
              <w:bottom w:val="single" w:sz="4" w:space="0" w:color="000000"/>
              <w:right w:val="single" w:sz="4" w:space="0" w:color="000000"/>
            </w:tcBorders>
          </w:tcPr>
          <w:p w14:paraId="43F6AB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Signalement de l’incertitude plutôt qu’affichage d’un état normal par défaut (EX-F-06).</w:t>
            </w:r>
          </w:p>
        </w:tc>
        <w:tc>
          <w:tcPr>
            <w:tcW w:w="3040" w:type="dxa"/>
            <w:tcBorders>
              <w:top w:val="single" w:sz="4" w:space="0" w:color="000000"/>
              <w:left w:val="single" w:sz="4" w:space="0" w:color="000000"/>
              <w:bottom w:val="single" w:sz="4" w:space="0" w:color="000000"/>
              <w:right w:val="single" w:sz="4" w:space="0" w:color="000000"/>
            </w:tcBorders>
          </w:tcPr>
          <w:p w14:paraId="6913BEB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L’information utile réellement transmise à l’opérateur.</w:t>
            </w:r>
          </w:p>
        </w:tc>
        <w:tc>
          <w:tcPr>
            <w:tcW w:w="2906" w:type="dxa"/>
            <w:tcBorders>
              <w:top w:val="single" w:sz="4" w:space="0" w:color="000000"/>
              <w:left w:val="single" w:sz="4" w:space="0" w:color="000000"/>
              <w:bottom w:val="single" w:sz="4" w:space="0" w:color="000000"/>
              <w:right w:val="single" w:sz="4" w:space="0" w:color="000000"/>
            </w:tcBorders>
          </w:tcPr>
          <w:p w14:paraId="35893D5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biais d’automatisation et l’erreur silencieuse (RT10, RT5).</w:t>
            </w:r>
          </w:p>
        </w:tc>
      </w:tr>
      <w:tr w:rsidR="00F50D70" w:rsidRPr="00BE4F47" w14:paraId="5FEE6EB8" w14:textId="77777777">
        <w:trPr>
          <w:cantSplit/>
          <w:trHeight w:val="601"/>
        </w:trPr>
        <w:tc>
          <w:tcPr>
            <w:tcW w:w="2611" w:type="dxa"/>
            <w:tcBorders>
              <w:top w:val="single" w:sz="4" w:space="0" w:color="000000"/>
              <w:left w:val="single" w:sz="4" w:space="0" w:color="000000"/>
              <w:bottom w:val="single" w:sz="4" w:space="0" w:color="000000"/>
              <w:right w:val="single" w:sz="4" w:space="0" w:color="000000"/>
            </w:tcBorders>
          </w:tcPr>
          <w:p w14:paraId="4C37AD8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Interdiction de redémarrage direct depuis l’état D1, imposant le passage par D2, A5, A6 et A1.</w:t>
            </w:r>
          </w:p>
        </w:tc>
        <w:tc>
          <w:tcPr>
            <w:tcW w:w="3040" w:type="dxa"/>
            <w:tcBorders>
              <w:top w:val="single" w:sz="4" w:space="0" w:color="000000"/>
              <w:left w:val="single" w:sz="4" w:space="0" w:color="000000"/>
              <w:bottom w:val="single" w:sz="4" w:space="0" w:color="000000"/>
              <w:right w:val="single" w:sz="4" w:space="0" w:color="000000"/>
            </w:tcBorders>
          </w:tcPr>
          <w:p w14:paraId="0F08A5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maîtrise de la reprise après un événement.</w:t>
            </w:r>
          </w:p>
        </w:tc>
        <w:tc>
          <w:tcPr>
            <w:tcW w:w="2906" w:type="dxa"/>
            <w:tcBorders>
              <w:top w:val="single" w:sz="4" w:space="0" w:color="000000"/>
              <w:left w:val="single" w:sz="4" w:space="0" w:color="000000"/>
              <w:bottom w:val="single" w:sz="4" w:space="0" w:color="000000"/>
              <w:right w:val="single" w:sz="4" w:space="0" w:color="000000"/>
            </w:tcBorders>
          </w:tcPr>
          <w:p w14:paraId="59C7C57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redémarrage d’un système dont la cause de défaillance n’a pas été traitée.</w:t>
            </w:r>
          </w:p>
        </w:tc>
      </w:tr>
      <w:tr w:rsidR="00F50D70" w:rsidRPr="00BE4F47" w14:paraId="19404E6C" w14:textId="77777777">
        <w:trPr>
          <w:cantSplit/>
          <w:trHeight w:val="612"/>
        </w:trPr>
        <w:tc>
          <w:tcPr>
            <w:tcW w:w="2611" w:type="dxa"/>
            <w:tcBorders>
              <w:top w:val="single" w:sz="4" w:space="0" w:color="000000"/>
              <w:left w:val="single" w:sz="4" w:space="0" w:color="000000"/>
              <w:bottom w:val="single" w:sz="4" w:space="0" w:color="000000"/>
              <w:right w:val="single" w:sz="4" w:space="0" w:color="000000"/>
            </w:tcBorders>
          </w:tcPr>
          <w:p w14:paraId="591A6D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Priorité de réduction du contenu ajustable avant toute réduction des activités de V&amp;V (RP2).</w:t>
            </w:r>
          </w:p>
        </w:tc>
        <w:tc>
          <w:tcPr>
            <w:tcW w:w="3040" w:type="dxa"/>
            <w:tcBorders>
              <w:top w:val="single" w:sz="4" w:space="0" w:color="000000"/>
              <w:left w:val="single" w:sz="4" w:space="0" w:color="000000"/>
              <w:bottom w:val="single" w:sz="4" w:space="0" w:color="000000"/>
              <w:right w:val="single" w:sz="4" w:space="0" w:color="000000"/>
            </w:tcBorders>
          </w:tcPr>
          <w:p w14:paraId="65E9727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valeur démontrable du livrable à ressources constantes.</w:t>
            </w:r>
          </w:p>
        </w:tc>
        <w:tc>
          <w:tcPr>
            <w:tcW w:w="2906" w:type="dxa"/>
            <w:tcBorders>
              <w:top w:val="single" w:sz="4" w:space="0" w:color="000000"/>
              <w:left w:val="single" w:sz="4" w:space="0" w:color="000000"/>
              <w:bottom w:val="single" w:sz="4" w:space="0" w:color="000000"/>
              <w:right w:val="single" w:sz="4" w:space="0" w:color="000000"/>
            </w:tcBorders>
          </w:tcPr>
          <w:p w14:paraId="47DA356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risque de remettre un prototype dont la qualité n’a pas été vérifiée.</w:t>
            </w:r>
          </w:p>
        </w:tc>
      </w:tr>
    </w:tbl>
    <w:p w14:paraId="3F1FBA73"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764" w:name="_Toc241083085"/>
      <w:bookmarkStart w:id="765" w:name="_Toc241670249"/>
      <w:bookmarkStart w:id="766" w:name="_Toc241707957"/>
      <w:r w:rsidRPr="00BE4F47">
        <w:rPr>
          <w:rFonts w:ascii="Aptos" w:hAnsi="Aptos"/>
          <w:color w:val="1A1A19"/>
          <w:sz w:val="20"/>
          <w:szCs w:val="20"/>
        </w:rPr>
        <w:t>S’y ajoute une règle de suivi : les risques sont réévalués à chaque jalon et à chaque modification importante du périmètre, des exigences ou des hypothèses.</w:t>
      </w:r>
      <w:bookmarkEnd w:id="764"/>
      <w:bookmarkEnd w:id="765"/>
      <w:bookmarkEnd w:id="766"/>
    </w:p>
    <w:p w14:paraId="2FEF389D" w14:textId="77777777" w:rsidR="00F50D70" w:rsidRPr="00B36301" w:rsidRDefault="00137D7F" w:rsidP="008E113B">
      <w:pPr>
        <w:pStyle w:val="Titre2"/>
        <w:spacing w:line="360" w:lineRule="auto"/>
      </w:pPr>
      <w:bookmarkStart w:id="767" w:name="__RefHeading___Toc240715264"/>
      <w:bookmarkStart w:id="768" w:name="_Toc241707958"/>
      <w:bookmarkEnd w:id="767"/>
      <w:r w:rsidRPr="00B36301">
        <w:t>Méthode d’analyse des risques</w:t>
      </w:r>
      <w:bookmarkEnd w:id="768"/>
    </w:p>
    <w:p w14:paraId="4C0CA9FA" w14:textId="77777777" w:rsidR="00F50D70" w:rsidRPr="00BE4F47" w:rsidRDefault="00137D7F" w:rsidP="008E113B">
      <w:pPr>
        <w:spacing w:after="130" w:line="360" w:lineRule="auto"/>
        <w:ind w:left="360"/>
        <w:rPr>
          <w:rFonts w:ascii="Aptos" w:hAnsi="Aptos"/>
        </w:rPr>
      </w:pPr>
      <w:bookmarkStart w:id="769" w:name="_Toc241083048"/>
      <w:bookmarkStart w:id="770" w:name="_Toc241670251"/>
      <w:bookmarkStart w:id="771" w:name="_Toc241707959"/>
      <w:r w:rsidRPr="00BE4F47">
        <w:rPr>
          <w:rFonts w:ascii="Aptos" w:hAnsi="Aptos"/>
          <w:color w:val="1A1A19"/>
          <w:sz w:val="20"/>
          <w:szCs w:val="20"/>
        </w:rPr>
        <w:t>La portée de l’analyse. L’analyse porte sur les risques du prototype universitaire, de son développement, de son modèle de référence, de sa chaîne de données et de son interface. Elle ne constitue pas une analyse probabiliste de sûreté de Gentilly-2, et les niveaux d’impact ne représentent pas les conséquences d’un accident nucléaire réel.</w:t>
      </w:r>
      <w:bookmarkEnd w:id="769"/>
      <w:bookmarkEnd w:id="770"/>
      <w:bookmarkEnd w:id="771"/>
    </w:p>
    <w:p w14:paraId="61DC3D0F" w14:textId="77777777" w:rsidR="00F50D70" w:rsidRPr="00BE4F47" w:rsidRDefault="00137D7F" w:rsidP="008E113B">
      <w:pPr>
        <w:spacing w:after="130" w:line="360" w:lineRule="auto"/>
        <w:ind w:left="360"/>
        <w:rPr>
          <w:rFonts w:ascii="Aptos" w:hAnsi="Aptos"/>
        </w:rPr>
      </w:pPr>
      <w:bookmarkStart w:id="772" w:name="_Toc241083087"/>
      <w:bookmarkStart w:id="773" w:name="_Toc241670252"/>
      <w:bookmarkStart w:id="774" w:name="_Toc241707960"/>
      <w:r w:rsidRPr="00BE4F47">
        <w:rPr>
          <w:rFonts w:ascii="Aptos" w:hAnsi="Aptos"/>
          <w:color w:val="1A1A19"/>
          <w:sz w:val="20"/>
          <w:szCs w:val="20"/>
        </w:rPr>
        <w:t>Le cadre de référence. La démarche suit le processus de management du risque d’ISO 31000 [30], retenue au tableau 6-3 : identification, analyse, évaluation, traitement, puis surveillance et revue. Les quatre étapes demandées par le mandat, identification, évaluation, atténuation et tolérance, correspondent à ce processus.</w:t>
      </w:r>
      <w:bookmarkEnd w:id="772"/>
      <w:bookmarkEnd w:id="773"/>
      <w:bookmarkEnd w:id="774"/>
    </w:p>
    <w:p w14:paraId="591F4B81" w14:textId="77777777" w:rsidR="00F50D70" w:rsidRPr="00BE4F47" w:rsidRDefault="00137D7F" w:rsidP="008E113B">
      <w:pPr>
        <w:spacing w:after="130" w:line="360" w:lineRule="auto"/>
        <w:ind w:left="360"/>
        <w:rPr>
          <w:rFonts w:ascii="Aptos" w:hAnsi="Aptos"/>
        </w:rPr>
      </w:pPr>
      <w:bookmarkStart w:id="775" w:name="_Toc241083088"/>
      <w:bookmarkStart w:id="776" w:name="_Toc241670253"/>
      <w:bookmarkStart w:id="777" w:name="_Toc241707961"/>
      <w:r w:rsidRPr="00BE4F47">
        <w:rPr>
          <w:rFonts w:ascii="Aptos" w:hAnsi="Aptos"/>
          <w:color w:val="1A1A19"/>
          <w:sz w:val="20"/>
          <w:szCs w:val="20"/>
        </w:rPr>
        <w:t>Deux registres sont distingués. Les risques de projet touchent l’échéancier, les ressources, les coûts et le périmètre. Les risques du produit concernent le fonctionnement, la fiabilité, les données, la cybersécurité et l’utilisation du jumeau numérique. Les deux familles n’ont ni les mêmes propriétaires, ni les mêmes moyens de traitement, ni les mêmes échéances.</w:t>
      </w:r>
      <w:bookmarkEnd w:id="775"/>
      <w:bookmarkEnd w:id="776"/>
      <w:bookmarkEnd w:id="777"/>
    </w:p>
    <w:p w14:paraId="303BDFF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778" w:name="_Toc241083089"/>
      <w:bookmarkStart w:id="779" w:name="_Toc241670254"/>
      <w:bookmarkStart w:id="780" w:name="_Toc241707962"/>
      <w:r w:rsidRPr="00BE4F47">
        <w:rPr>
          <w:rFonts w:ascii="Aptos" w:hAnsi="Aptos"/>
          <w:b/>
          <w:color w:val="1A1A19"/>
          <w:sz w:val="20"/>
          <w:szCs w:val="20"/>
        </w:rPr>
        <w:t xml:space="preserve">Les méthodes d’identification. </w:t>
      </w:r>
      <w:r w:rsidRPr="00BE4F47">
        <w:rPr>
          <w:rFonts w:ascii="Aptos" w:hAnsi="Aptos"/>
          <w:color w:val="1A1A19"/>
          <w:sz w:val="20"/>
          <w:szCs w:val="20"/>
        </w:rPr>
        <w:t>Deux méthodes, parmi celles recensées par l’Ordre des ingénieurs du Québec [42], ont été employées :</w:t>
      </w:r>
      <w:bookmarkEnd w:id="778"/>
      <w:bookmarkEnd w:id="779"/>
      <w:bookmarkEnd w:id="780"/>
    </w:p>
    <w:p w14:paraId="040CAD81" w14:textId="77777777" w:rsidR="00F50D70" w:rsidRPr="00BE4F47" w:rsidRDefault="00137D7F" w:rsidP="008E113B">
      <w:pPr>
        <w:numPr>
          <w:ilvl w:val="0"/>
          <w:numId w:val="20"/>
        </w:numPr>
        <w:spacing w:after="130" w:line="360" w:lineRule="auto"/>
        <w:ind w:left="720"/>
        <w:rPr>
          <w:rFonts w:ascii="Aptos" w:hAnsi="Aptos"/>
        </w:rPr>
      </w:pPr>
      <w:bookmarkStart w:id="781" w:name="_Toc241670255"/>
      <w:bookmarkStart w:id="782" w:name="_Toc241707963"/>
      <w:r w:rsidRPr="00BE4F47">
        <w:rPr>
          <w:rFonts w:ascii="Aptos" w:hAnsi="Aptos"/>
          <w:color w:val="1A1A19"/>
          <w:sz w:val="20"/>
          <w:szCs w:val="20"/>
        </w:rPr>
        <w:t>Analyse préliminaire des risques (APR). Balayage large conduit en séance d’équipe à partir du périmètre, des exigences et des hypothèses. Elle a produit les familles du RBS présenté en 7.4.</w:t>
      </w:r>
      <w:bookmarkEnd w:id="781"/>
      <w:bookmarkEnd w:id="782"/>
    </w:p>
    <w:p w14:paraId="7568D100" w14:textId="77777777" w:rsidR="00F50D70" w:rsidRPr="00BE4F47" w:rsidRDefault="00137D7F" w:rsidP="008E113B">
      <w:pPr>
        <w:numPr>
          <w:ilvl w:val="0"/>
          <w:numId w:val="20"/>
        </w:numPr>
        <w:spacing w:after="130" w:line="360" w:lineRule="auto"/>
        <w:ind w:left="720"/>
        <w:rPr>
          <w:rFonts w:ascii="Aptos" w:hAnsi="Aptos"/>
        </w:rPr>
      </w:pPr>
      <w:bookmarkStart w:id="783" w:name="_Toc241670256"/>
      <w:bookmarkStart w:id="784" w:name="_Toc241707964"/>
      <w:r w:rsidRPr="00BE4F47">
        <w:rPr>
          <w:rFonts w:ascii="Aptos" w:hAnsi="Aptos"/>
          <w:color w:val="1A1A19"/>
          <w:sz w:val="20"/>
          <w:szCs w:val="20"/>
        </w:rPr>
        <w:t xml:space="preserve">Analyse simplifiée inspirée de l’AMDEC, appliquée à la chaîne de détection. Pour chaque mode de défaillance identifié (capteur muet, dérive lente, donnée altérée, perte de communication), </w:t>
      </w:r>
      <w:r w:rsidRPr="00BE4F47">
        <w:rPr>
          <w:rFonts w:ascii="Aptos" w:hAnsi="Aptos"/>
          <w:color w:val="1A1A19"/>
          <w:sz w:val="20"/>
          <w:szCs w:val="20"/>
        </w:rPr>
        <w:lastRenderedPageBreak/>
        <w:t>l’effet sur la décision de l’opérateur et la classe de risque correspondante ont été examinés. Elle a produit les risques RT1 à RT6.</w:t>
      </w:r>
      <w:bookmarkEnd w:id="783"/>
      <w:bookmarkEnd w:id="784"/>
    </w:p>
    <w:p w14:paraId="5126F478" w14:textId="05827812" w:rsidR="00F50D70" w:rsidRPr="00BE4F47" w:rsidRDefault="00137D7F" w:rsidP="008E113B">
      <w:pPr>
        <w:spacing w:after="130" w:line="360" w:lineRule="auto"/>
        <w:ind w:left="360"/>
        <w:rPr>
          <w:rFonts w:ascii="Aptos" w:eastAsia="Calibri" w:hAnsi="Aptos" w:cs="Calibri"/>
          <w:color w:val="1A1A19"/>
          <w:sz w:val="20"/>
          <w:szCs w:val="20"/>
        </w:rPr>
      </w:pPr>
      <w:bookmarkStart w:id="785" w:name="_Toc241083090"/>
      <w:bookmarkStart w:id="786" w:name="_Toc241670257"/>
      <w:bookmarkStart w:id="787" w:name="_Toc241707965"/>
      <w:r w:rsidRPr="00BE4F47">
        <w:rPr>
          <w:rFonts w:ascii="Aptos" w:hAnsi="Aptos"/>
          <w:color w:val="1A1A19"/>
          <w:sz w:val="20"/>
          <w:szCs w:val="20"/>
        </w:rPr>
        <w:t xml:space="preserve">Les méthodes plus lourdes recensées par la même source, notamment l’étude de risques et d’exploitabilité (HAZOP) et l’analyse quantitative des risques, n’ont pas été employées : elles sont disproportionnées pour un prototype simulé et l’équipe ne dispose ni des données ni </w:t>
      </w:r>
      <w:proofErr w:type="gramStart"/>
      <w:r w:rsidRPr="00BE4F47">
        <w:rPr>
          <w:rFonts w:ascii="Aptos" w:hAnsi="Aptos"/>
          <w:color w:val="1A1A19"/>
          <w:sz w:val="20"/>
          <w:szCs w:val="20"/>
        </w:rPr>
        <w:t>du temps nécessaires</w:t>
      </w:r>
      <w:proofErr w:type="gramEnd"/>
      <w:r w:rsidRPr="00BE4F47">
        <w:rPr>
          <w:rFonts w:ascii="Aptos" w:hAnsi="Aptos"/>
          <w:color w:val="1A1A19"/>
          <w:sz w:val="20"/>
          <w:szCs w:val="20"/>
        </w:rPr>
        <w:t>.</w:t>
      </w:r>
      <w:bookmarkEnd w:id="785"/>
      <w:bookmarkEnd w:id="786"/>
      <w:bookmarkEnd w:id="787"/>
    </w:p>
    <w:p w14:paraId="0706E14A" w14:textId="77777777" w:rsidR="00F50D70" w:rsidRPr="00BE4F47" w:rsidRDefault="00137D7F" w:rsidP="008E113B">
      <w:pPr>
        <w:spacing w:after="130" w:line="360" w:lineRule="auto"/>
        <w:ind w:left="360"/>
        <w:rPr>
          <w:rFonts w:ascii="Aptos" w:hAnsi="Aptos"/>
        </w:rPr>
      </w:pPr>
      <w:bookmarkStart w:id="788" w:name="_Toc241083091"/>
      <w:bookmarkStart w:id="789" w:name="_Toc241670258"/>
      <w:bookmarkStart w:id="790" w:name="_Toc241707966"/>
      <w:r w:rsidRPr="00BE4F47">
        <w:rPr>
          <w:rFonts w:ascii="Aptos" w:hAnsi="Aptos"/>
          <w:b/>
          <w:color w:val="1A1A19"/>
          <w:sz w:val="20"/>
          <w:szCs w:val="20"/>
        </w:rPr>
        <w:t xml:space="preserve">Les échelles de cotation. </w:t>
      </w:r>
      <w:r w:rsidRPr="00BE4F47">
        <w:rPr>
          <w:rFonts w:ascii="Aptos" w:hAnsi="Aptos"/>
          <w:color w:val="1A1A19"/>
          <w:sz w:val="20"/>
          <w:szCs w:val="20"/>
        </w:rPr>
        <w:t>Les risques sont cotés selon l’échelle de la grille d’analyse de risque employée dans le cours. La gravité va de 1 à 5, la probabilité de A à E. Les définitions de probabilité de la grille sont exprimées pour la durée de vie d’une installation ; la dernière colonne en donne la lecture retenue pour un mandat d’un trimestre.</w:t>
      </w:r>
      <w:bookmarkEnd w:id="788"/>
      <w:bookmarkEnd w:id="789"/>
      <w:bookmarkEnd w:id="790"/>
    </w:p>
    <w:p w14:paraId="2DFD7CF2" w14:textId="77777777" w:rsidR="00F50D70" w:rsidRPr="00BE4F47" w:rsidRDefault="00137D7F" w:rsidP="008E113B">
      <w:pPr>
        <w:pStyle w:val="Lgende"/>
        <w:keepNext/>
        <w:spacing w:line="360" w:lineRule="auto"/>
        <w:rPr>
          <w:rFonts w:ascii="Aptos" w:hAnsi="Aptos"/>
        </w:rPr>
      </w:pPr>
      <w:bookmarkStart w:id="791" w:name="_Toc241083092"/>
      <w:bookmarkStart w:id="792" w:name="_Toc241670259"/>
      <w:bookmarkStart w:id="793" w:name="_Toc241707967"/>
      <w:r w:rsidRPr="00BE4F47">
        <w:rPr>
          <w:rFonts w:ascii="Aptos" w:hAnsi="Aptos"/>
        </w:rPr>
        <w:t>Tableau 7-3. Échelles de gravité et de probabilité</w:t>
      </w:r>
      <w:bookmarkEnd w:id="791"/>
      <w:bookmarkEnd w:id="792"/>
      <w:bookmarkEnd w:id="793"/>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917"/>
        <w:gridCol w:w="3667"/>
        <w:gridCol w:w="3973"/>
      </w:tblGrid>
      <w:tr w:rsidR="00F50D70" w:rsidRPr="00BE4F47" w14:paraId="4DF6A442" w14:textId="77777777">
        <w:trPr>
          <w:trHeight w:val="235"/>
          <w:tblHeader/>
        </w:trPr>
        <w:tc>
          <w:tcPr>
            <w:tcW w:w="917" w:type="dxa"/>
            <w:tcBorders>
              <w:top w:val="single" w:sz="4" w:space="0" w:color="000000"/>
              <w:left w:val="single" w:sz="4" w:space="0" w:color="000000"/>
              <w:bottom w:val="single" w:sz="4" w:space="0" w:color="000000"/>
              <w:right w:val="single" w:sz="4" w:space="0" w:color="000000"/>
            </w:tcBorders>
            <w:shd w:val="clear" w:color="auto" w:fill="EFF4FB"/>
          </w:tcPr>
          <w:p w14:paraId="70AF181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Niveau</w:t>
            </w:r>
          </w:p>
        </w:tc>
        <w:tc>
          <w:tcPr>
            <w:tcW w:w="3667" w:type="dxa"/>
            <w:tcBorders>
              <w:top w:val="single" w:sz="4" w:space="0" w:color="000000"/>
              <w:left w:val="single" w:sz="4" w:space="0" w:color="000000"/>
              <w:bottom w:val="single" w:sz="4" w:space="0" w:color="000000"/>
              <w:right w:val="single" w:sz="4" w:space="0" w:color="000000"/>
            </w:tcBorders>
            <w:shd w:val="clear" w:color="auto" w:fill="EFF4FB"/>
          </w:tcPr>
          <w:p w14:paraId="083B41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Gravité</w:t>
            </w:r>
          </w:p>
        </w:tc>
        <w:tc>
          <w:tcPr>
            <w:tcW w:w="3973" w:type="dxa"/>
            <w:tcBorders>
              <w:top w:val="single" w:sz="4" w:space="0" w:color="000000"/>
              <w:left w:val="single" w:sz="4" w:space="0" w:color="000000"/>
              <w:bottom w:val="single" w:sz="4" w:space="0" w:color="000000"/>
              <w:right w:val="single" w:sz="4" w:space="0" w:color="000000"/>
            </w:tcBorders>
            <w:shd w:val="clear" w:color="auto" w:fill="EFF4FB"/>
          </w:tcPr>
          <w:p w14:paraId="6445345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Probabilité</w:t>
            </w:r>
          </w:p>
        </w:tc>
      </w:tr>
      <w:tr w:rsidR="00F50D70" w:rsidRPr="00BE4F47" w14:paraId="4E0A4546"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0A0854F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1 et A</w:t>
            </w:r>
          </w:p>
        </w:tc>
        <w:tc>
          <w:tcPr>
            <w:tcW w:w="3667" w:type="dxa"/>
            <w:tcBorders>
              <w:top w:val="single" w:sz="4" w:space="0" w:color="000000"/>
              <w:left w:val="single" w:sz="4" w:space="0" w:color="000000"/>
              <w:bottom w:val="single" w:sz="4" w:space="0" w:color="000000"/>
              <w:right w:val="single" w:sz="4" w:space="0" w:color="000000"/>
            </w:tcBorders>
          </w:tcPr>
          <w:p w14:paraId="7CB04B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Négligeable. Aucun effet sur le livrable ni sur l’échéancier.</w:t>
            </w:r>
          </w:p>
        </w:tc>
        <w:tc>
          <w:tcPr>
            <w:tcW w:w="3973" w:type="dxa"/>
            <w:tcBorders>
              <w:top w:val="single" w:sz="4" w:space="0" w:color="000000"/>
              <w:left w:val="single" w:sz="4" w:space="0" w:color="000000"/>
              <w:bottom w:val="single" w:sz="4" w:space="0" w:color="000000"/>
              <w:right w:val="single" w:sz="4" w:space="0" w:color="000000"/>
            </w:tcBorders>
          </w:tcPr>
          <w:p w14:paraId="1240766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 presque certain. Plus de 50 %. Se produira sans mesure de traitement.</w:t>
            </w:r>
          </w:p>
        </w:tc>
      </w:tr>
      <w:tr w:rsidR="00F50D70" w:rsidRPr="00BE4F47" w14:paraId="7694788F"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7B1066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2 et B</w:t>
            </w:r>
          </w:p>
        </w:tc>
        <w:tc>
          <w:tcPr>
            <w:tcW w:w="3667" w:type="dxa"/>
            <w:tcBorders>
              <w:top w:val="single" w:sz="4" w:space="0" w:color="000000"/>
              <w:left w:val="single" w:sz="4" w:space="0" w:color="000000"/>
              <w:bottom w:val="single" w:sz="4" w:space="0" w:color="000000"/>
              <w:right w:val="single" w:sz="4" w:space="0" w:color="000000"/>
            </w:tcBorders>
          </w:tcPr>
          <w:p w14:paraId="3F4093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Faible. Effet absorbable sans modification du plan.</w:t>
            </w:r>
          </w:p>
        </w:tc>
        <w:tc>
          <w:tcPr>
            <w:tcW w:w="3973" w:type="dxa"/>
            <w:tcBorders>
              <w:top w:val="single" w:sz="4" w:space="0" w:color="000000"/>
              <w:left w:val="single" w:sz="4" w:space="0" w:color="000000"/>
              <w:bottom w:val="single" w:sz="4" w:space="0" w:color="000000"/>
              <w:right w:val="single" w:sz="4" w:space="0" w:color="000000"/>
            </w:tcBorders>
          </w:tcPr>
          <w:p w14:paraId="2B65AC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 probablement. De 25 à 50 %. Attendu au moins une fois durant le mandat.</w:t>
            </w:r>
          </w:p>
        </w:tc>
      </w:tr>
      <w:tr w:rsidR="00F50D70" w:rsidRPr="00BE4F47" w14:paraId="4059837A"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38E1F12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3 et C</w:t>
            </w:r>
          </w:p>
        </w:tc>
        <w:tc>
          <w:tcPr>
            <w:tcW w:w="3667" w:type="dxa"/>
            <w:tcBorders>
              <w:top w:val="single" w:sz="4" w:space="0" w:color="000000"/>
              <w:left w:val="single" w:sz="4" w:space="0" w:color="000000"/>
              <w:bottom w:val="single" w:sz="4" w:space="0" w:color="000000"/>
              <w:right w:val="single" w:sz="4" w:space="0" w:color="000000"/>
            </w:tcBorders>
          </w:tcPr>
          <w:p w14:paraId="4EEDFC2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Sérieux. Retard ou reprise partielle d’une activité.</w:t>
            </w:r>
          </w:p>
        </w:tc>
        <w:tc>
          <w:tcPr>
            <w:tcW w:w="3973" w:type="dxa"/>
            <w:tcBorders>
              <w:top w:val="single" w:sz="4" w:space="0" w:color="000000"/>
              <w:left w:val="single" w:sz="4" w:space="0" w:color="000000"/>
              <w:bottom w:val="single" w:sz="4" w:space="0" w:color="000000"/>
              <w:right w:val="single" w:sz="4" w:space="0" w:color="000000"/>
            </w:tcBorders>
          </w:tcPr>
          <w:p w14:paraId="1AEE3AF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 possible. De 10 à 25 %. Plausible et déjà observé dans des projets comparables.</w:t>
            </w:r>
          </w:p>
        </w:tc>
      </w:tr>
      <w:tr w:rsidR="00F50D70" w:rsidRPr="00BE4F47" w14:paraId="78D05570"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4515C6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4 et D</w:t>
            </w:r>
          </w:p>
        </w:tc>
        <w:tc>
          <w:tcPr>
            <w:tcW w:w="3667" w:type="dxa"/>
            <w:tcBorders>
              <w:top w:val="single" w:sz="4" w:space="0" w:color="000000"/>
              <w:left w:val="single" w:sz="4" w:space="0" w:color="000000"/>
              <w:bottom w:val="single" w:sz="4" w:space="0" w:color="000000"/>
              <w:right w:val="single" w:sz="4" w:space="0" w:color="000000"/>
            </w:tcBorders>
          </w:tcPr>
          <w:p w14:paraId="6F69F4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Critique. Remise en cause d’un livrable ou d’un jalon.</w:t>
            </w:r>
          </w:p>
        </w:tc>
        <w:tc>
          <w:tcPr>
            <w:tcW w:w="3973" w:type="dxa"/>
            <w:tcBorders>
              <w:top w:val="single" w:sz="4" w:space="0" w:color="000000"/>
              <w:left w:val="single" w:sz="4" w:space="0" w:color="000000"/>
              <w:bottom w:val="single" w:sz="4" w:space="0" w:color="000000"/>
              <w:right w:val="single" w:sz="4" w:space="0" w:color="000000"/>
            </w:tcBorders>
          </w:tcPr>
          <w:p w14:paraId="4EDC69B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 improbable. De 1 à 10 %. Plausible mais sans indice actuel.</w:t>
            </w:r>
          </w:p>
        </w:tc>
      </w:tr>
      <w:tr w:rsidR="00F50D70" w:rsidRPr="00BE4F47" w14:paraId="2E03F6A0"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6B6AA03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 et E</w:t>
            </w:r>
          </w:p>
        </w:tc>
        <w:tc>
          <w:tcPr>
            <w:tcW w:w="3667" w:type="dxa"/>
            <w:tcBorders>
              <w:top w:val="single" w:sz="4" w:space="0" w:color="000000"/>
              <w:left w:val="single" w:sz="4" w:space="0" w:color="000000"/>
              <w:bottom w:val="single" w:sz="4" w:space="0" w:color="000000"/>
              <w:right w:val="single" w:sz="4" w:space="0" w:color="000000"/>
            </w:tcBorders>
          </w:tcPr>
          <w:p w14:paraId="749192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Catastrophique. Remise en cause du mandat ou de la validité des résultats.</w:t>
            </w:r>
          </w:p>
        </w:tc>
        <w:tc>
          <w:tcPr>
            <w:tcW w:w="3973" w:type="dxa"/>
            <w:tcBorders>
              <w:top w:val="single" w:sz="4" w:space="0" w:color="000000"/>
              <w:left w:val="single" w:sz="4" w:space="0" w:color="000000"/>
              <w:bottom w:val="single" w:sz="4" w:space="0" w:color="000000"/>
              <w:right w:val="single" w:sz="4" w:space="0" w:color="000000"/>
            </w:tcBorders>
          </w:tcPr>
          <w:p w14:paraId="0FA7A8D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 très improbable. Moins de 1 %. Non anticipé dans le cadre du mandat.</w:t>
            </w:r>
          </w:p>
        </w:tc>
      </w:tr>
    </w:tbl>
    <w:p w14:paraId="69192167" w14:textId="77777777" w:rsidR="00F50D70" w:rsidRPr="00BE4F47" w:rsidRDefault="00137D7F" w:rsidP="008E113B">
      <w:pPr>
        <w:spacing w:before="200" w:after="130" w:line="360" w:lineRule="auto"/>
        <w:ind w:left="360"/>
        <w:rPr>
          <w:rFonts w:ascii="Aptos" w:hAnsi="Aptos"/>
        </w:rPr>
      </w:pPr>
      <w:bookmarkStart w:id="794" w:name="_Toc241083093"/>
      <w:bookmarkStart w:id="795" w:name="_Toc241670260"/>
      <w:bookmarkStart w:id="796" w:name="_Toc241707968"/>
      <w:r w:rsidRPr="00BE4F47">
        <w:rPr>
          <w:rFonts w:ascii="Aptos" w:hAnsi="Aptos"/>
          <w:color w:val="1A1A19"/>
          <w:sz w:val="20"/>
          <w:szCs w:val="20"/>
        </w:rPr>
        <w:t>La classe de risque se lit à l’intersection de la gravité et de la probabilité, selon la matrice de la grille. Elle remplace le produit des deux notes : deux risques de même produit n’appellent pas la même conduite selon que la gravité ou la probabilité domine.</w:t>
      </w:r>
      <w:bookmarkEnd w:id="794"/>
      <w:bookmarkEnd w:id="795"/>
      <w:bookmarkEnd w:id="796"/>
    </w:p>
    <w:p w14:paraId="04235EFD" w14:textId="77777777" w:rsidR="00F50D70" w:rsidRPr="00BE4F47" w:rsidRDefault="00137D7F" w:rsidP="008E113B">
      <w:pPr>
        <w:pStyle w:val="Lgende"/>
        <w:keepNext/>
        <w:spacing w:line="360" w:lineRule="auto"/>
        <w:rPr>
          <w:rFonts w:ascii="Aptos" w:hAnsi="Aptos"/>
        </w:rPr>
      </w:pPr>
      <w:bookmarkStart w:id="797" w:name="_Toc241083094"/>
      <w:bookmarkStart w:id="798" w:name="_Toc241670261"/>
      <w:bookmarkStart w:id="799" w:name="_Toc241707969"/>
      <w:r w:rsidRPr="00BE4F47">
        <w:rPr>
          <w:rFonts w:ascii="Aptos" w:hAnsi="Aptos"/>
        </w:rPr>
        <w:t>Tableau 7-4. Classes de risque et conduite à tenir</w:t>
      </w:r>
      <w:bookmarkEnd w:id="797"/>
      <w:bookmarkEnd w:id="798"/>
      <w:bookmarkEnd w:id="799"/>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815"/>
        <w:gridCol w:w="1528"/>
        <w:gridCol w:w="6214"/>
      </w:tblGrid>
      <w:tr w:rsidR="00F50D70" w:rsidRPr="00BE4F47" w14:paraId="56FAD87F" w14:textId="77777777" w:rsidTr="0036725C">
        <w:trPr>
          <w:trHeight w:val="234"/>
          <w:tblHeader/>
        </w:trPr>
        <w:tc>
          <w:tcPr>
            <w:tcW w:w="815" w:type="dxa"/>
            <w:tcBorders>
              <w:top w:val="single" w:sz="4" w:space="0" w:color="000000"/>
              <w:left w:val="single" w:sz="4" w:space="0" w:color="000000"/>
              <w:bottom w:val="single" w:sz="4" w:space="0" w:color="000000"/>
              <w:right w:val="single" w:sz="4" w:space="0" w:color="000000"/>
            </w:tcBorders>
            <w:shd w:val="clear" w:color="auto" w:fill="EFF4FB"/>
          </w:tcPr>
          <w:p w14:paraId="5BFFB8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Classe</w:t>
            </w:r>
          </w:p>
        </w:tc>
        <w:tc>
          <w:tcPr>
            <w:tcW w:w="1528" w:type="dxa"/>
            <w:tcBorders>
              <w:top w:val="single" w:sz="4" w:space="0" w:color="000000"/>
              <w:left w:val="single" w:sz="4" w:space="0" w:color="000000"/>
              <w:bottom w:val="single" w:sz="4" w:space="0" w:color="000000"/>
              <w:right w:val="single" w:sz="4" w:space="0" w:color="000000"/>
            </w:tcBorders>
            <w:shd w:val="clear" w:color="auto" w:fill="EFF4FB"/>
          </w:tcPr>
          <w:p w14:paraId="7C67F0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Couleur de la matrice</w:t>
            </w:r>
          </w:p>
        </w:tc>
        <w:tc>
          <w:tcPr>
            <w:tcW w:w="6214" w:type="dxa"/>
            <w:tcBorders>
              <w:top w:val="single" w:sz="4" w:space="0" w:color="000000"/>
              <w:left w:val="single" w:sz="4" w:space="0" w:color="000000"/>
              <w:bottom w:val="single" w:sz="4" w:space="0" w:color="000000"/>
              <w:right w:val="single" w:sz="4" w:space="0" w:color="000000"/>
            </w:tcBorders>
            <w:shd w:val="clear" w:color="auto" w:fill="EFF4FB"/>
          </w:tcPr>
          <w:p w14:paraId="3A868DC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Conduite à tenir</w:t>
            </w:r>
          </w:p>
        </w:tc>
      </w:tr>
      <w:tr w:rsidR="00F50D70" w:rsidRPr="00BE4F47" w14:paraId="2B786BD3"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705076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IV</w:t>
            </w:r>
          </w:p>
        </w:tc>
        <w:tc>
          <w:tcPr>
            <w:tcW w:w="1528" w:type="dxa"/>
            <w:tcBorders>
              <w:top w:val="single" w:sz="4" w:space="0" w:color="000000"/>
              <w:left w:val="single" w:sz="4" w:space="0" w:color="000000"/>
              <w:bottom w:val="single" w:sz="4" w:space="0" w:color="000000"/>
              <w:right w:val="single" w:sz="4" w:space="0" w:color="000000"/>
            </w:tcBorders>
          </w:tcPr>
          <w:p w14:paraId="59F10B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Rouge</w:t>
            </w:r>
          </w:p>
        </w:tc>
        <w:tc>
          <w:tcPr>
            <w:tcW w:w="6214" w:type="dxa"/>
            <w:tcBorders>
              <w:top w:val="single" w:sz="4" w:space="0" w:color="000000"/>
              <w:left w:val="single" w:sz="4" w:space="0" w:color="000000"/>
              <w:bottom w:val="single" w:sz="4" w:space="0" w:color="000000"/>
              <w:right w:val="single" w:sz="4" w:space="0" w:color="000000"/>
            </w:tcBorders>
          </w:tcPr>
          <w:p w14:paraId="0F50D7E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qui excède de façon significative les limites acceptables. Attention immédiate. Non acceptable en l’état à la fin du traitement.</w:t>
            </w:r>
          </w:p>
        </w:tc>
      </w:tr>
      <w:tr w:rsidR="00F50D70" w:rsidRPr="00BE4F47" w14:paraId="24646123"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45CD577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III</w:t>
            </w:r>
          </w:p>
        </w:tc>
        <w:tc>
          <w:tcPr>
            <w:tcW w:w="1528" w:type="dxa"/>
            <w:tcBorders>
              <w:top w:val="single" w:sz="4" w:space="0" w:color="000000"/>
              <w:left w:val="single" w:sz="4" w:space="0" w:color="000000"/>
              <w:bottom w:val="single" w:sz="4" w:space="0" w:color="000000"/>
              <w:right w:val="single" w:sz="4" w:space="0" w:color="000000"/>
            </w:tcBorders>
          </w:tcPr>
          <w:p w14:paraId="71A24E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Orange</w:t>
            </w:r>
          </w:p>
        </w:tc>
        <w:tc>
          <w:tcPr>
            <w:tcW w:w="6214" w:type="dxa"/>
            <w:tcBorders>
              <w:top w:val="single" w:sz="4" w:space="0" w:color="000000"/>
              <w:left w:val="single" w:sz="4" w:space="0" w:color="000000"/>
              <w:bottom w:val="single" w:sz="4" w:space="0" w:color="000000"/>
              <w:right w:val="single" w:sz="4" w:space="0" w:color="000000"/>
            </w:tcBorders>
          </w:tcPr>
          <w:p w14:paraId="7AA844C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qui excède les limites acceptables. Gestion proactive, mesure de traitement définie et mesure compensatoire nommée.</w:t>
            </w:r>
          </w:p>
        </w:tc>
      </w:tr>
      <w:tr w:rsidR="00F50D70" w:rsidRPr="00BE4F47" w14:paraId="68B56450"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39EF4E8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II</w:t>
            </w:r>
          </w:p>
        </w:tc>
        <w:tc>
          <w:tcPr>
            <w:tcW w:w="1528" w:type="dxa"/>
            <w:tcBorders>
              <w:top w:val="single" w:sz="4" w:space="0" w:color="000000"/>
              <w:left w:val="single" w:sz="4" w:space="0" w:color="000000"/>
              <w:bottom w:val="single" w:sz="4" w:space="0" w:color="000000"/>
              <w:right w:val="single" w:sz="4" w:space="0" w:color="000000"/>
            </w:tcBorders>
          </w:tcPr>
          <w:p w14:paraId="2CA3C6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Jaune</w:t>
            </w:r>
          </w:p>
        </w:tc>
        <w:tc>
          <w:tcPr>
            <w:tcW w:w="6214" w:type="dxa"/>
            <w:tcBorders>
              <w:top w:val="single" w:sz="4" w:space="0" w:color="000000"/>
              <w:left w:val="single" w:sz="4" w:space="0" w:color="000000"/>
              <w:bottom w:val="single" w:sz="4" w:space="0" w:color="000000"/>
              <w:right w:val="single" w:sz="4" w:space="0" w:color="000000"/>
            </w:tcBorders>
          </w:tcPr>
          <w:p w14:paraId="21FFADA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requérant une surveillance périodique. Revue à chaque jalon.</w:t>
            </w:r>
          </w:p>
        </w:tc>
      </w:tr>
      <w:tr w:rsidR="00F50D70" w:rsidRPr="00BE4F47" w14:paraId="6B378548"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11D634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w:t>
            </w:r>
          </w:p>
        </w:tc>
        <w:tc>
          <w:tcPr>
            <w:tcW w:w="1528" w:type="dxa"/>
            <w:tcBorders>
              <w:top w:val="single" w:sz="4" w:space="0" w:color="000000"/>
              <w:left w:val="single" w:sz="4" w:space="0" w:color="000000"/>
              <w:bottom w:val="single" w:sz="4" w:space="0" w:color="000000"/>
              <w:right w:val="single" w:sz="4" w:space="0" w:color="000000"/>
            </w:tcBorders>
          </w:tcPr>
          <w:p w14:paraId="61B9E0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Vert</w:t>
            </w:r>
          </w:p>
        </w:tc>
        <w:tc>
          <w:tcPr>
            <w:tcW w:w="6214" w:type="dxa"/>
            <w:tcBorders>
              <w:top w:val="single" w:sz="4" w:space="0" w:color="000000"/>
              <w:left w:val="single" w:sz="4" w:space="0" w:color="000000"/>
              <w:bottom w:val="single" w:sz="4" w:space="0" w:color="000000"/>
              <w:right w:val="single" w:sz="4" w:space="0" w:color="000000"/>
            </w:tcBorders>
          </w:tcPr>
          <w:p w14:paraId="32DD34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n’exigeant pas d’action corrective. Suivi ordinaire.</w:t>
            </w:r>
          </w:p>
        </w:tc>
      </w:tr>
    </w:tbl>
    <w:p w14:paraId="4C0101BC" w14:textId="77777777" w:rsidR="00F50D70" w:rsidRPr="00BE4F47" w:rsidRDefault="00137D7F" w:rsidP="008E113B">
      <w:pPr>
        <w:spacing w:before="200" w:after="130" w:line="360" w:lineRule="auto"/>
        <w:ind w:left="360"/>
        <w:rPr>
          <w:rFonts w:ascii="Aptos" w:hAnsi="Aptos"/>
        </w:rPr>
      </w:pPr>
      <w:bookmarkStart w:id="800" w:name="_Toc241083095"/>
      <w:bookmarkStart w:id="801" w:name="_Toc241670262"/>
      <w:bookmarkStart w:id="802" w:name="_Toc241707970"/>
      <w:r w:rsidRPr="00BE4F47">
        <w:rPr>
          <w:rFonts w:ascii="Aptos" w:hAnsi="Aptos"/>
          <w:color w:val="1A1A19"/>
          <w:sz w:val="20"/>
          <w:szCs w:val="20"/>
        </w:rPr>
        <w:t>Cette cotation sert à prioriser. Un événement peu probable mais de gravité 5 appelle une mesure, là où un événement fréquent de gravité 1 n’en appelle pas.</w:t>
      </w:r>
      <w:bookmarkEnd w:id="800"/>
      <w:bookmarkEnd w:id="801"/>
      <w:bookmarkEnd w:id="802"/>
    </w:p>
    <w:p w14:paraId="377B5D5F" w14:textId="77777777" w:rsidR="00F50D70" w:rsidRPr="00BE4F47" w:rsidRDefault="00137D7F" w:rsidP="008E113B">
      <w:pPr>
        <w:spacing w:after="130" w:line="360" w:lineRule="auto"/>
        <w:ind w:left="360"/>
        <w:rPr>
          <w:rFonts w:ascii="Aptos" w:hAnsi="Aptos"/>
        </w:rPr>
      </w:pPr>
      <w:bookmarkStart w:id="803" w:name="_Toc241083096"/>
      <w:bookmarkStart w:id="804" w:name="_Toc241670263"/>
      <w:bookmarkStart w:id="805" w:name="_Toc241707971"/>
      <w:r w:rsidRPr="00BE4F47">
        <w:rPr>
          <w:rFonts w:ascii="Aptos" w:hAnsi="Aptos"/>
          <w:b/>
          <w:color w:val="1A1A19"/>
          <w:sz w:val="20"/>
          <w:szCs w:val="20"/>
        </w:rPr>
        <w:lastRenderedPageBreak/>
        <w:t xml:space="preserve">Le traitement et la tolérance. </w:t>
      </w:r>
      <w:r w:rsidRPr="00BE4F47">
        <w:rPr>
          <w:rFonts w:ascii="Aptos" w:hAnsi="Aptos"/>
          <w:color w:val="1A1A19"/>
          <w:sz w:val="20"/>
          <w:szCs w:val="20"/>
        </w:rPr>
        <w:t>À chaque risque correspond une mesure de traitement, puis une nouvelle cotation après traitement, appelée cotation résiduelle. Le registre indique les deux, de sorte que l’effet de chaque mesure soit mesurable plutôt que supposé.</w:t>
      </w:r>
      <w:bookmarkEnd w:id="803"/>
      <w:bookmarkEnd w:id="804"/>
      <w:bookmarkEnd w:id="805"/>
    </w:p>
    <w:p w14:paraId="12B9E8F2" w14:textId="77777777" w:rsidR="00F50D70" w:rsidRPr="00BE4F47" w:rsidRDefault="00137D7F" w:rsidP="008E113B">
      <w:pPr>
        <w:spacing w:after="130" w:line="360" w:lineRule="auto"/>
        <w:ind w:left="360"/>
        <w:rPr>
          <w:rFonts w:ascii="Aptos" w:hAnsi="Aptos"/>
        </w:rPr>
      </w:pPr>
      <w:bookmarkStart w:id="806" w:name="_Toc241083097"/>
      <w:bookmarkStart w:id="807" w:name="_Toc241670264"/>
      <w:bookmarkStart w:id="808" w:name="_Toc241707972"/>
      <w:r w:rsidRPr="00BE4F47">
        <w:rPr>
          <w:rFonts w:ascii="Aptos" w:hAnsi="Aptos"/>
          <w:color w:val="1A1A19"/>
          <w:sz w:val="20"/>
          <w:szCs w:val="20"/>
        </w:rPr>
        <w:t>Le seuil d’acceptation retenu est le suivant : aucun risque ne demeure en classe IV après traitement. Un risque de classe III est accepté à condition qu’une mesure compensatoire soit nommée et qu’un responsable en accepte le résidu par écrit. Les classes II et I sont acceptées sans condition, avec revue à chaque jalon.</w:t>
      </w:r>
      <w:bookmarkEnd w:id="806"/>
      <w:bookmarkEnd w:id="807"/>
      <w:bookmarkEnd w:id="808"/>
    </w:p>
    <w:p w14:paraId="012A40D1" w14:textId="77777777" w:rsidR="00F50D70" w:rsidRPr="00B36301" w:rsidRDefault="00137D7F" w:rsidP="008E113B">
      <w:pPr>
        <w:pStyle w:val="Titre2"/>
        <w:spacing w:line="360" w:lineRule="auto"/>
      </w:pPr>
      <w:bookmarkStart w:id="809" w:name="__RefHeading___Toc240715278"/>
      <w:bookmarkStart w:id="810" w:name="_Toc241707973"/>
      <w:bookmarkEnd w:id="809"/>
      <w:r w:rsidRPr="00B36301">
        <w:t>Registres des risques et profil</w:t>
      </w:r>
      <w:bookmarkEnd w:id="810"/>
    </w:p>
    <w:p w14:paraId="4D054E8B"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11" w:name="_Toc241083099"/>
      <w:bookmarkStart w:id="812" w:name="_Toc241670266"/>
      <w:bookmarkStart w:id="813" w:name="_Toc241707974"/>
      <w:r w:rsidRPr="00BE4F47">
        <w:rPr>
          <w:rFonts w:ascii="Aptos" w:hAnsi="Aptos"/>
          <w:b/>
          <w:color w:val="1A1A19"/>
          <w:sz w:val="20"/>
          <w:szCs w:val="20"/>
        </w:rPr>
        <w:t xml:space="preserve">Les familles de risques. </w:t>
      </w:r>
      <w:r w:rsidRPr="00BE4F47">
        <w:rPr>
          <w:rFonts w:ascii="Aptos" w:hAnsi="Aptos"/>
          <w:color w:val="1A1A19"/>
          <w:sz w:val="20"/>
          <w:szCs w:val="20"/>
        </w:rPr>
        <w:t>La structure de découpage des risques les classe selon leur origine. Elle sert à vérifier qu’aucune famille n’a été oubliée lors de l’identification.</w:t>
      </w:r>
      <w:bookmarkEnd w:id="811"/>
      <w:bookmarkEnd w:id="812"/>
      <w:bookmarkEnd w:id="813"/>
    </w:p>
    <w:p w14:paraId="5FA30250" w14:textId="77777777" w:rsidR="00F50D70" w:rsidRPr="00BE4F47" w:rsidRDefault="002A1CE1" w:rsidP="008E113B">
      <w:pPr>
        <w:keepNext/>
        <w:spacing w:line="360" w:lineRule="auto"/>
        <w:ind w:left="0"/>
        <w:rPr>
          <w:rFonts w:ascii="Aptos" w:hAnsi="Aptos"/>
        </w:rPr>
      </w:pPr>
      <w:bookmarkStart w:id="814" w:name="_Toc241083100"/>
      <w:bookmarkStart w:id="815" w:name="_Toc241670267"/>
      <w:bookmarkStart w:id="816" w:name="_Toc241707975"/>
      <w:r>
        <w:rPr>
          <w:rFonts w:ascii="Aptos" w:hAnsi="Aptos"/>
          <w:noProof/>
        </w:rPr>
        <w:drawing>
          <wp:inline distT="0" distB="0" distL="0" distR="0" wp14:anchorId="54198AC8" wp14:editId="2E6775C5">
            <wp:extent cx="4297680" cy="4139159"/>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14" cstate="print">
                      <a:extLst>
                        <a:ext uri="{28A0092B-C50C-407E-A947-70E740481C1C}">
                          <a14:useLocalDpi xmlns:a14="http://schemas.microsoft.com/office/drawing/2010/main" val="0"/>
                        </a:ext>
                      </a:extLst>
                    </a:blip>
                    <a:srcRect l="-2" t="-5" r="-2" b="-5"/>
                    <a:stretch>
                      <a:fillRect/>
                    </a:stretch>
                  </pic:blipFill>
                  <pic:spPr bwMode="auto">
                    <a:xfrm>
                      <a:off x="0" y="0"/>
                      <a:ext cx="4297680" cy="4139159"/>
                    </a:xfrm>
                    <a:prstGeom prst="rect">
                      <a:avLst/>
                    </a:prstGeom>
                    <a:noFill/>
                    <a:ln>
                      <a:noFill/>
                    </a:ln>
                  </pic:spPr>
                </pic:pic>
              </a:graphicData>
            </a:graphic>
          </wp:inline>
        </w:drawing>
      </w:r>
      <w:bookmarkEnd w:id="814"/>
      <w:bookmarkEnd w:id="815"/>
      <w:bookmarkEnd w:id="816"/>
    </w:p>
    <w:p w14:paraId="0B9C97E0" w14:textId="77777777" w:rsidR="00F50D70" w:rsidRPr="00BE4F47" w:rsidRDefault="00137D7F" w:rsidP="008E113B">
      <w:pPr>
        <w:pStyle w:val="Lgende"/>
        <w:spacing w:line="360" w:lineRule="auto"/>
        <w:rPr>
          <w:rFonts w:ascii="Aptos" w:hAnsi="Aptos"/>
        </w:rPr>
      </w:pPr>
      <w:bookmarkStart w:id="817" w:name="_Toc241083101"/>
      <w:bookmarkStart w:id="818" w:name="_Toc241670268"/>
      <w:bookmarkStart w:id="819" w:name="_Toc241707976"/>
      <w:r w:rsidRPr="00BE4F47">
        <w:rPr>
          <w:rFonts w:ascii="Aptos" w:hAnsi="Aptos"/>
        </w:rPr>
        <w:t>Figure 7-1. Arbre de découpage des risques du projet</w:t>
      </w:r>
      <w:bookmarkEnd w:id="817"/>
      <w:bookmarkEnd w:id="818"/>
      <w:bookmarkEnd w:id="819"/>
    </w:p>
    <w:p w14:paraId="39AA5514" w14:textId="77777777" w:rsidR="00F50D70" w:rsidRPr="00BE4F47" w:rsidRDefault="00137D7F" w:rsidP="008E113B">
      <w:pPr>
        <w:pStyle w:val="Lgende"/>
        <w:keepNext/>
        <w:spacing w:line="360" w:lineRule="auto"/>
        <w:rPr>
          <w:rFonts w:ascii="Aptos" w:hAnsi="Aptos"/>
        </w:rPr>
      </w:pPr>
      <w:bookmarkStart w:id="820" w:name="_Toc241083102"/>
      <w:bookmarkStart w:id="821" w:name="_Toc241670269"/>
      <w:bookmarkStart w:id="822" w:name="_Toc241707977"/>
      <w:r w:rsidRPr="00BE4F47">
        <w:rPr>
          <w:rFonts w:ascii="Aptos" w:hAnsi="Aptos"/>
        </w:rPr>
        <w:t>Tableau 7-5. Structure de découpage des risques</w:t>
      </w:r>
      <w:bookmarkEnd w:id="820"/>
      <w:bookmarkEnd w:id="821"/>
      <w:bookmarkEnd w:id="822"/>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737"/>
        <w:gridCol w:w="2377"/>
        <w:gridCol w:w="2981"/>
        <w:gridCol w:w="1462"/>
      </w:tblGrid>
      <w:tr w:rsidR="00F50D70" w:rsidRPr="00BE4F47" w14:paraId="55B12B34" w14:textId="77777777">
        <w:trPr>
          <w:trHeight w:val="246"/>
          <w:tblHeader/>
        </w:trPr>
        <w:tc>
          <w:tcPr>
            <w:tcW w:w="1737" w:type="dxa"/>
            <w:tcBorders>
              <w:top w:val="single" w:sz="4" w:space="0" w:color="000000"/>
              <w:left w:val="single" w:sz="4" w:space="0" w:color="000000"/>
              <w:bottom w:val="single" w:sz="4" w:space="0" w:color="000000"/>
              <w:right w:val="single" w:sz="4" w:space="0" w:color="000000"/>
            </w:tcBorders>
            <w:shd w:val="clear" w:color="auto" w:fill="EFF4FB"/>
          </w:tcPr>
          <w:p w14:paraId="568EAA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Famille</w:t>
            </w:r>
          </w:p>
        </w:tc>
        <w:tc>
          <w:tcPr>
            <w:tcW w:w="2377" w:type="dxa"/>
            <w:tcBorders>
              <w:top w:val="single" w:sz="4" w:space="0" w:color="000000"/>
              <w:left w:val="single" w:sz="4" w:space="0" w:color="000000"/>
              <w:bottom w:val="single" w:sz="4" w:space="0" w:color="000000"/>
              <w:right w:val="single" w:sz="4" w:space="0" w:color="000000"/>
            </w:tcBorders>
            <w:shd w:val="clear" w:color="auto" w:fill="EFF4FB"/>
          </w:tcPr>
          <w:p w14:paraId="3A41C99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Catégorie</w:t>
            </w:r>
          </w:p>
        </w:tc>
        <w:tc>
          <w:tcPr>
            <w:tcW w:w="2981" w:type="dxa"/>
            <w:tcBorders>
              <w:top w:val="single" w:sz="4" w:space="0" w:color="000000"/>
              <w:left w:val="single" w:sz="4" w:space="0" w:color="000000"/>
              <w:bottom w:val="single" w:sz="4" w:space="0" w:color="000000"/>
              <w:right w:val="single" w:sz="4" w:space="0" w:color="000000"/>
            </w:tcBorders>
            <w:shd w:val="clear" w:color="auto" w:fill="EFF4FB"/>
          </w:tcPr>
          <w:p w14:paraId="08E00D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Exemples de risques</w:t>
            </w:r>
          </w:p>
        </w:tc>
        <w:tc>
          <w:tcPr>
            <w:tcW w:w="1462" w:type="dxa"/>
            <w:tcBorders>
              <w:top w:val="single" w:sz="4" w:space="0" w:color="000000"/>
              <w:left w:val="single" w:sz="4" w:space="0" w:color="000000"/>
              <w:bottom w:val="single" w:sz="4" w:space="0" w:color="000000"/>
              <w:right w:val="single" w:sz="4" w:space="0" w:color="000000"/>
            </w:tcBorders>
            <w:shd w:val="clear" w:color="auto" w:fill="EFF4FB"/>
          </w:tcPr>
          <w:p w14:paraId="1665AD2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Identifiants</w:t>
            </w:r>
          </w:p>
        </w:tc>
      </w:tr>
      <w:tr w:rsidR="00F50D70" w:rsidRPr="00BE4F47" w14:paraId="7B48E3D3"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08D348E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de projet</w:t>
            </w:r>
          </w:p>
        </w:tc>
        <w:tc>
          <w:tcPr>
            <w:tcW w:w="2377" w:type="dxa"/>
            <w:tcBorders>
              <w:top w:val="single" w:sz="4" w:space="0" w:color="000000"/>
              <w:left w:val="single" w:sz="4" w:space="0" w:color="000000"/>
              <w:bottom w:val="single" w:sz="4" w:space="0" w:color="000000"/>
              <w:right w:val="single" w:sz="4" w:space="0" w:color="000000"/>
            </w:tcBorders>
          </w:tcPr>
          <w:p w14:paraId="2CA085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Échéancier et ressources</w:t>
            </w:r>
          </w:p>
        </w:tc>
        <w:tc>
          <w:tcPr>
            <w:tcW w:w="2981" w:type="dxa"/>
            <w:tcBorders>
              <w:top w:val="single" w:sz="4" w:space="0" w:color="000000"/>
              <w:left w:val="single" w:sz="4" w:space="0" w:color="000000"/>
              <w:bottom w:val="single" w:sz="4" w:space="0" w:color="000000"/>
              <w:right w:val="single" w:sz="4" w:space="0" w:color="000000"/>
            </w:tcBorders>
          </w:tcPr>
          <w:p w14:paraId="2535542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Retard de développement ou d’essais ; dépassement de l’enveloppe de 1 080 h ; absentéisme ou indisponibilité prolongée d’un membre</w:t>
            </w:r>
          </w:p>
        </w:tc>
        <w:tc>
          <w:tcPr>
            <w:tcW w:w="1462" w:type="dxa"/>
            <w:tcBorders>
              <w:top w:val="single" w:sz="4" w:space="0" w:color="000000"/>
              <w:left w:val="single" w:sz="4" w:space="0" w:color="000000"/>
              <w:bottom w:val="single" w:sz="4" w:space="0" w:color="000000"/>
              <w:right w:val="single" w:sz="4" w:space="0" w:color="000000"/>
            </w:tcBorders>
          </w:tcPr>
          <w:p w14:paraId="09EA443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RP1, RP2, RP4</w:t>
            </w:r>
          </w:p>
        </w:tc>
      </w:tr>
      <w:tr w:rsidR="00F50D70" w:rsidRPr="00BE4F47" w14:paraId="7350DBFD"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365905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de projet</w:t>
            </w:r>
          </w:p>
        </w:tc>
        <w:tc>
          <w:tcPr>
            <w:tcW w:w="2377" w:type="dxa"/>
            <w:tcBorders>
              <w:top w:val="single" w:sz="4" w:space="0" w:color="000000"/>
              <w:left w:val="single" w:sz="4" w:space="0" w:color="000000"/>
              <w:bottom w:val="single" w:sz="4" w:space="0" w:color="000000"/>
              <w:right w:val="single" w:sz="4" w:space="0" w:color="000000"/>
            </w:tcBorders>
          </w:tcPr>
          <w:p w14:paraId="103B603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Périmètre</w:t>
            </w:r>
          </w:p>
        </w:tc>
        <w:tc>
          <w:tcPr>
            <w:tcW w:w="2981" w:type="dxa"/>
            <w:tcBorders>
              <w:top w:val="single" w:sz="4" w:space="0" w:color="000000"/>
              <w:left w:val="single" w:sz="4" w:space="0" w:color="000000"/>
              <w:bottom w:val="single" w:sz="4" w:space="0" w:color="000000"/>
              <w:right w:val="single" w:sz="4" w:space="0" w:color="000000"/>
            </w:tcBorders>
          </w:tcPr>
          <w:p w14:paraId="50E7EC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Modification tardive du mandat ; ajout d’un banc thermohydraulique physique</w:t>
            </w:r>
          </w:p>
        </w:tc>
        <w:tc>
          <w:tcPr>
            <w:tcW w:w="1462" w:type="dxa"/>
            <w:tcBorders>
              <w:top w:val="single" w:sz="4" w:space="0" w:color="000000"/>
              <w:left w:val="single" w:sz="4" w:space="0" w:color="000000"/>
              <w:bottom w:val="single" w:sz="4" w:space="0" w:color="000000"/>
              <w:right w:val="single" w:sz="4" w:space="0" w:color="000000"/>
            </w:tcBorders>
          </w:tcPr>
          <w:p w14:paraId="6C617E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r>
      <w:tr w:rsidR="00F50D70" w:rsidRPr="00BE4F47" w14:paraId="1080E076"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0014685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Risques du produit</w:t>
            </w:r>
          </w:p>
        </w:tc>
        <w:tc>
          <w:tcPr>
            <w:tcW w:w="2377" w:type="dxa"/>
            <w:tcBorders>
              <w:top w:val="single" w:sz="4" w:space="0" w:color="000000"/>
              <w:left w:val="single" w:sz="4" w:space="0" w:color="000000"/>
              <w:bottom w:val="single" w:sz="4" w:space="0" w:color="000000"/>
              <w:right w:val="single" w:sz="4" w:space="0" w:color="000000"/>
            </w:tcBorders>
          </w:tcPr>
          <w:p w14:paraId="29F33C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Données et acquisition</w:t>
            </w:r>
          </w:p>
        </w:tc>
        <w:tc>
          <w:tcPr>
            <w:tcW w:w="2981" w:type="dxa"/>
            <w:tcBorders>
              <w:top w:val="single" w:sz="4" w:space="0" w:color="000000"/>
              <w:left w:val="single" w:sz="4" w:space="0" w:color="000000"/>
              <w:bottom w:val="single" w:sz="4" w:space="0" w:color="000000"/>
              <w:right w:val="single" w:sz="4" w:space="0" w:color="000000"/>
            </w:tcBorders>
          </w:tcPr>
          <w:p w14:paraId="735B460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Mesure erronée ; donnée indisponible ; désynchronisation</w:t>
            </w:r>
          </w:p>
        </w:tc>
        <w:tc>
          <w:tcPr>
            <w:tcW w:w="1462" w:type="dxa"/>
            <w:tcBorders>
              <w:top w:val="single" w:sz="4" w:space="0" w:color="000000"/>
              <w:left w:val="single" w:sz="4" w:space="0" w:color="000000"/>
              <w:bottom w:val="single" w:sz="4" w:space="0" w:color="000000"/>
              <w:right w:val="single" w:sz="4" w:space="0" w:color="000000"/>
            </w:tcBorders>
          </w:tcPr>
          <w:p w14:paraId="0F998B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RT2, RT3</w:t>
            </w:r>
          </w:p>
        </w:tc>
      </w:tr>
      <w:tr w:rsidR="00F50D70" w:rsidRPr="00BE4F47" w14:paraId="60368A28"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3B2FD5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3510FB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Modélisation et diagnostic</w:t>
            </w:r>
          </w:p>
        </w:tc>
        <w:tc>
          <w:tcPr>
            <w:tcW w:w="2981" w:type="dxa"/>
            <w:tcBorders>
              <w:top w:val="single" w:sz="4" w:space="0" w:color="000000"/>
              <w:left w:val="single" w:sz="4" w:space="0" w:color="000000"/>
              <w:bottom w:val="single" w:sz="4" w:space="0" w:color="000000"/>
              <w:right w:val="single" w:sz="4" w:space="0" w:color="000000"/>
            </w:tcBorders>
          </w:tcPr>
          <w:p w14:paraId="6780EE8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Modèle insuffisamment représentatif ; faux négatif ; faux positif</w:t>
            </w:r>
          </w:p>
        </w:tc>
        <w:tc>
          <w:tcPr>
            <w:tcW w:w="1462" w:type="dxa"/>
            <w:tcBorders>
              <w:top w:val="single" w:sz="4" w:space="0" w:color="000000"/>
              <w:left w:val="single" w:sz="4" w:space="0" w:color="000000"/>
              <w:bottom w:val="single" w:sz="4" w:space="0" w:color="000000"/>
              <w:right w:val="single" w:sz="4" w:space="0" w:color="000000"/>
            </w:tcBorders>
          </w:tcPr>
          <w:p w14:paraId="584B6A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 RT5, RT6</w:t>
            </w:r>
          </w:p>
        </w:tc>
      </w:tr>
      <w:tr w:rsidR="00F50D70" w:rsidRPr="00BE4F47" w14:paraId="4C1DF4F9" w14:textId="77777777">
        <w:trPr>
          <w:cantSplit/>
          <w:trHeight w:val="256"/>
        </w:trPr>
        <w:tc>
          <w:tcPr>
            <w:tcW w:w="1737" w:type="dxa"/>
            <w:tcBorders>
              <w:top w:val="single" w:sz="4" w:space="0" w:color="000000"/>
              <w:left w:val="single" w:sz="4" w:space="0" w:color="000000"/>
              <w:bottom w:val="single" w:sz="4" w:space="0" w:color="000000"/>
              <w:right w:val="single" w:sz="4" w:space="0" w:color="000000"/>
            </w:tcBorders>
          </w:tcPr>
          <w:p w14:paraId="275F19F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0674E9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Cybersécurité</w:t>
            </w:r>
          </w:p>
        </w:tc>
        <w:tc>
          <w:tcPr>
            <w:tcW w:w="2981" w:type="dxa"/>
            <w:tcBorders>
              <w:top w:val="single" w:sz="4" w:space="0" w:color="000000"/>
              <w:left w:val="single" w:sz="4" w:space="0" w:color="000000"/>
              <w:bottom w:val="single" w:sz="4" w:space="0" w:color="000000"/>
              <w:right w:val="single" w:sz="4" w:space="0" w:color="000000"/>
            </w:tcBorders>
          </w:tcPr>
          <w:p w14:paraId="4E32D2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Accès non autorisé ; altération des données</w:t>
            </w:r>
          </w:p>
        </w:tc>
        <w:tc>
          <w:tcPr>
            <w:tcW w:w="1462" w:type="dxa"/>
            <w:tcBorders>
              <w:top w:val="single" w:sz="4" w:space="0" w:color="000000"/>
              <w:left w:val="single" w:sz="4" w:space="0" w:color="000000"/>
              <w:bottom w:val="single" w:sz="4" w:space="0" w:color="000000"/>
              <w:right w:val="single" w:sz="4" w:space="0" w:color="000000"/>
            </w:tcBorders>
          </w:tcPr>
          <w:p w14:paraId="0EBB8D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RT8</w:t>
            </w:r>
          </w:p>
        </w:tc>
      </w:tr>
      <w:tr w:rsidR="00F50D70" w:rsidRPr="00BE4F47" w14:paraId="18CF0DB0" w14:textId="77777777">
        <w:trPr>
          <w:cantSplit/>
          <w:trHeight w:val="266"/>
        </w:trPr>
        <w:tc>
          <w:tcPr>
            <w:tcW w:w="1737" w:type="dxa"/>
            <w:tcBorders>
              <w:top w:val="single" w:sz="4" w:space="0" w:color="000000"/>
              <w:left w:val="single" w:sz="4" w:space="0" w:color="000000"/>
              <w:bottom w:val="single" w:sz="4" w:space="0" w:color="000000"/>
              <w:right w:val="single" w:sz="4" w:space="0" w:color="000000"/>
            </w:tcBorders>
          </w:tcPr>
          <w:p w14:paraId="344BCD7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5B166CB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Disponibilité</w:t>
            </w:r>
          </w:p>
        </w:tc>
        <w:tc>
          <w:tcPr>
            <w:tcW w:w="2981" w:type="dxa"/>
            <w:tcBorders>
              <w:top w:val="single" w:sz="4" w:space="0" w:color="000000"/>
              <w:left w:val="single" w:sz="4" w:space="0" w:color="000000"/>
              <w:bottom w:val="single" w:sz="4" w:space="0" w:color="000000"/>
              <w:right w:val="single" w:sz="4" w:space="0" w:color="000000"/>
            </w:tcBorders>
          </w:tcPr>
          <w:p w14:paraId="065515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Indisponibilité du prototype</w:t>
            </w:r>
          </w:p>
        </w:tc>
        <w:tc>
          <w:tcPr>
            <w:tcW w:w="1462" w:type="dxa"/>
            <w:tcBorders>
              <w:top w:val="single" w:sz="4" w:space="0" w:color="000000"/>
              <w:left w:val="single" w:sz="4" w:space="0" w:color="000000"/>
              <w:bottom w:val="single" w:sz="4" w:space="0" w:color="000000"/>
              <w:right w:val="single" w:sz="4" w:space="0" w:color="000000"/>
            </w:tcBorders>
          </w:tcPr>
          <w:p w14:paraId="093030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RT9</w:t>
            </w:r>
          </w:p>
        </w:tc>
      </w:tr>
      <w:tr w:rsidR="00F50D70" w:rsidRPr="00BE4F47" w14:paraId="3171668F" w14:textId="77777777">
        <w:trPr>
          <w:cantSplit/>
          <w:trHeight w:val="256"/>
        </w:trPr>
        <w:tc>
          <w:tcPr>
            <w:tcW w:w="1737" w:type="dxa"/>
            <w:tcBorders>
              <w:top w:val="single" w:sz="4" w:space="0" w:color="000000"/>
              <w:left w:val="single" w:sz="4" w:space="0" w:color="000000"/>
              <w:bottom w:val="single" w:sz="4" w:space="0" w:color="000000"/>
              <w:right w:val="single" w:sz="4" w:space="0" w:color="000000"/>
            </w:tcBorders>
          </w:tcPr>
          <w:p w14:paraId="5A4CE16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526FAB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Facteurs humains</w:t>
            </w:r>
          </w:p>
        </w:tc>
        <w:tc>
          <w:tcPr>
            <w:tcW w:w="2981" w:type="dxa"/>
            <w:tcBorders>
              <w:top w:val="single" w:sz="4" w:space="0" w:color="000000"/>
              <w:left w:val="single" w:sz="4" w:space="0" w:color="000000"/>
              <w:bottom w:val="single" w:sz="4" w:space="0" w:color="000000"/>
              <w:right w:val="single" w:sz="4" w:space="0" w:color="000000"/>
            </w:tcBorders>
          </w:tcPr>
          <w:p w14:paraId="21251F7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Confiance excessive de l’opérateur</w:t>
            </w:r>
          </w:p>
        </w:tc>
        <w:tc>
          <w:tcPr>
            <w:tcW w:w="1462" w:type="dxa"/>
            <w:tcBorders>
              <w:top w:val="single" w:sz="4" w:space="0" w:color="000000"/>
              <w:left w:val="single" w:sz="4" w:space="0" w:color="000000"/>
              <w:bottom w:val="single" w:sz="4" w:space="0" w:color="000000"/>
              <w:right w:val="single" w:sz="4" w:space="0" w:color="000000"/>
            </w:tcBorders>
          </w:tcPr>
          <w:p w14:paraId="2835C2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RT10</w:t>
            </w:r>
          </w:p>
        </w:tc>
      </w:tr>
    </w:tbl>
    <w:p w14:paraId="3D76CA92"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823" w:name="_Toc241083104"/>
      <w:bookmarkStart w:id="824" w:name="_Toc241670270"/>
      <w:bookmarkStart w:id="825" w:name="_Toc241707978"/>
      <w:r w:rsidRPr="00BE4F47">
        <w:rPr>
          <w:rFonts w:ascii="Aptos" w:hAnsi="Aptos"/>
          <w:color w:val="1A1A19"/>
          <w:sz w:val="20"/>
          <w:szCs w:val="20"/>
        </w:rPr>
        <w:t>Évaluation datée du 18 septembre 2026. À réviser à chaque jalon. Les colonnes « Avant » et « Après » donnent la gravité, la probabilité et la classe de risque, avant puis après traitement.</w:t>
      </w:r>
      <w:bookmarkEnd w:id="823"/>
      <w:bookmarkEnd w:id="824"/>
      <w:bookmarkEnd w:id="825"/>
    </w:p>
    <w:p w14:paraId="11461A7C" w14:textId="77777777" w:rsidR="00F50D70" w:rsidRPr="00BE4F47" w:rsidRDefault="00137D7F" w:rsidP="008E113B">
      <w:pPr>
        <w:pStyle w:val="Lgende"/>
        <w:keepNext/>
        <w:spacing w:line="360" w:lineRule="auto"/>
        <w:rPr>
          <w:rFonts w:ascii="Aptos" w:hAnsi="Aptos"/>
        </w:rPr>
      </w:pPr>
      <w:bookmarkStart w:id="826" w:name="_Toc241083105"/>
      <w:bookmarkStart w:id="827" w:name="_Toc241670271"/>
      <w:bookmarkStart w:id="828" w:name="_Toc241707979"/>
      <w:r w:rsidRPr="00BE4F47">
        <w:rPr>
          <w:rFonts w:ascii="Aptos" w:hAnsi="Aptos"/>
        </w:rPr>
        <w:t>Tableau 7-6. Registre des risques de projet</w:t>
      </w:r>
      <w:bookmarkEnd w:id="826"/>
      <w:bookmarkEnd w:id="827"/>
      <w:bookmarkEnd w:id="828"/>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652"/>
        <w:gridCol w:w="2608"/>
        <w:gridCol w:w="774"/>
        <w:gridCol w:w="2608"/>
        <w:gridCol w:w="774"/>
        <w:gridCol w:w="1141"/>
      </w:tblGrid>
      <w:tr w:rsidR="00F50D70" w:rsidRPr="00BE4F47" w14:paraId="7F245D5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EFF4FB"/>
          </w:tcPr>
          <w:p w14:paraId="4972B9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Repère</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51451A0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et justification de la cotation</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63048D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Avant</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40B57D9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Traitement et mesure compensatoire</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0D9F904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Après</w:t>
            </w:r>
          </w:p>
        </w:tc>
        <w:tc>
          <w:tcPr>
            <w:tcW w:w="1141" w:type="dxa"/>
            <w:tcBorders>
              <w:top w:val="single" w:sz="4" w:space="0" w:color="000000"/>
              <w:left w:val="single" w:sz="4" w:space="0" w:color="000000"/>
              <w:bottom w:val="single" w:sz="4" w:space="0" w:color="000000"/>
              <w:right w:val="single" w:sz="4" w:space="0" w:color="000000"/>
            </w:tcBorders>
            <w:shd w:val="clear" w:color="auto" w:fill="EFF4FB"/>
          </w:tcPr>
          <w:p w14:paraId="3D6FA5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Resp.</w:t>
            </w:r>
          </w:p>
        </w:tc>
      </w:tr>
      <w:tr w:rsidR="00F50D70" w:rsidRPr="00BE4F47" w14:paraId="4ED006A9"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311D0C6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1.1</w:t>
            </w:r>
          </w:p>
        </w:tc>
        <w:tc>
          <w:tcPr>
            <w:tcW w:w="2608" w:type="dxa"/>
            <w:tcBorders>
              <w:top w:val="single" w:sz="4" w:space="0" w:color="000000"/>
              <w:left w:val="single" w:sz="4" w:space="0" w:color="000000"/>
              <w:bottom w:val="single" w:sz="4" w:space="0" w:color="000000"/>
              <w:right w:val="single" w:sz="4" w:space="0" w:color="000000"/>
            </w:tcBorders>
          </w:tcPr>
          <w:p w14:paraId="4271776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RP1. Retard dans le développement, l’intégration ou les essais. Justification : mandat de 1 080 h réparti sur huit personnes menant six cours en parallèle ; un glissement partiel est plausible et observé dans des projets comparables.</w:t>
            </w:r>
          </w:p>
        </w:tc>
        <w:tc>
          <w:tcPr>
            <w:tcW w:w="774" w:type="dxa"/>
            <w:tcBorders>
              <w:top w:val="single" w:sz="4" w:space="0" w:color="000000"/>
              <w:left w:val="single" w:sz="4" w:space="0" w:color="000000"/>
              <w:bottom w:val="single" w:sz="4" w:space="0" w:color="000000"/>
              <w:right w:val="single" w:sz="4" w:space="0" w:color="000000"/>
            </w:tcBorders>
          </w:tcPr>
          <w:p w14:paraId="15FE75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PC</w:t>
            </w:r>
          </w:p>
          <w:p w14:paraId="5DF9E29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2608" w:type="dxa"/>
            <w:tcBorders>
              <w:top w:val="single" w:sz="4" w:space="0" w:color="000000"/>
              <w:left w:val="single" w:sz="4" w:space="0" w:color="000000"/>
              <w:bottom w:val="single" w:sz="4" w:space="0" w:color="000000"/>
              <w:right w:val="single" w:sz="4" w:space="0" w:color="000000"/>
            </w:tcBorders>
          </w:tcPr>
          <w:p w14:paraId="567749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Jalons intermédiaires J0 à J5, suivi de l’avancement et priorisation des fonctions essentielles. Réserve de cinq jours conservée pour absorber un glissement des phases P3 ou P4.</w:t>
            </w:r>
          </w:p>
        </w:tc>
        <w:tc>
          <w:tcPr>
            <w:tcW w:w="774" w:type="dxa"/>
            <w:tcBorders>
              <w:top w:val="single" w:sz="4" w:space="0" w:color="000000"/>
              <w:left w:val="single" w:sz="4" w:space="0" w:color="000000"/>
              <w:bottom w:val="single" w:sz="4" w:space="0" w:color="000000"/>
              <w:right w:val="single" w:sz="4" w:space="0" w:color="000000"/>
            </w:tcBorders>
          </w:tcPr>
          <w:p w14:paraId="3956E9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565278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34E06D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20C8B4E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1BA5C618"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1D9C62F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w:t>
            </w:r>
          </w:p>
        </w:tc>
        <w:tc>
          <w:tcPr>
            <w:tcW w:w="2608" w:type="dxa"/>
            <w:tcBorders>
              <w:top w:val="single" w:sz="4" w:space="0" w:color="000000"/>
              <w:left w:val="single" w:sz="4" w:space="0" w:color="000000"/>
              <w:bottom w:val="single" w:sz="4" w:space="0" w:color="000000"/>
              <w:right w:val="single" w:sz="4" w:space="0" w:color="000000"/>
            </w:tcBorders>
          </w:tcPr>
          <w:p w14:paraId="138CF1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 Dépassement de l’enveloppe de 1 080 heures. Justification : l’enveloppe est une contrainte de mandat et non une estimation ; la gravité est critique car le dépassement remet en cause un livrable, sans remettre en cause le mandat.</w:t>
            </w:r>
          </w:p>
        </w:tc>
        <w:tc>
          <w:tcPr>
            <w:tcW w:w="774" w:type="dxa"/>
            <w:tcBorders>
              <w:top w:val="single" w:sz="4" w:space="0" w:color="000000"/>
              <w:left w:val="single" w:sz="4" w:space="0" w:color="000000"/>
              <w:bottom w:val="single" w:sz="4" w:space="0" w:color="000000"/>
              <w:right w:val="single" w:sz="4" w:space="0" w:color="000000"/>
            </w:tcBorders>
          </w:tcPr>
          <w:p w14:paraId="210C15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67AA28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05E695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périodique des heures consommées par lot. Réduction du contenu ajustable avant toute réduction des activités de vérification et de validation. Mesure compensatoire : liste du contenu ajustable arrêtée au jalon J1.</w:t>
            </w:r>
          </w:p>
        </w:tc>
        <w:tc>
          <w:tcPr>
            <w:tcW w:w="774" w:type="dxa"/>
            <w:tcBorders>
              <w:top w:val="single" w:sz="4" w:space="0" w:color="000000"/>
              <w:left w:val="single" w:sz="4" w:space="0" w:color="000000"/>
              <w:bottom w:val="single" w:sz="4" w:space="0" w:color="000000"/>
              <w:right w:val="single" w:sz="4" w:space="0" w:color="000000"/>
            </w:tcBorders>
          </w:tcPr>
          <w:p w14:paraId="7A0966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55BE010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7539C06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43973A5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périodique.</w:t>
            </w:r>
          </w:p>
        </w:tc>
      </w:tr>
      <w:tr w:rsidR="00F50D70" w:rsidRPr="00BE4F47" w14:paraId="2E9C7C2E"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41AD39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w:t>
            </w:r>
          </w:p>
        </w:tc>
        <w:tc>
          <w:tcPr>
            <w:tcW w:w="2608" w:type="dxa"/>
            <w:tcBorders>
              <w:top w:val="single" w:sz="4" w:space="0" w:color="000000"/>
              <w:left w:val="single" w:sz="4" w:space="0" w:color="000000"/>
              <w:bottom w:val="single" w:sz="4" w:space="0" w:color="000000"/>
              <w:right w:val="single" w:sz="4" w:space="0" w:color="000000"/>
            </w:tcBorders>
          </w:tcPr>
          <w:p w14:paraId="2D90027C" w14:textId="65CEA1BD"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 xml:space="preserve">RP4. Absentéisme ou indisponibilité prolongée d’un membre. Justification : neuf lots sont répartis entre huit membres, deux d’entre eux étant partagés ; l’arrêt prolongé d’un seul retire de 8 à 13 % de la capacité et laisse une section sans rédacteur, sur un trimestre de </w:t>
            </w:r>
            <w:proofErr w:type="gramStart"/>
            <w:r w:rsidRPr="00BE4F47">
              <w:rPr>
                <w:rFonts w:ascii="Aptos" w:eastAsia="Calibri" w:hAnsi="Aptos" w:cs="Calibri"/>
                <w:color w:val="1A1A19"/>
                <w:sz w:val="16"/>
                <w:szCs w:val="16"/>
                <w:lang w:val="fr-FR"/>
              </w:rPr>
              <w:t>quatorze semaines mené</w:t>
            </w:r>
            <w:proofErr w:type="gramEnd"/>
            <w:r w:rsidRPr="00BE4F47">
              <w:rPr>
                <w:rFonts w:ascii="Aptos" w:eastAsia="Calibri" w:hAnsi="Aptos" w:cs="Calibri"/>
                <w:color w:val="1A1A19"/>
                <w:sz w:val="16"/>
                <w:szCs w:val="16"/>
                <w:lang w:val="fr-FR"/>
              </w:rPr>
              <w:t xml:space="preserve"> en parallèle de cinq autres cours.</w:t>
            </w:r>
          </w:p>
        </w:tc>
        <w:tc>
          <w:tcPr>
            <w:tcW w:w="774" w:type="dxa"/>
            <w:tcBorders>
              <w:top w:val="single" w:sz="4" w:space="0" w:color="000000"/>
              <w:left w:val="single" w:sz="4" w:space="0" w:color="000000"/>
              <w:bottom w:val="single" w:sz="4" w:space="0" w:color="000000"/>
              <w:right w:val="single" w:sz="4" w:space="0" w:color="000000"/>
            </w:tcBorders>
          </w:tcPr>
          <w:p w14:paraId="08BC16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32BEDD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5F46BA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Binôme de secours désigné pour chaque lot, de sorte qu’aucun lot ne repose sur une seule personne. Documentation au dépôt permettant la reprise par un tiers, selon la section 4. Réallocation de la charge à partir du tableau des lots. Mesure compensatoire : la relecture croisée fait qu’au moins deux membres connaissent chaque section.</w:t>
            </w:r>
          </w:p>
        </w:tc>
        <w:tc>
          <w:tcPr>
            <w:tcW w:w="774" w:type="dxa"/>
            <w:tcBorders>
              <w:top w:val="single" w:sz="4" w:space="0" w:color="000000"/>
              <w:left w:val="single" w:sz="4" w:space="0" w:color="000000"/>
              <w:bottom w:val="single" w:sz="4" w:space="0" w:color="000000"/>
              <w:right w:val="single" w:sz="4" w:space="0" w:color="000000"/>
            </w:tcBorders>
          </w:tcPr>
          <w:p w14:paraId="37743E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PC</w:t>
            </w:r>
          </w:p>
          <w:p w14:paraId="0198965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55CD00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34A810E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Binômes désignés à J1.</w:t>
            </w:r>
          </w:p>
        </w:tc>
      </w:tr>
      <w:tr w:rsidR="00F50D70" w:rsidRPr="00BE4F47" w14:paraId="7E8FF9DF"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4454AE8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2.1</w:t>
            </w:r>
          </w:p>
        </w:tc>
        <w:tc>
          <w:tcPr>
            <w:tcW w:w="2608" w:type="dxa"/>
            <w:tcBorders>
              <w:top w:val="single" w:sz="4" w:space="0" w:color="000000"/>
              <w:left w:val="single" w:sz="4" w:space="0" w:color="000000"/>
              <w:bottom w:val="single" w:sz="4" w:space="0" w:color="000000"/>
              <w:right w:val="single" w:sz="4" w:space="0" w:color="000000"/>
            </w:tcBorders>
          </w:tcPr>
          <w:p w14:paraId="7FB845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 Modification tardive du périmètre exigeant un banc thermohydraulique physique. Justification : probabilité faible car l’hypothèse d’un environnement simulé est posée au mandat ; gravité maximale car un tel ajout invaliderait la planification, le budget et l’échéancier.</w:t>
            </w:r>
          </w:p>
        </w:tc>
        <w:tc>
          <w:tcPr>
            <w:tcW w:w="774" w:type="dxa"/>
            <w:tcBorders>
              <w:top w:val="single" w:sz="4" w:space="0" w:color="000000"/>
              <w:left w:val="single" w:sz="4" w:space="0" w:color="000000"/>
              <w:bottom w:val="single" w:sz="4" w:space="0" w:color="000000"/>
              <w:right w:val="single" w:sz="4" w:space="0" w:color="000000"/>
            </w:tcBorders>
          </w:tcPr>
          <w:p w14:paraId="5B45FB7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PD</w:t>
            </w:r>
          </w:p>
          <w:p w14:paraId="26CD2C9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2834A2A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Maintien explicite de l’hypothèse d’un environnement simulé (EX-C-02). Réévaluation immédiate de la portée, des ressources et du budget si elle devient invalide. Mesure compensatoire : point de décision formel au jalon J1.</w:t>
            </w:r>
          </w:p>
        </w:tc>
        <w:tc>
          <w:tcPr>
            <w:tcW w:w="774" w:type="dxa"/>
            <w:tcBorders>
              <w:top w:val="single" w:sz="4" w:space="0" w:color="000000"/>
              <w:left w:val="single" w:sz="4" w:space="0" w:color="000000"/>
              <w:bottom w:val="single" w:sz="4" w:space="0" w:color="000000"/>
              <w:right w:val="single" w:sz="4" w:space="0" w:color="000000"/>
            </w:tcBorders>
          </w:tcPr>
          <w:p w14:paraId="0651B06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PE</w:t>
            </w:r>
          </w:p>
          <w:p w14:paraId="06E9F6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58A0841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20F8A99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de revue du périmètre.</w:t>
            </w:r>
          </w:p>
        </w:tc>
      </w:tr>
    </w:tbl>
    <w:p w14:paraId="2A1485C6" w14:textId="77777777" w:rsidR="00F50D70" w:rsidRPr="00BE4F47" w:rsidRDefault="00137D7F" w:rsidP="008E113B">
      <w:pPr>
        <w:spacing w:before="200" w:after="130" w:line="360" w:lineRule="auto"/>
        <w:ind w:left="360"/>
        <w:rPr>
          <w:rFonts w:ascii="Aptos" w:hAnsi="Aptos"/>
        </w:rPr>
      </w:pPr>
      <w:bookmarkStart w:id="829" w:name="_Toc241083107"/>
      <w:bookmarkStart w:id="830" w:name="_Toc241670272"/>
      <w:bookmarkStart w:id="831" w:name="_Toc241707980"/>
      <w:r w:rsidRPr="00BE4F47">
        <w:rPr>
          <w:rFonts w:ascii="Aptos" w:hAnsi="Aptos"/>
          <w:color w:val="1A1A19"/>
          <w:sz w:val="20"/>
          <w:szCs w:val="20"/>
        </w:rPr>
        <w:t>Évaluation datée du 18 septembre 2026. Les renvois entre parenthèses désignent les exigences du registre des exigences et les états du GEMMA.</w:t>
      </w:r>
      <w:bookmarkEnd w:id="829"/>
      <w:bookmarkEnd w:id="830"/>
      <w:bookmarkEnd w:id="831"/>
    </w:p>
    <w:p w14:paraId="705CB486" w14:textId="77777777" w:rsidR="00F50D70" w:rsidRPr="00BE4F47" w:rsidRDefault="00137D7F" w:rsidP="008E113B">
      <w:pPr>
        <w:pStyle w:val="Lgende"/>
        <w:keepNext/>
        <w:spacing w:line="360" w:lineRule="auto"/>
        <w:rPr>
          <w:rFonts w:ascii="Aptos" w:hAnsi="Aptos"/>
        </w:rPr>
      </w:pPr>
      <w:bookmarkStart w:id="832" w:name="_Toc241083108"/>
      <w:bookmarkStart w:id="833" w:name="_Toc241670273"/>
      <w:bookmarkStart w:id="834" w:name="_Toc241707981"/>
      <w:r w:rsidRPr="00BE4F47">
        <w:rPr>
          <w:rFonts w:ascii="Aptos" w:hAnsi="Aptos"/>
        </w:rPr>
        <w:lastRenderedPageBreak/>
        <w:t>Tableau 7-7. Registre des risques du produit</w:t>
      </w:r>
      <w:bookmarkEnd w:id="832"/>
      <w:bookmarkEnd w:id="833"/>
      <w:bookmarkEnd w:id="834"/>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652"/>
        <w:gridCol w:w="2608"/>
        <w:gridCol w:w="774"/>
        <w:gridCol w:w="2608"/>
        <w:gridCol w:w="774"/>
        <w:gridCol w:w="1141"/>
      </w:tblGrid>
      <w:tr w:rsidR="00F50D70" w:rsidRPr="00BE4F47" w14:paraId="5F05A88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EFF4FB"/>
          </w:tcPr>
          <w:p w14:paraId="2F8670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Repère</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5390969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et justification de la cotation</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6CEE08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Avant</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02CEDAC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Traitement et mesure compensatoire</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54AC556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Après</w:t>
            </w:r>
          </w:p>
        </w:tc>
        <w:tc>
          <w:tcPr>
            <w:tcW w:w="1141" w:type="dxa"/>
            <w:tcBorders>
              <w:top w:val="single" w:sz="4" w:space="0" w:color="000000"/>
              <w:left w:val="single" w:sz="4" w:space="0" w:color="000000"/>
              <w:bottom w:val="single" w:sz="4" w:space="0" w:color="000000"/>
              <w:right w:val="single" w:sz="4" w:space="0" w:color="000000"/>
            </w:tcBorders>
            <w:shd w:val="clear" w:color="auto" w:fill="EFF4FB"/>
          </w:tcPr>
          <w:p w14:paraId="7255C22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Resp.</w:t>
            </w:r>
          </w:p>
        </w:tc>
      </w:tr>
      <w:tr w:rsidR="00F50D70" w:rsidRPr="00BE4F47" w14:paraId="20DE413F"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771E5D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3.1</w:t>
            </w:r>
          </w:p>
        </w:tc>
        <w:tc>
          <w:tcPr>
            <w:tcW w:w="2608" w:type="dxa"/>
            <w:tcBorders>
              <w:top w:val="single" w:sz="4" w:space="0" w:color="000000"/>
              <w:left w:val="single" w:sz="4" w:space="0" w:color="000000"/>
              <w:bottom w:val="single" w:sz="4" w:space="0" w:color="000000"/>
              <w:right w:val="single" w:sz="4" w:space="0" w:color="000000"/>
            </w:tcBorders>
          </w:tcPr>
          <w:p w14:paraId="62F0A6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Mesure erronée de température, de pression ou de débit. Justification : une dérive de capteur est le mode de défaillance le plus courant d’une chaîne d’acquisition, et une mesure fausse non détectée fausse tout le diagnostic.</w:t>
            </w:r>
          </w:p>
        </w:tc>
        <w:tc>
          <w:tcPr>
            <w:tcW w:w="774" w:type="dxa"/>
            <w:tcBorders>
              <w:top w:val="single" w:sz="4" w:space="0" w:color="000000"/>
              <w:left w:val="single" w:sz="4" w:space="0" w:color="000000"/>
              <w:bottom w:val="single" w:sz="4" w:space="0" w:color="000000"/>
              <w:right w:val="single" w:sz="4" w:space="0" w:color="000000"/>
            </w:tcBorders>
          </w:tcPr>
          <w:p w14:paraId="4529D3E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70B4557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514051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Validation des entrées, plages admissibles et contrôle de cohérence entre capteurs (EX-Q-04). Une mesure détectée comme invalide est rejetée et journalisée, elle ne se propage pas au modèle. Mesure compensatoire : essai d’injection de dérive de capteur documenté au plan de vérification et de validation, et acceptation écrite du résidu par le responsable du lot L6.</w:t>
            </w:r>
          </w:p>
        </w:tc>
        <w:tc>
          <w:tcPr>
            <w:tcW w:w="774" w:type="dxa"/>
            <w:tcBorders>
              <w:top w:val="single" w:sz="4" w:space="0" w:color="000000"/>
              <w:left w:val="single" w:sz="4" w:space="0" w:color="000000"/>
              <w:bottom w:val="single" w:sz="4" w:space="0" w:color="000000"/>
              <w:right w:val="single" w:sz="4" w:space="0" w:color="000000"/>
            </w:tcBorders>
          </w:tcPr>
          <w:p w14:paraId="2B9045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PC</w:t>
            </w:r>
          </w:p>
          <w:p w14:paraId="58D47E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6AF7B23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L6.</w:t>
            </w:r>
          </w:p>
          <w:p w14:paraId="3B7C0B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2AE72F12"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0979CC1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3.2</w:t>
            </w:r>
          </w:p>
        </w:tc>
        <w:tc>
          <w:tcPr>
            <w:tcW w:w="2608" w:type="dxa"/>
            <w:tcBorders>
              <w:top w:val="single" w:sz="4" w:space="0" w:color="000000"/>
              <w:left w:val="single" w:sz="4" w:space="0" w:color="000000"/>
              <w:bottom w:val="single" w:sz="4" w:space="0" w:color="000000"/>
              <w:right w:val="single" w:sz="4" w:space="0" w:color="000000"/>
            </w:tcBorders>
          </w:tcPr>
          <w:p w14:paraId="2096EBF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RT2. Perte ou indisponibilité d’une donnée. Justification : événement attendu au moins une fois en campagne d’essais ; la gravité chute fortement une fois la détection en place, puisque le système déclare l’état incertain au lieu de conclure.</w:t>
            </w:r>
          </w:p>
        </w:tc>
        <w:tc>
          <w:tcPr>
            <w:tcW w:w="774" w:type="dxa"/>
            <w:tcBorders>
              <w:top w:val="single" w:sz="4" w:space="0" w:color="000000"/>
              <w:left w:val="single" w:sz="4" w:space="0" w:color="000000"/>
              <w:bottom w:val="single" w:sz="4" w:space="0" w:color="000000"/>
              <w:right w:val="single" w:sz="4" w:space="0" w:color="000000"/>
            </w:tcBorders>
          </w:tcPr>
          <w:p w14:paraId="58E72E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37E677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1F7FE46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des données manquantes au-delà de N cycles et affichage de l’état « incertain » (EX-F-06, état D2 du GEMMA).</w:t>
            </w:r>
          </w:p>
        </w:tc>
        <w:tc>
          <w:tcPr>
            <w:tcW w:w="774" w:type="dxa"/>
            <w:tcBorders>
              <w:top w:val="single" w:sz="4" w:space="0" w:color="000000"/>
              <w:left w:val="single" w:sz="4" w:space="0" w:color="000000"/>
              <w:bottom w:val="single" w:sz="4" w:space="0" w:color="000000"/>
              <w:right w:val="single" w:sz="4" w:space="0" w:color="000000"/>
            </w:tcBorders>
          </w:tcPr>
          <w:p w14:paraId="0869A3B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PC</w:t>
            </w:r>
          </w:p>
          <w:p w14:paraId="57BAD0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34DA550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L7.</w:t>
            </w:r>
          </w:p>
          <w:p w14:paraId="36FD350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2B3BCE27"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020598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3.3</w:t>
            </w:r>
          </w:p>
        </w:tc>
        <w:tc>
          <w:tcPr>
            <w:tcW w:w="2608" w:type="dxa"/>
            <w:tcBorders>
              <w:top w:val="single" w:sz="4" w:space="0" w:color="000000"/>
              <w:left w:val="single" w:sz="4" w:space="0" w:color="000000"/>
              <w:bottom w:val="single" w:sz="4" w:space="0" w:color="000000"/>
              <w:right w:val="single" w:sz="4" w:space="0" w:color="000000"/>
            </w:tcBorders>
          </w:tcPr>
          <w:p w14:paraId="2BC609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RT3. Désynchronisation entre le modèle de référence et le jumeau. Justification : risque propre aux systèmes comparant deux flux ; détectable par horodatage, donc probabilité réductible.</w:t>
            </w:r>
          </w:p>
        </w:tc>
        <w:tc>
          <w:tcPr>
            <w:tcW w:w="774" w:type="dxa"/>
            <w:tcBorders>
              <w:top w:val="single" w:sz="4" w:space="0" w:color="000000"/>
              <w:left w:val="single" w:sz="4" w:space="0" w:color="000000"/>
              <w:bottom w:val="single" w:sz="4" w:space="0" w:color="000000"/>
              <w:right w:val="single" w:sz="4" w:space="0" w:color="000000"/>
            </w:tcBorders>
          </w:tcPr>
          <w:p w14:paraId="675A50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0ED0F5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0174BB1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Horodatage de chaque acquisition, contrôle de synchronisation et surveillance de l’écart temporel (EX-F-10).</w:t>
            </w:r>
          </w:p>
        </w:tc>
        <w:tc>
          <w:tcPr>
            <w:tcW w:w="774" w:type="dxa"/>
            <w:tcBorders>
              <w:top w:val="single" w:sz="4" w:space="0" w:color="000000"/>
              <w:left w:val="single" w:sz="4" w:space="0" w:color="000000"/>
              <w:bottom w:val="single" w:sz="4" w:space="0" w:color="000000"/>
              <w:right w:val="single" w:sz="4" w:space="0" w:color="000000"/>
            </w:tcBorders>
          </w:tcPr>
          <w:p w14:paraId="7639FD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29BA498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6AA3BC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L6.</w:t>
            </w:r>
          </w:p>
          <w:p w14:paraId="269488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5C1537E2"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30606B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4.1</w:t>
            </w:r>
          </w:p>
        </w:tc>
        <w:tc>
          <w:tcPr>
            <w:tcW w:w="2608" w:type="dxa"/>
            <w:tcBorders>
              <w:top w:val="single" w:sz="4" w:space="0" w:color="000000"/>
              <w:left w:val="single" w:sz="4" w:space="0" w:color="000000"/>
              <w:bottom w:val="single" w:sz="4" w:space="0" w:color="000000"/>
              <w:right w:val="single" w:sz="4" w:space="0" w:color="000000"/>
            </w:tcBorders>
          </w:tcPr>
          <w:p w14:paraId="7E1896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 Modèle thermohydraulique insuffisamment représentatif. Justification : un modèle 0D et 1D à paramètres concentrés est par construction une approximation ; la gravité reste critique après traitement car elle conditionne la validité des résultats.</w:t>
            </w:r>
          </w:p>
        </w:tc>
        <w:tc>
          <w:tcPr>
            <w:tcW w:w="774" w:type="dxa"/>
            <w:tcBorders>
              <w:top w:val="single" w:sz="4" w:space="0" w:color="000000"/>
              <w:left w:val="single" w:sz="4" w:space="0" w:color="000000"/>
              <w:bottom w:val="single" w:sz="4" w:space="0" w:color="000000"/>
              <w:right w:val="single" w:sz="4" w:space="0" w:color="000000"/>
            </w:tcBorders>
          </w:tcPr>
          <w:p w14:paraId="1061B3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0F2DF7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71866AB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Vérification et validation, comparaison au modèle de référence et quantification de l’incertitude de validation selon ASME V&amp;V 20. Mesure compensatoire : domaine de validité documenté au rapport final (EX-C-01).</w:t>
            </w:r>
          </w:p>
        </w:tc>
        <w:tc>
          <w:tcPr>
            <w:tcW w:w="774" w:type="dxa"/>
            <w:tcBorders>
              <w:top w:val="single" w:sz="4" w:space="0" w:color="000000"/>
              <w:left w:val="single" w:sz="4" w:space="0" w:color="000000"/>
              <w:bottom w:val="single" w:sz="4" w:space="0" w:color="000000"/>
              <w:right w:val="single" w:sz="4" w:space="0" w:color="000000"/>
            </w:tcBorders>
          </w:tcPr>
          <w:p w14:paraId="4CB828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4FFF170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082234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L4.</w:t>
            </w:r>
          </w:p>
          <w:p w14:paraId="23324F3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de documenter le domaine de validité.</w:t>
            </w:r>
          </w:p>
        </w:tc>
      </w:tr>
      <w:tr w:rsidR="00F50D70" w:rsidRPr="00BE4F47" w14:paraId="0E88C415"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350DC9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4.2</w:t>
            </w:r>
          </w:p>
        </w:tc>
        <w:tc>
          <w:tcPr>
            <w:tcW w:w="2608" w:type="dxa"/>
            <w:tcBorders>
              <w:top w:val="single" w:sz="4" w:space="0" w:color="000000"/>
              <w:left w:val="single" w:sz="4" w:space="0" w:color="000000"/>
              <w:bottom w:val="single" w:sz="4" w:space="0" w:color="000000"/>
              <w:right w:val="single" w:sz="4" w:space="0" w:color="000000"/>
            </w:tcBorders>
          </w:tcPr>
          <w:p w14:paraId="6CFAB2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 Non-détection d’une anomalie réelle, soit un faux négatif. Justification : c’est la fonction même du prototype qui est en défaut. La probabilité est réductible par les essais. La gravité résiduelle descend de 5 à 4 grâce à l’affichage du niveau de confiance et à la déclaration explicite de l’incertitude (EX-F-06, EX-F-07), qui donnent à l’opérateur un signal indépendant du diagnostic. Le maintien de la décision chez l’opérateur (EX-F-08) relève du périmètre du mandat et non du traitement du risque : il n’est pas compté ici.</w:t>
            </w:r>
          </w:p>
        </w:tc>
        <w:tc>
          <w:tcPr>
            <w:tcW w:w="774" w:type="dxa"/>
            <w:tcBorders>
              <w:top w:val="single" w:sz="4" w:space="0" w:color="000000"/>
              <w:left w:val="single" w:sz="4" w:space="0" w:color="000000"/>
              <w:bottom w:val="single" w:sz="4" w:space="0" w:color="000000"/>
              <w:right w:val="single" w:sz="4" w:space="0" w:color="000000"/>
            </w:tcBorders>
          </w:tcPr>
          <w:p w14:paraId="6891E41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3FE79F9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33E34D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Campagne d’essais avec injection d’anomalies (état F6 du GEMMA, exigence EX-F-11), validation des seuils et analyse humaine. Mesure compensatoire : décision maintenue chez l’opérateur (EX-F-08) et affichage systématique du niveau de confiance (EX-F-07).</w:t>
            </w:r>
          </w:p>
        </w:tc>
        <w:tc>
          <w:tcPr>
            <w:tcW w:w="774" w:type="dxa"/>
            <w:tcBorders>
              <w:top w:val="single" w:sz="4" w:space="0" w:color="000000"/>
              <w:left w:val="single" w:sz="4" w:space="0" w:color="000000"/>
              <w:bottom w:val="single" w:sz="4" w:space="0" w:color="000000"/>
              <w:right w:val="single" w:sz="4" w:space="0" w:color="000000"/>
            </w:tcBorders>
          </w:tcPr>
          <w:p w14:paraId="322AF1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348950A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12E710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4569FFD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du maintien de la décision humaine.</w:t>
            </w:r>
          </w:p>
        </w:tc>
      </w:tr>
      <w:tr w:rsidR="00F50D70" w:rsidRPr="00BE4F47" w14:paraId="7A12EE67"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2FD71F7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4.3</w:t>
            </w:r>
          </w:p>
        </w:tc>
        <w:tc>
          <w:tcPr>
            <w:tcW w:w="2608" w:type="dxa"/>
            <w:tcBorders>
              <w:top w:val="single" w:sz="4" w:space="0" w:color="000000"/>
              <w:left w:val="single" w:sz="4" w:space="0" w:color="000000"/>
              <w:bottom w:val="single" w:sz="4" w:space="0" w:color="000000"/>
              <w:right w:val="single" w:sz="4" w:space="0" w:color="000000"/>
            </w:tcBorders>
          </w:tcPr>
          <w:p w14:paraId="6ADED6C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RT6. Détection incorrecte d’une anomalie, soit un faux positif. Justification : plus fréquent qu’un faux négatif mais moins grave ; le coût est l’usure de la confiance de l’opérateur, non la perte d’information.</w:t>
            </w:r>
          </w:p>
        </w:tc>
        <w:tc>
          <w:tcPr>
            <w:tcW w:w="774" w:type="dxa"/>
            <w:tcBorders>
              <w:top w:val="single" w:sz="4" w:space="0" w:color="000000"/>
              <w:left w:val="single" w:sz="4" w:space="0" w:color="000000"/>
              <w:bottom w:val="single" w:sz="4" w:space="0" w:color="000000"/>
              <w:right w:val="single" w:sz="4" w:space="0" w:color="000000"/>
            </w:tcBorders>
          </w:tcPr>
          <w:p w14:paraId="01E31D4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PC</w:t>
            </w:r>
          </w:p>
          <w:p w14:paraId="00E756F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2608" w:type="dxa"/>
            <w:tcBorders>
              <w:top w:val="single" w:sz="4" w:space="0" w:color="000000"/>
              <w:left w:val="single" w:sz="4" w:space="0" w:color="000000"/>
              <w:bottom w:val="single" w:sz="4" w:space="0" w:color="000000"/>
              <w:right w:val="single" w:sz="4" w:space="0" w:color="000000"/>
            </w:tcBorders>
          </w:tcPr>
          <w:p w14:paraId="45FFBBE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Validation des seuils et présentation des variables ayant contribué à la détection (EX-F-05), permettant à l’opérateur d’écarter rapidement une fausse alerte.</w:t>
            </w:r>
          </w:p>
        </w:tc>
        <w:tc>
          <w:tcPr>
            <w:tcW w:w="774" w:type="dxa"/>
            <w:tcBorders>
              <w:top w:val="single" w:sz="4" w:space="0" w:color="000000"/>
              <w:left w:val="single" w:sz="4" w:space="0" w:color="000000"/>
              <w:bottom w:val="single" w:sz="4" w:space="0" w:color="000000"/>
              <w:right w:val="single" w:sz="4" w:space="0" w:color="000000"/>
            </w:tcBorders>
          </w:tcPr>
          <w:p w14:paraId="7ED7DDD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PD</w:t>
            </w:r>
          </w:p>
          <w:p w14:paraId="3A6704F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w:t>
            </w:r>
          </w:p>
        </w:tc>
        <w:tc>
          <w:tcPr>
            <w:tcW w:w="1141" w:type="dxa"/>
            <w:tcBorders>
              <w:top w:val="single" w:sz="4" w:space="0" w:color="000000"/>
              <w:left w:val="single" w:sz="4" w:space="0" w:color="000000"/>
              <w:bottom w:val="single" w:sz="4" w:space="0" w:color="000000"/>
              <w:right w:val="single" w:sz="4" w:space="0" w:color="000000"/>
            </w:tcBorders>
          </w:tcPr>
          <w:p w14:paraId="1D36022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L7.</w:t>
            </w:r>
          </w:p>
          <w:p w14:paraId="3BFD28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sans condition.</w:t>
            </w:r>
          </w:p>
        </w:tc>
      </w:tr>
      <w:tr w:rsidR="00F50D70" w:rsidRPr="00BE4F47" w14:paraId="2469480D"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4350CC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5.1</w:t>
            </w:r>
          </w:p>
        </w:tc>
        <w:tc>
          <w:tcPr>
            <w:tcW w:w="2608" w:type="dxa"/>
            <w:tcBorders>
              <w:top w:val="single" w:sz="4" w:space="0" w:color="000000"/>
              <w:left w:val="single" w:sz="4" w:space="0" w:color="000000"/>
              <w:bottom w:val="single" w:sz="4" w:space="0" w:color="000000"/>
              <w:right w:val="single" w:sz="4" w:space="0" w:color="000000"/>
            </w:tcBorders>
          </w:tcPr>
          <w:p w14:paraId="0DC2E1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Accès non autorisé au prototype. Justification : gravité révisée de 5 à 3. Le prototype est entièrement simulé, ne contient aucune donnée réelle et ne commande aucun équipement ; la conséquence est la perte d’un travail universitaire, non une atteinte à une installation.</w:t>
            </w:r>
          </w:p>
        </w:tc>
        <w:tc>
          <w:tcPr>
            <w:tcW w:w="774" w:type="dxa"/>
            <w:tcBorders>
              <w:top w:val="single" w:sz="4" w:space="0" w:color="000000"/>
              <w:left w:val="single" w:sz="4" w:space="0" w:color="000000"/>
              <w:bottom w:val="single" w:sz="4" w:space="0" w:color="000000"/>
              <w:right w:val="single" w:sz="4" w:space="0" w:color="000000"/>
            </w:tcBorders>
          </w:tcPr>
          <w:p w14:paraId="085BA85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3F55FBC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2608" w:type="dxa"/>
            <w:tcBorders>
              <w:top w:val="single" w:sz="4" w:space="0" w:color="000000"/>
              <w:left w:val="single" w:sz="4" w:space="0" w:color="000000"/>
              <w:bottom w:val="single" w:sz="4" w:space="0" w:color="000000"/>
              <w:right w:val="single" w:sz="4" w:space="0" w:color="000000"/>
            </w:tcBorders>
          </w:tcPr>
          <w:p w14:paraId="60A8E9E4" w14:textId="230F5B5D"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Contrôle d’accès fondé sur les rôles, moindre privilège et authentification multifacteur lorsque l’environnement le permet.</w:t>
            </w:r>
          </w:p>
        </w:tc>
        <w:tc>
          <w:tcPr>
            <w:tcW w:w="774" w:type="dxa"/>
            <w:tcBorders>
              <w:top w:val="single" w:sz="4" w:space="0" w:color="000000"/>
              <w:left w:val="single" w:sz="4" w:space="0" w:color="000000"/>
              <w:bottom w:val="single" w:sz="4" w:space="0" w:color="000000"/>
              <w:right w:val="single" w:sz="4" w:space="0" w:color="000000"/>
            </w:tcBorders>
          </w:tcPr>
          <w:p w14:paraId="4B21BF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PE</w:t>
            </w:r>
          </w:p>
          <w:p w14:paraId="68BE31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636BCB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L5.</w:t>
            </w:r>
          </w:p>
          <w:p w14:paraId="395F9F2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sans condition.</w:t>
            </w:r>
          </w:p>
        </w:tc>
      </w:tr>
      <w:tr w:rsidR="00F50D70" w:rsidRPr="00BE4F47" w14:paraId="37DC3FE5"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75FDECF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5.2</w:t>
            </w:r>
          </w:p>
        </w:tc>
        <w:tc>
          <w:tcPr>
            <w:tcW w:w="2608" w:type="dxa"/>
            <w:tcBorders>
              <w:top w:val="single" w:sz="4" w:space="0" w:color="000000"/>
              <w:left w:val="single" w:sz="4" w:space="0" w:color="000000"/>
              <w:bottom w:val="single" w:sz="4" w:space="0" w:color="000000"/>
              <w:right w:val="single" w:sz="4" w:space="0" w:color="000000"/>
            </w:tcBorders>
          </w:tcPr>
          <w:p w14:paraId="2979B70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RT8. Altération volontaire ou accidentelle des données. Justification : gravité révisée de 5 à 4. Plus grave qu’un simple accès, car une donnée altérée non détectée invalide les résultats d’essais et donc la validation du prototype.</w:t>
            </w:r>
          </w:p>
        </w:tc>
        <w:tc>
          <w:tcPr>
            <w:tcW w:w="774" w:type="dxa"/>
            <w:tcBorders>
              <w:top w:val="single" w:sz="4" w:space="0" w:color="000000"/>
              <w:left w:val="single" w:sz="4" w:space="0" w:color="000000"/>
              <w:bottom w:val="single" w:sz="4" w:space="0" w:color="000000"/>
              <w:right w:val="single" w:sz="4" w:space="0" w:color="000000"/>
            </w:tcBorders>
          </w:tcPr>
          <w:p w14:paraId="3D701B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10CABD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2608" w:type="dxa"/>
            <w:tcBorders>
              <w:top w:val="single" w:sz="4" w:space="0" w:color="000000"/>
              <w:left w:val="single" w:sz="4" w:space="0" w:color="000000"/>
              <w:bottom w:val="single" w:sz="4" w:space="0" w:color="000000"/>
              <w:right w:val="single" w:sz="4" w:space="0" w:color="000000"/>
            </w:tcBorders>
          </w:tcPr>
          <w:p w14:paraId="4CE059E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Contrôles d’intégrité, journalisation horodatée et restriction des accès en écriture (EX-Q-04, EX-F-10). Mesure compensatoire : vérification de l’intégrité des jeux de données avant chaque campagne d’essais, et acceptation écrite du résidu par le responsable du lot L5.</w:t>
            </w:r>
          </w:p>
        </w:tc>
        <w:tc>
          <w:tcPr>
            <w:tcW w:w="774" w:type="dxa"/>
            <w:tcBorders>
              <w:top w:val="single" w:sz="4" w:space="0" w:color="000000"/>
              <w:left w:val="single" w:sz="4" w:space="0" w:color="000000"/>
              <w:bottom w:val="single" w:sz="4" w:space="0" w:color="000000"/>
              <w:right w:val="single" w:sz="4" w:space="0" w:color="000000"/>
            </w:tcBorders>
          </w:tcPr>
          <w:p w14:paraId="55E508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PE</w:t>
            </w:r>
          </w:p>
          <w:p w14:paraId="4E95F2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6974B6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L5.</w:t>
            </w:r>
          </w:p>
          <w:p w14:paraId="3D9929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Surveillance à chaque jalon.</w:t>
            </w:r>
          </w:p>
        </w:tc>
      </w:tr>
      <w:tr w:rsidR="00F50D70" w:rsidRPr="00BE4F47" w14:paraId="499FD069"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178C12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6.1</w:t>
            </w:r>
          </w:p>
        </w:tc>
        <w:tc>
          <w:tcPr>
            <w:tcW w:w="2608" w:type="dxa"/>
            <w:tcBorders>
              <w:top w:val="single" w:sz="4" w:space="0" w:color="000000"/>
              <w:left w:val="single" w:sz="4" w:space="0" w:color="000000"/>
              <w:bottom w:val="single" w:sz="4" w:space="0" w:color="000000"/>
              <w:right w:val="single" w:sz="4" w:space="0" w:color="000000"/>
            </w:tcBorders>
          </w:tcPr>
          <w:p w14:paraId="739E539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RT9. Indisponibilité du prototype. Justification : gravité révisée de 4 à 3. Le coût d’une indisponibilité est un retard de travaux, absorbable par la réserve de l’échéancier.</w:t>
            </w:r>
          </w:p>
        </w:tc>
        <w:tc>
          <w:tcPr>
            <w:tcW w:w="774" w:type="dxa"/>
            <w:tcBorders>
              <w:top w:val="single" w:sz="4" w:space="0" w:color="000000"/>
              <w:left w:val="single" w:sz="4" w:space="0" w:color="000000"/>
              <w:bottom w:val="single" w:sz="4" w:space="0" w:color="000000"/>
              <w:right w:val="single" w:sz="4" w:space="0" w:color="000000"/>
            </w:tcBorders>
          </w:tcPr>
          <w:p w14:paraId="1BF9CF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5990ACC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2608" w:type="dxa"/>
            <w:tcBorders>
              <w:top w:val="single" w:sz="4" w:space="0" w:color="000000"/>
              <w:left w:val="single" w:sz="4" w:space="0" w:color="000000"/>
              <w:bottom w:val="single" w:sz="4" w:space="0" w:color="000000"/>
              <w:right w:val="single" w:sz="4" w:space="0" w:color="000000"/>
            </w:tcBorders>
          </w:tcPr>
          <w:p w14:paraId="1E4149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Sauvegarde régulière, procédure de récupération et surveillance de l’environnement d’essai. Restauration à blanc planifiée avant le jalon J2.</w:t>
            </w:r>
          </w:p>
        </w:tc>
        <w:tc>
          <w:tcPr>
            <w:tcW w:w="774" w:type="dxa"/>
            <w:tcBorders>
              <w:top w:val="single" w:sz="4" w:space="0" w:color="000000"/>
              <w:left w:val="single" w:sz="4" w:space="0" w:color="000000"/>
              <w:bottom w:val="single" w:sz="4" w:space="0" w:color="000000"/>
              <w:right w:val="single" w:sz="4" w:space="0" w:color="000000"/>
            </w:tcBorders>
          </w:tcPr>
          <w:p w14:paraId="499B59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PD</w:t>
            </w:r>
          </w:p>
          <w:p w14:paraId="67BBBF9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w:t>
            </w:r>
          </w:p>
        </w:tc>
        <w:tc>
          <w:tcPr>
            <w:tcW w:w="1141" w:type="dxa"/>
            <w:tcBorders>
              <w:top w:val="single" w:sz="4" w:space="0" w:color="000000"/>
              <w:left w:val="single" w:sz="4" w:space="0" w:color="000000"/>
              <w:bottom w:val="single" w:sz="4" w:space="0" w:color="000000"/>
              <w:right w:val="single" w:sz="4" w:space="0" w:color="000000"/>
            </w:tcBorders>
          </w:tcPr>
          <w:p w14:paraId="28B11D4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L6.</w:t>
            </w:r>
          </w:p>
          <w:p w14:paraId="2DBD13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sans condition.</w:t>
            </w:r>
          </w:p>
        </w:tc>
      </w:tr>
      <w:tr w:rsidR="00F50D70" w:rsidRPr="00BE4F47" w14:paraId="06D11039"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130B17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7.1</w:t>
            </w:r>
          </w:p>
        </w:tc>
        <w:tc>
          <w:tcPr>
            <w:tcW w:w="2608" w:type="dxa"/>
            <w:tcBorders>
              <w:top w:val="single" w:sz="4" w:space="0" w:color="000000"/>
              <w:left w:val="single" w:sz="4" w:space="0" w:color="000000"/>
              <w:bottom w:val="single" w:sz="4" w:space="0" w:color="000000"/>
              <w:right w:val="single" w:sz="4" w:space="0" w:color="000000"/>
            </w:tcBorders>
          </w:tcPr>
          <w:p w14:paraId="2B8C7F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RT10. Confiance excessive de l’opérateur envers le diagnostic, soit un biais d’automatisation. Justification : risque comportemental, peu réductible par des moyens techniques seuls ; la gravité demeure critique après traitement.</w:t>
            </w:r>
          </w:p>
        </w:tc>
        <w:tc>
          <w:tcPr>
            <w:tcW w:w="774" w:type="dxa"/>
            <w:tcBorders>
              <w:top w:val="single" w:sz="4" w:space="0" w:color="000000"/>
              <w:left w:val="single" w:sz="4" w:space="0" w:color="000000"/>
              <w:bottom w:val="single" w:sz="4" w:space="0" w:color="000000"/>
              <w:right w:val="single" w:sz="4" w:space="0" w:color="000000"/>
            </w:tcBorders>
          </w:tcPr>
          <w:p w14:paraId="4801C3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06A4C1F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79B2A87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Affichage du niveau de confiance (EX-F-07), explication du diagnostic par les variables contributives (EX-F-05) et maintien de la décision humaine (EX-F-08). Mesure compensatoire : essai d’utilisabilité avec un opérateur n’ayant pas participé au développement (EX-Q-03).</w:t>
            </w:r>
          </w:p>
        </w:tc>
        <w:tc>
          <w:tcPr>
            <w:tcW w:w="774" w:type="dxa"/>
            <w:tcBorders>
              <w:top w:val="single" w:sz="4" w:space="0" w:color="000000"/>
              <w:left w:val="single" w:sz="4" w:space="0" w:color="000000"/>
              <w:bottom w:val="single" w:sz="4" w:space="0" w:color="000000"/>
              <w:right w:val="single" w:sz="4" w:space="0" w:color="000000"/>
            </w:tcBorders>
          </w:tcPr>
          <w:p w14:paraId="55F638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61E41F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07A536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L8.</w:t>
            </w:r>
          </w:p>
          <w:p w14:paraId="6839A73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de l’essai d’utilisabilité.</w:t>
            </w:r>
          </w:p>
        </w:tc>
      </w:tr>
    </w:tbl>
    <w:p w14:paraId="4A7ABB29" w14:textId="57F7B40D" w:rsidR="00246F82" w:rsidRDefault="005A1D5D">
      <w:pPr>
        <w:keepNext/>
        <w:spacing w:before="200" w:after="130" w:line="360" w:lineRule="auto"/>
        <w:ind w:left="360"/>
        <w:rPr>
          <w:rFonts w:ascii="Aptos" w:hAnsi="Aptos"/>
        </w:rPr>
      </w:pPr>
      <w:bookmarkStart w:id="835" w:name="_Toc241670274"/>
      <w:bookmarkStart w:id="836" w:name="_Toc241707982"/>
      <w:r>
        <w:rPr>
          <w:rFonts w:ascii="Aptos" w:hAnsi="Aptos"/>
          <w:b/>
          <w:color w:val="1A1A19"/>
          <w:sz w:val="20"/>
          <w:szCs w:val="20"/>
        </w:rPr>
        <w:t xml:space="preserve">Le profil avant et après traitement. </w:t>
      </w:r>
      <w:r>
        <w:rPr>
          <w:noProof/>
        </w:rPr>
        <w:drawing>
          <wp:anchor distT="0" distB="0" distL="114300" distR="114300" simplePos="0" relativeHeight="251659264" behindDoc="0" locked="0" layoutInCell="1" allowOverlap="1" wp14:anchorId="6F4F278A" wp14:editId="54C334E8">
            <wp:simplePos x="0" y="0"/>
            <wp:positionH relativeFrom="column">
              <wp:posOffset>337185</wp:posOffset>
            </wp:positionH>
            <wp:positionV relativeFrom="paragraph">
              <wp:posOffset>777240</wp:posOffset>
            </wp:positionV>
            <wp:extent cx="5577840" cy="2163817"/>
            <wp:effectExtent l="0" t="0" r="3810" b="8255"/>
            <wp:wrapTopAndBottom/>
            <wp:docPr id="1266838011" name="Picture 126683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_risqu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2163817"/>
                    </a:xfrm>
                    <a:prstGeom prst="rect">
                      <a:avLst/>
                    </a:prstGeom>
                  </pic:spPr>
                </pic:pic>
              </a:graphicData>
            </a:graphic>
          </wp:anchor>
        </w:drawing>
      </w:r>
      <w:r>
        <w:rPr>
          <w:rFonts w:ascii="Aptos" w:hAnsi="Aptos"/>
          <w:color w:val="1A1A19"/>
          <w:sz w:val="20"/>
          <w:szCs w:val="20"/>
        </w:rPr>
        <w:t>Les quatorze risques des deux registres ont été portés dans la grille d’analyse de risque du cours. Le profil ci-dessous place chacun dans la matrice, avant puis après traitement. Le premier chiffre est le secteur d’analyse, le second le rang du risque dans ce secteur.</w:t>
      </w:r>
      <w:bookmarkEnd w:id="835"/>
      <w:bookmarkEnd w:id="836"/>
    </w:p>
    <w:p w14:paraId="5D1283C5" w14:textId="77777777" w:rsidR="00246F82" w:rsidRDefault="00137D7F">
      <w:pPr>
        <w:pStyle w:val="Lgende"/>
      </w:pPr>
      <w:bookmarkStart w:id="837" w:name="_Toc241670275"/>
      <w:bookmarkStart w:id="838" w:name="_Toc241707983"/>
      <w:r>
        <w:t>Figure 7-2. Profil de risque avant et après mitigation, grille d’analyse de risque</w:t>
      </w:r>
      <w:bookmarkEnd w:id="837"/>
      <w:bookmarkEnd w:id="838"/>
    </w:p>
    <w:p w14:paraId="2A560E4F" w14:textId="77777777" w:rsidR="00246F82" w:rsidRDefault="00137D7F">
      <w:pPr>
        <w:spacing w:after="130" w:line="360" w:lineRule="auto"/>
        <w:ind w:left="360"/>
        <w:rPr>
          <w:rFonts w:ascii="Aptos" w:hAnsi="Aptos"/>
        </w:rPr>
      </w:pPr>
      <w:bookmarkStart w:id="839" w:name="_Toc241670276"/>
      <w:bookmarkStart w:id="840" w:name="_Toc241707984"/>
      <w:r>
        <w:rPr>
          <w:rFonts w:ascii="Aptos" w:hAnsi="Aptos"/>
          <w:color w:val="1A1A19"/>
          <w:sz w:val="20"/>
          <w:szCs w:val="20"/>
        </w:rPr>
        <w:t>Trois résultats se lisent directement sur ce profil :</w:t>
      </w:r>
      <w:bookmarkEnd w:id="839"/>
      <w:bookmarkEnd w:id="840"/>
    </w:p>
    <w:p w14:paraId="426FBC33" w14:textId="77777777" w:rsidR="00246F82" w:rsidRDefault="00137D7F">
      <w:pPr>
        <w:spacing w:after="130" w:line="360" w:lineRule="auto"/>
        <w:ind w:left="360"/>
        <w:rPr>
          <w:rFonts w:ascii="Aptos" w:hAnsi="Aptos"/>
        </w:rPr>
      </w:pPr>
      <w:bookmarkStart w:id="841" w:name="_Toc241670277"/>
      <w:bookmarkStart w:id="842" w:name="_Toc241707985"/>
      <w:r>
        <w:rPr>
          <w:rFonts w:ascii="Aptos" w:hAnsi="Aptos"/>
          <w:color w:val="1A1A19"/>
          <w:sz w:val="20"/>
          <w:szCs w:val="20"/>
        </w:rPr>
        <w:lastRenderedPageBreak/>
        <w:t>Aucun risque ne demeure en classe IV après traitement. C’est le seuil d’acceptation fixé plus haut, et il est atteint. Les neuf risques initialement en classe IV se répartissent après traitement entre les classes III et II.</w:t>
      </w:r>
      <w:bookmarkEnd w:id="841"/>
      <w:bookmarkEnd w:id="842"/>
    </w:p>
    <w:p w14:paraId="5393BFA7" w14:textId="77777777" w:rsidR="00246F82" w:rsidRDefault="00137D7F">
      <w:pPr>
        <w:spacing w:after="130" w:line="360" w:lineRule="auto"/>
        <w:ind w:left="360"/>
        <w:rPr>
          <w:rFonts w:ascii="Aptos" w:hAnsi="Aptos"/>
        </w:rPr>
      </w:pPr>
      <w:bookmarkStart w:id="843" w:name="_Toc241670278"/>
      <w:bookmarkStart w:id="844" w:name="_Toc241707986"/>
      <w:r>
        <w:rPr>
          <w:rFonts w:ascii="Aptos" w:hAnsi="Aptos"/>
          <w:color w:val="1A1A19"/>
          <w:sz w:val="20"/>
          <w:szCs w:val="20"/>
        </w:rPr>
        <w:t>Six risques demeurent en classe III et exigent donc une mesure compensatoire nommée et une acceptation écrite : 2.1 la modification du périmètre (RP3), 3.1 la mesure erronée (RT1), 4.1 la représentativité du modèle (RT4), 4.2 le faux négatif (RT5), 5.2 l’altération des données (RT8) et 7.1 le biais d’automatisation (RT10). Chacun porte sa mesure compensatoire au registre.</w:t>
      </w:r>
      <w:bookmarkEnd w:id="843"/>
      <w:bookmarkEnd w:id="844"/>
    </w:p>
    <w:p w14:paraId="662C3C50" w14:textId="77777777" w:rsidR="00246F82" w:rsidRDefault="00137D7F">
      <w:pPr>
        <w:spacing w:after="130" w:line="360" w:lineRule="auto"/>
        <w:ind w:left="360"/>
        <w:rPr>
          <w:rFonts w:ascii="Aptos" w:hAnsi="Aptos"/>
        </w:rPr>
      </w:pPr>
      <w:bookmarkStart w:id="845" w:name="_Toc241670279"/>
      <w:bookmarkStart w:id="846" w:name="_Toc241707987"/>
      <w:r>
        <w:rPr>
          <w:rFonts w:ascii="Aptos" w:hAnsi="Aptos"/>
          <w:color w:val="1A1A19"/>
          <w:sz w:val="20"/>
          <w:szCs w:val="20"/>
        </w:rPr>
        <w:t>Le traitement agit sur les deux axes. Six risques voient baisser à la fois leur gravité et leur probabilité, quatre seulement leur gravité et quatre seulement leur probabilité. Ce qui maintient un risque en classe III, c’est une gravité qui reste à 4 ou à 5, ou une probabilité qui ne descend pas. C’est attendu pour un outil d’aide à la décision, dont la gravité tient à l’usage qui en est fait.</w:t>
      </w:r>
      <w:bookmarkEnd w:id="845"/>
      <w:bookmarkEnd w:id="846"/>
    </w:p>
    <w:p w14:paraId="4A12B050" w14:textId="77777777" w:rsidR="00F50D70" w:rsidRPr="00B36301" w:rsidRDefault="00137D7F" w:rsidP="008E113B">
      <w:pPr>
        <w:pStyle w:val="Titre2"/>
        <w:spacing w:line="360" w:lineRule="auto"/>
      </w:pPr>
      <w:bookmarkStart w:id="847" w:name="__RefHeading___Toc240715285"/>
      <w:bookmarkStart w:id="848" w:name="_Toc241707988"/>
      <w:bookmarkEnd w:id="847"/>
      <w:r w:rsidRPr="00B36301">
        <w:t>Matrice de couverture des contraintes du mandat</w:t>
      </w:r>
      <w:bookmarkEnd w:id="848"/>
    </w:p>
    <w:p w14:paraId="4A02D271"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49" w:name="_Toc241083110"/>
      <w:bookmarkStart w:id="850" w:name="_Toc241670281"/>
      <w:bookmarkStart w:id="851" w:name="_Toc241707989"/>
      <w:r w:rsidRPr="00BE4F47">
        <w:rPr>
          <w:rFonts w:ascii="Aptos" w:hAnsi="Aptos"/>
          <w:color w:val="1A1A19"/>
          <w:sz w:val="20"/>
          <w:szCs w:val="20"/>
        </w:rPr>
        <w:t>La matrice relie chaque contrainte du mandat aux moyens prévus pour la prendre en charge, aux risques correspondants et au moyen de vérification. Elle sert à vérifier qu’aucune contrainte n’est restée sans traitement.</w:t>
      </w:r>
      <w:bookmarkEnd w:id="849"/>
      <w:bookmarkEnd w:id="850"/>
      <w:bookmarkEnd w:id="851"/>
    </w:p>
    <w:p w14:paraId="3E8FF668" w14:textId="77777777" w:rsidR="00F50D70" w:rsidRPr="00BE4F47" w:rsidRDefault="00137D7F" w:rsidP="008E113B">
      <w:pPr>
        <w:pStyle w:val="Lgende"/>
        <w:keepNext/>
        <w:spacing w:line="360" w:lineRule="auto"/>
        <w:rPr>
          <w:rFonts w:ascii="Aptos" w:hAnsi="Aptos"/>
        </w:rPr>
      </w:pPr>
      <w:bookmarkStart w:id="852" w:name="_Toc241083111"/>
      <w:bookmarkStart w:id="853" w:name="_Toc241670282"/>
      <w:bookmarkStart w:id="854" w:name="_Toc241707990"/>
      <w:r w:rsidRPr="00BE4F47">
        <w:rPr>
          <w:rFonts w:ascii="Aptos" w:hAnsi="Aptos"/>
        </w:rPr>
        <w:t>Tableau 7-8. Matrice de couverture des contraintes du mandat</w:t>
      </w:r>
      <w:bookmarkEnd w:id="852"/>
      <w:bookmarkEnd w:id="853"/>
      <w:bookmarkEnd w:id="854"/>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900"/>
        <w:gridCol w:w="2100"/>
        <w:gridCol w:w="1300"/>
        <w:gridCol w:w="1200"/>
        <w:gridCol w:w="2057"/>
      </w:tblGrid>
      <w:tr w:rsidR="00F50D70" w:rsidRPr="00BE4F47" w14:paraId="18CE0092"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FF4FB"/>
          </w:tcPr>
          <w:p w14:paraId="33ECD5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Contrainte du mandat</w:t>
            </w:r>
          </w:p>
        </w:tc>
        <w:tc>
          <w:tcPr>
            <w:tcW w:w="2100" w:type="dxa"/>
            <w:tcBorders>
              <w:top w:val="single" w:sz="4" w:space="0" w:color="000000"/>
              <w:left w:val="single" w:sz="4" w:space="0" w:color="000000"/>
              <w:bottom w:val="single" w:sz="4" w:space="0" w:color="000000"/>
              <w:right w:val="single" w:sz="4" w:space="0" w:color="000000"/>
            </w:tcBorders>
            <w:shd w:val="clear" w:color="auto" w:fill="EFF4FB"/>
          </w:tcPr>
          <w:p w14:paraId="1FC1311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Prise en compte</w:t>
            </w:r>
          </w:p>
        </w:tc>
        <w:tc>
          <w:tcPr>
            <w:tcW w:w="1300" w:type="dxa"/>
            <w:tcBorders>
              <w:top w:val="single" w:sz="4" w:space="0" w:color="000000"/>
              <w:left w:val="single" w:sz="4" w:space="0" w:color="000000"/>
              <w:bottom w:val="single" w:sz="4" w:space="0" w:color="000000"/>
              <w:right w:val="single" w:sz="4" w:space="0" w:color="000000"/>
            </w:tcBorders>
            <w:shd w:val="clear" w:color="auto" w:fill="EFF4FB"/>
          </w:tcPr>
          <w:p w14:paraId="5185FC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Exigence</w:t>
            </w:r>
          </w:p>
        </w:tc>
        <w:tc>
          <w:tcPr>
            <w:tcW w:w="1200" w:type="dxa"/>
            <w:tcBorders>
              <w:top w:val="single" w:sz="4" w:space="0" w:color="000000"/>
              <w:left w:val="single" w:sz="4" w:space="0" w:color="000000"/>
              <w:bottom w:val="single" w:sz="4" w:space="0" w:color="000000"/>
              <w:right w:val="single" w:sz="4" w:space="0" w:color="000000"/>
            </w:tcBorders>
            <w:shd w:val="clear" w:color="auto" w:fill="EFF4FB"/>
          </w:tcPr>
          <w:p w14:paraId="1C32BC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associé</w:t>
            </w:r>
          </w:p>
        </w:tc>
        <w:tc>
          <w:tcPr>
            <w:tcW w:w="2057" w:type="dxa"/>
            <w:tcBorders>
              <w:top w:val="single" w:sz="4" w:space="0" w:color="000000"/>
              <w:left w:val="single" w:sz="4" w:space="0" w:color="000000"/>
              <w:bottom w:val="single" w:sz="4" w:space="0" w:color="000000"/>
              <w:right w:val="single" w:sz="4" w:space="0" w:color="000000"/>
            </w:tcBorders>
            <w:shd w:val="clear" w:color="auto" w:fill="EFF4FB"/>
          </w:tcPr>
          <w:p w14:paraId="6179CD8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Moyen de vérification</w:t>
            </w:r>
          </w:p>
        </w:tc>
      </w:tr>
      <w:tr w:rsidR="00F50D70" w:rsidRPr="00BE4F47" w14:paraId="76D3BFE1"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31F89C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Prototype limité à une boucle thermohydraulique simplifiée</w:t>
            </w:r>
          </w:p>
        </w:tc>
        <w:tc>
          <w:tcPr>
            <w:tcW w:w="2100" w:type="dxa"/>
            <w:tcBorders>
              <w:top w:val="single" w:sz="4" w:space="0" w:color="000000"/>
              <w:left w:val="single" w:sz="4" w:space="0" w:color="000000"/>
              <w:bottom w:val="single" w:sz="4" w:space="0" w:color="000000"/>
              <w:right w:val="single" w:sz="4" w:space="0" w:color="000000"/>
            </w:tcBorders>
          </w:tcPr>
          <w:p w14:paraId="299FAF8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Périmètre limité à la température, la pression et le débit</w:t>
            </w:r>
          </w:p>
        </w:tc>
        <w:tc>
          <w:tcPr>
            <w:tcW w:w="1300" w:type="dxa"/>
            <w:tcBorders>
              <w:top w:val="single" w:sz="4" w:space="0" w:color="000000"/>
              <w:left w:val="single" w:sz="4" w:space="0" w:color="000000"/>
              <w:bottom w:val="single" w:sz="4" w:space="0" w:color="000000"/>
              <w:right w:val="single" w:sz="4" w:space="0" w:color="000000"/>
            </w:tcBorders>
          </w:tcPr>
          <w:p w14:paraId="6E1DB2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EX-F-01</w:t>
            </w:r>
          </w:p>
        </w:tc>
        <w:tc>
          <w:tcPr>
            <w:tcW w:w="1200" w:type="dxa"/>
            <w:tcBorders>
              <w:top w:val="single" w:sz="4" w:space="0" w:color="000000"/>
              <w:left w:val="single" w:sz="4" w:space="0" w:color="000000"/>
              <w:bottom w:val="single" w:sz="4" w:space="0" w:color="000000"/>
              <w:right w:val="single" w:sz="4" w:space="0" w:color="000000"/>
            </w:tcBorders>
          </w:tcPr>
          <w:p w14:paraId="0459684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c>
          <w:tcPr>
            <w:tcW w:w="2057" w:type="dxa"/>
            <w:tcBorders>
              <w:top w:val="single" w:sz="4" w:space="0" w:color="000000"/>
              <w:left w:val="single" w:sz="4" w:space="0" w:color="000000"/>
              <w:bottom w:val="single" w:sz="4" w:space="0" w:color="000000"/>
              <w:right w:val="single" w:sz="4" w:space="0" w:color="000000"/>
            </w:tcBorders>
          </w:tcPr>
          <w:p w14:paraId="75025D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des exigences et de l’architecture</w:t>
            </w:r>
          </w:p>
        </w:tc>
      </w:tr>
      <w:tr w:rsidR="00F50D70" w:rsidRPr="00BE4F47" w14:paraId="59F53A4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347503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Environnement numérique simulé</w:t>
            </w:r>
          </w:p>
        </w:tc>
        <w:tc>
          <w:tcPr>
            <w:tcW w:w="2100" w:type="dxa"/>
            <w:tcBorders>
              <w:top w:val="single" w:sz="4" w:space="0" w:color="000000"/>
              <w:left w:val="single" w:sz="4" w:space="0" w:color="000000"/>
              <w:bottom w:val="single" w:sz="4" w:space="0" w:color="000000"/>
              <w:right w:val="single" w:sz="4" w:space="0" w:color="000000"/>
            </w:tcBorders>
          </w:tcPr>
          <w:p w14:paraId="082209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Emploi d’un modèle de référence numérique</w:t>
            </w:r>
          </w:p>
        </w:tc>
        <w:tc>
          <w:tcPr>
            <w:tcW w:w="1300" w:type="dxa"/>
            <w:tcBorders>
              <w:top w:val="single" w:sz="4" w:space="0" w:color="000000"/>
              <w:left w:val="single" w:sz="4" w:space="0" w:color="000000"/>
              <w:bottom w:val="single" w:sz="4" w:space="0" w:color="000000"/>
              <w:right w:val="single" w:sz="4" w:space="0" w:color="000000"/>
            </w:tcBorders>
          </w:tcPr>
          <w:p w14:paraId="1CC51AA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EX-C-02</w:t>
            </w:r>
          </w:p>
        </w:tc>
        <w:tc>
          <w:tcPr>
            <w:tcW w:w="1200" w:type="dxa"/>
            <w:tcBorders>
              <w:top w:val="single" w:sz="4" w:space="0" w:color="000000"/>
              <w:left w:val="single" w:sz="4" w:space="0" w:color="000000"/>
              <w:bottom w:val="single" w:sz="4" w:space="0" w:color="000000"/>
              <w:right w:val="single" w:sz="4" w:space="0" w:color="000000"/>
            </w:tcBorders>
          </w:tcPr>
          <w:p w14:paraId="509BF5B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c>
          <w:tcPr>
            <w:tcW w:w="2057" w:type="dxa"/>
            <w:tcBorders>
              <w:top w:val="single" w:sz="4" w:space="0" w:color="000000"/>
              <w:left w:val="single" w:sz="4" w:space="0" w:color="000000"/>
              <w:bottom w:val="single" w:sz="4" w:space="0" w:color="000000"/>
              <w:right w:val="single" w:sz="4" w:space="0" w:color="000000"/>
            </w:tcBorders>
          </w:tcPr>
          <w:p w14:paraId="0A2F77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 conception</w:t>
            </w:r>
          </w:p>
        </w:tc>
      </w:tr>
      <w:tr w:rsidR="00F50D70" w:rsidRPr="00BE4F47" w14:paraId="21EB0E79"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2FCA8D1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Absence de banc thermohydraulique physique</w:t>
            </w:r>
          </w:p>
        </w:tc>
        <w:tc>
          <w:tcPr>
            <w:tcW w:w="2100" w:type="dxa"/>
            <w:tcBorders>
              <w:top w:val="single" w:sz="4" w:space="0" w:color="000000"/>
              <w:left w:val="single" w:sz="4" w:space="0" w:color="000000"/>
              <w:bottom w:val="single" w:sz="4" w:space="0" w:color="000000"/>
              <w:right w:val="single" w:sz="4" w:space="0" w:color="000000"/>
            </w:tcBorders>
          </w:tcPr>
          <w:p w14:paraId="089476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 achat ni développement de banc prévu</w:t>
            </w:r>
          </w:p>
        </w:tc>
        <w:tc>
          <w:tcPr>
            <w:tcW w:w="1300" w:type="dxa"/>
            <w:tcBorders>
              <w:top w:val="single" w:sz="4" w:space="0" w:color="000000"/>
              <w:left w:val="single" w:sz="4" w:space="0" w:color="000000"/>
              <w:bottom w:val="single" w:sz="4" w:space="0" w:color="000000"/>
              <w:right w:val="single" w:sz="4" w:space="0" w:color="000000"/>
            </w:tcBorders>
          </w:tcPr>
          <w:p w14:paraId="4280412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EX-C-02</w:t>
            </w:r>
          </w:p>
        </w:tc>
        <w:tc>
          <w:tcPr>
            <w:tcW w:w="1200" w:type="dxa"/>
            <w:tcBorders>
              <w:top w:val="single" w:sz="4" w:space="0" w:color="000000"/>
              <w:left w:val="single" w:sz="4" w:space="0" w:color="000000"/>
              <w:bottom w:val="single" w:sz="4" w:space="0" w:color="000000"/>
              <w:right w:val="single" w:sz="4" w:space="0" w:color="000000"/>
            </w:tcBorders>
          </w:tcPr>
          <w:p w14:paraId="4D5177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c>
          <w:tcPr>
            <w:tcW w:w="2057" w:type="dxa"/>
            <w:tcBorders>
              <w:top w:val="single" w:sz="4" w:space="0" w:color="000000"/>
              <w:left w:val="single" w:sz="4" w:space="0" w:color="000000"/>
              <w:bottom w:val="single" w:sz="4" w:space="0" w:color="000000"/>
              <w:right w:val="single" w:sz="4" w:space="0" w:color="000000"/>
            </w:tcBorders>
          </w:tcPr>
          <w:p w14:paraId="496AD14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du périmètre au jalon J1</w:t>
            </w:r>
          </w:p>
        </w:tc>
      </w:tr>
      <w:tr w:rsidR="00F50D70" w:rsidRPr="00BE4F47" w14:paraId="62EAD415"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5196F9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Enveloppe maximale de 1 080 h</w:t>
            </w:r>
          </w:p>
        </w:tc>
        <w:tc>
          <w:tcPr>
            <w:tcW w:w="2100" w:type="dxa"/>
            <w:tcBorders>
              <w:top w:val="single" w:sz="4" w:space="0" w:color="000000"/>
              <w:left w:val="single" w:sz="4" w:space="0" w:color="000000"/>
              <w:bottom w:val="single" w:sz="4" w:space="0" w:color="000000"/>
              <w:right w:val="single" w:sz="4" w:space="0" w:color="000000"/>
            </w:tcBorders>
          </w:tcPr>
          <w:p w14:paraId="27F21A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Planification et suivi des heures par lot</w:t>
            </w:r>
          </w:p>
        </w:tc>
        <w:tc>
          <w:tcPr>
            <w:tcW w:w="1300" w:type="dxa"/>
            <w:tcBorders>
              <w:top w:val="single" w:sz="4" w:space="0" w:color="000000"/>
              <w:left w:val="single" w:sz="4" w:space="0" w:color="000000"/>
              <w:bottom w:val="single" w:sz="4" w:space="0" w:color="000000"/>
              <w:right w:val="single" w:sz="4" w:space="0" w:color="000000"/>
            </w:tcBorders>
          </w:tcPr>
          <w:p w14:paraId="0DF187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1200" w:type="dxa"/>
            <w:tcBorders>
              <w:top w:val="single" w:sz="4" w:space="0" w:color="000000"/>
              <w:left w:val="single" w:sz="4" w:space="0" w:color="000000"/>
              <w:bottom w:val="single" w:sz="4" w:space="0" w:color="000000"/>
              <w:right w:val="single" w:sz="4" w:space="0" w:color="000000"/>
            </w:tcBorders>
          </w:tcPr>
          <w:p w14:paraId="05E2C31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c>
          <w:tcPr>
            <w:tcW w:w="2057" w:type="dxa"/>
            <w:tcBorders>
              <w:top w:val="single" w:sz="4" w:space="0" w:color="000000"/>
              <w:left w:val="single" w:sz="4" w:space="0" w:color="000000"/>
              <w:bottom w:val="single" w:sz="4" w:space="0" w:color="000000"/>
              <w:right w:val="single" w:sz="4" w:space="0" w:color="000000"/>
            </w:tcBorders>
          </w:tcPr>
          <w:p w14:paraId="67632E0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périodique de la consommation</w:t>
            </w:r>
          </w:p>
        </w:tc>
      </w:tr>
      <w:tr w:rsidR="00F50D70" w:rsidRPr="00BE4F47" w14:paraId="0BCF705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65D713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Maintien des activités de V&amp;V</w:t>
            </w:r>
          </w:p>
        </w:tc>
        <w:tc>
          <w:tcPr>
            <w:tcW w:w="2100" w:type="dxa"/>
            <w:tcBorders>
              <w:top w:val="single" w:sz="4" w:space="0" w:color="000000"/>
              <w:left w:val="single" w:sz="4" w:space="0" w:color="000000"/>
              <w:bottom w:val="single" w:sz="4" w:space="0" w:color="000000"/>
              <w:right w:val="single" w:sz="4" w:space="0" w:color="000000"/>
            </w:tcBorders>
          </w:tcPr>
          <w:p w14:paraId="070B68F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Réduction prioritaire du contenu ajustable si les ressources deviennent insuffisantes</w:t>
            </w:r>
          </w:p>
        </w:tc>
        <w:tc>
          <w:tcPr>
            <w:tcW w:w="1300" w:type="dxa"/>
            <w:tcBorders>
              <w:top w:val="single" w:sz="4" w:space="0" w:color="000000"/>
              <w:left w:val="single" w:sz="4" w:space="0" w:color="000000"/>
              <w:bottom w:val="single" w:sz="4" w:space="0" w:color="000000"/>
              <w:right w:val="single" w:sz="4" w:space="0" w:color="000000"/>
            </w:tcBorders>
          </w:tcPr>
          <w:p w14:paraId="5BC725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1200" w:type="dxa"/>
            <w:tcBorders>
              <w:top w:val="single" w:sz="4" w:space="0" w:color="000000"/>
              <w:left w:val="single" w:sz="4" w:space="0" w:color="000000"/>
              <w:bottom w:val="single" w:sz="4" w:space="0" w:color="000000"/>
              <w:right w:val="single" w:sz="4" w:space="0" w:color="000000"/>
            </w:tcBorders>
          </w:tcPr>
          <w:p w14:paraId="01E427B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RP1, RP2</w:t>
            </w:r>
          </w:p>
        </w:tc>
        <w:tc>
          <w:tcPr>
            <w:tcW w:w="2057" w:type="dxa"/>
            <w:tcBorders>
              <w:top w:val="single" w:sz="4" w:space="0" w:color="000000"/>
              <w:left w:val="single" w:sz="4" w:space="0" w:color="000000"/>
              <w:bottom w:val="single" w:sz="4" w:space="0" w:color="000000"/>
              <w:right w:val="single" w:sz="4" w:space="0" w:color="000000"/>
            </w:tcBorders>
          </w:tcPr>
          <w:p w14:paraId="28D4EE8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Plan et rapport de V&amp;V</w:t>
            </w:r>
          </w:p>
        </w:tc>
      </w:tr>
      <w:tr w:rsidR="00F50D70" w:rsidRPr="00BE4F47" w14:paraId="5349BDEA"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301656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Surveillance de la température, de la pression et du débit</w:t>
            </w:r>
          </w:p>
        </w:tc>
        <w:tc>
          <w:tcPr>
            <w:tcW w:w="2100" w:type="dxa"/>
            <w:tcBorders>
              <w:top w:val="single" w:sz="4" w:space="0" w:color="000000"/>
              <w:left w:val="single" w:sz="4" w:space="0" w:color="000000"/>
              <w:bottom w:val="single" w:sz="4" w:space="0" w:color="000000"/>
              <w:right w:val="single" w:sz="4" w:space="0" w:color="000000"/>
            </w:tcBorders>
          </w:tcPr>
          <w:p w14:paraId="64037D5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Variables intégrées au modèle et aux scénarios d’essais</w:t>
            </w:r>
          </w:p>
        </w:tc>
        <w:tc>
          <w:tcPr>
            <w:tcW w:w="1300" w:type="dxa"/>
            <w:tcBorders>
              <w:top w:val="single" w:sz="4" w:space="0" w:color="000000"/>
              <w:left w:val="single" w:sz="4" w:space="0" w:color="000000"/>
              <w:bottom w:val="single" w:sz="4" w:space="0" w:color="000000"/>
              <w:right w:val="single" w:sz="4" w:space="0" w:color="000000"/>
            </w:tcBorders>
          </w:tcPr>
          <w:p w14:paraId="74EB96A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EX-F-01, EX-F-03</w:t>
            </w:r>
          </w:p>
        </w:tc>
        <w:tc>
          <w:tcPr>
            <w:tcW w:w="1200" w:type="dxa"/>
            <w:tcBorders>
              <w:top w:val="single" w:sz="4" w:space="0" w:color="000000"/>
              <w:left w:val="single" w:sz="4" w:space="0" w:color="000000"/>
              <w:bottom w:val="single" w:sz="4" w:space="0" w:color="000000"/>
              <w:right w:val="single" w:sz="4" w:space="0" w:color="000000"/>
            </w:tcBorders>
          </w:tcPr>
          <w:p w14:paraId="0CFFFC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à RT3</w:t>
            </w:r>
          </w:p>
        </w:tc>
        <w:tc>
          <w:tcPr>
            <w:tcW w:w="2057" w:type="dxa"/>
            <w:tcBorders>
              <w:top w:val="single" w:sz="4" w:space="0" w:color="000000"/>
              <w:left w:val="single" w:sz="4" w:space="0" w:color="000000"/>
              <w:bottom w:val="single" w:sz="4" w:space="0" w:color="000000"/>
              <w:right w:val="single" w:sz="4" w:space="0" w:color="000000"/>
            </w:tcBorders>
          </w:tcPr>
          <w:p w14:paraId="539341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Campagne d’essais</w:t>
            </w:r>
          </w:p>
        </w:tc>
      </w:tr>
      <w:tr w:rsidR="00F50D70" w:rsidRPr="00BE4F47" w14:paraId="30A008E3"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4F07A09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des anomalies</w:t>
            </w:r>
          </w:p>
        </w:tc>
        <w:tc>
          <w:tcPr>
            <w:tcW w:w="2100" w:type="dxa"/>
            <w:tcBorders>
              <w:top w:val="single" w:sz="4" w:space="0" w:color="000000"/>
              <w:left w:val="single" w:sz="4" w:space="0" w:color="000000"/>
              <w:bottom w:val="single" w:sz="4" w:space="0" w:color="000000"/>
              <w:right w:val="single" w:sz="4" w:space="0" w:color="000000"/>
            </w:tcBorders>
          </w:tcPr>
          <w:p w14:paraId="72A867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Comparaison entre comportement observé et comportement attendu</w:t>
            </w:r>
          </w:p>
        </w:tc>
        <w:tc>
          <w:tcPr>
            <w:tcW w:w="1300" w:type="dxa"/>
            <w:tcBorders>
              <w:top w:val="single" w:sz="4" w:space="0" w:color="000000"/>
              <w:left w:val="single" w:sz="4" w:space="0" w:color="000000"/>
              <w:bottom w:val="single" w:sz="4" w:space="0" w:color="000000"/>
              <w:right w:val="single" w:sz="4" w:space="0" w:color="000000"/>
            </w:tcBorders>
          </w:tcPr>
          <w:p w14:paraId="419828A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EX-F-03, EX-F-05</w:t>
            </w:r>
          </w:p>
        </w:tc>
        <w:tc>
          <w:tcPr>
            <w:tcW w:w="1200" w:type="dxa"/>
            <w:tcBorders>
              <w:top w:val="single" w:sz="4" w:space="0" w:color="000000"/>
              <w:left w:val="single" w:sz="4" w:space="0" w:color="000000"/>
              <w:bottom w:val="single" w:sz="4" w:space="0" w:color="000000"/>
              <w:right w:val="single" w:sz="4" w:space="0" w:color="000000"/>
            </w:tcBorders>
          </w:tcPr>
          <w:p w14:paraId="055CE96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 à RT6</w:t>
            </w:r>
          </w:p>
        </w:tc>
        <w:tc>
          <w:tcPr>
            <w:tcW w:w="2057" w:type="dxa"/>
            <w:tcBorders>
              <w:top w:val="single" w:sz="4" w:space="0" w:color="000000"/>
              <w:left w:val="single" w:sz="4" w:space="0" w:color="000000"/>
              <w:bottom w:val="single" w:sz="4" w:space="0" w:color="000000"/>
              <w:right w:val="single" w:sz="4" w:space="0" w:color="000000"/>
            </w:tcBorders>
          </w:tcPr>
          <w:p w14:paraId="5872367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Essais en conditions normales et anormales</w:t>
            </w:r>
          </w:p>
        </w:tc>
      </w:tr>
      <w:tr w:rsidR="00F50D70" w:rsidRPr="00BE4F47" w14:paraId="08B02273"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681B2E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des données incorrectes ou indisponibles</w:t>
            </w:r>
          </w:p>
        </w:tc>
        <w:tc>
          <w:tcPr>
            <w:tcW w:w="2100" w:type="dxa"/>
            <w:tcBorders>
              <w:top w:val="single" w:sz="4" w:space="0" w:color="000000"/>
              <w:left w:val="single" w:sz="4" w:space="0" w:color="000000"/>
              <w:bottom w:val="single" w:sz="4" w:space="0" w:color="000000"/>
              <w:right w:val="single" w:sz="4" w:space="0" w:color="000000"/>
            </w:tcBorders>
          </w:tcPr>
          <w:p w14:paraId="38B8F1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des incohérences et signalement de l’incertitude</w:t>
            </w:r>
          </w:p>
        </w:tc>
        <w:tc>
          <w:tcPr>
            <w:tcW w:w="1300" w:type="dxa"/>
            <w:tcBorders>
              <w:top w:val="single" w:sz="4" w:space="0" w:color="000000"/>
              <w:left w:val="single" w:sz="4" w:space="0" w:color="000000"/>
              <w:bottom w:val="single" w:sz="4" w:space="0" w:color="000000"/>
              <w:right w:val="single" w:sz="4" w:space="0" w:color="000000"/>
            </w:tcBorders>
          </w:tcPr>
          <w:p w14:paraId="2A15B4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EX-F-06</w:t>
            </w:r>
          </w:p>
        </w:tc>
        <w:tc>
          <w:tcPr>
            <w:tcW w:w="1200" w:type="dxa"/>
            <w:tcBorders>
              <w:top w:val="single" w:sz="4" w:space="0" w:color="000000"/>
              <w:left w:val="single" w:sz="4" w:space="0" w:color="000000"/>
              <w:bottom w:val="single" w:sz="4" w:space="0" w:color="000000"/>
              <w:right w:val="single" w:sz="4" w:space="0" w:color="000000"/>
            </w:tcBorders>
          </w:tcPr>
          <w:p w14:paraId="1DB7E6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RT2</w:t>
            </w:r>
          </w:p>
        </w:tc>
        <w:tc>
          <w:tcPr>
            <w:tcW w:w="2057" w:type="dxa"/>
            <w:tcBorders>
              <w:top w:val="single" w:sz="4" w:space="0" w:color="000000"/>
              <w:left w:val="single" w:sz="4" w:space="0" w:color="000000"/>
              <w:bottom w:val="single" w:sz="4" w:space="0" w:color="000000"/>
              <w:right w:val="single" w:sz="4" w:space="0" w:color="000000"/>
            </w:tcBorders>
          </w:tcPr>
          <w:p w14:paraId="3316B1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Injection de données erronées ou manquantes</w:t>
            </w:r>
          </w:p>
        </w:tc>
      </w:tr>
      <w:tr w:rsidR="00F50D70" w:rsidRPr="00BE4F47" w14:paraId="77A16173"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68265DD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Cybersécurité du prototype</w:t>
            </w:r>
          </w:p>
        </w:tc>
        <w:tc>
          <w:tcPr>
            <w:tcW w:w="2100" w:type="dxa"/>
            <w:tcBorders>
              <w:top w:val="single" w:sz="4" w:space="0" w:color="000000"/>
              <w:left w:val="single" w:sz="4" w:space="0" w:color="000000"/>
              <w:bottom w:val="single" w:sz="4" w:space="0" w:color="000000"/>
              <w:right w:val="single" w:sz="4" w:space="0" w:color="000000"/>
            </w:tcBorders>
          </w:tcPr>
          <w:p w14:paraId="22EB90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Contrôle d’accès, intégrité, journalisation et moindre privilège</w:t>
            </w:r>
          </w:p>
        </w:tc>
        <w:tc>
          <w:tcPr>
            <w:tcW w:w="1300" w:type="dxa"/>
            <w:tcBorders>
              <w:top w:val="single" w:sz="4" w:space="0" w:color="000000"/>
              <w:left w:val="single" w:sz="4" w:space="0" w:color="000000"/>
              <w:bottom w:val="single" w:sz="4" w:space="0" w:color="000000"/>
              <w:right w:val="single" w:sz="4" w:space="0" w:color="000000"/>
            </w:tcBorders>
          </w:tcPr>
          <w:p w14:paraId="421BCDD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EX-Q-04</w:t>
            </w:r>
          </w:p>
        </w:tc>
        <w:tc>
          <w:tcPr>
            <w:tcW w:w="1200" w:type="dxa"/>
            <w:tcBorders>
              <w:top w:val="single" w:sz="4" w:space="0" w:color="000000"/>
              <w:left w:val="single" w:sz="4" w:space="0" w:color="000000"/>
              <w:bottom w:val="single" w:sz="4" w:space="0" w:color="000000"/>
              <w:right w:val="single" w:sz="4" w:space="0" w:color="000000"/>
            </w:tcBorders>
          </w:tcPr>
          <w:p w14:paraId="3FB499A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RT8</w:t>
            </w:r>
          </w:p>
        </w:tc>
        <w:tc>
          <w:tcPr>
            <w:tcW w:w="2057" w:type="dxa"/>
            <w:tcBorders>
              <w:top w:val="single" w:sz="4" w:space="0" w:color="000000"/>
              <w:left w:val="single" w:sz="4" w:space="0" w:color="000000"/>
              <w:bottom w:val="single" w:sz="4" w:space="0" w:color="000000"/>
              <w:right w:val="single" w:sz="4" w:space="0" w:color="000000"/>
            </w:tcBorders>
          </w:tcPr>
          <w:p w14:paraId="0E769E3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et essais de sécurité</w:t>
            </w:r>
          </w:p>
        </w:tc>
      </w:tr>
      <w:tr w:rsidR="00F50D70" w:rsidRPr="00BE4F47" w14:paraId="171446FF"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5246A1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Résilience et disponibilité</w:t>
            </w:r>
          </w:p>
        </w:tc>
        <w:tc>
          <w:tcPr>
            <w:tcW w:w="2100" w:type="dxa"/>
            <w:tcBorders>
              <w:top w:val="single" w:sz="4" w:space="0" w:color="000000"/>
              <w:left w:val="single" w:sz="4" w:space="0" w:color="000000"/>
              <w:bottom w:val="single" w:sz="4" w:space="0" w:color="000000"/>
              <w:right w:val="single" w:sz="4" w:space="0" w:color="000000"/>
            </w:tcBorders>
          </w:tcPr>
          <w:p w14:paraId="6106009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Sauvegarde, récupération et surveillance</w:t>
            </w:r>
          </w:p>
        </w:tc>
        <w:tc>
          <w:tcPr>
            <w:tcW w:w="1300" w:type="dxa"/>
            <w:tcBorders>
              <w:top w:val="single" w:sz="4" w:space="0" w:color="000000"/>
              <w:left w:val="single" w:sz="4" w:space="0" w:color="000000"/>
              <w:bottom w:val="single" w:sz="4" w:space="0" w:color="000000"/>
              <w:right w:val="single" w:sz="4" w:space="0" w:color="000000"/>
            </w:tcBorders>
          </w:tcPr>
          <w:p w14:paraId="3E5188B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EX-Q-02</w:t>
            </w:r>
          </w:p>
        </w:tc>
        <w:tc>
          <w:tcPr>
            <w:tcW w:w="1200" w:type="dxa"/>
            <w:tcBorders>
              <w:top w:val="single" w:sz="4" w:space="0" w:color="000000"/>
              <w:left w:val="single" w:sz="4" w:space="0" w:color="000000"/>
              <w:bottom w:val="single" w:sz="4" w:space="0" w:color="000000"/>
              <w:right w:val="single" w:sz="4" w:space="0" w:color="000000"/>
            </w:tcBorders>
          </w:tcPr>
          <w:p w14:paraId="58F658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RT9</w:t>
            </w:r>
          </w:p>
        </w:tc>
        <w:tc>
          <w:tcPr>
            <w:tcW w:w="2057" w:type="dxa"/>
            <w:tcBorders>
              <w:top w:val="single" w:sz="4" w:space="0" w:color="000000"/>
              <w:left w:val="single" w:sz="4" w:space="0" w:color="000000"/>
              <w:bottom w:val="single" w:sz="4" w:space="0" w:color="000000"/>
              <w:right w:val="single" w:sz="4" w:space="0" w:color="000000"/>
            </w:tcBorders>
          </w:tcPr>
          <w:p w14:paraId="7DA0A62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Essais de défaillance et de récupération</w:t>
            </w:r>
          </w:p>
        </w:tc>
      </w:tr>
      <w:tr w:rsidR="00F50D70" w:rsidRPr="00BE4F47" w14:paraId="6A742DC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7FF46A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d’aide à la décision compréhensible</w:t>
            </w:r>
          </w:p>
        </w:tc>
        <w:tc>
          <w:tcPr>
            <w:tcW w:w="2100" w:type="dxa"/>
            <w:tcBorders>
              <w:top w:val="single" w:sz="4" w:space="0" w:color="000000"/>
              <w:left w:val="single" w:sz="4" w:space="0" w:color="000000"/>
              <w:bottom w:val="single" w:sz="4" w:space="0" w:color="000000"/>
              <w:right w:val="single" w:sz="4" w:space="0" w:color="000000"/>
            </w:tcBorders>
          </w:tcPr>
          <w:p w14:paraId="5E9703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Présentation des variables contributives et du niveau de confiance</w:t>
            </w:r>
          </w:p>
        </w:tc>
        <w:tc>
          <w:tcPr>
            <w:tcW w:w="1300" w:type="dxa"/>
            <w:tcBorders>
              <w:top w:val="single" w:sz="4" w:space="0" w:color="000000"/>
              <w:left w:val="single" w:sz="4" w:space="0" w:color="000000"/>
              <w:bottom w:val="single" w:sz="4" w:space="0" w:color="000000"/>
              <w:right w:val="single" w:sz="4" w:space="0" w:color="000000"/>
            </w:tcBorders>
          </w:tcPr>
          <w:p w14:paraId="62616A8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EX-F-04, EX-F-05, EX-F-07</w:t>
            </w:r>
          </w:p>
        </w:tc>
        <w:tc>
          <w:tcPr>
            <w:tcW w:w="1200" w:type="dxa"/>
            <w:tcBorders>
              <w:top w:val="single" w:sz="4" w:space="0" w:color="000000"/>
              <w:left w:val="single" w:sz="4" w:space="0" w:color="000000"/>
              <w:bottom w:val="single" w:sz="4" w:space="0" w:color="000000"/>
              <w:right w:val="single" w:sz="4" w:space="0" w:color="000000"/>
            </w:tcBorders>
          </w:tcPr>
          <w:p w14:paraId="4E418C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RT10</w:t>
            </w:r>
          </w:p>
        </w:tc>
        <w:tc>
          <w:tcPr>
            <w:tcW w:w="2057" w:type="dxa"/>
            <w:tcBorders>
              <w:top w:val="single" w:sz="4" w:space="0" w:color="000000"/>
              <w:left w:val="single" w:sz="4" w:space="0" w:color="000000"/>
              <w:bottom w:val="single" w:sz="4" w:space="0" w:color="000000"/>
              <w:right w:val="single" w:sz="4" w:space="0" w:color="000000"/>
            </w:tcBorders>
          </w:tcPr>
          <w:p w14:paraId="43BAA5B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Essai d’utilisabilité (EX-Q-03)</w:t>
            </w:r>
          </w:p>
        </w:tc>
      </w:tr>
      <w:tr w:rsidR="00F50D70" w:rsidRPr="00BE4F47" w14:paraId="046DBBA4"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60E06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Décision finale sous responsabilité humaine</w:t>
            </w:r>
          </w:p>
        </w:tc>
        <w:tc>
          <w:tcPr>
            <w:tcW w:w="2100" w:type="dxa"/>
            <w:tcBorders>
              <w:top w:val="single" w:sz="4" w:space="0" w:color="000000"/>
              <w:left w:val="single" w:sz="4" w:space="0" w:color="000000"/>
              <w:bottom w:val="single" w:sz="4" w:space="0" w:color="000000"/>
              <w:right w:val="single" w:sz="4" w:space="0" w:color="000000"/>
            </w:tcBorders>
          </w:tcPr>
          <w:p w14:paraId="632AFE2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Aucune commande automatique ; confirmation explicite pour le mode dégradé</w:t>
            </w:r>
          </w:p>
        </w:tc>
        <w:tc>
          <w:tcPr>
            <w:tcW w:w="1300" w:type="dxa"/>
            <w:tcBorders>
              <w:top w:val="single" w:sz="4" w:space="0" w:color="000000"/>
              <w:left w:val="single" w:sz="4" w:space="0" w:color="000000"/>
              <w:bottom w:val="single" w:sz="4" w:space="0" w:color="000000"/>
              <w:right w:val="single" w:sz="4" w:space="0" w:color="000000"/>
            </w:tcBorders>
          </w:tcPr>
          <w:p w14:paraId="036496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EX-F-08, EX-F-09</w:t>
            </w:r>
          </w:p>
        </w:tc>
        <w:tc>
          <w:tcPr>
            <w:tcW w:w="1200" w:type="dxa"/>
            <w:tcBorders>
              <w:top w:val="single" w:sz="4" w:space="0" w:color="000000"/>
              <w:left w:val="single" w:sz="4" w:space="0" w:color="000000"/>
              <w:bottom w:val="single" w:sz="4" w:space="0" w:color="000000"/>
              <w:right w:val="single" w:sz="4" w:space="0" w:color="000000"/>
            </w:tcBorders>
          </w:tcPr>
          <w:p w14:paraId="44EC9EC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 RT10</w:t>
            </w:r>
          </w:p>
        </w:tc>
        <w:tc>
          <w:tcPr>
            <w:tcW w:w="2057" w:type="dxa"/>
            <w:tcBorders>
              <w:top w:val="single" w:sz="4" w:space="0" w:color="000000"/>
              <w:left w:val="single" w:sz="4" w:space="0" w:color="000000"/>
              <w:bottom w:val="single" w:sz="4" w:space="0" w:color="000000"/>
              <w:right w:val="single" w:sz="4" w:space="0" w:color="000000"/>
            </w:tcBorders>
          </w:tcPr>
          <w:p w14:paraId="449432C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 code et inspection des sorties</w:t>
            </w:r>
          </w:p>
        </w:tc>
      </w:tr>
      <w:tr w:rsidR="00F50D70" w:rsidRPr="00BE4F47" w14:paraId="212B0065"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0C43BE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Traçabilité des événements</w:t>
            </w:r>
          </w:p>
        </w:tc>
        <w:tc>
          <w:tcPr>
            <w:tcW w:w="2100" w:type="dxa"/>
            <w:tcBorders>
              <w:top w:val="single" w:sz="4" w:space="0" w:color="000000"/>
              <w:left w:val="single" w:sz="4" w:space="0" w:color="000000"/>
              <w:bottom w:val="single" w:sz="4" w:space="0" w:color="000000"/>
              <w:right w:val="single" w:sz="4" w:space="0" w:color="000000"/>
            </w:tcBorders>
          </w:tcPr>
          <w:p w14:paraId="033ABEA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Journalisation horodatée des événements significatifs</w:t>
            </w:r>
          </w:p>
        </w:tc>
        <w:tc>
          <w:tcPr>
            <w:tcW w:w="1300" w:type="dxa"/>
            <w:tcBorders>
              <w:top w:val="single" w:sz="4" w:space="0" w:color="000000"/>
              <w:left w:val="single" w:sz="4" w:space="0" w:color="000000"/>
              <w:bottom w:val="single" w:sz="4" w:space="0" w:color="000000"/>
              <w:right w:val="single" w:sz="4" w:space="0" w:color="000000"/>
            </w:tcBorders>
          </w:tcPr>
          <w:p w14:paraId="7FB1975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EX-F-10</w:t>
            </w:r>
          </w:p>
        </w:tc>
        <w:tc>
          <w:tcPr>
            <w:tcW w:w="1200" w:type="dxa"/>
            <w:tcBorders>
              <w:top w:val="single" w:sz="4" w:space="0" w:color="000000"/>
              <w:left w:val="single" w:sz="4" w:space="0" w:color="000000"/>
              <w:bottom w:val="single" w:sz="4" w:space="0" w:color="000000"/>
              <w:right w:val="single" w:sz="4" w:space="0" w:color="000000"/>
            </w:tcBorders>
          </w:tcPr>
          <w:p w14:paraId="5B07B53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RT8</w:t>
            </w:r>
          </w:p>
        </w:tc>
        <w:tc>
          <w:tcPr>
            <w:tcW w:w="2057" w:type="dxa"/>
            <w:tcBorders>
              <w:top w:val="single" w:sz="4" w:space="0" w:color="000000"/>
              <w:left w:val="single" w:sz="4" w:space="0" w:color="000000"/>
              <w:bottom w:val="single" w:sz="4" w:space="0" w:color="000000"/>
              <w:right w:val="single" w:sz="4" w:space="0" w:color="000000"/>
            </w:tcBorders>
          </w:tcPr>
          <w:p w14:paraId="51BED6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Inspection des journaux lors des essais</w:t>
            </w:r>
          </w:p>
        </w:tc>
      </w:tr>
      <w:tr w:rsidR="00F50D70" w:rsidRPr="00BE4F47" w14:paraId="26360215"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9BAF53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santé, sécurité et publics</w:t>
            </w:r>
          </w:p>
        </w:tc>
        <w:tc>
          <w:tcPr>
            <w:tcW w:w="2100" w:type="dxa"/>
            <w:tcBorders>
              <w:top w:val="single" w:sz="4" w:space="0" w:color="000000"/>
              <w:left w:val="single" w:sz="4" w:space="0" w:color="000000"/>
              <w:bottom w:val="single" w:sz="4" w:space="0" w:color="000000"/>
              <w:right w:val="single" w:sz="4" w:space="0" w:color="000000"/>
            </w:tcBorders>
          </w:tcPr>
          <w:p w14:paraId="645D0BC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Analyse de la chaîne menant du dysfonctionnement à la décision humaine</w:t>
            </w:r>
          </w:p>
        </w:tc>
        <w:tc>
          <w:tcPr>
            <w:tcW w:w="1300" w:type="dxa"/>
            <w:tcBorders>
              <w:top w:val="single" w:sz="4" w:space="0" w:color="000000"/>
              <w:left w:val="single" w:sz="4" w:space="0" w:color="000000"/>
              <w:bottom w:val="single" w:sz="4" w:space="0" w:color="000000"/>
              <w:right w:val="single" w:sz="4" w:space="0" w:color="000000"/>
            </w:tcBorders>
          </w:tcPr>
          <w:p w14:paraId="6098B25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EX-C-03</w:t>
            </w:r>
          </w:p>
        </w:tc>
        <w:tc>
          <w:tcPr>
            <w:tcW w:w="1200" w:type="dxa"/>
            <w:tcBorders>
              <w:top w:val="single" w:sz="4" w:space="0" w:color="000000"/>
              <w:left w:val="single" w:sz="4" w:space="0" w:color="000000"/>
              <w:bottom w:val="single" w:sz="4" w:space="0" w:color="000000"/>
              <w:right w:val="single" w:sz="4" w:space="0" w:color="000000"/>
            </w:tcBorders>
          </w:tcPr>
          <w:p w14:paraId="5CFFB66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w:t>
            </w:r>
          </w:p>
        </w:tc>
        <w:tc>
          <w:tcPr>
            <w:tcW w:w="2057" w:type="dxa"/>
            <w:tcBorders>
              <w:top w:val="single" w:sz="4" w:space="0" w:color="000000"/>
              <w:left w:val="single" w:sz="4" w:space="0" w:color="000000"/>
              <w:bottom w:val="single" w:sz="4" w:space="0" w:color="000000"/>
              <w:right w:val="single" w:sz="4" w:space="0" w:color="000000"/>
            </w:tcBorders>
          </w:tcPr>
          <w:p w14:paraId="5904BF9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 la section 7.1 au jalon J5</w:t>
            </w:r>
          </w:p>
        </w:tc>
      </w:tr>
      <w:tr w:rsidR="00F50D70" w:rsidRPr="00BE4F47" w14:paraId="716C5832"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0FAA2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Cadre législatif et normatif</w:t>
            </w:r>
          </w:p>
        </w:tc>
        <w:tc>
          <w:tcPr>
            <w:tcW w:w="2100" w:type="dxa"/>
            <w:tcBorders>
              <w:top w:val="single" w:sz="4" w:space="0" w:color="000000"/>
              <w:left w:val="single" w:sz="4" w:space="0" w:color="000000"/>
              <w:bottom w:val="single" w:sz="4" w:space="0" w:color="000000"/>
              <w:right w:val="single" w:sz="4" w:space="0" w:color="000000"/>
            </w:tcBorders>
          </w:tcPr>
          <w:p w14:paraId="2A34AA1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Rattachement aux lois, règlements et normes retenus</w:t>
            </w:r>
          </w:p>
        </w:tc>
        <w:tc>
          <w:tcPr>
            <w:tcW w:w="1300" w:type="dxa"/>
            <w:tcBorders>
              <w:top w:val="single" w:sz="4" w:space="0" w:color="000000"/>
              <w:left w:val="single" w:sz="4" w:space="0" w:color="000000"/>
              <w:bottom w:val="single" w:sz="4" w:space="0" w:color="000000"/>
              <w:right w:val="single" w:sz="4" w:space="0" w:color="000000"/>
            </w:tcBorders>
          </w:tcPr>
          <w:p w14:paraId="416E5DC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EX-C-01</w:t>
            </w:r>
          </w:p>
        </w:tc>
        <w:tc>
          <w:tcPr>
            <w:tcW w:w="1200" w:type="dxa"/>
            <w:tcBorders>
              <w:top w:val="single" w:sz="4" w:space="0" w:color="000000"/>
              <w:left w:val="single" w:sz="4" w:space="0" w:color="000000"/>
              <w:bottom w:val="single" w:sz="4" w:space="0" w:color="000000"/>
              <w:right w:val="single" w:sz="4" w:space="0" w:color="000000"/>
            </w:tcBorders>
          </w:tcPr>
          <w:p w14:paraId="421027F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w:t>
            </w:r>
          </w:p>
        </w:tc>
        <w:tc>
          <w:tcPr>
            <w:tcW w:w="2057" w:type="dxa"/>
            <w:tcBorders>
              <w:top w:val="single" w:sz="4" w:space="0" w:color="000000"/>
              <w:left w:val="single" w:sz="4" w:space="0" w:color="000000"/>
              <w:bottom w:val="single" w:sz="4" w:space="0" w:color="000000"/>
              <w:right w:val="single" w:sz="4" w:space="0" w:color="000000"/>
            </w:tcBorders>
          </w:tcPr>
          <w:p w14:paraId="00DB20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croisée avec la section des normes</w:t>
            </w:r>
          </w:p>
        </w:tc>
      </w:tr>
    </w:tbl>
    <w:p w14:paraId="2AAC6684" w14:textId="77777777" w:rsidR="00F50D70" w:rsidRPr="00B36301" w:rsidRDefault="00137D7F" w:rsidP="008E113B">
      <w:pPr>
        <w:pStyle w:val="Titre1"/>
        <w:spacing w:line="360" w:lineRule="auto"/>
      </w:pPr>
      <w:bookmarkStart w:id="855" w:name="_Toc241707991"/>
      <w:r w:rsidRPr="00B36301">
        <w:t>Estimation des ressources nécessaires au projet</w:t>
      </w:r>
      <w:bookmarkEnd w:id="855"/>
    </w:p>
    <w:p w14:paraId="32E58DB3" w14:textId="77777777" w:rsidR="00F50D70" w:rsidRPr="00BE4F47" w:rsidRDefault="00137D7F" w:rsidP="008E113B">
      <w:pPr>
        <w:spacing w:before="200" w:after="130" w:line="360" w:lineRule="auto"/>
        <w:ind w:left="360"/>
        <w:rPr>
          <w:rFonts w:ascii="Aptos" w:hAnsi="Aptos"/>
        </w:rPr>
      </w:pPr>
      <w:bookmarkStart w:id="856" w:name="_Toc241083113"/>
      <w:bookmarkStart w:id="857" w:name="_Toc241670284"/>
      <w:bookmarkStart w:id="858" w:name="_Toc241707992"/>
      <w:r w:rsidRPr="00BE4F47">
        <w:rPr>
          <w:rFonts w:ascii="Aptos" w:hAnsi="Aptos"/>
          <w:color w:val="1A1A19"/>
          <w:sz w:val="20"/>
          <w:szCs w:val="20"/>
        </w:rPr>
        <w:t>Les sections précédentes ont défini le travail, son cadre et ses risques. Celle-ci le convertit en ressources. Elle fixe les hypothèses de l’estimation, découpe l’effort en neuf lots de travail, puis recense les ressources matérielles, logicielles et normatives nécessaires.</w:t>
      </w:r>
      <w:bookmarkEnd w:id="856"/>
      <w:bookmarkEnd w:id="857"/>
      <w:bookmarkEnd w:id="858"/>
    </w:p>
    <w:p w14:paraId="2B79EB43" w14:textId="77777777" w:rsidR="00F50D70" w:rsidRPr="00B36301" w:rsidRDefault="00137D7F" w:rsidP="008E113B">
      <w:pPr>
        <w:pStyle w:val="Titre2"/>
        <w:spacing w:line="360" w:lineRule="auto"/>
      </w:pPr>
      <w:bookmarkStart w:id="859" w:name="_Toc241707993"/>
      <w:r w:rsidRPr="00B36301">
        <w:t>Méthode d’estimation et classe de l’estimation</w:t>
      </w:r>
      <w:bookmarkEnd w:id="859"/>
    </w:p>
    <w:p w14:paraId="7F433E01"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60" w:name="_Toc241083115"/>
      <w:bookmarkStart w:id="861" w:name="_Toc241670286"/>
      <w:bookmarkStart w:id="862" w:name="_Toc241707994"/>
      <w:r w:rsidRPr="00BE4F47">
        <w:rPr>
          <w:rFonts w:ascii="Aptos" w:hAnsi="Aptos"/>
          <w:color w:val="1A1A19"/>
          <w:sz w:val="20"/>
          <w:szCs w:val="20"/>
        </w:rPr>
        <w:t>L’estimation est ascendante. L’effort est évalué lot de travail par lot de travail, à partir de la structure de découpage du projet. Le total est ensuite rapproché de l’enveloppe imposée au mandat.</w:t>
      </w:r>
      <w:bookmarkEnd w:id="860"/>
      <w:bookmarkEnd w:id="861"/>
      <w:bookmarkEnd w:id="862"/>
    </w:p>
    <w:p w14:paraId="51AEB64E"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63" w:name="_Toc241083116"/>
      <w:bookmarkStart w:id="864" w:name="_Toc241670287"/>
      <w:bookmarkStart w:id="865" w:name="_Toc241707995"/>
      <w:r w:rsidRPr="00BE4F47">
        <w:rPr>
          <w:rFonts w:ascii="Aptos" w:hAnsi="Aptos"/>
          <w:color w:val="1A1A19"/>
          <w:sz w:val="20"/>
          <w:szCs w:val="20"/>
        </w:rPr>
        <w:t>Cette enveloppe est la capacité disponible, et non un besoin estimé : le mandat accorde 135 heures par membre, soit 1 080 heures. L’estimation ascendante sert à vérifier que le travail prévu entre dans cette capacité. Le tableau 8-2 montre que c’est le cas, et la répartition par phase de la section 10 le confirme : la charge ne dépasse jamais onze heures par personne et par semaine.</w:t>
      </w:r>
      <w:bookmarkEnd w:id="863"/>
      <w:bookmarkEnd w:id="864"/>
      <w:bookmarkEnd w:id="865"/>
    </w:p>
    <w:p w14:paraId="3694B79C" w14:textId="77777777" w:rsidR="00F50D70" w:rsidRPr="00BE4F47" w:rsidRDefault="00137D7F" w:rsidP="008E113B">
      <w:pPr>
        <w:spacing w:after="130" w:line="360" w:lineRule="auto"/>
        <w:ind w:left="360"/>
        <w:rPr>
          <w:rFonts w:ascii="Aptos" w:hAnsi="Aptos"/>
        </w:rPr>
      </w:pPr>
      <w:bookmarkStart w:id="866" w:name="_Toc241083117"/>
      <w:bookmarkStart w:id="867" w:name="_Toc241670288"/>
      <w:bookmarkStart w:id="868" w:name="_Toc241707996"/>
      <w:r w:rsidRPr="00BE4F47">
        <w:rPr>
          <w:rFonts w:ascii="Aptos" w:hAnsi="Aptos"/>
          <w:color w:val="1A1A19"/>
          <w:sz w:val="20"/>
          <w:szCs w:val="20"/>
        </w:rPr>
        <w:t>Au stade du plan de projet, le contenu technique n’est défini qu’à quelques pour cent. La classification de l’AACE International vise les projets d’ingénierie, d’approvisionnement et de construction des industries de procédés, et non le développement logiciel : elle est employée ici par analogie. Sur cette base, l’estimation appartient à la classe 5 : niveau de définition de 0 à 2 %, exactitude de −20 % à −50 % du côté bas et de +30 % à +100 % du côté haut [45]. Les chiffres ci-dessous servent à cadrer le mandat et à préparer le bordereau de prix. Ils n’engagent pas l’équipe sur un montant final.</w:t>
      </w:r>
      <w:bookmarkEnd w:id="866"/>
      <w:bookmarkEnd w:id="867"/>
      <w:bookmarkEnd w:id="868"/>
    </w:p>
    <w:p w14:paraId="0254BD62"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69" w:name="_Toc241083118"/>
      <w:bookmarkStart w:id="870" w:name="_Toc241670289"/>
      <w:bookmarkStart w:id="871" w:name="_Toc241707997"/>
      <w:r w:rsidRPr="00BE4F47">
        <w:rPr>
          <w:rFonts w:ascii="Aptos" w:hAnsi="Aptos"/>
          <w:color w:val="1A1A19"/>
          <w:sz w:val="20"/>
          <w:szCs w:val="20"/>
        </w:rPr>
        <w:lastRenderedPageBreak/>
        <w:t>L’approbation du registre des exigences, au jalon J1 de la section 10, permettra de reprendre l’estimation sur une base mieux définie. Le passage en classe 4 dépendra du niveau de définition alors atteint : il n’en découle pas automatiquement.</w:t>
      </w:r>
      <w:bookmarkEnd w:id="869"/>
      <w:bookmarkEnd w:id="870"/>
      <w:bookmarkEnd w:id="871"/>
    </w:p>
    <w:p w14:paraId="07F206B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72" w:name="_Toc241083119"/>
      <w:bookmarkStart w:id="873" w:name="_Toc241670290"/>
      <w:bookmarkStart w:id="874" w:name="_Toc241707998"/>
      <w:r w:rsidRPr="00BE4F47">
        <w:rPr>
          <w:rFonts w:ascii="Aptos" w:hAnsi="Aptos"/>
          <w:color w:val="1A1A19"/>
          <w:sz w:val="20"/>
          <w:szCs w:val="20"/>
        </w:rPr>
        <w:t>L’estimation repose sur les hypothèses de la section 8.2. Chacune a un effet direct sur le résultat. Elles doivent être présentées au client et au conseiller. Si l’une d’elles est infirmée, la présente section et le registre des risques de la section 7 sont révisés.</w:t>
      </w:r>
      <w:bookmarkEnd w:id="872"/>
      <w:bookmarkEnd w:id="873"/>
      <w:bookmarkEnd w:id="874"/>
    </w:p>
    <w:p w14:paraId="6AF73640" w14:textId="77777777" w:rsidR="00F50D70" w:rsidRPr="00B36301" w:rsidRDefault="00137D7F" w:rsidP="008E113B">
      <w:pPr>
        <w:pStyle w:val="Titre2"/>
        <w:spacing w:line="360" w:lineRule="auto"/>
      </w:pPr>
      <w:bookmarkStart w:id="875" w:name="_Toc241707999"/>
      <w:r w:rsidRPr="00B36301">
        <w:t>Registre des hypothèses</w:t>
      </w:r>
      <w:bookmarkEnd w:id="875"/>
    </w:p>
    <w:p w14:paraId="28E91B72"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76" w:name="_Toc241083121"/>
      <w:bookmarkStart w:id="877" w:name="_Toc241670292"/>
      <w:bookmarkStart w:id="878" w:name="_Toc241708000"/>
      <w:r w:rsidRPr="00BE4F47">
        <w:rPr>
          <w:rFonts w:ascii="Aptos" w:hAnsi="Aptos"/>
          <w:color w:val="1A1A19"/>
          <w:sz w:val="20"/>
          <w:szCs w:val="20"/>
        </w:rPr>
        <w:t>C’est le registre unique du plan de projet. Les autres sections y renvoient et n’en définissent pas d’autre. Chaque hypothèse porte l’effet de son infirmation et le risque de la section 7 qui la surveille.</w:t>
      </w:r>
      <w:bookmarkEnd w:id="876"/>
      <w:bookmarkEnd w:id="877"/>
      <w:bookmarkEnd w:id="878"/>
    </w:p>
    <w:p w14:paraId="11CEA5D4" w14:textId="77777777" w:rsidR="00F50D70" w:rsidRPr="00BE4F47" w:rsidRDefault="00137D7F" w:rsidP="008E113B">
      <w:pPr>
        <w:pStyle w:val="Lgende"/>
        <w:keepNext/>
        <w:spacing w:line="360" w:lineRule="auto"/>
        <w:rPr>
          <w:rFonts w:ascii="Aptos" w:hAnsi="Aptos"/>
        </w:rPr>
      </w:pPr>
      <w:bookmarkStart w:id="879" w:name="_Toc241083122"/>
      <w:bookmarkStart w:id="880" w:name="_Toc241670293"/>
      <w:bookmarkStart w:id="881" w:name="_Toc241708001"/>
      <w:r w:rsidRPr="00BE4F47">
        <w:rPr>
          <w:rFonts w:ascii="Aptos" w:hAnsi="Aptos"/>
        </w:rPr>
        <w:t>Tableau 8-1. Registre des hypothèses de l’estimation</w:t>
      </w:r>
      <w:bookmarkEnd w:id="879"/>
      <w:bookmarkEnd w:id="880"/>
      <w:bookmarkEnd w:id="881"/>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567"/>
        <w:gridCol w:w="3291"/>
        <w:gridCol w:w="3236"/>
        <w:gridCol w:w="1463"/>
      </w:tblGrid>
      <w:tr w:rsidR="00F50D70" w:rsidRPr="00BE4F47" w14:paraId="4C6E9FAE" w14:textId="77777777">
        <w:trPr>
          <w:tblHeader/>
        </w:trPr>
        <w:tc>
          <w:tcPr>
            <w:tcW w:w="567" w:type="dxa"/>
            <w:tcBorders>
              <w:top w:val="single" w:sz="4" w:space="0" w:color="000000"/>
              <w:left w:val="single" w:sz="4" w:space="0" w:color="000000"/>
              <w:bottom w:val="single" w:sz="4" w:space="0" w:color="000000"/>
              <w:right w:val="single" w:sz="4" w:space="0" w:color="000000"/>
            </w:tcBorders>
            <w:shd w:val="clear" w:color="auto" w:fill="EFF4FB"/>
          </w:tcPr>
          <w:p w14:paraId="3FBC7F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Réf.</w:t>
            </w:r>
          </w:p>
        </w:tc>
        <w:tc>
          <w:tcPr>
            <w:tcW w:w="3291" w:type="dxa"/>
            <w:tcBorders>
              <w:top w:val="single" w:sz="4" w:space="0" w:color="000000"/>
              <w:left w:val="single" w:sz="4" w:space="0" w:color="000000"/>
              <w:bottom w:val="single" w:sz="4" w:space="0" w:color="000000"/>
              <w:right w:val="single" w:sz="4" w:space="0" w:color="000000"/>
            </w:tcBorders>
            <w:shd w:val="clear" w:color="auto" w:fill="EFF4FB"/>
          </w:tcPr>
          <w:p w14:paraId="3D7212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Hypothèse</w:t>
            </w:r>
          </w:p>
        </w:tc>
        <w:tc>
          <w:tcPr>
            <w:tcW w:w="3236" w:type="dxa"/>
            <w:tcBorders>
              <w:top w:val="single" w:sz="4" w:space="0" w:color="000000"/>
              <w:left w:val="single" w:sz="4" w:space="0" w:color="000000"/>
              <w:bottom w:val="single" w:sz="4" w:space="0" w:color="000000"/>
              <w:right w:val="single" w:sz="4" w:space="0" w:color="000000"/>
            </w:tcBorders>
            <w:shd w:val="clear" w:color="auto" w:fill="EFF4FB"/>
          </w:tcPr>
          <w:p w14:paraId="5C3E98C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Effet si elle est infirmée</w:t>
            </w:r>
          </w:p>
        </w:tc>
        <w:tc>
          <w:tcPr>
            <w:tcW w:w="1463" w:type="dxa"/>
            <w:tcBorders>
              <w:top w:val="single" w:sz="4" w:space="0" w:color="000000"/>
              <w:left w:val="single" w:sz="4" w:space="0" w:color="000000"/>
              <w:bottom w:val="single" w:sz="4" w:space="0" w:color="000000"/>
              <w:right w:val="single" w:sz="4" w:space="0" w:color="000000"/>
            </w:tcBorders>
            <w:shd w:val="clear" w:color="auto" w:fill="EFF4FB"/>
          </w:tcPr>
          <w:p w14:paraId="6877867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associé</w:t>
            </w:r>
          </w:p>
        </w:tc>
      </w:tr>
      <w:tr w:rsidR="00F50D70" w:rsidRPr="00BE4F47" w14:paraId="6B3BAE7E"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AF0BA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H-01</w:t>
            </w:r>
          </w:p>
        </w:tc>
        <w:tc>
          <w:tcPr>
            <w:tcW w:w="3291" w:type="dxa"/>
            <w:tcBorders>
              <w:top w:val="single" w:sz="4" w:space="0" w:color="000000"/>
              <w:left w:val="single" w:sz="4" w:space="0" w:color="000000"/>
              <w:bottom w:val="single" w:sz="4" w:space="0" w:color="000000"/>
              <w:right w:val="single" w:sz="4" w:space="0" w:color="000000"/>
            </w:tcBorders>
          </w:tcPr>
          <w:p w14:paraId="1025A2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L’équipe compte 8 membres. Chaque membre consacre 135 heures au mandat, soit 1 080 heures au total. Ces 135 heures couvrent l’ensemble de l’effort porté au mandat, y compris les ateliers et la formation continue.</w:t>
            </w:r>
          </w:p>
        </w:tc>
        <w:tc>
          <w:tcPr>
            <w:tcW w:w="3236" w:type="dxa"/>
            <w:tcBorders>
              <w:top w:val="single" w:sz="4" w:space="0" w:color="000000"/>
              <w:left w:val="single" w:sz="4" w:space="0" w:color="000000"/>
              <w:bottom w:val="single" w:sz="4" w:space="0" w:color="000000"/>
              <w:right w:val="single" w:sz="4" w:space="0" w:color="000000"/>
            </w:tcBorders>
          </w:tcPr>
          <w:p w14:paraId="0EE3A13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Toute l’estimation est proportionnelle à ce nombre.</w:t>
            </w:r>
          </w:p>
        </w:tc>
        <w:tc>
          <w:tcPr>
            <w:tcW w:w="1463" w:type="dxa"/>
            <w:tcBorders>
              <w:top w:val="single" w:sz="4" w:space="0" w:color="000000"/>
              <w:left w:val="single" w:sz="4" w:space="0" w:color="000000"/>
              <w:bottom w:val="single" w:sz="4" w:space="0" w:color="000000"/>
              <w:right w:val="single" w:sz="4" w:space="0" w:color="000000"/>
            </w:tcBorders>
          </w:tcPr>
          <w:p w14:paraId="4DAC6F6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2F1EADFA"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BA2085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H-02</w:t>
            </w:r>
          </w:p>
        </w:tc>
        <w:tc>
          <w:tcPr>
            <w:tcW w:w="3291" w:type="dxa"/>
            <w:tcBorders>
              <w:top w:val="single" w:sz="4" w:space="0" w:color="000000"/>
              <w:left w:val="single" w:sz="4" w:space="0" w:color="000000"/>
              <w:bottom w:val="single" w:sz="4" w:space="0" w:color="000000"/>
              <w:right w:val="single" w:sz="4" w:space="0" w:color="000000"/>
            </w:tcBorders>
          </w:tcPr>
          <w:p w14:paraId="4225DE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Aucune boucle thermohydraulique physique n’est mise à la disposition de l’équipe. Le système de référence auquel le jumeau numérique est comparé est un second modèle numérique, de fidélité supérieure et développé indépendamment. Ce second modèle joue le rôle de banc d’essai.</w:t>
            </w:r>
          </w:p>
        </w:tc>
        <w:tc>
          <w:tcPr>
            <w:tcW w:w="3236" w:type="dxa"/>
            <w:tcBorders>
              <w:top w:val="single" w:sz="4" w:space="0" w:color="000000"/>
              <w:left w:val="single" w:sz="4" w:space="0" w:color="000000"/>
              <w:bottom w:val="single" w:sz="4" w:space="0" w:color="000000"/>
              <w:right w:val="single" w:sz="4" w:space="0" w:color="000000"/>
            </w:tcBorders>
          </w:tcPr>
          <w:p w14:paraId="41DC3E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Majeur. Un banc physique ferait basculer le projet dans une autre classe de budget, avec achat, instrumentation et sécurité. L’enveloppe de 1 080 heures deviendrait intenable.</w:t>
            </w:r>
          </w:p>
        </w:tc>
        <w:tc>
          <w:tcPr>
            <w:tcW w:w="1463" w:type="dxa"/>
            <w:tcBorders>
              <w:top w:val="single" w:sz="4" w:space="0" w:color="000000"/>
              <w:left w:val="single" w:sz="4" w:space="0" w:color="000000"/>
              <w:bottom w:val="single" w:sz="4" w:space="0" w:color="000000"/>
              <w:right w:val="single" w:sz="4" w:space="0" w:color="000000"/>
            </w:tcBorders>
          </w:tcPr>
          <w:p w14:paraId="39633C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r>
      <w:tr w:rsidR="00F50D70" w:rsidRPr="00BE4F47" w14:paraId="5D1602E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7051E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H-03</w:t>
            </w:r>
          </w:p>
        </w:tc>
        <w:tc>
          <w:tcPr>
            <w:tcW w:w="3291" w:type="dxa"/>
            <w:tcBorders>
              <w:top w:val="single" w:sz="4" w:space="0" w:color="000000"/>
              <w:left w:val="single" w:sz="4" w:space="0" w:color="000000"/>
              <w:bottom w:val="single" w:sz="4" w:space="0" w:color="000000"/>
              <w:right w:val="single" w:sz="4" w:space="0" w:color="000000"/>
            </w:tcBorders>
          </w:tcPr>
          <w:p w14:paraId="2A80FC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Aucune donnée d’exploitation réelle de Gentilly-2 n’est accessible. Les jeux de données d’essai sont synthétiques. Ils sont générés par le modèle de référence, puis bruités et dégradés pour reproduire les défauts de capteurs étudiés.</w:t>
            </w:r>
          </w:p>
        </w:tc>
        <w:tc>
          <w:tcPr>
            <w:tcW w:w="3236" w:type="dxa"/>
            <w:tcBorders>
              <w:top w:val="single" w:sz="4" w:space="0" w:color="000000"/>
              <w:left w:val="single" w:sz="4" w:space="0" w:color="000000"/>
              <w:bottom w:val="single" w:sz="4" w:space="0" w:color="000000"/>
              <w:right w:val="single" w:sz="4" w:space="0" w:color="000000"/>
            </w:tcBorders>
          </w:tcPr>
          <w:p w14:paraId="3165E13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 campagne d’essais et la portée des conclusions devraient être redéfinies.</w:t>
            </w:r>
          </w:p>
        </w:tc>
        <w:tc>
          <w:tcPr>
            <w:tcW w:w="1463" w:type="dxa"/>
            <w:tcBorders>
              <w:top w:val="single" w:sz="4" w:space="0" w:color="000000"/>
              <w:left w:val="single" w:sz="4" w:space="0" w:color="000000"/>
              <w:bottom w:val="single" w:sz="4" w:space="0" w:color="000000"/>
              <w:right w:val="single" w:sz="4" w:space="0" w:color="000000"/>
            </w:tcBorders>
          </w:tcPr>
          <w:p w14:paraId="2C7D46E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w:t>
            </w:r>
          </w:p>
        </w:tc>
      </w:tr>
      <w:tr w:rsidR="00F50D70" w:rsidRPr="00BE4F47" w14:paraId="0E9BCC3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07A42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H-04</w:t>
            </w:r>
          </w:p>
        </w:tc>
        <w:tc>
          <w:tcPr>
            <w:tcW w:w="3291" w:type="dxa"/>
            <w:tcBorders>
              <w:top w:val="single" w:sz="4" w:space="0" w:color="000000"/>
              <w:left w:val="single" w:sz="4" w:space="0" w:color="000000"/>
              <w:bottom w:val="single" w:sz="4" w:space="0" w:color="000000"/>
              <w:right w:val="single" w:sz="4" w:space="0" w:color="000000"/>
            </w:tcBorders>
          </w:tcPr>
          <w:p w14:paraId="5D6313A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 prototype vise un niveau de maturité technologique TRL 3 à 4. La modélisation est de type 0D/1D à paramètres concentrés, en écoulement monophasique. La thermohydraulique diphasique et la mécanique des fluides numérique tridimensionnelle sont exclues.</w:t>
            </w:r>
          </w:p>
        </w:tc>
        <w:tc>
          <w:tcPr>
            <w:tcW w:w="3236" w:type="dxa"/>
            <w:tcBorders>
              <w:top w:val="single" w:sz="4" w:space="0" w:color="000000"/>
              <w:left w:val="single" w:sz="4" w:space="0" w:color="000000"/>
              <w:bottom w:val="single" w:sz="4" w:space="0" w:color="000000"/>
              <w:right w:val="single" w:sz="4" w:space="0" w:color="000000"/>
            </w:tcBorders>
          </w:tcPr>
          <w:p w14:paraId="3CF6274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 modèle diphasique ou tridimensionnel multiplierait l’effort de modélisation et de validation.</w:t>
            </w:r>
          </w:p>
        </w:tc>
        <w:tc>
          <w:tcPr>
            <w:tcW w:w="1463" w:type="dxa"/>
            <w:tcBorders>
              <w:top w:val="single" w:sz="4" w:space="0" w:color="000000"/>
              <w:left w:val="single" w:sz="4" w:space="0" w:color="000000"/>
              <w:bottom w:val="single" w:sz="4" w:space="0" w:color="000000"/>
              <w:right w:val="single" w:sz="4" w:space="0" w:color="000000"/>
            </w:tcBorders>
          </w:tcPr>
          <w:p w14:paraId="4A4D329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w:t>
            </w:r>
          </w:p>
        </w:tc>
      </w:tr>
      <w:tr w:rsidR="00F50D70" w:rsidRPr="00BE4F47" w14:paraId="7DEBECCB"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09F614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H-05</w:t>
            </w:r>
          </w:p>
        </w:tc>
        <w:tc>
          <w:tcPr>
            <w:tcW w:w="3291" w:type="dxa"/>
            <w:tcBorders>
              <w:top w:val="single" w:sz="4" w:space="0" w:color="000000"/>
              <w:left w:val="single" w:sz="4" w:space="0" w:color="000000"/>
              <w:bottom w:val="single" w:sz="4" w:space="0" w:color="000000"/>
              <w:right w:val="single" w:sz="4" w:space="0" w:color="000000"/>
            </w:tcBorders>
          </w:tcPr>
          <w:p w14:paraId="4074A76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logiciels utilisés sont libres ou couverts par les licences académiques de l’UQAC. Le coût de licence imputé au mandat est donc nul. Ce point doit être déclaré au client, car un déploiement industriel ne bénéficierait pas de cet avantage.</w:t>
            </w:r>
          </w:p>
        </w:tc>
        <w:tc>
          <w:tcPr>
            <w:tcW w:w="3236" w:type="dxa"/>
            <w:tcBorders>
              <w:top w:val="single" w:sz="4" w:space="0" w:color="000000"/>
              <w:left w:val="single" w:sz="4" w:space="0" w:color="000000"/>
              <w:bottom w:val="single" w:sz="4" w:space="0" w:color="000000"/>
              <w:right w:val="single" w:sz="4" w:space="0" w:color="000000"/>
            </w:tcBorders>
          </w:tcPr>
          <w:p w14:paraId="564722C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Ajout de coûts de licence au bordereau de la section 9.</w:t>
            </w:r>
          </w:p>
        </w:tc>
        <w:tc>
          <w:tcPr>
            <w:tcW w:w="1463" w:type="dxa"/>
            <w:tcBorders>
              <w:top w:val="single" w:sz="4" w:space="0" w:color="000000"/>
              <w:left w:val="single" w:sz="4" w:space="0" w:color="000000"/>
              <w:bottom w:val="single" w:sz="4" w:space="0" w:color="000000"/>
              <w:right w:val="single" w:sz="4" w:space="0" w:color="000000"/>
            </w:tcBorders>
          </w:tcPr>
          <w:p w14:paraId="020E69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0FAD3C52"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5EE81E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H-06</w:t>
            </w:r>
          </w:p>
        </w:tc>
        <w:tc>
          <w:tcPr>
            <w:tcW w:w="3291" w:type="dxa"/>
            <w:tcBorders>
              <w:top w:val="single" w:sz="4" w:space="0" w:color="000000"/>
              <w:left w:val="single" w:sz="4" w:space="0" w:color="000000"/>
              <w:bottom w:val="single" w:sz="4" w:space="0" w:color="000000"/>
              <w:right w:val="single" w:sz="4" w:space="0" w:color="000000"/>
            </w:tcBorders>
          </w:tcPr>
          <w:p w14:paraId="09F2CDB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locaux, le réseau et la puissance de calcul nécessaires sont fournis par l’UQAC.</w:t>
            </w:r>
          </w:p>
        </w:tc>
        <w:tc>
          <w:tcPr>
            <w:tcW w:w="3236" w:type="dxa"/>
            <w:tcBorders>
              <w:top w:val="single" w:sz="4" w:space="0" w:color="000000"/>
              <w:left w:val="single" w:sz="4" w:space="0" w:color="000000"/>
              <w:bottom w:val="single" w:sz="4" w:space="0" w:color="000000"/>
              <w:right w:val="single" w:sz="4" w:space="0" w:color="000000"/>
            </w:tcBorders>
          </w:tcPr>
          <w:p w14:paraId="42CB534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Ajout d’un poste d’infrastructure infonuagique.</w:t>
            </w:r>
          </w:p>
        </w:tc>
        <w:tc>
          <w:tcPr>
            <w:tcW w:w="1463" w:type="dxa"/>
            <w:tcBorders>
              <w:top w:val="single" w:sz="4" w:space="0" w:color="000000"/>
              <w:left w:val="single" w:sz="4" w:space="0" w:color="000000"/>
              <w:bottom w:val="single" w:sz="4" w:space="0" w:color="000000"/>
              <w:right w:val="single" w:sz="4" w:space="0" w:color="000000"/>
            </w:tcBorders>
          </w:tcPr>
          <w:p w14:paraId="0D479F0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468B4043"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03EFC8A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H-07</w:t>
            </w:r>
          </w:p>
        </w:tc>
        <w:tc>
          <w:tcPr>
            <w:tcW w:w="3291" w:type="dxa"/>
            <w:tcBorders>
              <w:top w:val="single" w:sz="4" w:space="0" w:color="000000"/>
              <w:left w:val="single" w:sz="4" w:space="0" w:color="000000"/>
              <w:bottom w:val="single" w:sz="4" w:space="0" w:color="000000"/>
              <w:right w:val="single" w:sz="4" w:space="0" w:color="000000"/>
            </w:tcBorders>
          </w:tcPr>
          <w:p w14:paraId="20F2086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L’accès aux normes CSA, ISO, IEC et ASME se fait par l’abonnement institutionnel de la bibliothèque de l’UQAC.</w:t>
            </w:r>
          </w:p>
        </w:tc>
        <w:tc>
          <w:tcPr>
            <w:tcW w:w="3236" w:type="dxa"/>
            <w:tcBorders>
              <w:top w:val="single" w:sz="4" w:space="0" w:color="000000"/>
              <w:left w:val="single" w:sz="4" w:space="0" w:color="000000"/>
              <w:bottom w:val="single" w:sz="4" w:space="0" w:color="000000"/>
              <w:right w:val="single" w:sz="4" w:space="0" w:color="000000"/>
            </w:tcBorders>
          </w:tcPr>
          <w:p w14:paraId="0039782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Achat unitaire des normes, soit plusieurs centaines de dollars à porter au budget. Les normes non consultées en texte intégral devraient alors être déclarées comme telles à la section 6.</w:t>
            </w:r>
          </w:p>
        </w:tc>
        <w:tc>
          <w:tcPr>
            <w:tcW w:w="1463" w:type="dxa"/>
            <w:tcBorders>
              <w:top w:val="single" w:sz="4" w:space="0" w:color="000000"/>
              <w:left w:val="single" w:sz="4" w:space="0" w:color="000000"/>
              <w:bottom w:val="single" w:sz="4" w:space="0" w:color="000000"/>
              <w:right w:val="single" w:sz="4" w:space="0" w:color="000000"/>
            </w:tcBorders>
          </w:tcPr>
          <w:p w14:paraId="37C2C8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10631DED"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72D30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lastRenderedPageBreak/>
              <w:t>H-08</w:t>
            </w:r>
          </w:p>
        </w:tc>
        <w:tc>
          <w:tcPr>
            <w:tcW w:w="3291" w:type="dxa"/>
            <w:tcBorders>
              <w:top w:val="single" w:sz="4" w:space="0" w:color="000000"/>
              <w:left w:val="single" w:sz="4" w:space="0" w:color="000000"/>
              <w:bottom w:val="single" w:sz="4" w:space="0" w:color="000000"/>
              <w:right w:val="single" w:sz="4" w:space="0" w:color="000000"/>
            </w:tcBorders>
          </w:tcPr>
          <w:p w14:paraId="4B9AD5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 temps du conseiller et du coordonnateur n’est pas facturable au mandat, conformément aux règles du cours.</w:t>
            </w:r>
          </w:p>
        </w:tc>
        <w:tc>
          <w:tcPr>
            <w:tcW w:w="3236" w:type="dxa"/>
            <w:tcBorders>
              <w:top w:val="single" w:sz="4" w:space="0" w:color="000000"/>
              <w:left w:val="single" w:sz="4" w:space="0" w:color="000000"/>
              <w:bottom w:val="single" w:sz="4" w:space="0" w:color="000000"/>
              <w:right w:val="single" w:sz="4" w:space="0" w:color="000000"/>
            </w:tcBorders>
          </w:tcPr>
          <w:p w14:paraId="0E09AF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effet sur les heures. À rappeler dans les limites du mandat.</w:t>
            </w:r>
          </w:p>
        </w:tc>
        <w:tc>
          <w:tcPr>
            <w:tcW w:w="1463" w:type="dxa"/>
            <w:tcBorders>
              <w:top w:val="single" w:sz="4" w:space="0" w:color="000000"/>
              <w:left w:val="single" w:sz="4" w:space="0" w:color="000000"/>
              <w:bottom w:val="single" w:sz="4" w:space="0" w:color="000000"/>
              <w:right w:val="single" w:sz="4" w:space="0" w:color="000000"/>
            </w:tcBorders>
          </w:tcPr>
          <w:p w14:paraId="24A2B0B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r>
      <w:tr w:rsidR="00F50D70" w:rsidRPr="00BE4F47" w14:paraId="10A24EBB"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57FC9B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H-09</w:t>
            </w:r>
          </w:p>
        </w:tc>
        <w:tc>
          <w:tcPr>
            <w:tcW w:w="3291" w:type="dxa"/>
            <w:tcBorders>
              <w:top w:val="single" w:sz="4" w:space="0" w:color="000000"/>
              <w:left w:val="single" w:sz="4" w:space="0" w:color="000000"/>
              <w:bottom w:val="single" w:sz="4" w:space="0" w:color="000000"/>
              <w:right w:val="single" w:sz="4" w:space="0" w:color="000000"/>
            </w:tcBorders>
          </w:tcPr>
          <w:p w14:paraId="526A49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 température, la pression et le débit suffisent à caractériser l’état de la boucle pour les scénarios étudiés (exigence EX-F-01).</w:t>
            </w:r>
          </w:p>
        </w:tc>
        <w:tc>
          <w:tcPr>
            <w:tcW w:w="3236" w:type="dxa"/>
            <w:tcBorders>
              <w:top w:val="single" w:sz="4" w:space="0" w:color="000000"/>
              <w:left w:val="single" w:sz="4" w:space="0" w:color="000000"/>
              <w:bottom w:val="single" w:sz="4" w:space="0" w:color="000000"/>
              <w:right w:val="single" w:sz="4" w:space="0" w:color="000000"/>
            </w:tcBorders>
          </w:tcPr>
          <w:p w14:paraId="528ABDF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 détection manquerait certains modes de défaillance. Une quatrième variable imposerait une reprise du modèle et de la chaîne d’acquisition.</w:t>
            </w:r>
          </w:p>
        </w:tc>
        <w:tc>
          <w:tcPr>
            <w:tcW w:w="1463" w:type="dxa"/>
            <w:tcBorders>
              <w:top w:val="single" w:sz="4" w:space="0" w:color="000000"/>
              <w:left w:val="single" w:sz="4" w:space="0" w:color="000000"/>
              <w:bottom w:val="single" w:sz="4" w:space="0" w:color="000000"/>
              <w:right w:val="single" w:sz="4" w:space="0" w:color="000000"/>
            </w:tcBorders>
          </w:tcPr>
          <w:p w14:paraId="2FA60F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RT5</w:t>
            </w:r>
          </w:p>
        </w:tc>
      </w:tr>
      <w:tr w:rsidR="00F50D70" w:rsidRPr="00BE4F47" w14:paraId="7E271673"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DB313A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H-10</w:t>
            </w:r>
          </w:p>
        </w:tc>
        <w:tc>
          <w:tcPr>
            <w:tcW w:w="3291" w:type="dxa"/>
            <w:tcBorders>
              <w:top w:val="single" w:sz="4" w:space="0" w:color="000000"/>
              <w:left w:val="single" w:sz="4" w:space="0" w:color="000000"/>
              <w:bottom w:val="single" w:sz="4" w:space="0" w:color="000000"/>
              <w:right w:val="single" w:sz="4" w:space="0" w:color="000000"/>
            </w:tcBorders>
          </w:tcPr>
          <w:p w14:paraId="1A06D9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seuils de dérive et les critères de criticité sont fixés par l’analyse de risques et par les essais, et non posés a priori.</w:t>
            </w:r>
          </w:p>
        </w:tc>
        <w:tc>
          <w:tcPr>
            <w:tcW w:w="3236" w:type="dxa"/>
            <w:tcBorders>
              <w:top w:val="single" w:sz="4" w:space="0" w:color="000000"/>
              <w:left w:val="single" w:sz="4" w:space="0" w:color="000000"/>
              <w:bottom w:val="single" w:sz="4" w:space="0" w:color="000000"/>
              <w:right w:val="single" w:sz="4" w:space="0" w:color="000000"/>
            </w:tcBorders>
          </w:tcPr>
          <w:p w14:paraId="13D0BF1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critères d’alarme resteraient arbitraires. La décision est à prendre au jalon J2, avec sa justification consignée.</w:t>
            </w:r>
          </w:p>
        </w:tc>
        <w:tc>
          <w:tcPr>
            <w:tcW w:w="1463" w:type="dxa"/>
            <w:tcBorders>
              <w:top w:val="single" w:sz="4" w:space="0" w:color="000000"/>
              <w:left w:val="single" w:sz="4" w:space="0" w:color="000000"/>
              <w:bottom w:val="single" w:sz="4" w:space="0" w:color="000000"/>
              <w:right w:val="single" w:sz="4" w:space="0" w:color="000000"/>
            </w:tcBorders>
          </w:tcPr>
          <w:p w14:paraId="4A3F6C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 RT6</w:t>
            </w:r>
          </w:p>
        </w:tc>
      </w:tr>
    </w:tbl>
    <w:p w14:paraId="4400A261" w14:textId="77777777" w:rsidR="00F50D70" w:rsidRPr="00B36301" w:rsidRDefault="00137D7F" w:rsidP="008E113B">
      <w:pPr>
        <w:pStyle w:val="Titre2"/>
        <w:spacing w:line="360" w:lineRule="auto"/>
      </w:pPr>
      <w:bookmarkStart w:id="882" w:name="_Toc241708002"/>
      <w:r w:rsidRPr="00B36301">
        <w:t>Ressources humaines</w:t>
      </w:r>
      <w:bookmarkEnd w:id="882"/>
    </w:p>
    <w:p w14:paraId="3E1EA1D4"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883" w:name="_Toc241083125"/>
      <w:bookmarkStart w:id="884" w:name="_Toc241670295"/>
      <w:bookmarkStart w:id="885" w:name="_Toc241708003"/>
      <w:r w:rsidRPr="00BE4F47">
        <w:rPr>
          <w:rFonts w:ascii="Aptos" w:hAnsi="Aptos"/>
          <w:b/>
          <w:color w:val="1A1A19"/>
          <w:sz w:val="20"/>
          <w:szCs w:val="20"/>
        </w:rPr>
        <w:t xml:space="preserve">La répartition par lot de travail. </w:t>
      </w:r>
      <w:r w:rsidRPr="00BE4F47">
        <w:rPr>
          <w:rFonts w:ascii="Aptos" w:hAnsi="Aptos"/>
          <w:color w:val="1A1A19"/>
          <w:sz w:val="20"/>
          <w:szCs w:val="20"/>
        </w:rPr>
        <w:t>Les 1 080 heures d’ingénierie sont réparties entre neuf lots de travail. Ce tableau est la définition de référence des lots L1 à L9. Les sections 1, 5 et 7 y renvoient pour rattacher leurs exigences, leurs sources et leurs risques.</w:t>
      </w:r>
      <w:bookmarkEnd w:id="883"/>
      <w:bookmarkEnd w:id="884"/>
      <w:bookmarkEnd w:id="885"/>
    </w:p>
    <w:p w14:paraId="38330A3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886" w:name="_Toc241083126"/>
      <w:bookmarkStart w:id="887" w:name="_Toc241670296"/>
      <w:bookmarkStart w:id="888" w:name="_Toc241708004"/>
      <w:r w:rsidRPr="00BE4F47">
        <w:rPr>
          <w:rFonts w:ascii="Aptos" w:hAnsi="Aptos"/>
          <w:color w:val="1A1A19"/>
          <w:sz w:val="20"/>
          <w:szCs w:val="20"/>
        </w:rPr>
        <w:t>La répartition suit une priorité. Le modèle de référence, le noyau de simulation et la campagne d’essais reçoivent 42 % de l’effort : ce sont les trois lots qui portent la valeur du livrable. L’interface d’aide à la décision en reçoit 8 %.</w:t>
      </w:r>
      <w:bookmarkEnd w:id="886"/>
      <w:bookmarkEnd w:id="887"/>
      <w:bookmarkEnd w:id="888"/>
    </w:p>
    <w:p w14:paraId="191CF0A0" w14:textId="77777777" w:rsidR="00F50D70" w:rsidRPr="00BE4F47" w:rsidRDefault="00137D7F" w:rsidP="008E113B">
      <w:pPr>
        <w:pStyle w:val="Lgende"/>
        <w:keepNext/>
        <w:spacing w:line="360" w:lineRule="auto"/>
        <w:rPr>
          <w:rFonts w:ascii="Aptos" w:hAnsi="Aptos"/>
        </w:rPr>
      </w:pPr>
      <w:bookmarkStart w:id="889" w:name="_Toc241083127"/>
      <w:bookmarkStart w:id="890" w:name="_Toc241670297"/>
      <w:bookmarkStart w:id="891" w:name="_Toc241708005"/>
      <w:r w:rsidRPr="00BE4F47">
        <w:rPr>
          <w:rFonts w:ascii="Aptos" w:hAnsi="Aptos"/>
        </w:rPr>
        <w:t>Tableau 8-2. Répartition de l’effort par lot de travail</w:t>
      </w:r>
      <w:bookmarkEnd w:id="889"/>
      <w:bookmarkEnd w:id="890"/>
      <w:bookmarkEnd w:id="891"/>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567"/>
        <w:gridCol w:w="3017"/>
        <w:gridCol w:w="823"/>
        <w:gridCol w:w="640"/>
        <w:gridCol w:w="3510"/>
      </w:tblGrid>
      <w:tr w:rsidR="00F50D70" w:rsidRPr="00BE4F47" w14:paraId="54D92E50" w14:textId="77777777">
        <w:trPr>
          <w:tblHeader/>
        </w:trPr>
        <w:tc>
          <w:tcPr>
            <w:tcW w:w="567" w:type="dxa"/>
            <w:tcBorders>
              <w:top w:val="single" w:sz="4" w:space="0" w:color="000000"/>
              <w:left w:val="single" w:sz="4" w:space="0" w:color="000000"/>
              <w:bottom w:val="single" w:sz="4" w:space="0" w:color="000000"/>
              <w:right w:val="single" w:sz="4" w:space="0" w:color="000000"/>
            </w:tcBorders>
            <w:shd w:val="clear" w:color="auto" w:fill="EFF4FB"/>
          </w:tcPr>
          <w:p w14:paraId="0647E6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Lot</w:t>
            </w:r>
          </w:p>
        </w:tc>
        <w:tc>
          <w:tcPr>
            <w:tcW w:w="3017" w:type="dxa"/>
            <w:tcBorders>
              <w:top w:val="single" w:sz="4" w:space="0" w:color="000000"/>
              <w:left w:val="single" w:sz="4" w:space="0" w:color="000000"/>
              <w:bottom w:val="single" w:sz="4" w:space="0" w:color="000000"/>
              <w:right w:val="single" w:sz="4" w:space="0" w:color="000000"/>
            </w:tcBorders>
            <w:shd w:val="clear" w:color="auto" w:fill="EFF4FB"/>
          </w:tcPr>
          <w:p w14:paraId="0F633F3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Intitulé</w:t>
            </w:r>
          </w:p>
        </w:tc>
        <w:tc>
          <w:tcPr>
            <w:tcW w:w="823" w:type="dxa"/>
            <w:tcBorders>
              <w:top w:val="single" w:sz="4" w:space="0" w:color="000000"/>
              <w:left w:val="single" w:sz="4" w:space="0" w:color="000000"/>
              <w:bottom w:val="single" w:sz="4" w:space="0" w:color="000000"/>
              <w:right w:val="single" w:sz="4" w:space="0" w:color="000000"/>
            </w:tcBorders>
            <w:shd w:val="clear" w:color="auto" w:fill="EFF4FB"/>
          </w:tcPr>
          <w:p w14:paraId="6D7D75C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Effort</w:t>
            </w:r>
          </w:p>
        </w:tc>
        <w:tc>
          <w:tcPr>
            <w:tcW w:w="640" w:type="dxa"/>
            <w:tcBorders>
              <w:top w:val="single" w:sz="4" w:space="0" w:color="000000"/>
              <w:left w:val="single" w:sz="4" w:space="0" w:color="000000"/>
              <w:bottom w:val="single" w:sz="4" w:space="0" w:color="000000"/>
              <w:right w:val="single" w:sz="4" w:space="0" w:color="000000"/>
            </w:tcBorders>
            <w:shd w:val="clear" w:color="auto" w:fill="EFF4FB"/>
          </w:tcPr>
          <w:p w14:paraId="011C27B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Part</w:t>
            </w:r>
          </w:p>
        </w:tc>
        <w:tc>
          <w:tcPr>
            <w:tcW w:w="3510" w:type="dxa"/>
            <w:tcBorders>
              <w:top w:val="single" w:sz="4" w:space="0" w:color="000000"/>
              <w:left w:val="single" w:sz="4" w:space="0" w:color="000000"/>
              <w:bottom w:val="single" w:sz="4" w:space="0" w:color="000000"/>
              <w:right w:val="single" w:sz="4" w:space="0" w:color="000000"/>
            </w:tcBorders>
            <w:shd w:val="clear" w:color="auto" w:fill="EFF4FB"/>
          </w:tcPr>
          <w:p w14:paraId="302D4C6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Compétences dominantes</w:t>
            </w:r>
          </w:p>
        </w:tc>
      </w:tr>
      <w:tr w:rsidR="00F50D70" w:rsidRPr="00BE4F47" w14:paraId="0180D601"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2AD2940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L1</w:t>
            </w:r>
          </w:p>
        </w:tc>
        <w:tc>
          <w:tcPr>
            <w:tcW w:w="3017" w:type="dxa"/>
            <w:tcBorders>
              <w:top w:val="single" w:sz="4" w:space="0" w:color="000000"/>
              <w:left w:val="single" w:sz="4" w:space="0" w:color="000000"/>
              <w:bottom w:val="single" w:sz="4" w:space="0" w:color="000000"/>
              <w:right w:val="single" w:sz="4" w:space="0" w:color="000000"/>
            </w:tcBorders>
          </w:tcPr>
          <w:p w14:paraId="6B86CF4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 projet, assurance qualité et documentation</w:t>
            </w:r>
          </w:p>
        </w:tc>
        <w:tc>
          <w:tcPr>
            <w:tcW w:w="823" w:type="dxa"/>
            <w:tcBorders>
              <w:top w:val="single" w:sz="4" w:space="0" w:color="000000"/>
              <w:left w:val="single" w:sz="4" w:space="0" w:color="000000"/>
              <w:bottom w:val="single" w:sz="4" w:space="0" w:color="000000"/>
              <w:right w:val="single" w:sz="4" w:space="0" w:color="000000"/>
            </w:tcBorders>
          </w:tcPr>
          <w:p w14:paraId="2DCAA9B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108 h</w:t>
            </w:r>
          </w:p>
        </w:tc>
        <w:tc>
          <w:tcPr>
            <w:tcW w:w="640" w:type="dxa"/>
            <w:tcBorders>
              <w:top w:val="single" w:sz="4" w:space="0" w:color="000000"/>
              <w:left w:val="single" w:sz="4" w:space="0" w:color="000000"/>
              <w:bottom w:val="single" w:sz="4" w:space="0" w:color="000000"/>
              <w:right w:val="single" w:sz="4" w:space="0" w:color="000000"/>
            </w:tcBorders>
          </w:tcPr>
          <w:p w14:paraId="52DE947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w:t>
            </w:r>
          </w:p>
        </w:tc>
        <w:tc>
          <w:tcPr>
            <w:tcW w:w="3510" w:type="dxa"/>
            <w:tcBorders>
              <w:top w:val="single" w:sz="4" w:space="0" w:color="000000"/>
              <w:left w:val="single" w:sz="4" w:space="0" w:color="000000"/>
              <w:bottom w:val="single" w:sz="4" w:space="0" w:color="000000"/>
              <w:right w:val="single" w:sz="4" w:space="0" w:color="000000"/>
            </w:tcBorders>
          </w:tcPr>
          <w:p w14:paraId="3FF3A80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rédaction technique</w:t>
            </w:r>
          </w:p>
        </w:tc>
      </w:tr>
      <w:tr w:rsidR="00F50D70" w:rsidRPr="00BE4F47" w14:paraId="33681CF0"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69E9B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L2</w:t>
            </w:r>
          </w:p>
        </w:tc>
        <w:tc>
          <w:tcPr>
            <w:tcW w:w="3017" w:type="dxa"/>
            <w:tcBorders>
              <w:top w:val="single" w:sz="4" w:space="0" w:color="000000"/>
              <w:left w:val="single" w:sz="4" w:space="0" w:color="000000"/>
              <w:bottom w:val="single" w:sz="4" w:space="0" w:color="000000"/>
              <w:right w:val="single" w:sz="4" w:space="0" w:color="000000"/>
            </w:tcBorders>
          </w:tcPr>
          <w:p w14:paraId="4DB53EF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Ingénierie des exigences et analyse fonctionnelle</w:t>
            </w:r>
          </w:p>
        </w:tc>
        <w:tc>
          <w:tcPr>
            <w:tcW w:w="823" w:type="dxa"/>
            <w:tcBorders>
              <w:top w:val="single" w:sz="4" w:space="0" w:color="000000"/>
              <w:left w:val="single" w:sz="4" w:space="0" w:color="000000"/>
              <w:bottom w:val="single" w:sz="4" w:space="0" w:color="000000"/>
              <w:right w:val="single" w:sz="4" w:space="0" w:color="000000"/>
            </w:tcBorders>
          </w:tcPr>
          <w:p w14:paraId="3D3D283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108 h</w:t>
            </w:r>
          </w:p>
        </w:tc>
        <w:tc>
          <w:tcPr>
            <w:tcW w:w="640" w:type="dxa"/>
            <w:tcBorders>
              <w:top w:val="single" w:sz="4" w:space="0" w:color="000000"/>
              <w:left w:val="single" w:sz="4" w:space="0" w:color="000000"/>
              <w:bottom w:val="single" w:sz="4" w:space="0" w:color="000000"/>
              <w:right w:val="single" w:sz="4" w:space="0" w:color="000000"/>
            </w:tcBorders>
          </w:tcPr>
          <w:p w14:paraId="6E3D10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w:t>
            </w:r>
          </w:p>
        </w:tc>
        <w:tc>
          <w:tcPr>
            <w:tcW w:w="3510" w:type="dxa"/>
            <w:tcBorders>
              <w:top w:val="single" w:sz="4" w:space="0" w:color="000000"/>
              <w:left w:val="single" w:sz="4" w:space="0" w:color="000000"/>
              <w:bottom w:val="single" w:sz="4" w:space="0" w:color="000000"/>
              <w:right w:val="single" w:sz="4" w:space="0" w:color="000000"/>
            </w:tcBorders>
          </w:tcPr>
          <w:p w14:paraId="37A0EB1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Analyse, modélisation SysML et UML</w:t>
            </w:r>
          </w:p>
        </w:tc>
      </w:tr>
      <w:tr w:rsidR="00F50D70" w:rsidRPr="00BE4F47" w14:paraId="0A10CA99"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C2AEA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L3</w:t>
            </w:r>
          </w:p>
        </w:tc>
        <w:tc>
          <w:tcPr>
            <w:tcW w:w="3017" w:type="dxa"/>
            <w:tcBorders>
              <w:top w:val="single" w:sz="4" w:space="0" w:color="000000"/>
              <w:left w:val="single" w:sz="4" w:space="0" w:color="000000"/>
              <w:bottom w:val="single" w:sz="4" w:space="0" w:color="000000"/>
              <w:right w:val="single" w:sz="4" w:space="0" w:color="000000"/>
            </w:tcBorders>
          </w:tcPr>
          <w:p w14:paraId="5573C72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État de l’art, normes, codes et cadre réglementaire</w:t>
            </w:r>
          </w:p>
        </w:tc>
        <w:tc>
          <w:tcPr>
            <w:tcW w:w="823" w:type="dxa"/>
            <w:tcBorders>
              <w:top w:val="single" w:sz="4" w:space="0" w:color="000000"/>
              <w:left w:val="single" w:sz="4" w:space="0" w:color="000000"/>
              <w:bottom w:val="single" w:sz="4" w:space="0" w:color="000000"/>
              <w:right w:val="single" w:sz="4" w:space="0" w:color="000000"/>
            </w:tcBorders>
          </w:tcPr>
          <w:p w14:paraId="55AC37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86 h</w:t>
            </w:r>
          </w:p>
        </w:tc>
        <w:tc>
          <w:tcPr>
            <w:tcW w:w="640" w:type="dxa"/>
            <w:tcBorders>
              <w:top w:val="single" w:sz="4" w:space="0" w:color="000000"/>
              <w:left w:val="single" w:sz="4" w:space="0" w:color="000000"/>
              <w:bottom w:val="single" w:sz="4" w:space="0" w:color="000000"/>
              <w:right w:val="single" w:sz="4" w:space="0" w:color="000000"/>
            </w:tcBorders>
          </w:tcPr>
          <w:p w14:paraId="4AD542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8 %</w:t>
            </w:r>
          </w:p>
        </w:tc>
        <w:tc>
          <w:tcPr>
            <w:tcW w:w="3510" w:type="dxa"/>
            <w:tcBorders>
              <w:top w:val="single" w:sz="4" w:space="0" w:color="000000"/>
              <w:left w:val="single" w:sz="4" w:space="0" w:color="000000"/>
              <w:bottom w:val="single" w:sz="4" w:space="0" w:color="000000"/>
              <w:right w:val="single" w:sz="4" w:space="0" w:color="000000"/>
            </w:tcBorders>
          </w:tcPr>
          <w:p w14:paraId="726AE64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Recherche documentaire, veille normative</w:t>
            </w:r>
          </w:p>
        </w:tc>
      </w:tr>
      <w:tr w:rsidR="00F50D70" w:rsidRPr="00BE4F47" w14:paraId="1A2587E8"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13907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L4</w:t>
            </w:r>
          </w:p>
        </w:tc>
        <w:tc>
          <w:tcPr>
            <w:tcW w:w="3017" w:type="dxa"/>
            <w:tcBorders>
              <w:top w:val="single" w:sz="4" w:space="0" w:color="000000"/>
              <w:left w:val="single" w:sz="4" w:space="0" w:color="000000"/>
              <w:bottom w:val="single" w:sz="4" w:space="0" w:color="000000"/>
              <w:right w:val="single" w:sz="4" w:space="0" w:color="000000"/>
            </w:tcBorders>
          </w:tcPr>
          <w:p w14:paraId="43EF1F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Modélisation de la boucle et modèle de référence</w:t>
            </w:r>
          </w:p>
        </w:tc>
        <w:tc>
          <w:tcPr>
            <w:tcW w:w="823" w:type="dxa"/>
            <w:tcBorders>
              <w:top w:val="single" w:sz="4" w:space="0" w:color="000000"/>
              <w:left w:val="single" w:sz="4" w:space="0" w:color="000000"/>
              <w:bottom w:val="single" w:sz="4" w:space="0" w:color="000000"/>
              <w:right w:val="single" w:sz="4" w:space="0" w:color="000000"/>
            </w:tcBorders>
          </w:tcPr>
          <w:p w14:paraId="47A57F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162 h</w:t>
            </w:r>
          </w:p>
        </w:tc>
        <w:tc>
          <w:tcPr>
            <w:tcW w:w="640" w:type="dxa"/>
            <w:tcBorders>
              <w:top w:val="single" w:sz="4" w:space="0" w:color="000000"/>
              <w:left w:val="single" w:sz="4" w:space="0" w:color="000000"/>
              <w:bottom w:val="single" w:sz="4" w:space="0" w:color="000000"/>
              <w:right w:val="single" w:sz="4" w:space="0" w:color="000000"/>
            </w:tcBorders>
          </w:tcPr>
          <w:p w14:paraId="331F0FD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15 %</w:t>
            </w:r>
          </w:p>
        </w:tc>
        <w:tc>
          <w:tcPr>
            <w:tcW w:w="3510" w:type="dxa"/>
            <w:tcBorders>
              <w:top w:val="single" w:sz="4" w:space="0" w:color="000000"/>
              <w:left w:val="single" w:sz="4" w:space="0" w:color="000000"/>
              <w:bottom w:val="single" w:sz="4" w:space="0" w:color="000000"/>
              <w:right w:val="single" w:sz="4" w:space="0" w:color="000000"/>
            </w:tcBorders>
          </w:tcPr>
          <w:p w14:paraId="49B0AE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Thermodynamique, mécanique des fluides, Modelica</w:t>
            </w:r>
          </w:p>
        </w:tc>
      </w:tr>
      <w:tr w:rsidR="00F50D70" w:rsidRPr="00BE4F47" w14:paraId="57DA2FB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2CDB8E9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L5</w:t>
            </w:r>
          </w:p>
        </w:tc>
        <w:tc>
          <w:tcPr>
            <w:tcW w:w="3017" w:type="dxa"/>
            <w:tcBorders>
              <w:top w:val="single" w:sz="4" w:space="0" w:color="000000"/>
              <w:left w:val="single" w:sz="4" w:space="0" w:color="000000"/>
              <w:bottom w:val="single" w:sz="4" w:space="0" w:color="000000"/>
              <w:right w:val="single" w:sz="4" w:space="0" w:color="000000"/>
            </w:tcBorders>
          </w:tcPr>
          <w:p w14:paraId="7DFA49B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Architecture logicielle et cybersécurité</w:t>
            </w:r>
          </w:p>
        </w:tc>
        <w:tc>
          <w:tcPr>
            <w:tcW w:w="823" w:type="dxa"/>
            <w:tcBorders>
              <w:top w:val="single" w:sz="4" w:space="0" w:color="000000"/>
              <w:left w:val="single" w:sz="4" w:space="0" w:color="000000"/>
              <w:bottom w:val="single" w:sz="4" w:space="0" w:color="000000"/>
              <w:right w:val="single" w:sz="4" w:space="0" w:color="000000"/>
            </w:tcBorders>
          </w:tcPr>
          <w:p w14:paraId="05EACB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130 h</w:t>
            </w:r>
          </w:p>
        </w:tc>
        <w:tc>
          <w:tcPr>
            <w:tcW w:w="640" w:type="dxa"/>
            <w:tcBorders>
              <w:top w:val="single" w:sz="4" w:space="0" w:color="000000"/>
              <w:left w:val="single" w:sz="4" w:space="0" w:color="000000"/>
              <w:bottom w:val="single" w:sz="4" w:space="0" w:color="000000"/>
              <w:right w:val="single" w:sz="4" w:space="0" w:color="000000"/>
            </w:tcBorders>
          </w:tcPr>
          <w:p w14:paraId="1B9DD9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12 %</w:t>
            </w:r>
          </w:p>
        </w:tc>
        <w:tc>
          <w:tcPr>
            <w:tcW w:w="3510" w:type="dxa"/>
            <w:tcBorders>
              <w:top w:val="single" w:sz="4" w:space="0" w:color="000000"/>
              <w:left w:val="single" w:sz="4" w:space="0" w:color="000000"/>
              <w:bottom w:val="single" w:sz="4" w:space="0" w:color="000000"/>
              <w:right w:val="single" w:sz="4" w:space="0" w:color="000000"/>
            </w:tcBorders>
          </w:tcPr>
          <w:p w14:paraId="11ADE9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Architecture, réseaux, sécurité des systèmes industriels</w:t>
            </w:r>
          </w:p>
        </w:tc>
      </w:tr>
      <w:tr w:rsidR="00F50D70" w:rsidRPr="00BE4F47" w14:paraId="2DBD9551"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86555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L6</w:t>
            </w:r>
          </w:p>
        </w:tc>
        <w:tc>
          <w:tcPr>
            <w:tcW w:w="3017" w:type="dxa"/>
            <w:tcBorders>
              <w:top w:val="single" w:sz="4" w:space="0" w:color="000000"/>
              <w:left w:val="single" w:sz="4" w:space="0" w:color="000000"/>
              <w:bottom w:val="single" w:sz="4" w:space="0" w:color="000000"/>
              <w:right w:val="single" w:sz="4" w:space="0" w:color="000000"/>
            </w:tcBorders>
          </w:tcPr>
          <w:p w14:paraId="129956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Noyau de simulation et chaîne d’acquisition des données</w:t>
            </w:r>
          </w:p>
        </w:tc>
        <w:tc>
          <w:tcPr>
            <w:tcW w:w="823" w:type="dxa"/>
            <w:tcBorders>
              <w:top w:val="single" w:sz="4" w:space="0" w:color="000000"/>
              <w:left w:val="single" w:sz="4" w:space="0" w:color="000000"/>
              <w:bottom w:val="single" w:sz="4" w:space="0" w:color="000000"/>
              <w:right w:val="single" w:sz="4" w:space="0" w:color="000000"/>
            </w:tcBorders>
          </w:tcPr>
          <w:p w14:paraId="1F99C76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162 h</w:t>
            </w:r>
          </w:p>
        </w:tc>
        <w:tc>
          <w:tcPr>
            <w:tcW w:w="640" w:type="dxa"/>
            <w:tcBorders>
              <w:top w:val="single" w:sz="4" w:space="0" w:color="000000"/>
              <w:left w:val="single" w:sz="4" w:space="0" w:color="000000"/>
              <w:bottom w:val="single" w:sz="4" w:space="0" w:color="000000"/>
              <w:right w:val="single" w:sz="4" w:space="0" w:color="000000"/>
            </w:tcBorders>
          </w:tcPr>
          <w:p w14:paraId="698350A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15 %</w:t>
            </w:r>
          </w:p>
        </w:tc>
        <w:tc>
          <w:tcPr>
            <w:tcW w:w="3510" w:type="dxa"/>
            <w:tcBorders>
              <w:top w:val="single" w:sz="4" w:space="0" w:color="000000"/>
              <w:left w:val="single" w:sz="4" w:space="0" w:color="000000"/>
              <w:bottom w:val="single" w:sz="4" w:space="0" w:color="000000"/>
              <w:right w:val="single" w:sz="4" w:space="0" w:color="000000"/>
            </w:tcBorders>
          </w:tcPr>
          <w:p w14:paraId="6DBAAE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Génie logiciel, traitement du signal</w:t>
            </w:r>
          </w:p>
        </w:tc>
      </w:tr>
      <w:tr w:rsidR="00F50D70" w:rsidRPr="00BE4F47" w14:paraId="48E94732"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5D161A1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L7</w:t>
            </w:r>
          </w:p>
        </w:tc>
        <w:tc>
          <w:tcPr>
            <w:tcW w:w="3017" w:type="dxa"/>
            <w:tcBorders>
              <w:top w:val="single" w:sz="4" w:space="0" w:color="000000"/>
              <w:left w:val="single" w:sz="4" w:space="0" w:color="000000"/>
              <w:bottom w:val="single" w:sz="4" w:space="0" w:color="000000"/>
              <w:right w:val="single" w:sz="4" w:space="0" w:color="000000"/>
            </w:tcBorders>
          </w:tcPr>
          <w:p w14:paraId="33F2EF9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d’anomalies et quantification de l’incertitude</w:t>
            </w:r>
          </w:p>
        </w:tc>
        <w:tc>
          <w:tcPr>
            <w:tcW w:w="823" w:type="dxa"/>
            <w:tcBorders>
              <w:top w:val="single" w:sz="4" w:space="0" w:color="000000"/>
              <w:left w:val="single" w:sz="4" w:space="0" w:color="000000"/>
              <w:bottom w:val="single" w:sz="4" w:space="0" w:color="000000"/>
              <w:right w:val="single" w:sz="4" w:space="0" w:color="000000"/>
            </w:tcBorders>
          </w:tcPr>
          <w:p w14:paraId="09DF5A6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108 h</w:t>
            </w:r>
          </w:p>
        </w:tc>
        <w:tc>
          <w:tcPr>
            <w:tcW w:w="640" w:type="dxa"/>
            <w:tcBorders>
              <w:top w:val="single" w:sz="4" w:space="0" w:color="000000"/>
              <w:left w:val="single" w:sz="4" w:space="0" w:color="000000"/>
              <w:bottom w:val="single" w:sz="4" w:space="0" w:color="000000"/>
              <w:right w:val="single" w:sz="4" w:space="0" w:color="000000"/>
            </w:tcBorders>
          </w:tcPr>
          <w:p w14:paraId="589B67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w:t>
            </w:r>
          </w:p>
        </w:tc>
        <w:tc>
          <w:tcPr>
            <w:tcW w:w="3510" w:type="dxa"/>
            <w:tcBorders>
              <w:top w:val="single" w:sz="4" w:space="0" w:color="000000"/>
              <w:left w:val="single" w:sz="4" w:space="0" w:color="000000"/>
              <w:bottom w:val="single" w:sz="4" w:space="0" w:color="000000"/>
              <w:right w:val="single" w:sz="4" w:space="0" w:color="000000"/>
            </w:tcBorders>
          </w:tcPr>
          <w:p w14:paraId="5CE143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Statistique, apprentissage automatique</w:t>
            </w:r>
          </w:p>
        </w:tc>
      </w:tr>
      <w:tr w:rsidR="00F50D70" w:rsidRPr="00BE4F47" w14:paraId="08D8356A"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85D34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L8</w:t>
            </w:r>
          </w:p>
        </w:tc>
        <w:tc>
          <w:tcPr>
            <w:tcW w:w="3017" w:type="dxa"/>
            <w:tcBorders>
              <w:top w:val="single" w:sz="4" w:space="0" w:color="000000"/>
              <w:left w:val="single" w:sz="4" w:space="0" w:color="000000"/>
              <w:bottom w:val="single" w:sz="4" w:space="0" w:color="000000"/>
              <w:right w:val="single" w:sz="4" w:space="0" w:color="000000"/>
            </w:tcBorders>
          </w:tcPr>
          <w:p w14:paraId="6AA9D14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d’aide à la décision</w:t>
            </w:r>
          </w:p>
        </w:tc>
        <w:tc>
          <w:tcPr>
            <w:tcW w:w="823" w:type="dxa"/>
            <w:tcBorders>
              <w:top w:val="single" w:sz="4" w:space="0" w:color="000000"/>
              <w:left w:val="single" w:sz="4" w:space="0" w:color="000000"/>
              <w:bottom w:val="single" w:sz="4" w:space="0" w:color="000000"/>
              <w:right w:val="single" w:sz="4" w:space="0" w:color="000000"/>
            </w:tcBorders>
          </w:tcPr>
          <w:p w14:paraId="0FCEE8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86 h</w:t>
            </w:r>
          </w:p>
        </w:tc>
        <w:tc>
          <w:tcPr>
            <w:tcW w:w="640" w:type="dxa"/>
            <w:tcBorders>
              <w:top w:val="single" w:sz="4" w:space="0" w:color="000000"/>
              <w:left w:val="single" w:sz="4" w:space="0" w:color="000000"/>
              <w:bottom w:val="single" w:sz="4" w:space="0" w:color="000000"/>
              <w:right w:val="single" w:sz="4" w:space="0" w:color="000000"/>
            </w:tcBorders>
          </w:tcPr>
          <w:p w14:paraId="0FBAC1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8 %</w:t>
            </w:r>
          </w:p>
        </w:tc>
        <w:tc>
          <w:tcPr>
            <w:tcW w:w="3510" w:type="dxa"/>
            <w:tcBorders>
              <w:top w:val="single" w:sz="4" w:space="0" w:color="000000"/>
              <w:left w:val="single" w:sz="4" w:space="0" w:color="000000"/>
              <w:bottom w:val="single" w:sz="4" w:space="0" w:color="000000"/>
              <w:right w:val="single" w:sz="4" w:space="0" w:color="000000"/>
            </w:tcBorders>
          </w:tcPr>
          <w:p w14:paraId="0A94C86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homme-machine, facteurs humains</w:t>
            </w:r>
          </w:p>
        </w:tc>
      </w:tr>
      <w:tr w:rsidR="00F50D70" w:rsidRPr="00BE4F47" w14:paraId="681C747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985E6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L9</w:t>
            </w:r>
          </w:p>
        </w:tc>
        <w:tc>
          <w:tcPr>
            <w:tcW w:w="3017" w:type="dxa"/>
            <w:tcBorders>
              <w:top w:val="single" w:sz="4" w:space="0" w:color="000000"/>
              <w:left w:val="single" w:sz="4" w:space="0" w:color="000000"/>
              <w:bottom w:val="single" w:sz="4" w:space="0" w:color="000000"/>
              <w:right w:val="single" w:sz="4" w:space="0" w:color="000000"/>
            </w:tcBorders>
          </w:tcPr>
          <w:p w14:paraId="50F6B7C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Intégration, vérification, validation et campagne d’essais</w:t>
            </w:r>
          </w:p>
        </w:tc>
        <w:tc>
          <w:tcPr>
            <w:tcW w:w="823" w:type="dxa"/>
            <w:tcBorders>
              <w:top w:val="single" w:sz="4" w:space="0" w:color="000000"/>
              <w:left w:val="single" w:sz="4" w:space="0" w:color="000000"/>
              <w:bottom w:val="single" w:sz="4" w:space="0" w:color="000000"/>
              <w:right w:val="single" w:sz="4" w:space="0" w:color="000000"/>
            </w:tcBorders>
          </w:tcPr>
          <w:p w14:paraId="23F615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130 h</w:t>
            </w:r>
          </w:p>
        </w:tc>
        <w:tc>
          <w:tcPr>
            <w:tcW w:w="640" w:type="dxa"/>
            <w:tcBorders>
              <w:top w:val="single" w:sz="4" w:space="0" w:color="000000"/>
              <w:left w:val="single" w:sz="4" w:space="0" w:color="000000"/>
              <w:bottom w:val="single" w:sz="4" w:space="0" w:color="000000"/>
              <w:right w:val="single" w:sz="4" w:space="0" w:color="000000"/>
            </w:tcBorders>
          </w:tcPr>
          <w:p w14:paraId="32A5B9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12 %</w:t>
            </w:r>
          </w:p>
        </w:tc>
        <w:tc>
          <w:tcPr>
            <w:tcW w:w="3510" w:type="dxa"/>
            <w:tcBorders>
              <w:top w:val="single" w:sz="4" w:space="0" w:color="000000"/>
              <w:left w:val="single" w:sz="4" w:space="0" w:color="000000"/>
              <w:bottom w:val="single" w:sz="4" w:space="0" w:color="000000"/>
              <w:right w:val="single" w:sz="4" w:space="0" w:color="000000"/>
            </w:tcBorders>
          </w:tcPr>
          <w:p w14:paraId="1ACA90A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V&amp;V, plan d’expérience</w:t>
            </w:r>
          </w:p>
        </w:tc>
      </w:tr>
      <w:tr w:rsidR="00F50D70" w:rsidRPr="00BE4F47" w14:paraId="1C0C311C"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26ACE79A"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3017" w:type="dxa"/>
            <w:tcBorders>
              <w:top w:val="single" w:sz="4" w:space="0" w:color="000000"/>
              <w:left w:val="single" w:sz="4" w:space="0" w:color="000000"/>
              <w:bottom w:val="single" w:sz="4" w:space="0" w:color="000000"/>
              <w:right w:val="single" w:sz="4" w:space="0" w:color="000000"/>
            </w:tcBorders>
          </w:tcPr>
          <w:p w14:paraId="523DC7C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Total</w:t>
            </w:r>
          </w:p>
        </w:tc>
        <w:tc>
          <w:tcPr>
            <w:tcW w:w="823" w:type="dxa"/>
            <w:tcBorders>
              <w:top w:val="single" w:sz="4" w:space="0" w:color="000000"/>
              <w:left w:val="single" w:sz="4" w:space="0" w:color="000000"/>
              <w:bottom w:val="single" w:sz="4" w:space="0" w:color="000000"/>
              <w:right w:val="single" w:sz="4" w:space="0" w:color="000000"/>
            </w:tcBorders>
          </w:tcPr>
          <w:p w14:paraId="2725E6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1 080 h</w:t>
            </w:r>
          </w:p>
        </w:tc>
        <w:tc>
          <w:tcPr>
            <w:tcW w:w="640" w:type="dxa"/>
            <w:tcBorders>
              <w:top w:val="single" w:sz="4" w:space="0" w:color="000000"/>
              <w:left w:val="single" w:sz="4" w:space="0" w:color="000000"/>
              <w:bottom w:val="single" w:sz="4" w:space="0" w:color="000000"/>
              <w:right w:val="single" w:sz="4" w:space="0" w:color="000000"/>
            </w:tcBorders>
          </w:tcPr>
          <w:p w14:paraId="73F742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100 %</w:t>
            </w:r>
          </w:p>
        </w:tc>
        <w:tc>
          <w:tcPr>
            <w:tcW w:w="3510" w:type="dxa"/>
            <w:tcBorders>
              <w:top w:val="single" w:sz="4" w:space="0" w:color="000000"/>
              <w:left w:val="single" w:sz="4" w:space="0" w:color="000000"/>
              <w:bottom w:val="single" w:sz="4" w:space="0" w:color="000000"/>
              <w:right w:val="single" w:sz="4" w:space="0" w:color="000000"/>
            </w:tcBorders>
          </w:tcPr>
          <w:p w14:paraId="6FBF617F"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r>
    </w:tbl>
    <w:p w14:paraId="0B506A94" w14:textId="77777777" w:rsidR="00F50D70" w:rsidRPr="00B36301" w:rsidRDefault="00137D7F" w:rsidP="008E113B">
      <w:pPr>
        <w:pStyle w:val="Titre2"/>
        <w:spacing w:line="360" w:lineRule="auto"/>
      </w:pPr>
      <w:bookmarkStart w:id="892" w:name="_Toc241708006"/>
      <w:r w:rsidRPr="00B36301">
        <w:t>Ressources matérielles et d’infrastructure</w:t>
      </w:r>
      <w:bookmarkEnd w:id="892"/>
    </w:p>
    <w:p w14:paraId="27156172"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893" w:name="_Toc241083129"/>
      <w:bookmarkStart w:id="894" w:name="_Toc241670299"/>
      <w:bookmarkStart w:id="895" w:name="_Toc241708007"/>
      <w:r w:rsidRPr="00BE4F47">
        <w:rPr>
          <w:rFonts w:ascii="Aptos" w:hAnsi="Aptos"/>
          <w:color w:val="1A1A19"/>
          <w:sz w:val="20"/>
          <w:szCs w:val="20"/>
        </w:rPr>
        <w:t>Le projet est de nature logicielle. Il ne nécessite aucun achat d’équipement. Les ressources matérielles sont soit apportées par l’équipe, soit fournies par l’établissement.</w:t>
      </w:r>
      <w:bookmarkEnd w:id="893"/>
      <w:bookmarkEnd w:id="894"/>
      <w:bookmarkEnd w:id="895"/>
    </w:p>
    <w:p w14:paraId="7A48164C" w14:textId="77777777" w:rsidR="00F50D70" w:rsidRPr="00BE4F47" w:rsidRDefault="00137D7F" w:rsidP="008E113B">
      <w:pPr>
        <w:pStyle w:val="Lgende"/>
        <w:keepNext/>
        <w:spacing w:line="360" w:lineRule="auto"/>
        <w:rPr>
          <w:rFonts w:ascii="Aptos" w:hAnsi="Aptos"/>
        </w:rPr>
      </w:pPr>
      <w:bookmarkStart w:id="896" w:name="_Toc241083130"/>
      <w:bookmarkStart w:id="897" w:name="_Toc241670300"/>
      <w:bookmarkStart w:id="898" w:name="_Toc241708008"/>
      <w:r w:rsidRPr="00BE4F47">
        <w:rPr>
          <w:rFonts w:ascii="Aptos" w:hAnsi="Aptos"/>
        </w:rPr>
        <w:lastRenderedPageBreak/>
        <w:t>Tableau 8-3. Ressources matérielles et d’infrastructure</w:t>
      </w:r>
      <w:bookmarkEnd w:id="896"/>
      <w:bookmarkEnd w:id="897"/>
      <w:bookmarkEnd w:id="898"/>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3746"/>
        <w:gridCol w:w="696"/>
        <w:gridCol w:w="2103"/>
        <w:gridCol w:w="2012"/>
      </w:tblGrid>
      <w:tr w:rsidR="00F50D70" w:rsidRPr="00BE4F47" w14:paraId="4E1C65CC" w14:textId="77777777">
        <w:trPr>
          <w:tblHeader/>
        </w:trPr>
        <w:tc>
          <w:tcPr>
            <w:tcW w:w="3746" w:type="dxa"/>
            <w:tcBorders>
              <w:top w:val="single" w:sz="4" w:space="0" w:color="000000"/>
              <w:left w:val="single" w:sz="4" w:space="0" w:color="000000"/>
              <w:bottom w:val="single" w:sz="4" w:space="0" w:color="000000"/>
              <w:right w:val="single" w:sz="4" w:space="0" w:color="000000"/>
            </w:tcBorders>
            <w:shd w:val="clear" w:color="auto" w:fill="EFF4FB"/>
          </w:tcPr>
          <w:p w14:paraId="3A8C51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Ressource</w:t>
            </w:r>
          </w:p>
        </w:tc>
        <w:tc>
          <w:tcPr>
            <w:tcW w:w="696" w:type="dxa"/>
            <w:tcBorders>
              <w:top w:val="single" w:sz="4" w:space="0" w:color="000000"/>
              <w:left w:val="single" w:sz="4" w:space="0" w:color="000000"/>
              <w:bottom w:val="single" w:sz="4" w:space="0" w:color="000000"/>
              <w:right w:val="single" w:sz="4" w:space="0" w:color="000000"/>
            </w:tcBorders>
            <w:shd w:val="clear" w:color="auto" w:fill="EFF4FB"/>
          </w:tcPr>
          <w:p w14:paraId="341317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Qté</w:t>
            </w:r>
          </w:p>
        </w:tc>
        <w:tc>
          <w:tcPr>
            <w:tcW w:w="2103" w:type="dxa"/>
            <w:tcBorders>
              <w:top w:val="single" w:sz="4" w:space="0" w:color="000000"/>
              <w:left w:val="single" w:sz="4" w:space="0" w:color="000000"/>
              <w:bottom w:val="single" w:sz="4" w:space="0" w:color="000000"/>
              <w:right w:val="single" w:sz="4" w:space="0" w:color="000000"/>
            </w:tcBorders>
            <w:shd w:val="clear" w:color="auto" w:fill="EFF4FB"/>
          </w:tcPr>
          <w:p w14:paraId="5B66F5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Provenance</w:t>
            </w:r>
          </w:p>
        </w:tc>
        <w:tc>
          <w:tcPr>
            <w:tcW w:w="2012" w:type="dxa"/>
            <w:tcBorders>
              <w:top w:val="single" w:sz="4" w:space="0" w:color="000000"/>
              <w:left w:val="single" w:sz="4" w:space="0" w:color="000000"/>
              <w:bottom w:val="single" w:sz="4" w:space="0" w:color="000000"/>
              <w:right w:val="single" w:sz="4" w:space="0" w:color="000000"/>
            </w:tcBorders>
            <w:shd w:val="clear" w:color="auto" w:fill="EFF4FB"/>
          </w:tcPr>
          <w:p w14:paraId="17DE81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Coût imputé au mandat</w:t>
            </w:r>
          </w:p>
        </w:tc>
      </w:tr>
      <w:tr w:rsidR="00F50D70" w:rsidRPr="00BE4F47" w14:paraId="7E6F2B7E"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327A14B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Postes de travail des membres</w:t>
            </w:r>
          </w:p>
        </w:tc>
        <w:tc>
          <w:tcPr>
            <w:tcW w:w="696" w:type="dxa"/>
            <w:tcBorders>
              <w:top w:val="single" w:sz="4" w:space="0" w:color="000000"/>
              <w:left w:val="single" w:sz="4" w:space="0" w:color="000000"/>
              <w:bottom w:val="single" w:sz="4" w:space="0" w:color="000000"/>
              <w:right w:val="single" w:sz="4" w:space="0" w:color="000000"/>
            </w:tcBorders>
          </w:tcPr>
          <w:p w14:paraId="107936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w:t>
            </w:r>
          </w:p>
        </w:tc>
        <w:tc>
          <w:tcPr>
            <w:tcW w:w="2103" w:type="dxa"/>
            <w:tcBorders>
              <w:top w:val="single" w:sz="4" w:space="0" w:color="000000"/>
              <w:left w:val="single" w:sz="4" w:space="0" w:color="000000"/>
              <w:bottom w:val="single" w:sz="4" w:space="0" w:color="000000"/>
              <w:right w:val="single" w:sz="4" w:space="0" w:color="000000"/>
            </w:tcBorders>
          </w:tcPr>
          <w:p w14:paraId="15202EB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Apport de l’équipe</w:t>
            </w:r>
          </w:p>
        </w:tc>
        <w:tc>
          <w:tcPr>
            <w:tcW w:w="2012" w:type="dxa"/>
            <w:tcBorders>
              <w:top w:val="single" w:sz="4" w:space="0" w:color="000000"/>
              <w:left w:val="single" w:sz="4" w:space="0" w:color="000000"/>
              <w:bottom w:val="single" w:sz="4" w:space="0" w:color="000000"/>
              <w:right w:val="single" w:sz="4" w:space="0" w:color="000000"/>
            </w:tcBorders>
          </w:tcPr>
          <w:p w14:paraId="0EAC2E0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 amortissement à déclarer</w:t>
            </w:r>
          </w:p>
        </w:tc>
      </w:tr>
      <w:tr w:rsidR="00F50D70" w:rsidRPr="00BE4F47" w14:paraId="7C2DE308"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09E4764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Station de calcul pour les simulations longues</w:t>
            </w:r>
          </w:p>
        </w:tc>
        <w:tc>
          <w:tcPr>
            <w:tcW w:w="696" w:type="dxa"/>
            <w:tcBorders>
              <w:top w:val="single" w:sz="4" w:space="0" w:color="000000"/>
              <w:left w:val="single" w:sz="4" w:space="0" w:color="000000"/>
              <w:bottom w:val="single" w:sz="4" w:space="0" w:color="000000"/>
              <w:right w:val="single" w:sz="4" w:space="0" w:color="000000"/>
            </w:tcBorders>
          </w:tcPr>
          <w:p w14:paraId="1C99BAF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w:t>
            </w:r>
          </w:p>
        </w:tc>
        <w:tc>
          <w:tcPr>
            <w:tcW w:w="2103" w:type="dxa"/>
            <w:tcBorders>
              <w:top w:val="single" w:sz="4" w:space="0" w:color="000000"/>
              <w:left w:val="single" w:sz="4" w:space="0" w:color="000000"/>
              <w:bottom w:val="single" w:sz="4" w:space="0" w:color="000000"/>
              <w:right w:val="single" w:sz="4" w:space="0" w:color="000000"/>
            </w:tcBorders>
          </w:tcPr>
          <w:p w14:paraId="50A73C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Laboratoire de l’UQAC (H-06)</w:t>
            </w:r>
          </w:p>
        </w:tc>
        <w:tc>
          <w:tcPr>
            <w:tcW w:w="2012" w:type="dxa"/>
            <w:tcBorders>
              <w:top w:val="single" w:sz="4" w:space="0" w:color="000000"/>
              <w:left w:val="single" w:sz="4" w:space="0" w:color="000000"/>
              <w:bottom w:val="single" w:sz="4" w:space="0" w:color="000000"/>
              <w:right w:val="single" w:sz="4" w:space="0" w:color="000000"/>
            </w:tcBorders>
          </w:tcPr>
          <w:p w14:paraId="3AD4437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r w:rsidR="00F50D70" w:rsidRPr="00BE4F47" w14:paraId="1B08D6F8"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076B94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Environnement de virtualisation pour l’essai de segmentation réseau : deux machines virtuelles et un pare-feu logiciel</w:t>
            </w:r>
          </w:p>
        </w:tc>
        <w:tc>
          <w:tcPr>
            <w:tcW w:w="696" w:type="dxa"/>
            <w:tcBorders>
              <w:top w:val="single" w:sz="4" w:space="0" w:color="000000"/>
              <w:left w:val="single" w:sz="4" w:space="0" w:color="000000"/>
              <w:bottom w:val="single" w:sz="4" w:space="0" w:color="000000"/>
              <w:right w:val="single" w:sz="4" w:space="0" w:color="000000"/>
            </w:tcBorders>
          </w:tcPr>
          <w:p w14:paraId="45396AA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w:t>
            </w:r>
          </w:p>
        </w:tc>
        <w:tc>
          <w:tcPr>
            <w:tcW w:w="2103" w:type="dxa"/>
            <w:tcBorders>
              <w:top w:val="single" w:sz="4" w:space="0" w:color="000000"/>
              <w:left w:val="single" w:sz="4" w:space="0" w:color="000000"/>
              <w:bottom w:val="single" w:sz="4" w:space="0" w:color="000000"/>
              <w:right w:val="single" w:sz="4" w:space="0" w:color="000000"/>
            </w:tcBorders>
          </w:tcPr>
          <w:p w14:paraId="46BD2FC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Poste existant</w:t>
            </w:r>
          </w:p>
        </w:tc>
        <w:tc>
          <w:tcPr>
            <w:tcW w:w="2012" w:type="dxa"/>
            <w:tcBorders>
              <w:top w:val="single" w:sz="4" w:space="0" w:color="000000"/>
              <w:left w:val="single" w:sz="4" w:space="0" w:color="000000"/>
              <w:bottom w:val="single" w:sz="4" w:space="0" w:color="000000"/>
              <w:right w:val="single" w:sz="4" w:space="0" w:color="000000"/>
            </w:tcBorders>
          </w:tcPr>
          <w:p w14:paraId="62DEDE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r w:rsidR="00F50D70" w:rsidRPr="00BE4F47" w14:paraId="2B6B1321"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3D2B9E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de code versionné et sauvegarde hors poste</w:t>
            </w:r>
          </w:p>
        </w:tc>
        <w:tc>
          <w:tcPr>
            <w:tcW w:w="696" w:type="dxa"/>
            <w:tcBorders>
              <w:top w:val="single" w:sz="4" w:space="0" w:color="000000"/>
              <w:left w:val="single" w:sz="4" w:space="0" w:color="000000"/>
              <w:bottom w:val="single" w:sz="4" w:space="0" w:color="000000"/>
              <w:right w:val="single" w:sz="4" w:space="0" w:color="000000"/>
            </w:tcBorders>
          </w:tcPr>
          <w:p w14:paraId="4D7A7C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w:t>
            </w:r>
          </w:p>
        </w:tc>
        <w:tc>
          <w:tcPr>
            <w:tcW w:w="2103" w:type="dxa"/>
            <w:tcBorders>
              <w:top w:val="single" w:sz="4" w:space="0" w:color="000000"/>
              <w:left w:val="single" w:sz="4" w:space="0" w:color="000000"/>
              <w:bottom w:val="single" w:sz="4" w:space="0" w:color="000000"/>
              <w:right w:val="single" w:sz="4" w:space="0" w:color="000000"/>
            </w:tcBorders>
          </w:tcPr>
          <w:p w14:paraId="6EF4AF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Service institutionnel</w:t>
            </w:r>
          </w:p>
        </w:tc>
        <w:tc>
          <w:tcPr>
            <w:tcW w:w="2012" w:type="dxa"/>
            <w:tcBorders>
              <w:top w:val="single" w:sz="4" w:space="0" w:color="000000"/>
              <w:left w:val="single" w:sz="4" w:space="0" w:color="000000"/>
              <w:bottom w:val="single" w:sz="4" w:space="0" w:color="000000"/>
              <w:right w:val="single" w:sz="4" w:space="0" w:color="000000"/>
            </w:tcBorders>
          </w:tcPr>
          <w:p w14:paraId="3C051E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r w:rsidR="00F50D70" w:rsidRPr="00BE4F47" w14:paraId="79551FE1"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45C9B3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Local de réunion et salle de laboratoire</w:t>
            </w:r>
          </w:p>
        </w:tc>
        <w:tc>
          <w:tcPr>
            <w:tcW w:w="696" w:type="dxa"/>
            <w:tcBorders>
              <w:top w:val="single" w:sz="4" w:space="0" w:color="000000"/>
              <w:left w:val="single" w:sz="4" w:space="0" w:color="000000"/>
              <w:bottom w:val="single" w:sz="4" w:space="0" w:color="000000"/>
              <w:right w:val="single" w:sz="4" w:space="0" w:color="000000"/>
            </w:tcBorders>
          </w:tcPr>
          <w:p w14:paraId="65E6E0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2103" w:type="dxa"/>
            <w:tcBorders>
              <w:top w:val="single" w:sz="4" w:space="0" w:color="000000"/>
              <w:left w:val="single" w:sz="4" w:space="0" w:color="000000"/>
              <w:bottom w:val="single" w:sz="4" w:space="0" w:color="000000"/>
              <w:right w:val="single" w:sz="4" w:space="0" w:color="000000"/>
            </w:tcBorders>
          </w:tcPr>
          <w:p w14:paraId="6537B6F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UQAC</w:t>
            </w:r>
          </w:p>
        </w:tc>
        <w:tc>
          <w:tcPr>
            <w:tcW w:w="2012" w:type="dxa"/>
            <w:tcBorders>
              <w:top w:val="single" w:sz="4" w:space="0" w:color="000000"/>
              <w:left w:val="single" w:sz="4" w:space="0" w:color="000000"/>
              <w:bottom w:val="single" w:sz="4" w:space="0" w:color="000000"/>
              <w:right w:val="single" w:sz="4" w:space="0" w:color="000000"/>
            </w:tcBorders>
          </w:tcPr>
          <w:p w14:paraId="25744A5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bl>
    <w:p w14:paraId="2733FF7D" w14:textId="77777777" w:rsidR="00F50D70" w:rsidRPr="00B36301" w:rsidRDefault="00137D7F" w:rsidP="008E113B">
      <w:pPr>
        <w:pStyle w:val="Titre2"/>
        <w:spacing w:line="360" w:lineRule="auto"/>
      </w:pPr>
      <w:bookmarkStart w:id="899" w:name="_Toc241708009"/>
      <w:r w:rsidRPr="00B36301">
        <w:t>Ressources logicielles envisagées</w:t>
      </w:r>
      <w:bookmarkEnd w:id="899"/>
    </w:p>
    <w:p w14:paraId="0FD8370A" w14:textId="77777777" w:rsidR="00F50D70" w:rsidRPr="00BE4F47" w:rsidRDefault="00137D7F" w:rsidP="008E113B">
      <w:pPr>
        <w:spacing w:before="200" w:after="130" w:line="360" w:lineRule="auto"/>
        <w:ind w:left="360"/>
        <w:outlineLvl w:val="9"/>
        <w:rPr>
          <w:rFonts w:ascii="Aptos" w:eastAsia="Calibri" w:hAnsi="Aptos" w:cs="Calibri"/>
          <w:color w:val="1A1A19"/>
          <w:sz w:val="20"/>
          <w:szCs w:val="20"/>
          <w:lang w:val="fr-FR"/>
        </w:rPr>
      </w:pPr>
      <w:r w:rsidRPr="00BE4F47">
        <w:rPr>
          <w:rFonts w:ascii="Aptos" w:hAnsi="Aptos"/>
          <w:color w:val="1A1A19"/>
          <w:sz w:val="20"/>
          <w:szCs w:val="20"/>
        </w:rPr>
        <w:t>Les outils envisagés le sont pour trois raisons : ils sont libres ou déjà licenciés ; ils reposent sur des formalismes normalisés plutôt que sur des solutions propriétaires ; ils permettent de reproduire les résultats, ce qu’exige EX-F-02.</w:t>
      </w:r>
    </w:p>
    <w:p w14:paraId="74C43BD1" w14:textId="77777777" w:rsidR="00F50D70" w:rsidRPr="00BE4F47" w:rsidRDefault="00137D7F" w:rsidP="008E113B">
      <w:pPr>
        <w:spacing w:after="130" w:line="360" w:lineRule="auto"/>
        <w:ind w:left="360"/>
        <w:rPr>
          <w:rFonts w:ascii="Aptos" w:eastAsia="Calibri" w:hAnsi="Aptos" w:cs="Calibri"/>
          <w:color w:val="1A1A19"/>
          <w:sz w:val="20"/>
          <w:szCs w:val="20"/>
          <w:lang w:val="fr-FR"/>
        </w:rPr>
      </w:pPr>
      <w:bookmarkStart w:id="900" w:name="_Toc241083132"/>
      <w:bookmarkStart w:id="901" w:name="_Toc241670302"/>
      <w:bookmarkStart w:id="902" w:name="_Toc241708010"/>
      <w:r w:rsidRPr="00BE4F47">
        <w:rPr>
          <w:rFonts w:ascii="Aptos" w:hAnsi="Aptos"/>
          <w:color w:val="1A1A19"/>
          <w:sz w:val="20"/>
          <w:szCs w:val="20"/>
        </w:rPr>
        <w:t>Les outils listés ci-dessous sont l’hypothèse de travail retenue pour chiffrer le mandat. Ce n’est pas un choix de conception : la sélection définitive appartiendra à la conception préliminaire, au jalon J2. La revue de l’état de l’art de la section 5 constate l’état des pratiques et renvoie ici. Toute modification passe par une tâche marquée « changement » au dépôt, selon la section 4.4.</w:t>
      </w:r>
      <w:bookmarkEnd w:id="900"/>
      <w:bookmarkEnd w:id="901"/>
      <w:bookmarkEnd w:id="902"/>
    </w:p>
    <w:p w14:paraId="21211EED" w14:textId="77777777" w:rsidR="00F50D70" w:rsidRPr="00BE4F47" w:rsidRDefault="00137D7F" w:rsidP="008E113B">
      <w:pPr>
        <w:pStyle w:val="Lgende"/>
        <w:keepNext/>
        <w:spacing w:line="360" w:lineRule="auto"/>
        <w:rPr>
          <w:rFonts w:ascii="Aptos" w:hAnsi="Aptos"/>
        </w:rPr>
      </w:pPr>
      <w:bookmarkStart w:id="903" w:name="_Toc241083133"/>
      <w:bookmarkStart w:id="904" w:name="_Toc241670303"/>
      <w:bookmarkStart w:id="905" w:name="_Toc241708011"/>
      <w:r w:rsidRPr="00BE4F47">
        <w:rPr>
          <w:rFonts w:ascii="Aptos" w:hAnsi="Aptos"/>
        </w:rPr>
        <w:t>Tableau 8-4. Ressources logicielles envisagées</w:t>
      </w:r>
      <w:bookmarkEnd w:id="903"/>
      <w:bookmarkEnd w:id="904"/>
      <w:bookmarkEnd w:id="905"/>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2011"/>
        <w:gridCol w:w="2560"/>
        <w:gridCol w:w="3986"/>
      </w:tblGrid>
      <w:tr w:rsidR="00F50D70" w:rsidRPr="00BE4F47" w14:paraId="3F747CC4" w14:textId="77777777">
        <w:trPr>
          <w:tblHeader/>
        </w:trPr>
        <w:tc>
          <w:tcPr>
            <w:tcW w:w="2011" w:type="dxa"/>
            <w:tcBorders>
              <w:top w:val="single" w:sz="4" w:space="0" w:color="000000"/>
              <w:left w:val="single" w:sz="4" w:space="0" w:color="000000"/>
              <w:bottom w:val="single" w:sz="4" w:space="0" w:color="000000"/>
              <w:right w:val="single" w:sz="4" w:space="0" w:color="000000"/>
            </w:tcBorders>
            <w:shd w:val="clear" w:color="auto" w:fill="EFF4FB"/>
          </w:tcPr>
          <w:p w14:paraId="0EAC372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Fonction</w:t>
            </w:r>
          </w:p>
        </w:tc>
        <w:tc>
          <w:tcPr>
            <w:tcW w:w="2560" w:type="dxa"/>
            <w:tcBorders>
              <w:top w:val="single" w:sz="4" w:space="0" w:color="000000"/>
              <w:left w:val="single" w:sz="4" w:space="0" w:color="000000"/>
              <w:bottom w:val="single" w:sz="4" w:space="0" w:color="000000"/>
              <w:right w:val="single" w:sz="4" w:space="0" w:color="000000"/>
            </w:tcBorders>
            <w:shd w:val="clear" w:color="auto" w:fill="EFF4FB"/>
          </w:tcPr>
          <w:p w14:paraId="7FCB95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Outil envisagé</w:t>
            </w:r>
          </w:p>
        </w:tc>
        <w:tc>
          <w:tcPr>
            <w:tcW w:w="3986" w:type="dxa"/>
            <w:tcBorders>
              <w:top w:val="single" w:sz="4" w:space="0" w:color="000000"/>
              <w:left w:val="single" w:sz="4" w:space="0" w:color="000000"/>
              <w:bottom w:val="single" w:sz="4" w:space="0" w:color="000000"/>
              <w:right w:val="single" w:sz="4" w:space="0" w:color="000000"/>
            </w:tcBorders>
            <w:shd w:val="clear" w:color="auto" w:fill="EFF4FB"/>
          </w:tcPr>
          <w:p w14:paraId="404559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Justification</w:t>
            </w:r>
          </w:p>
        </w:tc>
      </w:tr>
      <w:tr w:rsidR="00F50D70" w:rsidRPr="00BE4F47" w14:paraId="08D4DCDB"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72E339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Modélisation de la boucle thermohydraulique</w:t>
            </w:r>
          </w:p>
        </w:tc>
        <w:tc>
          <w:tcPr>
            <w:tcW w:w="2560" w:type="dxa"/>
            <w:tcBorders>
              <w:top w:val="single" w:sz="4" w:space="0" w:color="000000"/>
              <w:left w:val="single" w:sz="4" w:space="0" w:color="000000"/>
              <w:bottom w:val="single" w:sz="4" w:space="0" w:color="000000"/>
              <w:right w:val="single" w:sz="4" w:space="0" w:color="000000"/>
            </w:tcBorders>
          </w:tcPr>
          <w:p w14:paraId="12193CF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OpenModelica avec les bibliothèques Modelica.Fluid ou ThermoPower. Variante : MATLAB, Simulink et Simscape Fluids sous licence académique</w:t>
            </w:r>
          </w:p>
        </w:tc>
        <w:tc>
          <w:tcPr>
            <w:tcW w:w="3986" w:type="dxa"/>
            <w:tcBorders>
              <w:top w:val="single" w:sz="4" w:space="0" w:color="000000"/>
              <w:left w:val="single" w:sz="4" w:space="0" w:color="000000"/>
              <w:bottom w:val="single" w:sz="4" w:space="0" w:color="000000"/>
              <w:right w:val="single" w:sz="4" w:space="0" w:color="000000"/>
            </w:tcBorders>
          </w:tcPr>
          <w:p w14:paraId="6D44F0C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Modelica est un langage de modélisation normalisé à équations acausales, conçu pour les réseaux fluidiques et thermiques. Il permet d’exprimer directement les bilans de masse et d’énergie. Cet emploi satisfait l’article 2 (1°) de la Loi sur les ingénieurs [19].</w:t>
            </w:r>
          </w:p>
        </w:tc>
      </w:tr>
      <w:tr w:rsidR="00F50D70" w:rsidRPr="00BE4F47" w14:paraId="712C725C"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69296E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Noyau du jumeau, traitement et détection</w:t>
            </w:r>
          </w:p>
        </w:tc>
        <w:tc>
          <w:tcPr>
            <w:tcW w:w="2560" w:type="dxa"/>
            <w:tcBorders>
              <w:top w:val="single" w:sz="4" w:space="0" w:color="000000"/>
              <w:left w:val="single" w:sz="4" w:space="0" w:color="000000"/>
              <w:bottom w:val="single" w:sz="4" w:space="0" w:color="000000"/>
              <w:right w:val="single" w:sz="4" w:space="0" w:color="000000"/>
            </w:tcBorders>
          </w:tcPr>
          <w:p w14:paraId="75863C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Python 3 avec NumPy, SciPy, pandas et scikit-learn</w:t>
            </w:r>
          </w:p>
        </w:tc>
        <w:tc>
          <w:tcPr>
            <w:tcW w:w="3986" w:type="dxa"/>
            <w:tcBorders>
              <w:top w:val="single" w:sz="4" w:space="0" w:color="000000"/>
              <w:left w:val="single" w:sz="4" w:space="0" w:color="000000"/>
              <w:bottom w:val="single" w:sz="4" w:space="0" w:color="000000"/>
              <w:right w:val="single" w:sz="4" w:space="0" w:color="000000"/>
            </w:tcBorders>
          </w:tcPr>
          <w:p w14:paraId="39BBB5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Écosystème mature, licences permissives, résultats reproductibles. Lots L6 et L7.</w:t>
            </w:r>
          </w:p>
        </w:tc>
      </w:tr>
      <w:tr w:rsidR="00F50D70" w:rsidRPr="00BE4F47" w14:paraId="5E6373F9"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512C2A1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d’échange de données</w:t>
            </w:r>
          </w:p>
        </w:tc>
        <w:tc>
          <w:tcPr>
            <w:tcW w:w="2560" w:type="dxa"/>
            <w:tcBorders>
              <w:top w:val="single" w:sz="4" w:space="0" w:color="000000"/>
              <w:left w:val="single" w:sz="4" w:space="0" w:color="000000"/>
              <w:bottom w:val="single" w:sz="4" w:space="0" w:color="000000"/>
              <w:right w:val="single" w:sz="4" w:space="0" w:color="000000"/>
            </w:tcBorders>
          </w:tcPr>
          <w:p w14:paraId="2658433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OPC UA (IEC 62541 [46]) ou MQTT</w:t>
            </w:r>
          </w:p>
        </w:tc>
        <w:tc>
          <w:tcPr>
            <w:tcW w:w="3986" w:type="dxa"/>
            <w:tcBorders>
              <w:top w:val="single" w:sz="4" w:space="0" w:color="000000"/>
              <w:left w:val="single" w:sz="4" w:space="0" w:color="000000"/>
              <w:bottom w:val="single" w:sz="4" w:space="0" w:color="000000"/>
              <w:right w:val="single" w:sz="4" w:space="0" w:color="000000"/>
            </w:tcBorders>
          </w:tcPr>
          <w:p w14:paraId="2317AD6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OPC UA est la norme d’interopérabilité de l’instrumentation industrielle. Une interface normalisée facilite la séparation stricte exigée entre le jumeau et les fonctions de commande (exigence EX-F-08).</w:t>
            </w:r>
          </w:p>
        </w:tc>
      </w:tr>
      <w:tr w:rsidR="00F50D70" w:rsidRPr="00BE4F47" w14:paraId="59B8004C"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2864FC7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Historisation des mesures et des états</w:t>
            </w:r>
          </w:p>
        </w:tc>
        <w:tc>
          <w:tcPr>
            <w:tcW w:w="2560" w:type="dxa"/>
            <w:tcBorders>
              <w:top w:val="single" w:sz="4" w:space="0" w:color="000000"/>
              <w:left w:val="single" w:sz="4" w:space="0" w:color="000000"/>
              <w:bottom w:val="single" w:sz="4" w:space="0" w:color="000000"/>
              <w:right w:val="single" w:sz="4" w:space="0" w:color="000000"/>
            </w:tcBorders>
          </w:tcPr>
          <w:p w14:paraId="45360F0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InfluxDB ou SQLite</w:t>
            </w:r>
          </w:p>
        </w:tc>
        <w:tc>
          <w:tcPr>
            <w:tcW w:w="3986" w:type="dxa"/>
            <w:tcBorders>
              <w:top w:val="single" w:sz="4" w:space="0" w:color="000000"/>
              <w:left w:val="single" w:sz="4" w:space="0" w:color="000000"/>
              <w:bottom w:val="single" w:sz="4" w:space="0" w:color="000000"/>
              <w:right w:val="single" w:sz="4" w:space="0" w:color="000000"/>
            </w:tcBorders>
          </w:tcPr>
          <w:p w14:paraId="45EABF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Traçabilité horodatée des essais, exigée par EX-F-10 et par la V&amp;V.</w:t>
            </w:r>
          </w:p>
        </w:tc>
      </w:tr>
      <w:tr w:rsidR="00F50D70" w:rsidRPr="00BE4F47" w14:paraId="52CE292F"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02F03BB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d’aide à la décision</w:t>
            </w:r>
          </w:p>
        </w:tc>
        <w:tc>
          <w:tcPr>
            <w:tcW w:w="2560" w:type="dxa"/>
            <w:tcBorders>
              <w:top w:val="single" w:sz="4" w:space="0" w:color="000000"/>
              <w:left w:val="single" w:sz="4" w:space="0" w:color="000000"/>
              <w:bottom w:val="single" w:sz="4" w:space="0" w:color="000000"/>
              <w:right w:val="single" w:sz="4" w:space="0" w:color="000000"/>
            </w:tcBorders>
          </w:tcPr>
          <w:p w14:paraId="553019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Plotly Dash ou Grafana</w:t>
            </w:r>
          </w:p>
        </w:tc>
        <w:tc>
          <w:tcPr>
            <w:tcW w:w="3986" w:type="dxa"/>
            <w:tcBorders>
              <w:top w:val="single" w:sz="4" w:space="0" w:color="000000"/>
              <w:left w:val="single" w:sz="4" w:space="0" w:color="000000"/>
              <w:bottom w:val="single" w:sz="4" w:space="0" w:color="000000"/>
              <w:right w:val="single" w:sz="4" w:space="0" w:color="000000"/>
            </w:tcBorders>
          </w:tcPr>
          <w:p w14:paraId="314C2F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Permet d’afficher l’état estimé, les variables contributives et l’indice de confiance sans développer une interface complète. Exigences EX-F-04, EX-F-05 et EX-F-07.</w:t>
            </w:r>
          </w:p>
        </w:tc>
      </w:tr>
      <w:tr w:rsidR="00F50D70" w:rsidRPr="00BE4F47" w14:paraId="139571E5"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4A0EDD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 configuration</w:t>
            </w:r>
          </w:p>
        </w:tc>
        <w:tc>
          <w:tcPr>
            <w:tcW w:w="2560" w:type="dxa"/>
            <w:tcBorders>
              <w:top w:val="single" w:sz="4" w:space="0" w:color="000000"/>
              <w:left w:val="single" w:sz="4" w:space="0" w:color="000000"/>
              <w:bottom w:val="single" w:sz="4" w:space="0" w:color="000000"/>
              <w:right w:val="single" w:sz="4" w:space="0" w:color="000000"/>
            </w:tcBorders>
          </w:tcPr>
          <w:p w14:paraId="375046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Git avec dépôt distant</w:t>
            </w:r>
          </w:p>
        </w:tc>
        <w:tc>
          <w:tcPr>
            <w:tcW w:w="3986" w:type="dxa"/>
            <w:tcBorders>
              <w:top w:val="single" w:sz="4" w:space="0" w:color="000000"/>
              <w:left w:val="single" w:sz="4" w:space="0" w:color="000000"/>
              <w:bottom w:val="single" w:sz="4" w:space="0" w:color="000000"/>
              <w:right w:val="single" w:sz="4" w:space="0" w:color="000000"/>
            </w:tcBorders>
          </w:tcPr>
          <w:p w14:paraId="1D9C632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Chaque résultat d’essai doit être rattachable à une version précise du modèle. Sans cela, la validation n’est pas reproductible. Cet outil est la base de la stratégie de contrôle des versions de la section 4.</w:t>
            </w:r>
          </w:p>
        </w:tc>
      </w:tr>
      <w:tr w:rsidR="00F50D70" w:rsidRPr="00BE4F47" w14:paraId="286193AF"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673F08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Reproductibilité de l’environnement</w:t>
            </w:r>
          </w:p>
        </w:tc>
        <w:tc>
          <w:tcPr>
            <w:tcW w:w="2560" w:type="dxa"/>
            <w:tcBorders>
              <w:top w:val="single" w:sz="4" w:space="0" w:color="000000"/>
              <w:left w:val="single" w:sz="4" w:space="0" w:color="000000"/>
              <w:bottom w:val="single" w:sz="4" w:space="0" w:color="000000"/>
              <w:right w:val="single" w:sz="4" w:space="0" w:color="000000"/>
            </w:tcBorders>
          </w:tcPr>
          <w:p w14:paraId="783CAE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Docker</w:t>
            </w:r>
          </w:p>
        </w:tc>
        <w:tc>
          <w:tcPr>
            <w:tcW w:w="3986" w:type="dxa"/>
            <w:tcBorders>
              <w:top w:val="single" w:sz="4" w:space="0" w:color="000000"/>
              <w:left w:val="single" w:sz="4" w:space="0" w:color="000000"/>
              <w:bottom w:val="single" w:sz="4" w:space="0" w:color="000000"/>
              <w:right w:val="single" w:sz="4" w:space="0" w:color="000000"/>
            </w:tcBorders>
          </w:tcPr>
          <w:p w14:paraId="4AF808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Fige les versions des bibliothèques. Un essai rejoué six semaines plus tard doit donner le même résultat. Contribue à l’exigence EX-Q-05.</w:t>
            </w:r>
          </w:p>
        </w:tc>
      </w:tr>
      <w:tr w:rsidR="00F50D70" w:rsidRPr="00BE4F47" w14:paraId="58582E07"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426B73E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de projet et valeur acquise</w:t>
            </w:r>
          </w:p>
        </w:tc>
        <w:tc>
          <w:tcPr>
            <w:tcW w:w="2560" w:type="dxa"/>
            <w:tcBorders>
              <w:top w:val="single" w:sz="4" w:space="0" w:color="000000"/>
              <w:left w:val="single" w:sz="4" w:space="0" w:color="000000"/>
              <w:bottom w:val="single" w:sz="4" w:space="0" w:color="000000"/>
              <w:right w:val="single" w:sz="4" w:space="0" w:color="000000"/>
            </w:tcBorders>
          </w:tcPr>
          <w:p w14:paraId="2F49F16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GitHub Projects et issues, offre éducation</w:t>
            </w:r>
          </w:p>
        </w:tc>
        <w:tc>
          <w:tcPr>
            <w:tcW w:w="3986" w:type="dxa"/>
            <w:tcBorders>
              <w:top w:val="single" w:sz="4" w:space="0" w:color="000000"/>
              <w:left w:val="single" w:sz="4" w:space="0" w:color="000000"/>
              <w:bottom w:val="single" w:sz="4" w:space="0" w:color="000000"/>
              <w:right w:val="single" w:sz="4" w:space="0" w:color="000000"/>
            </w:tcBorders>
          </w:tcPr>
          <w:p w14:paraId="42BFEF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Déjà en place dans l’équipe. Alimente le suivi de la section 10.</w:t>
            </w:r>
          </w:p>
        </w:tc>
      </w:tr>
      <w:tr w:rsidR="00F50D70" w:rsidRPr="00BE4F47" w14:paraId="243429CB"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49EAB4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des références bibliographiques</w:t>
            </w:r>
          </w:p>
        </w:tc>
        <w:tc>
          <w:tcPr>
            <w:tcW w:w="2560" w:type="dxa"/>
            <w:tcBorders>
              <w:top w:val="single" w:sz="4" w:space="0" w:color="000000"/>
              <w:left w:val="single" w:sz="4" w:space="0" w:color="000000"/>
              <w:bottom w:val="single" w:sz="4" w:space="0" w:color="000000"/>
              <w:right w:val="single" w:sz="4" w:space="0" w:color="000000"/>
            </w:tcBorders>
          </w:tcPr>
          <w:p w14:paraId="4C0D64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Zotero, style IEEE</w:t>
            </w:r>
          </w:p>
        </w:tc>
        <w:tc>
          <w:tcPr>
            <w:tcW w:w="3986" w:type="dxa"/>
            <w:tcBorders>
              <w:top w:val="single" w:sz="4" w:space="0" w:color="000000"/>
              <w:left w:val="single" w:sz="4" w:space="0" w:color="000000"/>
              <w:bottom w:val="single" w:sz="4" w:space="0" w:color="000000"/>
              <w:right w:val="single" w:sz="4" w:space="0" w:color="000000"/>
            </w:tcBorders>
          </w:tcPr>
          <w:p w14:paraId="38CCCF2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Assure la cohérence et la renumérotation automatique des renvois entre les onze sections et les huit rédacteurs. La bibliothèque est tenue par le chargé de projet.</w:t>
            </w:r>
          </w:p>
        </w:tc>
      </w:tr>
    </w:tbl>
    <w:p w14:paraId="69A38D12" w14:textId="77777777" w:rsidR="00F50D70" w:rsidRPr="0036725C" w:rsidRDefault="00137D7F" w:rsidP="008E113B">
      <w:pPr>
        <w:pStyle w:val="Titre2"/>
        <w:spacing w:line="360" w:lineRule="auto"/>
      </w:pPr>
      <w:bookmarkStart w:id="906" w:name="_Toc241708012"/>
      <w:r w:rsidRPr="0036725C">
        <w:t>Ressources informationnelles et normatives</w:t>
      </w:r>
      <w:bookmarkEnd w:id="906"/>
    </w:p>
    <w:p w14:paraId="4267DEC8"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907" w:name="_Toc241083135"/>
      <w:bookmarkStart w:id="908" w:name="_Toc241670305"/>
      <w:bookmarkStart w:id="909" w:name="_Toc241708013"/>
      <w:r w:rsidRPr="00BE4F47">
        <w:rPr>
          <w:rFonts w:ascii="Aptos" w:hAnsi="Aptos"/>
          <w:color w:val="1A1A19"/>
          <w:sz w:val="20"/>
          <w:szCs w:val="20"/>
        </w:rPr>
        <w:t>La documentation normative est une ressource du projet. Elle conditionne la section 6 du plan, mais aussi l’architecture retenue et le contenu de la campagne d’essais. Son acquisition est imputée au lot L3.</w:t>
      </w:r>
      <w:bookmarkEnd w:id="907"/>
      <w:bookmarkEnd w:id="908"/>
      <w:bookmarkEnd w:id="909"/>
    </w:p>
    <w:p w14:paraId="25DA6E75" w14:textId="77777777" w:rsidR="00F50D70" w:rsidRPr="00BE4F47" w:rsidRDefault="00137D7F" w:rsidP="008E113B">
      <w:pPr>
        <w:pStyle w:val="Lgende"/>
        <w:keepNext/>
        <w:spacing w:line="360" w:lineRule="auto"/>
        <w:rPr>
          <w:rFonts w:ascii="Aptos" w:hAnsi="Aptos"/>
        </w:rPr>
      </w:pPr>
      <w:bookmarkStart w:id="910" w:name="_Toc241083136"/>
      <w:bookmarkStart w:id="911" w:name="_Toc241670306"/>
      <w:bookmarkStart w:id="912" w:name="_Toc241708014"/>
      <w:r w:rsidRPr="00BE4F47">
        <w:rPr>
          <w:rFonts w:ascii="Aptos" w:hAnsi="Aptos"/>
        </w:rPr>
        <w:t>Tableau 8-5. Ressources informationnelles et normatives</w:t>
      </w:r>
      <w:bookmarkEnd w:id="910"/>
      <w:bookmarkEnd w:id="911"/>
      <w:bookmarkEnd w:id="912"/>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2286"/>
        <w:gridCol w:w="3840"/>
        <w:gridCol w:w="2431"/>
      </w:tblGrid>
      <w:tr w:rsidR="00F50D70" w:rsidRPr="00BE4F47" w14:paraId="2D5B0BF1" w14:textId="77777777">
        <w:trPr>
          <w:tblHeader/>
        </w:trPr>
        <w:tc>
          <w:tcPr>
            <w:tcW w:w="2286" w:type="dxa"/>
            <w:tcBorders>
              <w:top w:val="single" w:sz="4" w:space="0" w:color="000000"/>
              <w:left w:val="single" w:sz="4" w:space="0" w:color="000000"/>
              <w:bottom w:val="single" w:sz="4" w:space="0" w:color="000000"/>
              <w:right w:val="single" w:sz="4" w:space="0" w:color="000000"/>
            </w:tcBorders>
            <w:shd w:val="clear" w:color="auto" w:fill="EFF4FB"/>
          </w:tcPr>
          <w:p w14:paraId="47CC432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Corpus</w:t>
            </w:r>
          </w:p>
        </w:tc>
        <w:tc>
          <w:tcPr>
            <w:tcW w:w="3840" w:type="dxa"/>
            <w:tcBorders>
              <w:top w:val="single" w:sz="4" w:space="0" w:color="000000"/>
              <w:left w:val="single" w:sz="4" w:space="0" w:color="000000"/>
              <w:bottom w:val="single" w:sz="4" w:space="0" w:color="000000"/>
              <w:right w:val="single" w:sz="4" w:space="0" w:color="000000"/>
            </w:tcBorders>
            <w:shd w:val="clear" w:color="auto" w:fill="EFF4FB"/>
          </w:tcPr>
          <w:p w14:paraId="02387E3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Documents visés</w:t>
            </w:r>
          </w:p>
        </w:tc>
        <w:tc>
          <w:tcPr>
            <w:tcW w:w="2431" w:type="dxa"/>
            <w:tcBorders>
              <w:top w:val="single" w:sz="4" w:space="0" w:color="000000"/>
              <w:left w:val="single" w:sz="4" w:space="0" w:color="000000"/>
              <w:bottom w:val="single" w:sz="4" w:space="0" w:color="000000"/>
              <w:right w:val="single" w:sz="4" w:space="0" w:color="000000"/>
            </w:tcBorders>
            <w:shd w:val="clear" w:color="auto" w:fill="EFF4FB"/>
          </w:tcPr>
          <w:p w14:paraId="4C4FD2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Accès et coût</w:t>
            </w:r>
          </w:p>
        </w:tc>
      </w:tr>
      <w:tr w:rsidR="00F50D70" w:rsidRPr="00BE4F47" w14:paraId="0B2699A4"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18E5D81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Sûreté et cybersécurité nucléaires</w:t>
            </w:r>
          </w:p>
        </w:tc>
        <w:tc>
          <w:tcPr>
            <w:tcW w:w="3840" w:type="dxa"/>
            <w:tcBorders>
              <w:top w:val="single" w:sz="4" w:space="0" w:color="000000"/>
              <w:left w:val="single" w:sz="4" w:space="0" w:color="000000"/>
              <w:bottom w:val="single" w:sz="4" w:space="0" w:color="000000"/>
              <w:right w:val="single" w:sz="4" w:space="0" w:color="000000"/>
            </w:tcBorders>
          </w:tcPr>
          <w:p w14:paraId="44A0E03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CSA N290.7 [24]</w:t>
            </w:r>
          </w:p>
        </w:tc>
        <w:tc>
          <w:tcPr>
            <w:tcW w:w="2431" w:type="dxa"/>
            <w:tcBorders>
              <w:top w:val="single" w:sz="4" w:space="0" w:color="000000"/>
              <w:left w:val="single" w:sz="4" w:space="0" w:color="000000"/>
              <w:bottom w:val="single" w:sz="4" w:space="0" w:color="000000"/>
              <w:right w:val="single" w:sz="4" w:space="0" w:color="000000"/>
            </w:tcBorders>
          </w:tcPr>
          <w:p w14:paraId="6AC7B9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 UQAC (H-07), sinon achat unitaire</w:t>
            </w:r>
          </w:p>
        </w:tc>
      </w:tr>
      <w:tr w:rsidR="00F50D70" w:rsidRPr="00BE4F47" w14:paraId="1D195AAD"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62E0D14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Cadre réglementaire canadien</w:t>
            </w:r>
          </w:p>
        </w:tc>
        <w:tc>
          <w:tcPr>
            <w:tcW w:w="3840" w:type="dxa"/>
            <w:tcBorders>
              <w:top w:val="single" w:sz="4" w:space="0" w:color="000000"/>
              <w:left w:val="single" w:sz="4" w:space="0" w:color="000000"/>
              <w:bottom w:val="single" w:sz="4" w:space="0" w:color="000000"/>
              <w:right w:val="single" w:sz="4" w:space="0" w:color="000000"/>
            </w:tcBorders>
          </w:tcPr>
          <w:p w14:paraId="65C8E9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REGDOC-2.5.2 [25] et REGDOC-2.1.1 [2] de la CCSN</w:t>
            </w:r>
          </w:p>
        </w:tc>
        <w:tc>
          <w:tcPr>
            <w:tcW w:w="2431" w:type="dxa"/>
            <w:tcBorders>
              <w:top w:val="single" w:sz="4" w:space="0" w:color="000000"/>
              <w:left w:val="single" w:sz="4" w:space="0" w:color="000000"/>
              <w:bottom w:val="single" w:sz="4" w:space="0" w:color="000000"/>
              <w:right w:val="single" w:sz="4" w:space="0" w:color="000000"/>
            </w:tcBorders>
          </w:tcPr>
          <w:p w14:paraId="67AE19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Diffusion publique, gratuite</w:t>
            </w:r>
          </w:p>
        </w:tc>
      </w:tr>
      <w:tr w:rsidR="00F50D70" w:rsidRPr="00BE4F47" w14:paraId="667F0771"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70B872F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Instrumentation, contrôle et logiciel de sûreté</w:t>
            </w:r>
          </w:p>
        </w:tc>
        <w:tc>
          <w:tcPr>
            <w:tcW w:w="3840" w:type="dxa"/>
            <w:tcBorders>
              <w:top w:val="single" w:sz="4" w:space="0" w:color="000000"/>
              <w:left w:val="single" w:sz="4" w:space="0" w:color="000000"/>
              <w:bottom w:val="single" w:sz="4" w:space="0" w:color="000000"/>
              <w:right w:val="single" w:sz="4" w:space="0" w:color="000000"/>
            </w:tcBorders>
          </w:tcPr>
          <w:p w14:paraId="6F2053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IEC 61513 [37], IEC 60880 [38], IEC 62138 [39], IEEE 1012 [32]</w:t>
            </w:r>
          </w:p>
        </w:tc>
        <w:tc>
          <w:tcPr>
            <w:tcW w:w="2431" w:type="dxa"/>
            <w:tcBorders>
              <w:top w:val="single" w:sz="4" w:space="0" w:color="000000"/>
              <w:left w:val="single" w:sz="4" w:space="0" w:color="000000"/>
              <w:bottom w:val="single" w:sz="4" w:space="0" w:color="000000"/>
              <w:right w:val="single" w:sz="4" w:space="0" w:color="000000"/>
            </w:tcBorders>
          </w:tcPr>
          <w:p w14:paraId="462DCF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5D166ADE"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324D69F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Cybersécurité des systèmes de contrôle</w:t>
            </w:r>
          </w:p>
        </w:tc>
        <w:tc>
          <w:tcPr>
            <w:tcW w:w="3840" w:type="dxa"/>
            <w:tcBorders>
              <w:top w:val="single" w:sz="4" w:space="0" w:color="000000"/>
              <w:left w:val="single" w:sz="4" w:space="0" w:color="000000"/>
              <w:bottom w:val="single" w:sz="4" w:space="0" w:color="000000"/>
              <w:right w:val="single" w:sz="4" w:space="0" w:color="000000"/>
            </w:tcBorders>
          </w:tcPr>
          <w:p w14:paraId="5EE81D5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IEC 62645 [34], IEC 63096 [35], IEC 62859 [36]</w:t>
            </w:r>
          </w:p>
        </w:tc>
        <w:tc>
          <w:tcPr>
            <w:tcW w:w="2431" w:type="dxa"/>
            <w:tcBorders>
              <w:top w:val="single" w:sz="4" w:space="0" w:color="000000"/>
              <w:left w:val="single" w:sz="4" w:space="0" w:color="000000"/>
              <w:bottom w:val="single" w:sz="4" w:space="0" w:color="000000"/>
              <w:right w:val="single" w:sz="4" w:space="0" w:color="000000"/>
            </w:tcBorders>
          </w:tcPr>
          <w:p w14:paraId="09BAC4A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4C3BAF6D"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400EB5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Cadre du jumeau numérique</w:t>
            </w:r>
          </w:p>
        </w:tc>
        <w:tc>
          <w:tcPr>
            <w:tcW w:w="3840" w:type="dxa"/>
            <w:tcBorders>
              <w:top w:val="single" w:sz="4" w:space="0" w:color="000000"/>
              <w:left w:val="single" w:sz="4" w:space="0" w:color="000000"/>
              <w:bottom w:val="single" w:sz="4" w:space="0" w:color="000000"/>
              <w:right w:val="single" w:sz="4" w:space="0" w:color="000000"/>
            </w:tcBorders>
          </w:tcPr>
          <w:p w14:paraId="0F5D287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ISO 23247-1 [27] et ISO 23247-2 [28]</w:t>
            </w:r>
          </w:p>
        </w:tc>
        <w:tc>
          <w:tcPr>
            <w:tcW w:w="2431" w:type="dxa"/>
            <w:tcBorders>
              <w:top w:val="single" w:sz="4" w:space="0" w:color="000000"/>
              <w:left w:val="single" w:sz="4" w:space="0" w:color="000000"/>
              <w:bottom w:val="single" w:sz="4" w:space="0" w:color="000000"/>
              <w:right w:val="single" w:sz="4" w:space="0" w:color="000000"/>
            </w:tcBorders>
          </w:tcPr>
          <w:p w14:paraId="03E6E7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5C7E13E6"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28C5B52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Vérification et validation des modèles numériques</w:t>
            </w:r>
          </w:p>
        </w:tc>
        <w:tc>
          <w:tcPr>
            <w:tcW w:w="3840" w:type="dxa"/>
            <w:tcBorders>
              <w:top w:val="single" w:sz="4" w:space="0" w:color="000000"/>
              <w:left w:val="single" w:sz="4" w:space="0" w:color="000000"/>
              <w:bottom w:val="single" w:sz="4" w:space="0" w:color="000000"/>
              <w:right w:val="single" w:sz="4" w:space="0" w:color="000000"/>
            </w:tcBorders>
          </w:tcPr>
          <w:p w14:paraId="43C44B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ASME V&amp;V 20 [31]</w:t>
            </w:r>
          </w:p>
        </w:tc>
        <w:tc>
          <w:tcPr>
            <w:tcW w:w="2431" w:type="dxa"/>
            <w:tcBorders>
              <w:top w:val="single" w:sz="4" w:space="0" w:color="000000"/>
              <w:left w:val="single" w:sz="4" w:space="0" w:color="000000"/>
              <w:bottom w:val="single" w:sz="4" w:space="0" w:color="000000"/>
              <w:right w:val="single" w:sz="4" w:space="0" w:color="000000"/>
            </w:tcBorders>
          </w:tcPr>
          <w:p w14:paraId="5C87B0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7B560112"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6BCE33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Qualité, exigences et ergonomie</w:t>
            </w:r>
          </w:p>
        </w:tc>
        <w:tc>
          <w:tcPr>
            <w:tcW w:w="3840" w:type="dxa"/>
            <w:tcBorders>
              <w:top w:val="single" w:sz="4" w:space="0" w:color="000000"/>
              <w:left w:val="single" w:sz="4" w:space="0" w:color="000000"/>
              <w:bottom w:val="single" w:sz="4" w:space="0" w:color="000000"/>
              <w:right w:val="single" w:sz="4" w:space="0" w:color="000000"/>
            </w:tcBorders>
          </w:tcPr>
          <w:p w14:paraId="60A6F4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ISO/IEC 25010 [29], ISO 9241-210 [33], ISO/IEC/IEEE 29148 [1]</w:t>
            </w:r>
          </w:p>
        </w:tc>
        <w:tc>
          <w:tcPr>
            <w:tcW w:w="2431" w:type="dxa"/>
            <w:tcBorders>
              <w:top w:val="single" w:sz="4" w:space="0" w:color="000000"/>
              <w:left w:val="single" w:sz="4" w:space="0" w:color="000000"/>
              <w:bottom w:val="single" w:sz="4" w:space="0" w:color="000000"/>
              <w:right w:val="single" w:sz="4" w:space="0" w:color="000000"/>
            </w:tcBorders>
          </w:tcPr>
          <w:p w14:paraId="7FF529E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08B2712F"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2D74148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Retour d’expérience international</w:t>
            </w:r>
          </w:p>
        </w:tc>
        <w:tc>
          <w:tcPr>
            <w:tcW w:w="3840" w:type="dxa"/>
            <w:tcBorders>
              <w:top w:val="single" w:sz="4" w:space="0" w:color="000000"/>
              <w:left w:val="single" w:sz="4" w:space="0" w:color="000000"/>
              <w:bottom w:val="single" w:sz="4" w:space="0" w:color="000000"/>
              <w:right w:val="single" w:sz="4" w:space="0" w:color="000000"/>
            </w:tcBorders>
          </w:tcPr>
          <w:p w14:paraId="5944B57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Rapports de l’AIEA sur l’instrumentation et le contrôle numériques [47] et sur la V&amp;V logicielle [48]</w:t>
            </w:r>
          </w:p>
        </w:tc>
        <w:tc>
          <w:tcPr>
            <w:tcW w:w="2431" w:type="dxa"/>
            <w:tcBorders>
              <w:top w:val="single" w:sz="4" w:space="0" w:color="000000"/>
              <w:left w:val="single" w:sz="4" w:space="0" w:color="000000"/>
              <w:bottom w:val="single" w:sz="4" w:space="0" w:color="000000"/>
              <w:right w:val="single" w:sz="4" w:space="0" w:color="000000"/>
            </w:tcBorders>
          </w:tcPr>
          <w:p w14:paraId="3BF387E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Diffusion publique, gratuite</w:t>
            </w:r>
          </w:p>
        </w:tc>
      </w:tr>
      <w:tr w:rsidR="00F50D70" w:rsidRPr="00BE4F47" w14:paraId="71511539"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40ACC2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Contexte du site</w:t>
            </w:r>
          </w:p>
        </w:tc>
        <w:tc>
          <w:tcPr>
            <w:tcW w:w="3840" w:type="dxa"/>
            <w:tcBorders>
              <w:top w:val="single" w:sz="4" w:space="0" w:color="000000"/>
              <w:left w:val="single" w:sz="4" w:space="0" w:color="000000"/>
              <w:bottom w:val="single" w:sz="4" w:space="0" w:color="000000"/>
              <w:right w:val="single" w:sz="4" w:space="0" w:color="000000"/>
            </w:tcBorders>
          </w:tcPr>
          <w:p w14:paraId="3EB3A14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Documentation publique d’Hydro-Québec et décision de déclassement de la CCSN pour Gentilly-2 [49]</w:t>
            </w:r>
          </w:p>
        </w:tc>
        <w:tc>
          <w:tcPr>
            <w:tcW w:w="2431" w:type="dxa"/>
            <w:tcBorders>
              <w:top w:val="single" w:sz="4" w:space="0" w:color="000000"/>
              <w:left w:val="single" w:sz="4" w:space="0" w:color="000000"/>
              <w:bottom w:val="single" w:sz="4" w:space="0" w:color="000000"/>
              <w:right w:val="single" w:sz="4" w:space="0" w:color="000000"/>
            </w:tcBorders>
          </w:tcPr>
          <w:p w14:paraId="0C3F3E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Diffusion publique, gratuite</w:t>
            </w:r>
          </w:p>
        </w:tc>
      </w:tr>
    </w:tbl>
    <w:p w14:paraId="221CD8AD"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913" w:name="_Toc241083137"/>
      <w:bookmarkStart w:id="914" w:name="_Toc241670307"/>
      <w:bookmarkStart w:id="915" w:name="_Toc241708015"/>
      <w:r w:rsidRPr="00BE4F47">
        <w:rPr>
          <w:rFonts w:ascii="Aptos" w:hAnsi="Aptos"/>
          <w:color w:val="1A1A19"/>
          <w:sz w:val="20"/>
          <w:szCs w:val="20"/>
        </w:rPr>
        <w:t>L’édition en vigueur de chaque norme est vérifiée au moment de la citation. Deux normes du tableau de la section 6 avaient changé d’édition depuis la première version du plan.</w:t>
      </w:r>
      <w:bookmarkEnd w:id="913"/>
      <w:bookmarkEnd w:id="914"/>
      <w:bookmarkEnd w:id="915"/>
    </w:p>
    <w:p w14:paraId="7224011F" w14:textId="77777777" w:rsidR="00F50D70" w:rsidRPr="00B36301" w:rsidRDefault="00137D7F" w:rsidP="008E113B">
      <w:pPr>
        <w:pStyle w:val="Titre1"/>
        <w:spacing w:line="360" w:lineRule="auto"/>
      </w:pPr>
      <w:bookmarkStart w:id="916" w:name="__RefHeading___Toc240715287"/>
      <w:bookmarkStart w:id="917" w:name="_Toc241708016"/>
      <w:bookmarkEnd w:id="916"/>
      <w:r w:rsidRPr="00B36301">
        <w:t>Estimation préliminaire des coûts</w:t>
      </w:r>
      <w:bookmarkEnd w:id="917"/>
    </w:p>
    <w:p w14:paraId="6A4BEE28" w14:textId="77777777" w:rsidR="00F50D70" w:rsidRPr="00BE4F47" w:rsidRDefault="00137D7F" w:rsidP="008E113B">
      <w:pPr>
        <w:spacing w:after="130" w:line="360" w:lineRule="auto"/>
        <w:ind w:left="360"/>
        <w:rPr>
          <w:rFonts w:ascii="Aptos" w:hAnsi="Aptos"/>
        </w:rPr>
      </w:pPr>
      <w:bookmarkStart w:id="918" w:name="_Toc241083139"/>
      <w:bookmarkStart w:id="919" w:name="_Toc241670309"/>
      <w:bookmarkStart w:id="920" w:name="_Toc241708017"/>
      <w:r w:rsidRPr="00BE4F47">
        <w:rPr>
          <w:rFonts w:ascii="Aptos" w:hAnsi="Aptos"/>
          <w:color w:val="1A1A19"/>
          <w:sz w:val="20"/>
          <w:szCs w:val="20"/>
        </w:rPr>
        <w:t>La section 8 a converti le travail en heures et en ressources. Celle-ci convertit ces heures en dollars. Elle reprend la grille budgétaire du cours et distingue trois montants : le coût du mandat, le prix porté au bordereau, et la réserve que le client conserve.</w:t>
      </w:r>
      <w:bookmarkEnd w:id="918"/>
      <w:bookmarkEnd w:id="919"/>
      <w:bookmarkEnd w:id="920"/>
    </w:p>
    <w:p w14:paraId="56933EF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21" w:name="_Toc241083141"/>
      <w:bookmarkStart w:id="922" w:name="_Toc241670310"/>
      <w:bookmarkStart w:id="923" w:name="_Toc241708018"/>
      <w:r w:rsidRPr="00BE4F47">
        <w:rPr>
          <w:rFonts w:ascii="Aptos" w:hAnsi="Aptos"/>
          <w:color w:val="1A1A19"/>
          <w:sz w:val="20"/>
          <w:szCs w:val="20"/>
        </w:rPr>
        <w:t xml:space="preserve">L’estimation est de classe 5 au sens du référentiel AACE 18R-97 [45], employé par analogie : ce référentiel vise les industries de procédés et non le développement logiciel. Le contenu technique </w:t>
      </w:r>
      <w:r w:rsidRPr="00BE4F47">
        <w:rPr>
          <w:rFonts w:ascii="Aptos" w:hAnsi="Aptos"/>
          <w:color w:val="1A1A19"/>
          <w:sz w:val="20"/>
          <w:szCs w:val="20"/>
        </w:rPr>
        <w:lastRenderedPageBreak/>
        <w:t>du projet n’est défini qu’à quelques pour cent à ce stade. Une estimation de classe 5 admet un écart de −20 % à −50 % du côté bas et de +30 % à +100 % du côté haut. Appliqué au coût total du mandat, 59 400 $, cet écart place le coût réel entre 30 000 $ et 119 000 $ environ. Cette fourchette se resserrera après l’approbation du registre des exigences, au jalon J1.</w:t>
      </w:r>
      <w:bookmarkEnd w:id="921"/>
      <w:bookmarkEnd w:id="922"/>
      <w:bookmarkEnd w:id="923"/>
    </w:p>
    <w:p w14:paraId="69E2591F" w14:textId="77777777" w:rsidR="00F50D70" w:rsidRPr="00BE4F47" w:rsidRDefault="00137D7F" w:rsidP="008E113B">
      <w:pPr>
        <w:spacing w:after="130" w:line="360" w:lineRule="auto"/>
        <w:ind w:left="360"/>
        <w:rPr>
          <w:rFonts w:ascii="Aptos" w:hAnsi="Aptos"/>
        </w:rPr>
      </w:pPr>
      <w:bookmarkStart w:id="924" w:name="_Toc241083142"/>
      <w:bookmarkStart w:id="925" w:name="_Toc241670311"/>
      <w:bookmarkStart w:id="926" w:name="_Toc241708019"/>
      <w:r w:rsidRPr="00BE4F47">
        <w:rPr>
          <w:rFonts w:ascii="Aptos" w:hAnsi="Aptos"/>
          <w:color w:val="1A1A19"/>
          <w:sz w:val="20"/>
          <w:szCs w:val="20"/>
        </w:rPr>
        <w:t>Deux hypothèses fixent la base de l’estimation. Elles viennent de la section 8, et toute modification apportée là doit être reportée ici.</w:t>
      </w:r>
      <w:bookmarkEnd w:id="924"/>
      <w:bookmarkEnd w:id="925"/>
      <w:bookmarkEnd w:id="926"/>
    </w:p>
    <w:p w14:paraId="2B81F598" w14:textId="77777777" w:rsidR="00F50D70" w:rsidRPr="00BE4F47" w:rsidRDefault="00137D7F" w:rsidP="008E113B">
      <w:pPr>
        <w:numPr>
          <w:ilvl w:val="0"/>
          <w:numId w:val="20"/>
        </w:numPr>
        <w:spacing w:after="130" w:line="360" w:lineRule="auto"/>
        <w:ind w:left="720"/>
        <w:rPr>
          <w:rFonts w:ascii="Aptos" w:hAnsi="Aptos"/>
          <w:lang w:val="fr-FR"/>
        </w:rPr>
      </w:pPr>
      <w:bookmarkStart w:id="927" w:name="_Toc241670312"/>
      <w:bookmarkStart w:id="928" w:name="_Toc241708020"/>
      <w:r w:rsidRPr="00BE4F47">
        <w:rPr>
          <w:rFonts w:ascii="Aptos" w:hAnsi="Aptos"/>
          <w:color w:val="1A1A19"/>
          <w:sz w:val="20"/>
          <w:szCs w:val="20"/>
        </w:rPr>
        <w:t>Huit membres, 135 heures chacun, soit 1 080 heures. Cette enveloppe est une contrainte du mandat, pas un résultat de l’estimation.</w:t>
      </w:r>
      <w:bookmarkEnd w:id="927"/>
      <w:bookmarkEnd w:id="928"/>
    </w:p>
    <w:p w14:paraId="33B7A14F" w14:textId="77777777" w:rsidR="00F50D70" w:rsidRPr="00BE4F47" w:rsidRDefault="00137D7F" w:rsidP="008E113B">
      <w:pPr>
        <w:numPr>
          <w:ilvl w:val="0"/>
          <w:numId w:val="20"/>
        </w:numPr>
        <w:spacing w:after="130" w:line="360" w:lineRule="auto"/>
        <w:ind w:left="720"/>
        <w:rPr>
          <w:rFonts w:ascii="Aptos" w:hAnsi="Aptos"/>
          <w:lang w:val="fr-FR"/>
        </w:rPr>
      </w:pPr>
      <w:bookmarkStart w:id="929" w:name="_Toc241670313"/>
      <w:bookmarkStart w:id="930" w:name="_Toc241708021"/>
      <w:r w:rsidRPr="00BE4F47">
        <w:rPr>
          <w:rFonts w:ascii="Aptos" w:hAnsi="Aptos"/>
          <w:color w:val="1A1A19"/>
          <w:sz w:val="20"/>
          <w:szCs w:val="20"/>
        </w:rPr>
        <w:t>Taux horaire unique de 50,00 $. Ce taux est un coût de revient, c’est-à-dire ce qu’une heure de travail coûte à l’équipe. Le prix facturé au client s’en distingue : il ajoute la contingence et le bénéfice, et il est établi plus loin à 63,25 $ l’heure.</w:t>
      </w:r>
      <w:bookmarkEnd w:id="929"/>
      <w:bookmarkEnd w:id="930"/>
    </w:p>
    <w:p w14:paraId="26B42C6B" w14:textId="77777777" w:rsidR="00F50D70" w:rsidRPr="00BE4F47" w:rsidRDefault="00137D7F" w:rsidP="008E113B">
      <w:pPr>
        <w:spacing w:after="130" w:line="360" w:lineRule="auto"/>
        <w:ind w:left="360"/>
        <w:rPr>
          <w:rFonts w:ascii="Aptos" w:hAnsi="Aptos"/>
          <w:lang w:val="fr-FR"/>
        </w:rPr>
      </w:pPr>
      <w:bookmarkStart w:id="931" w:name="_Toc241670314"/>
      <w:bookmarkStart w:id="932" w:name="_Toc241708022"/>
      <w:r w:rsidRPr="00BE4F47">
        <w:rPr>
          <w:rFonts w:ascii="Aptos" w:hAnsi="Aptos"/>
          <w:color w:val="1A1A19"/>
          <w:sz w:val="20"/>
          <w:szCs w:val="20"/>
        </w:rPr>
        <w:t>Le barème des honoraires de l’Association des firmes de génie-conseil du Québec [50] donne des taux nettement supérieurs à 63,25 $ l’heure. L’écart tient aux frais de structure qu’une firme porte et qu’un mandat universitaire n’a pas.</w:t>
      </w:r>
      <w:bookmarkEnd w:id="931"/>
      <w:bookmarkEnd w:id="932"/>
    </w:p>
    <w:p w14:paraId="6918BABE" w14:textId="77777777" w:rsidR="00F50D70" w:rsidRPr="00BE4F47" w:rsidRDefault="00137D7F" w:rsidP="008E113B">
      <w:pPr>
        <w:spacing w:after="130" w:line="360" w:lineRule="auto"/>
        <w:ind w:left="360"/>
        <w:rPr>
          <w:rFonts w:ascii="Aptos" w:hAnsi="Aptos"/>
          <w:lang w:val="fr-FR"/>
        </w:rPr>
      </w:pPr>
      <w:bookmarkStart w:id="933" w:name="_Toc241670315"/>
      <w:bookmarkStart w:id="934" w:name="_Toc241708023"/>
      <w:r w:rsidRPr="00BE4F47">
        <w:rPr>
          <w:rFonts w:ascii="Aptos" w:hAnsi="Aptos"/>
          <w:color w:val="1A1A19"/>
          <w:sz w:val="20"/>
          <w:szCs w:val="20"/>
        </w:rPr>
        <w:t>La répartition par lot figure à la section 8 et la répartition par jalon à la section 10. Aucun des deux tableaux n’est recopié ici, pour qu’ils ne puissent pas diverger.</w:t>
      </w:r>
      <w:bookmarkEnd w:id="933"/>
      <w:bookmarkEnd w:id="934"/>
    </w:p>
    <w:p w14:paraId="74C0FBDD" w14:textId="77777777" w:rsidR="00F50D70" w:rsidRPr="00BE4F47" w:rsidRDefault="00137D7F" w:rsidP="008E113B">
      <w:pPr>
        <w:pStyle w:val="Titre2"/>
        <w:spacing w:line="360" w:lineRule="auto"/>
        <w:ind w:firstLine="425"/>
      </w:pPr>
      <w:bookmarkStart w:id="935" w:name="_Toc241708024"/>
      <w:r w:rsidRPr="00BE4F47">
        <w:t>Grille budgétaire</w:t>
      </w:r>
      <w:bookmarkEnd w:id="935"/>
    </w:p>
    <w:p w14:paraId="2A8B3C41"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36" w:name="_Toc241670317"/>
      <w:bookmarkStart w:id="937" w:name="_Toc241708025"/>
      <w:r w:rsidRPr="00BE4F47">
        <w:rPr>
          <w:rFonts w:ascii="Aptos" w:hAnsi="Aptos"/>
          <w:color w:val="1A1A19"/>
          <w:sz w:val="20"/>
          <w:szCs w:val="20"/>
        </w:rPr>
        <w:t>La grille suit le gabarit du cours. Chaque poste sans montant porte la raison de son exclusion.</w:t>
      </w:r>
      <w:bookmarkEnd w:id="936"/>
      <w:bookmarkEnd w:id="937"/>
    </w:p>
    <w:p w14:paraId="3A9363E7" w14:textId="77777777" w:rsidR="00F50D70" w:rsidRPr="00BE4F47" w:rsidRDefault="00137D7F" w:rsidP="008E113B">
      <w:pPr>
        <w:pStyle w:val="Lgende"/>
        <w:keepNext/>
        <w:spacing w:line="360" w:lineRule="auto"/>
        <w:rPr>
          <w:rFonts w:ascii="Aptos" w:hAnsi="Aptos"/>
        </w:rPr>
      </w:pPr>
      <w:bookmarkStart w:id="938" w:name="_Toc241083144"/>
      <w:bookmarkStart w:id="939" w:name="_Toc241670318"/>
      <w:bookmarkStart w:id="940" w:name="_Toc241708026"/>
      <w:r w:rsidRPr="00BE4F47">
        <w:rPr>
          <w:rFonts w:ascii="Aptos" w:hAnsi="Aptos"/>
        </w:rPr>
        <w:t>Tableau 9-1. Grille budgétaire du mandat</w:t>
      </w:r>
      <w:bookmarkEnd w:id="938"/>
      <w:bookmarkEnd w:id="939"/>
      <w:bookmarkEnd w:id="940"/>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426"/>
        <w:gridCol w:w="2578"/>
        <w:gridCol w:w="2907"/>
        <w:gridCol w:w="1646"/>
      </w:tblGrid>
      <w:tr w:rsidR="00F50D70" w:rsidRPr="00BE4F47" w14:paraId="1415C8D6" w14:textId="77777777">
        <w:trPr>
          <w:tblHeader/>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436C6A0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Catégorie</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312CC2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Poste</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1D26AE1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Base d’estimation</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6FF138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Montant</w:t>
            </w:r>
          </w:p>
        </w:tc>
      </w:tr>
      <w:tr w:rsidR="00F50D70" w:rsidRPr="00BE4F47" w14:paraId="2E924774"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2C67F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34162F7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Salaire de l’équipe : ingénierie, lots L2 à L9, 972 h</w:t>
            </w:r>
          </w:p>
        </w:tc>
        <w:tc>
          <w:tcPr>
            <w:tcW w:w="2907" w:type="dxa"/>
            <w:tcBorders>
              <w:top w:val="single" w:sz="4" w:space="0" w:color="000000"/>
              <w:left w:val="single" w:sz="4" w:space="0" w:color="000000"/>
              <w:bottom w:val="single" w:sz="4" w:space="0" w:color="000000"/>
              <w:right w:val="single" w:sz="4" w:space="0" w:color="000000"/>
            </w:tcBorders>
          </w:tcPr>
          <w:p w14:paraId="522793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5, méthode ascendante, 50,00 $/h</w:t>
            </w:r>
          </w:p>
        </w:tc>
        <w:tc>
          <w:tcPr>
            <w:tcW w:w="1646" w:type="dxa"/>
            <w:tcBorders>
              <w:top w:val="single" w:sz="4" w:space="0" w:color="000000"/>
              <w:left w:val="single" w:sz="4" w:space="0" w:color="000000"/>
              <w:bottom w:val="single" w:sz="4" w:space="0" w:color="000000"/>
              <w:right w:val="single" w:sz="4" w:space="0" w:color="000000"/>
            </w:tcBorders>
          </w:tcPr>
          <w:p w14:paraId="53458F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48 600,00 $</w:t>
            </w:r>
          </w:p>
        </w:tc>
      </w:tr>
      <w:tr w:rsidR="00F50D70" w:rsidRPr="00BE4F47" w14:paraId="3AC1CD05"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CCBF7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77D0586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Salaire de l’équipe : gestion de projet, lot L1, 108 h</w:t>
            </w:r>
          </w:p>
        </w:tc>
        <w:tc>
          <w:tcPr>
            <w:tcW w:w="2907" w:type="dxa"/>
            <w:tcBorders>
              <w:top w:val="single" w:sz="4" w:space="0" w:color="000000"/>
              <w:left w:val="single" w:sz="4" w:space="0" w:color="000000"/>
              <w:bottom w:val="single" w:sz="4" w:space="0" w:color="000000"/>
              <w:right w:val="single" w:sz="4" w:space="0" w:color="000000"/>
            </w:tcBorders>
          </w:tcPr>
          <w:p w14:paraId="0EDC3C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5, méthode ascendante, 50,00 $/h</w:t>
            </w:r>
          </w:p>
        </w:tc>
        <w:tc>
          <w:tcPr>
            <w:tcW w:w="1646" w:type="dxa"/>
            <w:tcBorders>
              <w:top w:val="single" w:sz="4" w:space="0" w:color="000000"/>
              <w:left w:val="single" w:sz="4" w:space="0" w:color="000000"/>
              <w:bottom w:val="single" w:sz="4" w:space="0" w:color="000000"/>
              <w:right w:val="single" w:sz="4" w:space="0" w:color="000000"/>
            </w:tcBorders>
          </w:tcPr>
          <w:p w14:paraId="31FFBB5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5 400,00 $</w:t>
            </w:r>
          </w:p>
        </w:tc>
      </w:tr>
      <w:tr w:rsidR="00F50D70" w:rsidRPr="00BE4F47" w14:paraId="180AA3FA"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7E3144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1D8EC5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Équipement et matériaux</w:t>
            </w:r>
          </w:p>
        </w:tc>
        <w:tc>
          <w:tcPr>
            <w:tcW w:w="2907" w:type="dxa"/>
            <w:tcBorders>
              <w:top w:val="single" w:sz="4" w:space="0" w:color="000000"/>
              <w:left w:val="single" w:sz="4" w:space="0" w:color="000000"/>
              <w:bottom w:val="single" w:sz="4" w:space="0" w:color="000000"/>
              <w:right w:val="single" w:sz="4" w:space="0" w:color="000000"/>
            </w:tcBorders>
          </w:tcPr>
          <w:p w14:paraId="094954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objet. Le livrable est un logiciel.</w:t>
            </w:r>
          </w:p>
        </w:tc>
        <w:tc>
          <w:tcPr>
            <w:tcW w:w="1646" w:type="dxa"/>
            <w:tcBorders>
              <w:top w:val="single" w:sz="4" w:space="0" w:color="000000"/>
              <w:left w:val="single" w:sz="4" w:space="0" w:color="000000"/>
              <w:bottom w:val="single" w:sz="4" w:space="0" w:color="000000"/>
              <w:right w:val="single" w:sz="4" w:space="0" w:color="000000"/>
            </w:tcBorders>
          </w:tcPr>
          <w:p w14:paraId="5D36BD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1742D10"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B415A7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4538DE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Composants revendus intégrés (fonctions A à D du gabarit)</w:t>
            </w:r>
          </w:p>
        </w:tc>
        <w:tc>
          <w:tcPr>
            <w:tcW w:w="2907" w:type="dxa"/>
            <w:tcBorders>
              <w:top w:val="single" w:sz="4" w:space="0" w:color="000000"/>
              <w:left w:val="single" w:sz="4" w:space="0" w:color="000000"/>
              <w:bottom w:val="single" w:sz="4" w:space="0" w:color="000000"/>
              <w:right w:val="single" w:sz="4" w:space="0" w:color="000000"/>
            </w:tcBorders>
          </w:tcPr>
          <w:p w14:paraId="31AB69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objet. Aucun composant physique.</w:t>
            </w:r>
          </w:p>
        </w:tc>
        <w:tc>
          <w:tcPr>
            <w:tcW w:w="1646" w:type="dxa"/>
            <w:tcBorders>
              <w:top w:val="single" w:sz="4" w:space="0" w:color="000000"/>
              <w:left w:val="single" w:sz="4" w:space="0" w:color="000000"/>
              <w:bottom w:val="single" w:sz="4" w:space="0" w:color="000000"/>
              <w:right w:val="single" w:sz="4" w:space="0" w:color="000000"/>
            </w:tcBorders>
          </w:tcPr>
          <w:p w14:paraId="17FDDF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66173DB7"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0F160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26FFD1F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Marketing et études de marché</w:t>
            </w:r>
          </w:p>
        </w:tc>
        <w:tc>
          <w:tcPr>
            <w:tcW w:w="2907" w:type="dxa"/>
            <w:tcBorders>
              <w:top w:val="single" w:sz="4" w:space="0" w:color="000000"/>
              <w:left w:val="single" w:sz="4" w:space="0" w:color="000000"/>
              <w:bottom w:val="single" w:sz="4" w:space="0" w:color="000000"/>
              <w:right w:val="single" w:sz="4" w:space="0" w:color="000000"/>
            </w:tcBorders>
          </w:tcPr>
          <w:p w14:paraId="3F2773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Hors du périmètre du mandat</w:t>
            </w:r>
          </w:p>
        </w:tc>
        <w:tc>
          <w:tcPr>
            <w:tcW w:w="1646" w:type="dxa"/>
            <w:tcBorders>
              <w:top w:val="single" w:sz="4" w:space="0" w:color="000000"/>
              <w:left w:val="single" w:sz="4" w:space="0" w:color="000000"/>
              <w:bottom w:val="single" w:sz="4" w:space="0" w:color="000000"/>
              <w:right w:val="single" w:sz="4" w:space="0" w:color="000000"/>
            </w:tcBorders>
          </w:tcPr>
          <w:p w14:paraId="6773F1F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4D485485"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4A7884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4A23A3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Frais légaux</w:t>
            </w:r>
          </w:p>
        </w:tc>
        <w:tc>
          <w:tcPr>
            <w:tcW w:w="2907" w:type="dxa"/>
            <w:tcBorders>
              <w:top w:val="single" w:sz="4" w:space="0" w:color="000000"/>
              <w:left w:val="single" w:sz="4" w:space="0" w:color="000000"/>
              <w:bottom w:val="single" w:sz="4" w:space="0" w:color="000000"/>
              <w:right w:val="single" w:sz="4" w:space="0" w:color="000000"/>
            </w:tcBorders>
          </w:tcPr>
          <w:p w14:paraId="54403BD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Hors du périmètre du mandat</w:t>
            </w:r>
          </w:p>
        </w:tc>
        <w:tc>
          <w:tcPr>
            <w:tcW w:w="1646" w:type="dxa"/>
            <w:tcBorders>
              <w:top w:val="single" w:sz="4" w:space="0" w:color="000000"/>
              <w:left w:val="single" w:sz="4" w:space="0" w:color="000000"/>
              <w:bottom w:val="single" w:sz="4" w:space="0" w:color="000000"/>
              <w:right w:val="single" w:sz="4" w:space="0" w:color="000000"/>
            </w:tcBorders>
          </w:tcPr>
          <w:p w14:paraId="3F44CB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7742DF6"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ADF43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12377A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Déplacements : véhicule, hôtel, indemnité journalière</w:t>
            </w:r>
          </w:p>
        </w:tc>
        <w:tc>
          <w:tcPr>
            <w:tcW w:w="2907" w:type="dxa"/>
            <w:tcBorders>
              <w:top w:val="single" w:sz="4" w:space="0" w:color="000000"/>
              <w:left w:val="single" w:sz="4" w:space="0" w:color="000000"/>
              <w:bottom w:val="single" w:sz="4" w:space="0" w:color="000000"/>
              <w:right w:val="single" w:sz="4" w:space="0" w:color="000000"/>
            </w:tcBorders>
          </w:tcPr>
          <w:p w14:paraId="756A8C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Travaux réalisés sur le campus de l’UQAC</w:t>
            </w:r>
          </w:p>
        </w:tc>
        <w:tc>
          <w:tcPr>
            <w:tcW w:w="1646" w:type="dxa"/>
            <w:tcBorders>
              <w:top w:val="single" w:sz="4" w:space="0" w:color="000000"/>
              <w:left w:val="single" w:sz="4" w:space="0" w:color="000000"/>
              <w:bottom w:val="single" w:sz="4" w:space="0" w:color="000000"/>
              <w:right w:val="single" w:sz="4" w:space="0" w:color="000000"/>
            </w:tcBorders>
          </w:tcPr>
          <w:p w14:paraId="13A3A1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34D8AE9F"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0F13F0A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0B0469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Publicité</w:t>
            </w:r>
          </w:p>
        </w:tc>
        <w:tc>
          <w:tcPr>
            <w:tcW w:w="2907" w:type="dxa"/>
            <w:tcBorders>
              <w:top w:val="single" w:sz="4" w:space="0" w:color="000000"/>
              <w:left w:val="single" w:sz="4" w:space="0" w:color="000000"/>
              <w:bottom w:val="single" w:sz="4" w:space="0" w:color="000000"/>
              <w:right w:val="single" w:sz="4" w:space="0" w:color="000000"/>
            </w:tcBorders>
          </w:tcPr>
          <w:p w14:paraId="434B43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Hors du périmètre du mandat</w:t>
            </w:r>
          </w:p>
        </w:tc>
        <w:tc>
          <w:tcPr>
            <w:tcW w:w="1646" w:type="dxa"/>
            <w:tcBorders>
              <w:top w:val="single" w:sz="4" w:space="0" w:color="000000"/>
              <w:left w:val="single" w:sz="4" w:space="0" w:color="000000"/>
              <w:bottom w:val="single" w:sz="4" w:space="0" w:color="000000"/>
              <w:right w:val="single" w:sz="4" w:space="0" w:color="000000"/>
            </w:tcBorders>
          </w:tcPr>
          <w:p w14:paraId="396A0F4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319728F"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77AFDA7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305CAC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Recherche et développement</w:t>
            </w:r>
          </w:p>
        </w:tc>
        <w:tc>
          <w:tcPr>
            <w:tcW w:w="2907" w:type="dxa"/>
            <w:tcBorders>
              <w:top w:val="single" w:sz="4" w:space="0" w:color="000000"/>
              <w:left w:val="single" w:sz="4" w:space="0" w:color="000000"/>
              <w:bottom w:val="single" w:sz="4" w:space="0" w:color="000000"/>
              <w:right w:val="single" w:sz="4" w:space="0" w:color="000000"/>
            </w:tcBorders>
          </w:tcPr>
          <w:p w14:paraId="6E4E7C2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Comprise dans les 972 h des lots L2 à L9</w:t>
            </w:r>
          </w:p>
        </w:tc>
        <w:tc>
          <w:tcPr>
            <w:tcW w:w="1646" w:type="dxa"/>
            <w:tcBorders>
              <w:top w:val="single" w:sz="4" w:space="0" w:color="000000"/>
              <w:left w:val="single" w:sz="4" w:space="0" w:color="000000"/>
              <w:bottom w:val="single" w:sz="4" w:space="0" w:color="000000"/>
              <w:right w:val="single" w:sz="4" w:space="0" w:color="000000"/>
            </w:tcBorders>
          </w:tcPr>
          <w:p w14:paraId="53FCC4D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4D4EFAAF"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24C9FB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7098A33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Étude de faisabilité</w:t>
            </w:r>
          </w:p>
        </w:tc>
        <w:tc>
          <w:tcPr>
            <w:tcW w:w="2907" w:type="dxa"/>
            <w:tcBorders>
              <w:top w:val="single" w:sz="4" w:space="0" w:color="000000"/>
              <w:left w:val="single" w:sz="4" w:space="0" w:color="000000"/>
              <w:bottom w:val="single" w:sz="4" w:space="0" w:color="000000"/>
              <w:right w:val="single" w:sz="4" w:space="0" w:color="000000"/>
            </w:tcBorders>
          </w:tcPr>
          <w:p w14:paraId="2ABA96D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 plan de projet en tient lieu</w:t>
            </w:r>
          </w:p>
        </w:tc>
        <w:tc>
          <w:tcPr>
            <w:tcW w:w="1646" w:type="dxa"/>
            <w:tcBorders>
              <w:top w:val="single" w:sz="4" w:space="0" w:color="000000"/>
              <w:left w:val="single" w:sz="4" w:space="0" w:color="000000"/>
              <w:bottom w:val="single" w:sz="4" w:space="0" w:color="000000"/>
              <w:right w:val="single" w:sz="4" w:space="0" w:color="000000"/>
            </w:tcBorders>
          </w:tcPr>
          <w:p w14:paraId="533903A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A6395BD"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9F3E8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4D2D9FB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TPS, TVQ et TVH</w:t>
            </w:r>
          </w:p>
        </w:tc>
        <w:tc>
          <w:tcPr>
            <w:tcW w:w="2907" w:type="dxa"/>
            <w:tcBorders>
              <w:top w:val="single" w:sz="4" w:space="0" w:color="000000"/>
              <w:left w:val="single" w:sz="4" w:space="0" w:color="000000"/>
              <w:bottom w:val="single" w:sz="4" w:space="0" w:color="000000"/>
              <w:right w:val="single" w:sz="4" w:space="0" w:color="000000"/>
            </w:tcBorders>
          </w:tcPr>
          <w:p w14:paraId="6A564E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Mandat académique, aucune facturation réelle</w:t>
            </w:r>
          </w:p>
        </w:tc>
        <w:tc>
          <w:tcPr>
            <w:tcW w:w="1646" w:type="dxa"/>
            <w:tcBorders>
              <w:top w:val="single" w:sz="4" w:space="0" w:color="000000"/>
              <w:left w:val="single" w:sz="4" w:space="0" w:color="000000"/>
              <w:bottom w:val="single" w:sz="4" w:space="0" w:color="000000"/>
              <w:right w:val="single" w:sz="4" w:space="0" w:color="000000"/>
            </w:tcBorders>
          </w:tcPr>
          <w:p w14:paraId="0C0EAF3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189D567"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49742A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lastRenderedPageBreak/>
              <w:t>Coûts directs</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088416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Sous-total des coûts directs</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E5013D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1 080 h à 50,00 $/h</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71172F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54 000,00 $</w:t>
            </w:r>
          </w:p>
        </w:tc>
      </w:tr>
      <w:tr w:rsidR="00F50D70" w:rsidRPr="00BE4F47" w14:paraId="1506F843"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FCC9B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2779110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Consultation et sous-traitance</w:t>
            </w:r>
          </w:p>
        </w:tc>
        <w:tc>
          <w:tcPr>
            <w:tcW w:w="2907" w:type="dxa"/>
            <w:tcBorders>
              <w:top w:val="single" w:sz="4" w:space="0" w:color="000000"/>
              <w:left w:val="single" w:sz="4" w:space="0" w:color="000000"/>
              <w:bottom w:val="single" w:sz="4" w:space="0" w:color="000000"/>
              <w:right w:val="single" w:sz="4" w:space="0" w:color="000000"/>
            </w:tcBorders>
          </w:tcPr>
          <w:p w14:paraId="6A8DE21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 sous-traitant prévu</w:t>
            </w:r>
          </w:p>
        </w:tc>
        <w:tc>
          <w:tcPr>
            <w:tcW w:w="1646" w:type="dxa"/>
            <w:tcBorders>
              <w:top w:val="single" w:sz="4" w:space="0" w:color="000000"/>
              <w:left w:val="single" w:sz="4" w:space="0" w:color="000000"/>
              <w:bottom w:val="single" w:sz="4" w:space="0" w:color="000000"/>
              <w:right w:val="single" w:sz="4" w:space="0" w:color="000000"/>
            </w:tcBorders>
          </w:tcPr>
          <w:p w14:paraId="6028B72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1A322557"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476ED2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018C2A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Télécommunications : téléphonie, internet</w:t>
            </w:r>
          </w:p>
        </w:tc>
        <w:tc>
          <w:tcPr>
            <w:tcW w:w="2907" w:type="dxa"/>
            <w:tcBorders>
              <w:top w:val="single" w:sz="4" w:space="0" w:color="000000"/>
              <w:left w:val="single" w:sz="4" w:space="0" w:color="000000"/>
              <w:bottom w:val="single" w:sz="4" w:space="0" w:color="000000"/>
              <w:right w:val="single" w:sz="4" w:space="0" w:color="000000"/>
            </w:tcBorders>
          </w:tcPr>
          <w:p w14:paraId="79441DE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Fournies par l’UQAC</w:t>
            </w:r>
          </w:p>
        </w:tc>
        <w:tc>
          <w:tcPr>
            <w:tcW w:w="1646" w:type="dxa"/>
            <w:tcBorders>
              <w:top w:val="single" w:sz="4" w:space="0" w:color="000000"/>
              <w:left w:val="single" w:sz="4" w:space="0" w:color="000000"/>
              <w:bottom w:val="single" w:sz="4" w:space="0" w:color="000000"/>
              <w:right w:val="single" w:sz="4" w:space="0" w:color="000000"/>
            </w:tcBorders>
          </w:tcPr>
          <w:p w14:paraId="453B97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7C392492"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10CF2CA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76F10F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Entretien et service ménager des locaux</w:t>
            </w:r>
          </w:p>
        </w:tc>
        <w:tc>
          <w:tcPr>
            <w:tcW w:w="2907" w:type="dxa"/>
            <w:tcBorders>
              <w:top w:val="single" w:sz="4" w:space="0" w:color="000000"/>
              <w:left w:val="single" w:sz="4" w:space="0" w:color="000000"/>
              <w:bottom w:val="single" w:sz="4" w:space="0" w:color="000000"/>
              <w:right w:val="single" w:sz="4" w:space="0" w:color="000000"/>
            </w:tcBorders>
          </w:tcPr>
          <w:p w14:paraId="18F660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Fournis par l’UQAC</w:t>
            </w:r>
          </w:p>
        </w:tc>
        <w:tc>
          <w:tcPr>
            <w:tcW w:w="1646" w:type="dxa"/>
            <w:tcBorders>
              <w:top w:val="single" w:sz="4" w:space="0" w:color="000000"/>
              <w:left w:val="single" w:sz="4" w:space="0" w:color="000000"/>
              <w:bottom w:val="single" w:sz="4" w:space="0" w:color="000000"/>
              <w:right w:val="single" w:sz="4" w:space="0" w:color="000000"/>
            </w:tcBorders>
          </w:tcPr>
          <w:p w14:paraId="3EDE96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6E70F068"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73CE7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3676F5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Bureautique : poste de travail, périphériques, fournitures</w:t>
            </w:r>
          </w:p>
        </w:tc>
        <w:tc>
          <w:tcPr>
            <w:tcW w:w="2907" w:type="dxa"/>
            <w:tcBorders>
              <w:top w:val="single" w:sz="4" w:space="0" w:color="000000"/>
              <w:left w:val="single" w:sz="4" w:space="0" w:color="000000"/>
              <w:bottom w:val="single" w:sz="4" w:space="0" w:color="000000"/>
              <w:right w:val="single" w:sz="4" w:space="0" w:color="000000"/>
            </w:tcBorders>
          </w:tcPr>
          <w:p w14:paraId="0CC2293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Apport des membres, non facturé</w:t>
            </w:r>
          </w:p>
        </w:tc>
        <w:tc>
          <w:tcPr>
            <w:tcW w:w="1646" w:type="dxa"/>
            <w:tcBorders>
              <w:top w:val="single" w:sz="4" w:space="0" w:color="000000"/>
              <w:left w:val="single" w:sz="4" w:space="0" w:color="000000"/>
              <w:bottom w:val="single" w:sz="4" w:space="0" w:color="000000"/>
              <w:right w:val="single" w:sz="4" w:space="0" w:color="000000"/>
            </w:tcBorders>
          </w:tcPr>
          <w:p w14:paraId="0FB359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B76C184"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7DC3B6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583F00E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Hébergement des pages du projet</w:t>
            </w:r>
          </w:p>
        </w:tc>
        <w:tc>
          <w:tcPr>
            <w:tcW w:w="2907" w:type="dxa"/>
            <w:tcBorders>
              <w:top w:val="single" w:sz="4" w:space="0" w:color="000000"/>
              <w:left w:val="single" w:sz="4" w:space="0" w:color="000000"/>
              <w:bottom w:val="single" w:sz="4" w:space="0" w:color="000000"/>
              <w:right w:val="single" w:sz="4" w:space="0" w:color="000000"/>
            </w:tcBorders>
          </w:tcPr>
          <w:p w14:paraId="0413B6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offre éducation</w:t>
            </w:r>
          </w:p>
        </w:tc>
        <w:tc>
          <w:tcPr>
            <w:tcW w:w="1646" w:type="dxa"/>
            <w:tcBorders>
              <w:top w:val="single" w:sz="4" w:space="0" w:color="000000"/>
              <w:left w:val="single" w:sz="4" w:space="0" w:color="000000"/>
              <w:bottom w:val="single" w:sz="4" w:space="0" w:color="000000"/>
              <w:right w:val="single" w:sz="4" w:space="0" w:color="000000"/>
            </w:tcBorders>
          </w:tcPr>
          <w:p w14:paraId="0341B9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7268C5E4"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5EAA02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750EAF4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Licences logicielles</w:t>
            </w:r>
          </w:p>
        </w:tc>
        <w:tc>
          <w:tcPr>
            <w:tcW w:w="2907" w:type="dxa"/>
            <w:tcBorders>
              <w:top w:val="single" w:sz="4" w:space="0" w:color="000000"/>
              <w:left w:val="single" w:sz="4" w:space="0" w:color="000000"/>
              <w:bottom w:val="single" w:sz="4" w:space="0" w:color="000000"/>
              <w:right w:val="single" w:sz="4" w:space="0" w:color="000000"/>
            </w:tcBorders>
          </w:tcPr>
          <w:p w14:paraId="4F68284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Licences académiques de l’UQAC et outils libres</w:t>
            </w:r>
          </w:p>
        </w:tc>
        <w:tc>
          <w:tcPr>
            <w:tcW w:w="1646" w:type="dxa"/>
            <w:tcBorders>
              <w:top w:val="single" w:sz="4" w:space="0" w:color="000000"/>
              <w:left w:val="single" w:sz="4" w:space="0" w:color="000000"/>
              <w:bottom w:val="single" w:sz="4" w:space="0" w:color="000000"/>
              <w:right w:val="single" w:sz="4" w:space="0" w:color="000000"/>
            </w:tcBorders>
          </w:tcPr>
          <w:p w14:paraId="69DD85F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D6C7E26"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87CBD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247A0E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Garantie prolongée du produit</w:t>
            </w:r>
          </w:p>
        </w:tc>
        <w:tc>
          <w:tcPr>
            <w:tcW w:w="2907" w:type="dxa"/>
            <w:tcBorders>
              <w:top w:val="single" w:sz="4" w:space="0" w:color="000000"/>
              <w:left w:val="single" w:sz="4" w:space="0" w:color="000000"/>
              <w:bottom w:val="single" w:sz="4" w:space="0" w:color="000000"/>
              <w:right w:val="single" w:sz="4" w:space="0" w:color="000000"/>
            </w:tcBorders>
          </w:tcPr>
          <w:p w14:paraId="798469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 produit physique livré</w:t>
            </w:r>
          </w:p>
        </w:tc>
        <w:tc>
          <w:tcPr>
            <w:tcW w:w="1646" w:type="dxa"/>
            <w:tcBorders>
              <w:top w:val="single" w:sz="4" w:space="0" w:color="000000"/>
              <w:left w:val="single" w:sz="4" w:space="0" w:color="000000"/>
              <w:bottom w:val="single" w:sz="4" w:space="0" w:color="000000"/>
              <w:right w:val="single" w:sz="4" w:space="0" w:color="000000"/>
            </w:tcBorders>
          </w:tcPr>
          <w:p w14:paraId="67BF354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1B3A6DD9"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63053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7712149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Formation du personnel</w:t>
            </w:r>
          </w:p>
        </w:tc>
        <w:tc>
          <w:tcPr>
            <w:tcW w:w="2907" w:type="dxa"/>
            <w:tcBorders>
              <w:top w:val="single" w:sz="4" w:space="0" w:color="000000"/>
              <w:left w:val="single" w:sz="4" w:space="0" w:color="000000"/>
              <w:bottom w:val="single" w:sz="4" w:space="0" w:color="000000"/>
              <w:right w:val="single" w:sz="4" w:space="0" w:color="000000"/>
            </w:tcBorders>
          </w:tcPr>
          <w:p w14:paraId="0BAD4B0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Ateliers et formation compris dans les 1 080 h, au lot L1</w:t>
            </w:r>
          </w:p>
        </w:tc>
        <w:tc>
          <w:tcPr>
            <w:tcW w:w="1646" w:type="dxa"/>
            <w:tcBorders>
              <w:top w:val="single" w:sz="4" w:space="0" w:color="000000"/>
              <w:left w:val="single" w:sz="4" w:space="0" w:color="000000"/>
              <w:bottom w:val="single" w:sz="4" w:space="0" w:color="000000"/>
              <w:right w:val="single" w:sz="4" w:space="0" w:color="000000"/>
            </w:tcBorders>
          </w:tcPr>
          <w:p w14:paraId="1224721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6A4ECFB"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B94D0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071D56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Livraison, installation, douane</w:t>
            </w:r>
          </w:p>
        </w:tc>
        <w:tc>
          <w:tcPr>
            <w:tcW w:w="2907" w:type="dxa"/>
            <w:tcBorders>
              <w:top w:val="single" w:sz="4" w:space="0" w:color="000000"/>
              <w:left w:val="single" w:sz="4" w:space="0" w:color="000000"/>
              <w:bottom w:val="single" w:sz="4" w:space="0" w:color="000000"/>
              <w:right w:val="single" w:sz="4" w:space="0" w:color="000000"/>
            </w:tcBorders>
          </w:tcPr>
          <w:p w14:paraId="0B7EBB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objet pour un livrable logiciel</w:t>
            </w:r>
          </w:p>
        </w:tc>
        <w:tc>
          <w:tcPr>
            <w:tcW w:w="1646" w:type="dxa"/>
            <w:tcBorders>
              <w:top w:val="single" w:sz="4" w:space="0" w:color="000000"/>
              <w:left w:val="single" w:sz="4" w:space="0" w:color="000000"/>
              <w:bottom w:val="single" w:sz="4" w:space="0" w:color="000000"/>
              <w:right w:val="single" w:sz="4" w:space="0" w:color="000000"/>
            </w:tcBorders>
          </w:tcPr>
          <w:p w14:paraId="17EE28E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B8DA567"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0242DB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26FA280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Assurance responsabilité civile</w:t>
            </w:r>
          </w:p>
        </w:tc>
        <w:tc>
          <w:tcPr>
            <w:tcW w:w="2907" w:type="dxa"/>
            <w:tcBorders>
              <w:top w:val="single" w:sz="4" w:space="0" w:color="000000"/>
              <w:left w:val="single" w:sz="4" w:space="0" w:color="000000"/>
              <w:bottom w:val="single" w:sz="4" w:space="0" w:color="000000"/>
              <w:right w:val="single" w:sz="4" w:space="0" w:color="000000"/>
            </w:tcBorders>
          </w:tcPr>
          <w:p w14:paraId="65DEAC5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Couverte par le cadre académique de l’UQAC</w:t>
            </w:r>
          </w:p>
        </w:tc>
        <w:tc>
          <w:tcPr>
            <w:tcW w:w="1646" w:type="dxa"/>
            <w:tcBorders>
              <w:top w:val="single" w:sz="4" w:space="0" w:color="000000"/>
              <w:left w:val="single" w:sz="4" w:space="0" w:color="000000"/>
              <w:bottom w:val="single" w:sz="4" w:space="0" w:color="000000"/>
              <w:right w:val="single" w:sz="4" w:space="0" w:color="000000"/>
            </w:tcBorders>
          </w:tcPr>
          <w:p w14:paraId="2A86AC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37E318DA"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540F0B3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602D98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Assurance des immeubles et des biens</w:t>
            </w:r>
          </w:p>
        </w:tc>
        <w:tc>
          <w:tcPr>
            <w:tcW w:w="2907" w:type="dxa"/>
            <w:tcBorders>
              <w:top w:val="single" w:sz="4" w:space="0" w:color="000000"/>
              <w:left w:val="single" w:sz="4" w:space="0" w:color="000000"/>
              <w:bottom w:val="single" w:sz="4" w:space="0" w:color="000000"/>
              <w:right w:val="single" w:sz="4" w:space="0" w:color="000000"/>
            </w:tcBorders>
          </w:tcPr>
          <w:p w14:paraId="504E415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Couverte par l’UQAC</w:t>
            </w:r>
          </w:p>
        </w:tc>
        <w:tc>
          <w:tcPr>
            <w:tcW w:w="1646" w:type="dxa"/>
            <w:tcBorders>
              <w:top w:val="single" w:sz="4" w:space="0" w:color="000000"/>
              <w:left w:val="single" w:sz="4" w:space="0" w:color="000000"/>
              <w:bottom w:val="single" w:sz="4" w:space="0" w:color="000000"/>
              <w:right w:val="single" w:sz="4" w:space="0" w:color="000000"/>
            </w:tcBorders>
          </w:tcPr>
          <w:p w14:paraId="652E2F8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31495C59"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1E3D3A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2E07F7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Sous-total des coûts indirects</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02B61F1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Aucun poste applicable</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1FD45EE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0,00 $</w:t>
            </w:r>
          </w:p>
        </w:tc>
      </w:tr>
      <w:tr w:rsidR="00F50D70" w:rsidRPr="00BE4F47" w14:paraId="186196A5"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66895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Provisions</w:t>
            </w:r>
          </w:p>
        </w:tc>
        <w:tc>
          <w:tcPr>
            <w:tcW w:w="2578" w:type="dxa"/>
            <w:tcBorders>
              <w:top w:val="single" w:sz="4" w:space="0" w:color="000000"/>
              <w:left w:val="single" w:sz="4" w:space="0" w:color="000000"/>
              <w:bottom w:val="single" w:sz="4" w:space="0" w:color="000000"/>
              <w:right w:val="single" w:sz="4" w:space="0" w:color="000000"/>
            </w:tcBorders>
          </w:tcPr>
          <w:p w14:paraId="552B01F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Contingence</w:t>
            </w:r>
          </w:p>
        </w:tc>
        <w:tc>
          <w:tcPr>
            <w:tcW w:w="2907" w:type="dxa"/>
            <w:tcBorders>
              <w:top w:val="single" w:sz="4" w:space="0" w:color="000000"/>
              <w:left w:val="single" w:sz="4" w:space="0" w:color="000000"/>
              <w:bottom w:val="single" w:sz="4" w:space="0" w:color="000000"/>
              <w:right w:val="single" w:sz="4" w:space="0" w:color="000000"/>
            </w:tcBorders>
          </w:tcPr>
          <w:p w14:paraId="6DF65BC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 des coûts directs, soit 10 % de 54 000 $</w:t>
            </w:r>
          </w:p>
        </w:tc>
        <w:tc>
          <w:tcPr>
            <w:tcW w:w="1646" w:type="dxa"/>
            <w:tcBorders>
              <w:top w:val="single" w:sz="4" w:space="0" w:color="000000"/>
              <w:left w:val="single" w:sz="4" w:space="0" w:color="000000"/>
              <w:bottom w:val="single" w:sz="4" w:space="0" w:color="000000"/>
              <w:right w:val="single" w:sz="4" w:space="0" w:color="000000"/>
            </w:tcBorders>
          </w:tcPr>
          <w:p w14:paraId="1F2CE53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5 400,00 $</w:t>
            </w:r>
          </w:p>
        </w:tc>
      </w:tr>
      <w:tr w:rsidR="00F50D70" w:rsidRPr="00BE4F47" w14:paraId="56EC81CB"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72DCE57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Provisions</w:t>
            </w:r>
          </w:p>
        </w:tc>
        <w:tc>
          <w:tcPr>
            <w:tcW w:w="2578" w:type="dxa"/>
            <w:tcBorders>
              <w:top w:val="single" w:sz="4" w:space="0" w:color="000000"/>
              <w:left w:val="single" w:sz="4" w:space="0" w:color="000000"/>
              <w:bottom w:val="single" w:sz="4" w:space="0" w:color="000000"/>
              <w:right w:val="single" w:sz="4" w:space="0" w:color="000000"/>
            </w:tcBorders>
          </w:tcPr>
          <w:p w14:paraId="1F5D23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Escalade : inflation et augmentations salariales</w:t>
            </w:r>
          </w:p>
        </w:tc>
        <w:tc>
          <w:tcPr>
            <w:tcW w:w="2907" w:type="dxa"/>
            <w:tcBorders>
              <w:top w:val="single" w:sz="4" w:space="0" w:color="000000"/>
              <w:left w:val="single" w:sz="4" w:space="0" w:color="000000"/>
              <w:bottom w:val="single" w:sz="4" w:space="0" w:color="000000"/>
              <w:right w:val="single" w:sz="4" w:space="0" w:color="000000"/>
            </w:tcBorders>
          </w:tcPr>
          <w:p w14:paraId="5331B59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Mandat d’un trimestre, effet négligeable</w:t>
            </w:r>
          </w:p>
        </w:tc>
        <w:tc>
          <w:tcPr>
            <w:tcW w:w="1646" w:type="dxa"/>
            <w:tcBorders>
              <w:top w:val="single" w:sz="4" w:space="0" w:color="000000"/>
              <w:left w:val="single" w:sz="4" w:space="0" w:color="000000"/>
              <w:bottom w:val="single" w:sz="4" w:space="0" w:color="000000"/>
              <w:right w:val="single" w:sz="4" w:space="0" w:color="000000"/>
            </w:tcBorders>
          </w:tcPr>
          <w:p w14:paraId="35108C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AD96EC1"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4A3C25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Provisions</w:t>
            </w:r>
          </w:p>
        </w:tc>
        <w:tc>
          <w:tcPr>
            <w:tcW w:w="2578" w:type="dxa"/>
            <w:tcBorders>
              <w:top w:val="single" w:sz="4" w:space="0" w:color="000000"/>
              <w:left w:val="single" w:sz="4" w:space="0" w:color="000000"/>
              <w:bottom w:val="single" w:sz="4" w:space="0" w:color="000000"/>
              <w:right w:val="single" w:sz="4" w:space="0" w:color="000000"/>
            </w:tcBorders>
          </w:tcPr>
          <w:p w14:paraId="007D80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Autres imprévus</w:t>
            </w:r>
          </w:p>
        </w:tc>
        <w:tc>
          <w:tcPr>
            <w:tcW w:w="2907" w:type="dxa"/>
            <w:tcBorders>
              <w:top w:val="single" w:sz="4" w:space="0" w:color="000000"/>
              <w:left w:val="single" w:sz="4" w:space="0" w:color="000000"/>
              <w:bottom w:val="single" w:sz="4" w:space="0" w:color="000000"/>
              <w:right w:val="single" w:sz="4" w:space="0" w:color="000000"/>
            </w:tcBorders>
          </w:tcPr>
          <w:p w14:paraId="69C568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Couverts par la contingence</w:t>
            </w:r>
          </w:p>
        </w:tc>
        <w:tc>
          <w:tcPr>
            <w:tcW w:w="1646" w:type="dxa"/>
            <w:tcBorders>
              <w:top w:val="single" w:sz="4" w:space="0" w:color="000000"/>
              <w:left w:val="single" w:sz="4" w:space="0" w:color="000000"/>
              <w:bottom w:val="single" w:sz="4" w:space="0" w:color="000000"/>
              <w:right w:val="single" w:sz="4" w:space="0" w:color="000000"/>
            </w:tcBorders>
          </w:tcPr>
          <w:p w14:paraId="5539F0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668E6DFC"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727AA53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6622587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Coût total du mandat</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EA9EE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54 000 $ + 5 400 $</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683579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59 400,00 $</w:t>
            </w:r>
          </w:p>
        </w:tc>
      </w:tr>
      <w:tr w:rsidR="00F50D70" w:rsidRPr="00BE4F47" w14:paraId="5BE64008"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5A72763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Cs/>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742D29A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Cs/>
                <w:color w:val="1A1A19"/>
                <w:sz w:val="16"/>
                <w:szCs w:val="16"/>
                <w:lang w:val="fr-FR"/>
              </w:rPr>
              <w:t>Bénéfice de l’équipe</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03A34B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Cs/>
                <w:color w:val="1A1A19"/>
                <w:sz w:val="16"/>
                <w:szCs w:val="16"/>
                <w:lang w:val="fr-FR"/>
              </w:rPr>
              <w:t>15 % du coût total du mandat, soit 13,0 % du prix</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2A8F70C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Cs/>
                <w:color w:val="1A1A19"/>
                <w:sz w:val="16"/>
                <w:szCs w:val="16"/>
                <w:lang w:val="fr-FR"/>
              </w:rPr>
              <w:t>8 910,00 $</w:t>
            </w:r>
          </w:p>
        </w:tc>
      </w:tr>
      <w:tr w:rsidR="00F50D70" w:rsidRPr="00BE4F47" w14:paraId="509B1670"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2B33668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6DF0E09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Prix contractuel porté au bordereau</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CE41C3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59 400 $ + 8 910 $</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661BB92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68 310,00 $</w:t>
            </w:r>
          </w:p>
        </w:tc>
      </w:tr>
      <w:tr w:rsidR="00F50D70" w:rsidRPr="00BE4F47" w14:paraId="2DC2C8D6"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011E45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tcPr>
          <w:p w14:paraId="015B0BA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Réserve du propriétaire</w:t>
            </w:r>
          </w:p>
        </w:tc>
        <w:tc>
          <w:tcPr>
            <w:tcW w:w="2907" w:type="dxa"/>
            <w:tcBorders>
              <w:top w:val="single" w:sz="4" w:space="0" w:color="000000"/>
              <w:left w:val="single" w:sz="4" w:space="0" w:color="000000"/>
              <w:bottom w:val="single" w:sz="4" w:space="0" w:color="000000"/>
              <w:right w:val="single" w:sz="4" w:space="0" w:color="000000"/>
            </w:tcBorders>
          </w:tcPr>
          <w:p w14:paraId="1CDA7B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 du prix contractuel. Provision retenue par le client, hors du montant facturé.</w:t>
            </w:r>
          </w:p>
        </w:tc>
        <w:tc>
          <w:tcPr>
            <w:tcW w:w="1646" w:type="dxa"/>
            <w:tcBorders>
              <w:top w:val="single" w:sz="4" w:space="0" w:color="000000"/>
              <w:left w:val="single" w:sz="4" w:space="0" w:color="000000"/>
              <w:bottom w:val="single" w:sz="4" w:space="0" w:color="000000"/>
              <w:right w:val="single" w:sz="4" w:space="0" w:color="000000"/>
            </w:tcBorders>
          </w:tcPr>
          <w:p w14:paraId="04C5A7C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3 415,50 $</w:t>
            </w:r>
          </w:p>
        </w:tc>
      </w:tr>
      <w:tr w:rsidR="00F50D70" w:rsidRPr="00BE4F47" w14:paraId="778D320A"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249F90C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1881C1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Estimé initial total</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4EEEAF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68 310 $ + 3 415,50 $</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1CB8C5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71 725,50 $</w:t>
            </w:r>
          </w:p>
        </w:tc>
      </w:tr>
    </w:tbl>
    <w:p w14:paraId="57EF2D96"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941" w:name="_Toc241670319"/>
      <w:bookmarkStart w:id="942" w:name="_Toc241708027"/>
      <w:r w:rsidRPr="00BE4F47">
        <w:rPr>
          <w:rFonts w:ascii="Aptos" w:hAnsi="Aptos"/>
          <w:b/>
          <w:color w:val="1A1A19"/>
          <w:sz w:val="20"/>
          <w:szCs w:val="20"/>
        </w:rPr>
        <w:t xml:space="preserve">Le bénéfice. </w:t>
      </w:r>
      <w:r w:rsidRPr="00BE4F47">
        <w:rPr>
          <w:rFonts w:ascii="Aptos" w:hAnsi="Aptos"/>
          <w:color w:val="1A1A19"/>
          <w:sz w:val="20"/>
          <w:szCs w:val="20"/>
        </w:rPr>
        <w:t>Le bénéfice de l’équipe est de 8 910 $, soit 15 % du coût total du mandat. Rapporté au prix contractuel de 68 310 $, il en représente 13,0 %. Ajouter 15 % à un coût donne une majoration de 15 %, et non une marge de 15 % sur le prix de vente : les deux chiffres sont donnés pour éviter la confusion. La réserve du propriétaire reste chez le client et n’entre pas dans ce calcul.</w:t>
      </w:r>
      <w:bookmarkEnd w:id="941"/>
      <w:bookmarkEnd w:id="942"/>
    </w:p>
    <w:p w14:paraId="0DB4B20E"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43" w:name="_Toc241670320"/>
      <w:bookmarkStart w:id="944" w:name="_Toc241708028"/>
      <w:r w:rsidRPr="00BE4F47">
        <w:rPr>
          <w:rFonts w:ascii="Aptos" w:hAnsi="Aptos"/>
          <w:b/>
          <w:color w:val="1A1A19"/>
          <w:sz w:val="20"/>
          <w:szCs w:val="20"/>
        </w:rPr>
        <w:t xml:space="preserve">La vérification de l’estimation. </w:t>
      </w:r>
      <w:r w:rsidRPr="00BE4F47">
        <w:rPr>
          <w:rFonts w:ascii="Aptos" w:hAnsi="Aptos"/>
          <w:color w:val="1A1A19"/>
          <w:sz w:val="20"/>
          <w:szCs w:val="20"/>
        </w:rPr>
        <w:t xml:space="preserve">Trois méthodes donnent le même total. La méthode ascendante, celle qui est retenue, additionne les neuf lots de la structure de découpage et donne 1 080 heures. La méthode analogique applique la convention de 135 heures par membre à huit membres et donne 1 080 heures. La méthode paramétrique multiplie huit membres par quinze semaines utiles et neuf heures par semaine et donne 1 080 heures. L’écart entre les trois est nul. Ces trois méthodes ne </w:t>
      </w:r>
      <w:r w:rsidRPr="00BE4F47">
        <w:rPr>
          <w:rFonts w:ascii="Aptos" w:hAnsi="Aptos"/>
          <w:color w:val="1A1A19"/>
          <w:sz w:val="20"/>
          <w:szCs w:val="20"/>
        </w:rPr>
        <w:lastRenderedPageBreak/>
        <w:t>sont pas indépendantes : elles partent toutes de la même enveloppe de mandat et se contentent de la redistribuer. Leur concordance confirme la cohérence interne du chiffrage, pas la justesse de l’enveloppe. Cette justesse sera éprouvée par le suivi des heures réellement consommées, lot par lot.</w:t>
      </w:r>
      <w:bookmarkEnd w:id="943"/>
      <w:bookmarkEnd w:id="944"/>
    </w:p>
    <w:p w14:paraId="681F7F6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45" w:name="_Toc241083143"/>
      <w:bookmarkStart w:id="946" w:name="_Toc241670321"/>
      <w:bookmarkStart w:id="947" w:name="_Toc241708029"/>
      <w:r w:rsidRPr="00BE4F47">
        <w:rPr>
          <w:rFonts w:ascii="Aptos" w:hAnsi="Aptos"/>
          <w:b/>
          <w:color w:val="1A1A19"/>
          <w:sz w:val="20"/>
          <w:szCs w:val="20"/>
        </w:rPr>
        <w:t xml:space="preserve">La valeur actualisée nette. </w:t>
      </w:r>
      <w:r w:rsidRPr="00BE4F47">
        <w:rPr>
          <w:rFonts w:ascii="Aptos" w:hAnsi="Aptos"/>
          <w:color w:val="1A1A19"/>
          <w:sz w:val="20"/>
          <w:szCs w:val="20"/>
        </w:rPr>
        <w:t>C’est un exercice distinct de l’estimation. Si le prix contractuel de 68 310 $ était encaissé à la fin du mandat et actualisé à 8 % par an sur quinze semaines, sa valeur actuelle serait de 66 810,21 $. Rapportée au coût total du mandat, 59 400 $, la valeur actualisée nette serait de 7 410,21 $. Le taux de 8 % est une valeur d’illustration, à confirmer.</w:t>
      </w:r>
      <w:bookmarkEnd w:id="945"/>
      <w:bookmarkEnd w:id="946"/>
      <w:bookmarkEnd w:id="947"/>
    </w:p>
    <w:p w14:paraId="3BD520CB" w14:textId="77777777" w:rsidR="00F50D70" w:rsidRPr="00BE4F47" w:rsidRDefault="00137D7F" w:rsidP="008E113B">
      <w:pPr>
        <w:pStyle w:val="Titre2"/>
        <w:spacing w:line="360" w:lineRule="auto"/>
      </w:pPr>
      <w:bookmarkStart w:id="948" w:name="_Toc241708030"/>
      <w:r w:rsidRPr="00BE4F47">
        <w:t>Répartition dans le temps et bordereau des prix</w:t>
      </w:r>
      <w:bookmarkEnd w:id="948"/>
    </w:p>
    <w:p w14:paraId="7A57D83F" w14:textId="77777777" w:rsidR="00F50D70" w:rsidRPr="00BE4F47" w:rsidRDefault="00137D7F" w:rsidP="008E113B">
      <w:pPr>
        <w:spacing w:after="130" w:line="360" w:lineRule="auto"/>
        <w:ind w:left="360"/>
        <w:rPr>
          <w:rFonts w:ascii="Aptos" w:hAnsi="Aptos"/>
        </w:rPr>
      </w:pPr>
      <w:bookmarkStart w:id="949" w:name="_Toc241083146"/>
      <w:bookmarkStart w:id="950" w:name="_Toc241670323"/>
      <w:bookmarkStart w:id="951" w:name="_Toc241708031"/>
      <w:r w:rsidRPr="00BE4F47">
        <w:rPr>
          <w:rFonts w:ascii="Aptos" w:hAnsi="Aptos"/>
          <w:color w:val="1A1A19"/>
          <w:sz w:val="20"/>
          <w:szCs w:val="20"/>
        </w:rPr>
        <w:t>La grille donne un montant global. Elle ne dit pas quand l’argent est dépensé ni quand il est facturé. Le tableau 9-2 répartit le coût du mandat sur les six jalons, en reprenant l’effort par phase de l’échéancier. C’est la base de référence contre laquelle l’écart sera mesuré à chaque jalon. La valeur acquise se mesure sur le travail réellement terminé, au sens des critères d’acceptation du tableau 2-1, et non sur les heures consommées : un lot largement entamé en heures mais sans livrable accepté ne compte pour rien.</w:t>
      </w:r>
      <w:bookmarkEnd w:id="949"/>
      <w:bookmarkEnd w:id="950"/>
      <w:bookmarkEnd w:id="951"/>
    </w:p>
    <w:p w14:paraId="170FD430" w14:textId="77777777" w:rsidR="00F50D70" w:rsidRPr="00BE4F47" w:rsidRDefault="00137D7F" w:rsidP="008E113B">
      <w:pPr>
        <w:pStyle w:val="Lgende"/>
        <w:keepNext/>
        <w:spacing w:line="360" w:lineRule="auto"/>
        <w:rPr>
          <w:rFonts w:ascii="Aptos" w:hAnsi="Aptos"/>
        </w:rPr>
      </w:pPr>
      <w:bookmarkStart w:id="952" w:name="_Toc241083147"/>
      <w:bookmarkStart w:id="953" w:name="_Toc241670324"/>
      <w:bookmarkStart w:id="954" w:name="_Toc241708032"/>
      <w:r w:rsidRPr="00BE4F47">
        <w:rPr>
          <w:rFonts w:ascii="Aptos" w:hAnsi="Aptos"/>
        </w:rPr>
        <w:t>Tableau 9-2. Répartition du coût du mandat par jalon</w:t>
      </w:r>
      <w:bookmarkEnd w:id="952"/>
      <w:bookmarkEnd w:id="953"/>
      <w:bookmarkEnd w:id="954"/>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1000"/>
        <w:gridCol w:w="1400"/>
        <w:gridCol w:w="1700"/>
        <w:gridCol w:w="1700"/>
        <w:gridCol w:w="2057"/>
      </w:tblGrid>
      <w:tr w:rsidR="00F50D70" w:rsidRPr="00BE4F47" w14:paraId="1399CF9F" w14:textId="77777777">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EFF4FB"/>
          </w:tcPr>
          <w:p w14:paraId="554BED1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Jalon</w:t>
            </w:r>
          </w:p>
        </w:tc>
        <w:tc>
          <w:tcPr>
            <w:tcW w:w="1000" w:type="dxa"/>
            <w:tcBorders>
              <w:top w:val="single" w:sz="4" w:space="0" w:color="000000"/>
              <w:left w:val="single" w:sz="4" w:space="0" w:color="000000"/>
              <w:bottom w:val="single" w:sz="4" w:space="0" w:color="000000"/>
              <w:right w:val="single" w:sz="4" w:space="0" w:color="000000"/>
            </w:tcBorders>
            <w:shd w:val="clear" w:color="auto" w:fill="EFF4FB"/>
          </w:tcPr>
          <w:p w14:paraId="5CD423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Date</w:t>
            </w:r>
          </w:p>
        </w:tc>
        <w:tc>
          <w:tcPr>
            <w:tcW w:w="1400" w:type="dxa"/>
            <w:tcBorders>
              <w:top w:val="single" w:sz="4" w:space="0" w:color="000000"/>
              <w:left w:val="single" w:sz="4" w:space="0" w:color="000000"/>
              <w:bottom w:val="single" w:sz="4" w:space="0" w:color="000000"/>
              <w:right w:val="single" w:sz="4" w:space="0" w:color="000000"/>
            </w:tcBorders>
            <w:shd w:val="clear" w:color="auto" w:fill="EFF4FB"/>
          </w:tcPr>
          <w:p w14:paraId="5160587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Effort de la phase</w:t>
            </w:r>
          </w:p>
        </w:tc>
        <w:tc>
          <w:tcPr>
            <w:tcW w:w="1700" w:type="dxa"/>
            <w:tcBorders>
              <w:top w:val="single" w:sz="4" w:space="0" w:color="000000"/>
              <w:left w:val="single" w:sz="4" w:space="0" w:color="000000"/>
              <w:bottom w:val="single" w:sz="4" w:space="0" w:color="000000"/>
              <w:right w:val="single" w:sz="4" w:space="0" w:color="000000"/>
            </w:tcBorders>
            <w:shd w:val="clear" w:color="auto" w:fill="EFF4FB"/>
          </w:tcPr>
          <w:p w14:paraId="782F23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Coût de la période</w:t>
            </w:r>
          </w:p>
        </w:tc>
        <w:tc>
          <w:tcPr>
            <w:tcW w:w="1700" w:type="dxa"/>
            <w:tcBorders>
              <w:top w:val="single" w:sz="4" w:space="0" w:color="000000"/>
              <w:left w:val="single" w:sz="4" w:space="0" w:color="000000"/>
              <w:bottom w:val="single" w:sz="4" w:space="0" w:color="000000"/>
              <w:right w:val="single" w:sz="4" w:space="0" w:color="000000"/>
            </w:tcBorders>
            <w:shd w:val="clear" w:color="auto" w:fill="EFF4FB"/>
          </w:tcPr>
          <w:p w14:paraId="4372B86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Coût cumulé</w:t>
            </w:r>
          </w:p>
        </w:tc>
        <w:tc>
          <w:tcPr>
            <w:tcW w:w="2057" w:type="dxa"/>
            <w:tcBorders>
              <w:top w:val="single" w:sz="4" w:space="0" w:color="000000"/>
              <w:left w:val="single" w:sz="4" w:space="0" w:color="000000"/>
              <w:bottom w:val="single" w:sz="4" w:space="0" w:color="000000"/>
              <w:right w:val="single" w:sz="4" w:space="0" w:color="000000"/>
            </w:tcBorders>
            <w:shd w:val="clear" w:color="auto" w:fill="EFF4FB"/>
          </w:tcPr>
          <w:p w14:paraId="2319107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Part du budget</w:t>
            </w:r>
          </w:p>
        </w:tc>
      </w:tr>
      <w:tr w:rsidR="00F50D70" w:rsidRPr="00BE4F47" w14:paraId="71914C3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EBEBC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J0</w:t>
            </w:r>
          </w:p>
        </w:tc>
        <w:tc>
          <w:tcPr>
            <w:tcW w:w="1000" w:type="dxa"/>
            <w:tcBorders>
              <w:top w:val="single" w:sz="4" w:space="0" w:color="000000"/>
              <w:left w:val="single" w:sz="4" w:space="0" w:color="000000"/>
              <w:bottom w:val="single" w:sz="4" w:space="0" w:color="000000"/>
              <w:right w:val="single" w:sz="4" w:space="0" w:color="000000"/>
            </w:tcBorders>
          </w:tcPr>
          <w:p w14:paraId="4646447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 oct.</w:t>
            </w:r>
          </w:p>
        </w:tc>
        <w:tc>
          <w:tcPr>
            <w:tcW w:w="1400" w:type="dxa"/>
            <w:tcBorders>
              <w:top w:val="single" w:sz="4" w:space="0" w:color="000000"/>
              <w:left w:val="single" w:sz="4" w:space="0" w:color="000000"/>
              <w:bottom w:val="single" w:sz="4" w:space="0" w:color="000000"/>
              <w:right w:val="single" w:sz="4" w:space="0" w:color="000000"/>
            </w:tcBorders>
          </w:tcPr>
          <w:p w14:paraId="10BD90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240 h</w:t>
            </w:r>
          </w:p>
        </w:tc>
        <w:tc>
          <w:tcPr>
            <w:tcW w:w="1700" w:type="dxa"/>
            <w:tcBorders>
              <w:top w:val="single" w:sz="4" w:space="0" w:color="000000"/>
              <w:left w:val="single" w:sz="4" w:space="0" w:color="000000"/>
              <w:bottom w:val="single" w:sz="4" w:space="0" w:color="000000"/>
              <w:right w:val="single" w:sz="4" w:space="0" w:color="000000"/>
            </w:tcBorders>
          </w:tcPr>
          <w:p w14:paraId="536DAC1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12 000,00 $</w:t>
            </w:r>
          </w:p>
        </w:tc>
        <w:tc>
          <w:tcPr>
            <w:tcW w:w="1700" w:type="dxa"/>
            <w:tcBorders>
              <w:top w:val="single" w:sz="4" w:space="0" w:color="000000"/>
              <w:left w:val="single" w:sz="4" w:space="0" w:color="000000"/>
              <w:bottom w:val="single" w:sz="4" w:space="0" w:color="000000"/>
              <w:right w:val="single" w:sz="4" w:space="0" w:color="000000"/>
            </w:tcBorders>
          </w:tcPr>
          <w:p w14:paraId="316EC51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12 000,00 $</w:t>
            </w:r>
          </w:p>
        </w:tc>
        <w:tc>
          <w:tcPr>
            <w:tcW w:w="2057" w:type="dxa"/>
            <w:tcBorders>
              <w:top w:val="single" w:sz="4" w:space="0" w:color="000000"/>
              <w:left w:val="single" w:sz="4" w:space="0" w:color="000000"/>
              <w:bottom w:val="single" w:sz="4" w:space="0" w:color="000000"/>
              <w:right w:val="single" w:sz="4" w:space="0" w:color="000000"/>
            </w:tcBorders>
          </w:tcPr>
          <w:p w14:paraId="018BF7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22,2 %</w:t>
            </w:r>
          </w:p>
        </w:tc>
      </w:tr>
      <w:tr w:rsidR="00F50D70" w:rsidRPr="00BE4F47" w14:paraId="475EB7F4"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E25D7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J1</w:t>
            </w:r>
          </w:p>
        </w:tc>
        <w:tc>
          <w:tcPr>
            <w:tcW w:w="1000" w:type="dxa"/>
            <w:tcBorders>
              <w:top w:val="single" w:sz="4" w:space="0" w:color="000000"/>
              <w:left w:val="single" w:sz="4" w:space="0" w:color="000000"/>
              <w:bottom w:val="single" w:sz="4" w:space="0" w:color="000000"/>
              <w:right w:val="single" w:sz="4" w:space="0" w:color="000000"/>
            </w:tcBorders>
          </w:tcPr>
          <w:p w14:paraId="3CC5BF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 oct.</w:t>
            </w:r>
          </w:p>
        </w:tc>
        <w:tc>
          <w:tcPr>
            <w:tcW w:w="1400" w:type="dxa"/>
            <w:tcBorders>
              <w:top w:val="single" w:sz="4" w:space="0" w:color="000000"/>
              <w:left w:val="single" w:sz="4" w:space="0" w:color="000000"/>
              <w:bottom w:val="single" w:sz="4" w:space="0" w:color="000000"/>
              <w:right w:val="single" w:sz="4" w:space="0" w:color="000000"/>
            </w:tcBorders>
          </w:tcPr>
          <w:p w14:paraId="093FECF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88 h</w:t>
            </w:r>
          </w:p>
        </w:tc>
        <w:tc>
          <w:tcPr>
            <w:tcW w:w="1700" w:type="dxa"/>
            <w:tcBorders>
              <w:top w:val="single" w:sz="4" w:space="0" w:color="000000"/>
              <w:left w:val="single" w:sz="4" w:space="0" w:color="000000"/>
              <w:bottom w:val="single" w:sz="4" w:space="0" w:color="000000"/>
              <w:right w:val="single" w:sz="4" w:space="0" w:color="000000"/>
            </w:tcBorders>
          </w:tcPr>
          <w:p w14:paraId="7473320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4 400,00 $</w:t>
            </w:r>
          </w:p>
        </w:tc>
        <w:tc>
          <w:tcPr>
            <w:tcW w:w="1700" w:type="dxa"/>
            <w:tcBorders>
              <w:top w:val="single" w:sz="4" w:space="0" w:color="000000"/>
              <w:left w:val="single" w:sz="4" w:space="0" w:color="000000"/>
              <w:bottom w:val="single" w:sz="4" w:space="0" w:color="000000"/>
              <w:right w:val="single" w:sz="4" w:space="0" w:color="000000"/>
            </w:tcBorders>
          </w:tcPr>
          <w:p w14:paraId="0253E0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16 400,00 $</w:t>
            </w:r>
          </w:p>
        </w:tc>
        <w:tc>
          <w:tcPr>
            <w:tcW w:w="2057" w:type="dxa"/>
            <w:tcBorders>
              <w:top w:val="single" w:sz="4" w:space="0" w:color="000000"/>
              <w:left w:val="single" w:sz="4" w:space="0" w:color="000000"/>
              <w:bottom w:val="single" w:sz="4" w:space="0" w:color="000000"/>
              <w:right w:val="single" w:sz="4" w:space="0" w:color="000000"/>
            </w:tcBorders>
          </w:tcPr>
          <w:p w14:paraId="66D9AA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30,4 %</w:t>
            </w:r>
          </w:p>
        </w:tc>
      </w:tr>
      <w:tr w:rsidR="00F50D70" w:rsidRPr="00BE4F47" w14:paraId="31CC2453"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17C3F1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J2</w:t>
            </w:r>
          </w:p>
        </w:tc>
        <w:tc>
          <w:tcPr>
            <w:tcW w:w="1000" w:type="dxa"/>
            <w:tcBorders>
              <w:top w:val="single" w:sz="4" w:space="0" w:color="000000"/>
              <w:left w:val="single" w:sz="4" w:space="0" w:color="000000"/>
              <w:bottom w:val="single" w:sz="4" w:space="0" w:color="000000"/>
              <w:right w:val="single" w:sz="4" w:space="0" w:color="000000"/>
            </w:tcBorders>
          </w:tcPr>
          <w:p w14:paraId="531BFC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23 oct.</w:t>
            </w:r>
          </w:p>
        </w:tc>
        <w:tc>
          <w:tcPr>
            <w:tcW w:w="1400" w:type="dxa"/>
            <w:tcBorders>
              <w:top w:val="single" w:sz="4" w:space="0" w:color="000000"/>
              <w:left w:val="single" w:sz="4" w:space="0" w:color="000000"/>
              <w:bottom w:val="single" w:sz="4" w:space="0" w:color="000000"/>
              <w:right w:val="single" w:sz="4" w:space="0" w:color="000000"/>
            </w:tcBorders>
          </w:tcPr>
          <w:p w14:paraId="73A9F5A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160 h</w:t>
            </w:r>
          </w:p>
        </w:tc>
        <w:tc>
          <w:tcPr>
            <w:tcW w:w="1700" w:type="dxa"/>
            <w:tcBorders>
              <w:top w:val="single" w:sz="4" w:space="0" w:color="000000"/>
              <w:left w:val="single" w:sz="4" w:space="0" w:color="000000"/>
              <w:bottom w:val="single" w:sz="4" w:space="0" w:color="000000"/>
              <w:right w:val="single" w:sz="4" w:space="0" w:color="000000"/>
            </w:tcBorders>
          </w:tcPr>
          <w:p w14:paraId="5A40E0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8 000,00 $</w:t>
            </w:r>
          </w:p>
        </w:tc>
        <w:tc>
          <w:tcPr>
            <w:tcW w:w="1700" w:type="dxa"/>
            <w:tcBorders>
              <w:top w:val="single" w:sz="4" w:space="0" w:color="000000"/>
              <w:left w:val="single" w:sz="4" w:space="0" w:color="000000"/>
              <w:bottom w:val="single" w:sz="4" w:space="0" w:color="000000"/>
              <w:right w:val="single" w:sz="4" w:space="0" w:color="000000"/>
            </w:tcBorders>
          </w:tcPr>
          <w:p w14:paraId="05E0465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24 400,00 $</w:t>
            </w:r>
          </w:p>
        </w:tc>
        <w:tc>
          <w:tcPr>
            <w:tcW w:w="2057" w:type="dxa"/>
            <w:tcBorders>
              <w:top w:val="single" w:sz="4" w:space="0" w:color="000000"/>
              <w:left w:val="single" w:sz="4" w:space="0" w:color="000000"/>
              <w:bottom w:val="single" w:sz="4" w:space="0" w:color="000000"/>
              <w:right w:val="single" w:sz="4" w:space="0" w:color="000000"/>
            </w:tcBorders>
          </w:tcPr>
          <w:p w14:paraId="07F735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45,2 %</w:t>
            </w:r>
          </w:p>
        </w:tc>
      </w:tr>
      <w:tr w:rsidR="00F50D70" w:rsidRPr="00BE4F47" w14:paraId="433531E6"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7F9A60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J3</w:t>
            </w:r>
          </w:p>
        </w:tc>
        <w:tc>
          <w:tcPr>
            <w:tcW w:w="1000" w:type="dxa"/>
            <w:tcBorders>
              <w:top w:val="single" w:sz="4" w:space="0" w:color="000000"/>
              <w:left w:val="single" w:sz="4" w:space="0" w:color="000000"/>
              <w:bottom w:val="single" w:sz="4" w:space="0" w:color="000000"/>
              <w:right w:val="single" w:sz="4" w:space="0" w:color="000000"/>
            </w:tcBorders>
          </w:tcPr>
          <w:p w14:paraId="606807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 nov.</w:t>
            </w:r>
          </w:p>
        </w:tc>
        <w:tc>
          <w:tcPr>
            <w:tcW w:w="1400" w:type="dxa"/>
            <w:tcBorders>
              <w:top w:val="single" w:sz="4" w:space="0" w:color="000000"/>
              <w:left w:val="single" w:sz="4" w:space="0" w:color="000000"/>
              <w:bottom w:val="single" w:sz="4" w:space="0" w:color="000000"/>
              <w:right w:val="single" w:sz="4" w:space="0" w:color="000000"/>
            </w:tcBorders>
          </w:tcPr>
          <w:p w14:paraId="11E8DE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352 h</w:t>
            </w:r>
          </w:p>
        </w:tc>
        <w:tc>
          <w:tcPr>
            <w:tcW w:w="1700" w:type="dxa"/>
            <w:tcBorders>
              <w:top w:val="single" w:sz="4" w:space="0" w:color="000000"/>
              <w:left w:val="single" w:sz="4" w:space="0" w:color="000000"/>
              <w:bottom w:val="single" w:sz="4" w:space="0" w:color="000000"/>
              <w:right w:val="single" w:sz="4" w:space="0" w:color="000000"/>
            </w:tcBorders>
          </w:tcPr>
          <w:p w14:paraId="2DA1775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17 600,00 $</w:t>
            </w:r>
          </w:p>
        </w:tc>
        <w:tc>
          <w:tcPr>
            <w:tcW w:w="1700" w:type="dxa"/>
            <w:tcBorders>
              <w:top w:val="single" w:sz="4" w:space="0" w:color="000000"/>
              <w:left w:val="single" w:sz="4" w:space="0" w:color="000000"/>
              <w:bottom w:val="single" w:sz="4" w:space="0" w:color="000000"/>
              <w:right w:val="single" w:sz="4" w:space="0" w:color="000000"/>
            </w:tcBorders>
          </w:tcPr>
          <w:p w14:paraId="266B0C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42 000,00 $</w:t>
            </w:r>
          </w:p>
        </w:tc>
        <w:tc>
          <w:tcPr>
            <w:tcW w:w="2057" w:type="dxa"/>
            <w:tcBorders>
              <w:top w:val="single" w:sz="4" w:space="0" w:color="000000"/>
              <w:left w:val="single" w:sz="4" w:space="0" w:color="000000"/>
              <w:bottom w:val="single" w:sz="4" w:space="0" w:color="000000"/>
              <w:right w:val="single" w:sz="4" w:space="0" w:color="000000"/>
            </w:tcBorders>
          </w:tcPr>
          <w:p w14:paraId="73D165A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77,8 %</w:t>
            </w:r>
          </w:p>
        </w:tc>
      </w:tr>
      <w:tr w:rsidR="00F50D70" w:rsidRPr="00BE4F47" w14:paraId="5E70C015"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AC81EF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J4</w:t>
            </w:r>
          </w:p>
        </w:tc>
        <w:tc>
          <w:tcPr>
            <w:tcW w:w="1000" w:type="dxa"/>
            <w:tcBorders>
              <w:top w:val="single" w:sz="4" w:space="0" w:color="000000"/>
              <w:left w:val="single" w:sz="4" w:space="0" w:color="000000"/>
              <w:bottom w:val="single" w:sz="4" w:space="0" w:color="000000"/>
              <w:right w:val="single" w:sz="4" w:space="0" w:color="000000"/>
            </w:tcBorders>
          </w:tcPr>
          <w:p w14:paraId="1A59D95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déc.</w:t>
            </w:r>
          </w:p>
        </w:tc>
        <w:tc>
          <w:tcPr>
            <w:tcW w:w="1400" w:type="dxa"/>
            <w:tcBorders>
              <w:top w:val="single" w:sz="4" w:space="0" w:color="000000"/>
              <w:left w:val="single" w:sz="4" w:space="0" w:color="000000"/>
              <w:bottom w:val="single" w:sz="4" w:space="0" w:color="000000"/>
              <w:right w:val="single" w:sz="4" w:space="0" w:color="000000"/>
            </w:tcBorders>
          </w:tcPr>
          <w:p w14:paraId="03F34A7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176 h</w:t>
            </w:r>
          </w:p>
        </w:tc>
        <w:tc>
          <w:tcPr>
            <w:tcW w:w="1700" w:type="dxa"/>
            <w:tcBorders>
              <w:top w:val="single" w:sz="4" w:space="0" w:color="000000"/>
              <w:left w:val="single" w:sz="4" w:space="0" w:color="000000"/>
              <w:bottom w:val="single" w:sz="4" w:space="0" w:color="000000"/>
              <w:right w:val="single" w:sz="4" w:space="0" w:color="000000"/>
            </w:tcBorders>
          </w:tcPr>
          <w:p w14:paraId="277BFCF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8 800,00 $</w:t>
            </w:r>
          </w:p>
        </w:tc>
        <w:tc>
          <w:tcPr>
            <w:tcW w:w="1700" w:type="dxa"/>
            <w:tcBorders>
              <w:top w:val="single" w:sz="4" w:space="0" w:color="000000"/>
              <w:left w:val="single" w:sz="4" w:space="0" w:color="000000"/>
              <w:bottom w:val="single" w:sz="4" w:space="0" w:color="000000"/>
              <w:right w:val="single" w:sz="4" w:space="0" w:color="000000"/>
            </w:tcBorders>
          </w:tcPr>
          <w:p w14:paraId="5AA350E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50 800,00 $</w:t>
            </w:r>
          </w:p>
        </w:tc>
        <w:tc>
          <w:tcPr>
            <w:tcW w:w="2057" w:type="dxa"/>
            <w:tcBorders>
              <w:top w:val="single" w:sz="4" w:space="0" w:color="000000"/>
              <w:left w:val="single" w:sz="4" w:space="0" w:color="000000"/>
              <w:bottom w:val="single" w:sz="4" w:space="0" w:color="000000"/>
              <w:right w:val="single" w:sz="4" w:space="0" w:color="000000"/>
            </w:tcBorders>
          </w:tcPr>
          <w:p w14:paraId="4662FC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94,1 %</w:t>
            </w:r>
          </w:p>
        </w:tc>
      </w:tr>
      <w:tr w:rsidR="00F50D70" w:rsidRPr="00BE4F47" w14:paraId="7FDAEDF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685C3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J5</w:t>
            </w:r>
          </w:p>
        </w:tc>
        <w:tc>
          <w:tcPr>
            <w:tcW w:w="1000" w:type="dxa"/>
            <w:tcBorders>
              <w:top w:val="single" w:sz="4" w:space="0" w:color="000000"/>
              <w:left w:val="single" w:sz="4" w:space="0" w:color="000000"/>
              <w:bottom w:val="single" w:sz="4" w:space="0" w:color="000000"/>
              <w:right w:val="single" w:sz="4" w:space="0" w:color="000000"/>
            </w:tcBorders>
          </w:tcPr>
          <w:p w14:paraId="74B8C8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18 déc.</w:t>
            </w:r>
          </w:p>
        </w:tc>
        <w:tc>
          <w:tcPr>
            <w:tcW w:w="1400" w:type="dxa"/>
            <w:tcBorders>
              <w:top w:val="single" w:sz="4" w:space="0" w:color="000000"/>
              <w:left w:val="single" w:sz="4" w:space="0" w:color="000000"/>
              <w:bottom w:val="single" w:sz="4" w:space="0" w:color="000000"/>
              <w:right w:val="single" w:sz="4" w:space="0" w:color="000000"/>
            </w:tcBorders>
          </w:tcPr>
          <w:p w14:paraId="6FF5E1A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64 h</w:t>
            </w:r>
          </w:p>
        </w:tc>
        <w:tc>
          <w:tcPr>
            <w:tcW w:w="1700" w:type="dxa"/>
            <w:tcBorders>
              <w:top w:val="single" w:sz="4" w:space="0" w:color="000000"/>
              <w:left w:val="single" w:sz="4" w:space="0" w:color="000000"/>
              <w:bottom w:val="single" w:sz="4" w:space="0" w:color="000000"/>
              <w:right w:val="single" w:sz="4" w:space="0" w:color="000000"/>
            </w:tcBorders>
          </w:tcPr>
          <w:p w14:paraId="46DE34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3 200,00 $</w:t>
            </w:r>
          </w:p>
        </w:tc>
        <w:tc>
          <w:tcPr>
            <w:tcW w:w="1700" w:type="dxa"/>
            <w:tcBorders>
              <w:top w:val="single" w:sz="4" w:space="0" w:color="000000"/>
              <w:left w:val="single" w:sz="4" w:space="0" w:color="000000"/>
              <w:bottom w:val="single" w:sz="4" w:space="0" w:color="000000"/>
              <w:right w:val="single" w:sz="4" w:space="0" w:color="000000"/>
            </w:tcBorders>
          </w:tcPr>
          <w:p w14:paraId="55A08A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54 000,00 $</w:t>
            </w:r>
          </w:p>
        </w:tc>
        <w:tc>
          <w:tcPr>
            <w:tcW w:w="2057" w:type="dxa"/>
            <w:tcBorders>
              <w:top w:val="single" w:sz="4" w:space="0" w:color="000000"/>
              <w:left w:val="single" w:sz="4" w:space="0" w:color="000000"/>
              <w:bottom w:val="single" w:sz="4" w:space="0" w:color="000000"/>
              <w:right w:val="single" w:sz="4" w:space="0" w:color="000000"/>
            </w:tcBorders>
          </w:tcPr>
          <w:p w14:paraId="0AEEA27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100,0 %</w:t>
            </w:r>
          </w:p>
        </w:tc>
      </w:tr>
      <w:tr w:rsidR="00F50D70" w:rsidRPr="00BE4F47" w14:paraId="7EC524F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CE814EB"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1000" w:type="dxa"/>
            <w:tcBorders>
              <w:top w:val="single" w:sz="4" w:space="0" w:color="000000"/>
              <w:left w:val="single" w:sz="4" w:space="0" w:color="000000"/>
              <w:bottom w:val="single" w:sz="4" w:space="0" w:color="000000"/>
              <w:right w:val="single" w:sz="4" w:space="0" w:color="000000"/>
            </w:tcBorders>
          </w:tcPr>
          <w:p w14:paraId="3E773C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Total</w:t>
            </w:r>
          </w:p>
        </w:tc>
        <w:tc>
          <w:tcPr>
            <w:tcW w:w="1400" w:type="dxa"/>
            <w:tcBorders>
              <w:top w:val="single" w:sz="4" w:space="0" w:color="000000"/>
              <w:left w:val="single" w:sz="4" w:space="0" w:color="000000"/>
              <w:bottom w:val="single" w:sz="4" w:space="0" w:color="000000"/>
              <w:right w:val="single" w:sz="4" w:space="0" w:color="000000"/>
            </w:tcBorders>
          </w:tcPr>
          <w:p w14:paraId="7F52753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1 080 h</w:t>
            </w:r>
          </w:p>
        </w:tc>
        <w:tc>
          <w:tcPr>
            <w:tcW w:w="1700" w:type="dxa"/>
            <w:tcBorders>
              <w:top w:val="single" w:sz="4" w:space="0" w:color="000000"/>
              <w:left w:val="single" w:sz="4" w:space="0" w:color="000000"/>
              <w:bottom w:val="single" w:sz="4" w:space="0" w:color="000000"/>
              <w:right w:val="single" w:sz="4" w:space="0" w:color="000000"/>
            </w:tcBorders>
          </w:tcPr>
          <w:p w14:paraId="1967FE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54 000,00 $</w:t>
            </w:r>
          </w:p>
        </w:tc>
        <w:tc>
          <w:tcPr>
            <w:tcW w:w="1700" w:type="dxa"/>
            <w:tcBorders>
              <w:top w:val="single" w:sz="4" w:space="0" w:color="000000"/>
              <w:left w:val="single" w:sz="4" w:space="0" w:color="000000"/>
              <w:bottom w:val="single" w:sz="4" w:space="0" w:color="000000"/>
              <w:right w:val="single" w:sz="4" w:space="0" w:color="000000"/>
            </w:tcBorders>
          </w:tcPr>
          <w:p w14:paraId="459E1269"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2057" w:type="dxa"/>
            <w:tcBorders>
              <w:top w:val="single" w:sz="4" w:space="0" w:color="000000"/>
              <w:left w:val="single" w:sz="4" w:space="0" w:color="000000"/>
              <w:bottom w:val="single" w:sz="4" w:space="0" w:color="000000"/>
              <w:right w:val="single" w:sz="4" w:space="0" w:color="000000"/>
            </w:tcBorders>
          </w:tcPr>
          <w:p w14:paraId="5C352B25"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bl>
    <w:p w14:paraId="6C275771" w14:textId="77777777" w:rsidR="00F50D70" w:rsidRPr="00BE4F47" w:rsidRDefault="00137D7F" w:rsidP="008E113B">
      <w:pPr>
        <w:spacing w:before="200" w:after="130" w:line="360" w:lineRule="auto"/>
        <w:ind w:left="360"/>
        <w:rPr>
          <w:rFonts w:ascii="Aptos" w:hAnsi="Aptos"/>
        </w:rPr>
      </w:pPr>
      <w:bookmarkStart w:id="955" w:name="_Toc241083148"/>
      <w:bookmarkStart w:id="956" w:name="_Toc241670325"/>
      <w:bookmarkStart w:id="957" w:name="_Toc241708033"/>
      <w:r w:rsidRPr="00BE4F47">
        <w:rPr>
          <w:rFonts w:ascii="Aptos" w:hAnsi="Aptos"/>
          <w:color w:val="1A1A19"/>
          <w:sz w:val="20"/>
          <w:szCs w:val="20"/>
        </w:rPr>
        <w:t>Trois lectures se déduisent de ce tableau. Près des trois quarts du budget sont engagés à l’atteinte du jalon J3, ce qui veut dire qu’un dépassement constaté après J3 ne peut plus être corrigé par une réduction de contenu, seulement absorbé par la contingence. Le jalon J2 est le point de bascule : à cette date, un écart de plus de 10 % entre le coût réel et les 24 400 $ prévus déclenche l’arbitrage prévu par le risque RP2. La phase P3 concentre enfin à elle seule 32,6 % du budget, ce qui en fait la phase à suivre de plus près.</w:t>
      </w:r>
      <w:bookmarkEnd w:id="955"/>
      <w:bookmarkEnd w:id="956"/>
      <w:bookmarkEnd w:id="957"/>
    </w:p>
    <w:p w14:paraId="3C5269E2" w14:textId="77777777" w:rsidR="00F50D70" w:rsidRPr="00BE4F47" w:rsidRDefault="00137D7F" w:rsidP="008E113B">
      <w:pPr>
        <w:spacing w:after="130" w:line="360" w:lineRule="auto"/>
        <w:ind w:left="360"/>
        <w:rPr>
          <w:rFonts w:ascii="Aptos" w:hAnsi="Aptos"/>
        </w:rPr>
      </w:pPr>
      <w:bookmarkStart w:id="958" w:name="_Toc241083149"/>
      <w:bookmarkStart w:id="959" w:name="_Toc241670326"/>
      <w:bookmarkStart w:id="960" w:name="_Toc241708034"/>
      <w:r w:rsidRPr="00BE4F47">
        <w:rPr>
          <w:rFonts w:ascii="Aptos" w:hAnsi="Aptos"/>
          <w:color w:val="1A1A19"/>
          <w:sz w:val="20"/>
          <w:szCs w:val="20"/>
        </w:rPr>
        <w:t>Les montants ci-dessus sont des coûts et non des prix. Ils n’incluent ni la contingence ni la réserve, qui s’appliquent au total et non à chaque période.</w:t>
      </w:r>
      <w:bookmarkEnd w:id="958"/>
      <w:bookmarkEnd w:id="959"/>
      <w:bookmarkEnd w:id="960"/>
    </w:p>
    <w:p w14:paraId="459AB47A" w14:textId="77777777" w:rsidR="00F50D70" w:rsidRPr="00BE4F47" w:rsidRDefault="00137D7F" w:rsidP="008E113B">
      <w:pPr>
        <w:spacing w:after="130" w:line="360" w:lineRule="auto"/>
        <w:ind w:left="360"/>
        <w:rPr>
          <w:rFonts w:ascii="Aptos" w:hAnsi="Aptos"/>
        </w:rPr>
      </w:pPr>
      <w:bookmarkStart w:id="961" w:name="_Toc241083178"/>
      <w:bookmarkStart w:id="962" w:name="_Toc241670327"/>
      <w:bookmarkStart w:id="963" w:name="_Toc241708035"/>
      <w:r w:rsidRPr="00BE4F47">
        <w:rPr>
          <w:rFonts w:ascii="Aptos" w:hAnsi="Aptos"/>
          <w:color w:val="1A1A19"/>
          <w:sz w:val="20"/>
          <w:szCs w:val="20"/>
        </w:rPr>
        <w:lastRenderedPageBreak/>
        <w:t>Le bordereau des prix est le document remis au client. Il diffère du tableau précédent sur deux points : il porte des prix et non des coûts, et il fixe les moments où une somme devient exigible. La facturation se fait par jalon : une somme n’est exigible que lorsque le livrable correspondant a été remis et accepté.</w:t>
      </w:r>
      <w:bookmarkEnd w:id="961"/>
      <w:bookmarkEnd w:id="962"/>
      <w:bookmarkEnd w:id="963"/>
    </w:p>
    <w:p w14:paraId="5B0A7D64" w14:textId="77777777" w:rsidR="00F50D70" w:rsidRPr="00BE4F47" w:rsidRDefault="00137D7F" w:rsidP="008E113B">
      <w:pPr>
        <w:spacing w:after="130" w:line="360" w:lineRule="auto"/>
        <w:ind w:left="360"/>
        <w:rPr>
          <w:rFonts w:ascii="Aptos" w:hAnsi="Aptos"/>
        </w:rPr>
      </w:pPr>
      <w:bookmarkStart w:id="964" w:name="_Toc241083179"/>
      <w:bookmarkStart w:id="965" w:name="_Toc241670328"/>
      <w:bookmarkStart w:id="966" w:name="_Toc241708036"/>
      <w:r w:rsidRPr="00BE4F47">
        <w:rPr>
          <w:rFonts w:ascii="Aptos" w:hAnsi="Aptos"/>
          <w:color w:val="1A1A19"/>
          <w:sz w:val="20"/>
          <w:szCs w:val="20"/>
        </w:rPr>
        <w:t>Les montants ci-dessous répartissent le prix contractuel, 68 310 $, au prorata de l’effort de chaque phase, soit 63,25 $ l’heure. C’est le seul prix que le client ait à considérer. La réserve du propriétaire, 3 415,50 $, n’y figure pas : elle est conservée par le client et n’est facturée que s’il décide d’un changement de périmètre.</w:t>
      </w:r>
      <w:bookmarkEnd w:id="964"/>
      <w:bookmarkEnd w:id="965"/>
      <w:bookmarkEnd w:id="966"/>
    </w:p>
    <w:p w14:paraId="3C7953B3" w14:textId="77777777" w:rsidR="00F50D70" w:rsidRPr="00BE4F47" w:rsidRDefault="00137D7F" w:rsidP="008E113B">
      <w:pPr>
        <w:pStyle w:val="Lgende"/>
        <w:keepNext/>
        <w:spacing w:line="360" w:lineRule="auto"/>
        <w:rPr>
          <w:rFonts w:ascii="Aptos" w:hAnsi="Aptos"/>
        </w:rPr>
      </w:pPr>
      <w:bookmarkStart w:id="967" w:name="_Toc241083180"/>
      <w:bookmarkStart w:id="968" w:name="_Toc241670329"/>
      <w:bookmarkStart w:id="969" w:name="_Toc241708037"/>
      <w:r w:rsidRPr="00BE4F47">
        <w:rPr>
          <w:rFonts w:ascii="Aptos" w:hAnsi="Aptos"/>
        </w:rPr>
        <w:t>Tableau 9-3. Bordereau des prix et échéancier de facturation</w:t>
      </w:r>
      <w:bookmarkEnd w:id="967"/>
      <w:bookmarkEnd w:id="968"/>
      <w:bookmarkEnd w:id="969"/>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900"/>
        <w:gridCol w:w="3600"/>
        <w:gridCol w:w="1650"/>
        <w:gridCol w:w="1707"/>
      </w:tblGrid>
      <w:tr w:rsidR="00F50D70" w:rsidRPr="00BE4F47" w14:paraId="6889CDC4" w14:textId="77777777" w:rsidTr="008E113B">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58CC2D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Jalon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41C3A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A03E6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Livrable conditionnant le paiement</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2C1B0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Montant exigible</w:t>
            </w:r>
          </w:p>
        </w:tc>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BACA02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Cumul facturé</w:t>
            </w:r>
          </w:p>
        </w:tc>
      </w:tr>
      <w:tr w:rsidR="00F50D70" w:rsidRPr="00BE4F47" w14:paraId="32A7A9CA"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9A7B5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J0</w:t>
            </w:r>
          </w:p>
        </w:tc>
        <w:tc>
          <w:tcPr>
            <w:tcW w:w="900" w:type="dxa"/>
            <w:tcBorders>
              <w:top w:val="single" w:sz="4" w:space="0" w:color="000000"/>
              <w:left w:val="single" w:sz="4" w:space="0" w:color="000000"/>
              <w:bottom w:val="single" w:sz="4" w:space="0" w:color="000000"/>
              <w:right w:val="single" w:sz="4" w:space="0" w:color="000000"/>
            </w:tcBorders>
          </w:tcPr>
          <w:p w14:paraId="01F8BB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 oct.</w:t>
            </w:r>
          </w:p>
        </w:tc>
        <w:tc>
          <w:tcPr>
            <w:tcW w:w="3600" w:type="dxa"/>
            <w:tcBorders>
              <w:top w:val="single" w:sz="4" w:space="0" w:color="000000"/>
              <w:left w:val="single" w:sz="4" w:space="0" w:color="000000"/>
              <w:bottom w:val="single" w:sz="4" w:space="0" w:color="000000"/>
              <w:right w:val="single" w:sz="4" w:space="0" w:color="000000"/>
            </w:tcBorders>
          </w:tcPr>
          <w:p w14:paraId="3E2D8EE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projet remis et accepté. Livrable L07.</w:t>
            </w:r>
          </w:p>
        </w:tc>
        <w:tc>
          <w:tcPr>
            <w:tcW w:w="1650" w:type="dxa"/>
            <w:tcBorders>
              <w:top w:val="single" w:sz="4" w:space="0" w:color="000000"/>
              <w:left w:val="single" w:sz="4" w:space="0" w:color="000000"/>
              <w:bottom w:val="single" w:sz="4" w:space="0" w:color="000000"/>
              <w:right w:val="single" w:sz="4" w:space="0" w:color="000000"/>
            </w:tcBorders>
          </w:tcPr>
          <w:p w14:paraId="74D148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15 180,00 $</w:t>
            </w:r>
          </w:p>
        </w:tc>
        <w:tc>
          <w:tcPr>
            <w:tcW w:w="1707" w:type="dxa"/>
            <w:tcBorders>
              <w:top w:val="single" w:sz="4" w:space="0" w:color="000000"/>
              <w:left w:val="single" w:sz="4" w:space="0" w:color="000000"/>
              <w:bottom w:val="single" w:sz="4" w:space="0" w:color="000000"/>
              <w:right w:val="single" w:sz="4" w:space="0" w:color="000000"/>
            </w:tcBorders>
          </w:tcPr>
          <w:p w14:paraId="1BCA15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15 180,00 $</w:t>
            </w:r>
          </w:p>
        </w:tc>
      </w:tr>
      <w:tr w:rsidR="00F50D70" w:rsidRPr="00BE4F47" w14:paraId="0878C2AC"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5297F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J1</w:t>
            </w:r>
          </w:p>
        </w:tc>
        <w:tc>
          <w:tcPr>
            <w:tcW w:w="900" w:type="dxa"/>
            <w:tcBorders>
              <w:top w:val="single" w:sz="4" w:space="0" w:color="000000"/>
              <w:left w:val="single" w:sz="4" w:space="0" w:color="000000"/>
              <w:bottom w:val="single" w:sz="4" w:space="0" w:color="000000"/>
              <w:right w:val="single" w:sz="4" w:space="0" w:color="000000"/>
            </w:tcBorders>
          </w:tcPr>
          <w:p w14:paraId="040D388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 oct.</w:t>
            </w:r>
          </w:p>
        </w:tc>
        <w:tc>
          <w:tcPr>
            <w:tcW w:w="3600" w:type="dxa"/>
            <w:tcBorders>
              <w:top w:val="single" w:sz="4" w:space="0" w:color="000000"/>
              <w:left w:val="single" w:sz="4" w:space="0" w:color="000000"/>
              <w:bottom w:val="single" w:sz="4" w:space="0" w:color="000000"/>
              <w:right w:val="single" w:sz="4" w:space="0" w:color="000000"/>
            </w:tcBorders>
          </w:tcPr>
          <w:p w14:paraId="0A3E638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Registre des exigences et GEMMA acceptés. Livrables L03 et L04.</w:t>
            </w:r>
          </w:p>
        </w:tc>
        <w:tc>
          <w:tcPr>
            <w:tcW w:w="1650" w:type="dxa"/>
            <w:tcBorders>
              <w:top w:val="single" w:sz="4" w:space="0" w:color="000000"/>
              <w:left w:val="single" w:sz="4" w:space="0" w:color="000000"/>
              <w:bottom w:val="single" w:sz="4" w:space="0" w:color="000000"/>
              <w:right w:val="single" w:sz="4" w:space="0" w:color="000000"/>
            </w:tcBorders>
          </w:tcPr>
          <w:p w14:paraId="167C9BF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5 566,00 $</w:t>
            </w:r>
          </w:p>
        </w:tc>
        <w:tc>
          <w:tcPr>
            <w:tcW w:w="1707" w:type="dxa"/>
            <w:tcBorders>
              <w:top w:val="single" w:sz="4" w:space="0" w:color="000000"/>
              <w:left w:val="single" w:sz="4" w:space="0" w:color="000000"/>
              <w:bottom w:val="single" w:sz="4" w:space="0" w:color="000000"/>
              <w:right w:val="single" w:sz="4" w:space="0" w:color="000000"/>
            </w:tcBorders>
          </w:tcPr>
          <w:p w14:paraId="45772FF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20 746,00 $</w:t>
            </w:r>
          </w:p>
        </w:tc>
      </w:tr>
      <w:tr w:rsidR="00F50D70" w:rsidRPr="00BE4F47" w14:paraId="6625B78B"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1BD0F8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J2</w:t>
            </w:r>
          </w:p>
        </w:tc>
        <w:tc>
          <w:tcPr>
            <w:tcW w:w="900" w:type="dxa"/>
            <w:tcBorders>
              <w:top w:val="single" w:sz="4" w:space="0" w:color="000000"/>
              <w:left w:val="single" w:sz="4" w:space="0" w:color="000000"/>
              <w:bottom w:val="single" w:sz="4" w:space="0" w:color="000000"/>
              <w:right w:val="single" w:sz="4" w:space="0" w:color="000000"/>
            </w:tcBorders>
          </w:tcPr>
          <w:p w14:paraId="3ACA0E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23 oct.</w:t>
            </w:r>
          </w:p>
        </w:tc>
        <w:tc>
          <w:tcPr>
            <w:tcW w:w="3600" w:type="dxa"/>
            <w:tcBorders>
              <w:top w:val="single" w:sz="4" w:space="0" w:color="000000"/>
              <w:left w:val="single" w:sz="4" w:space="0" w:color="000000"/>
              <w:bottom w:val="single" w:sz="4" w:space="0" w:color="000000"/>
              <w:right w:val="single" w:sz="4" w:space="0" w:color="000000"/>
            </w:tcBorders>
          </w:tcPr>
          <w:p w14:paraId="74AB770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vérification et de validation accepté. Livrable L05.</w:t>
            </w:r>
          </w:p>
        </w:tc>
        <w:tc>
          <w:tcPr>
            <w:tcW w:w="1650" w:type="dxa"/>
            <w:tcBorders>
              <w:top w:val="single" w:sz="4" w:space="0" w:color="000000"/>
              <w:left w:val="single" w:sz="4" w:space="0" w:color="000000"/>
              <w:bottom w:val="single" w:sz="4" w:space="0" w:color="000000"/>
              <w:right w:val="single" w:sz="4" w:space="0" w:color="000000"/>
            </w:tcBorders>
          </w:tcPr>
          <w:p w14:paraId="71016A8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10 120,00 $</w:t>
            </w:r>
          </w:p>
        </w:tc>
        <w:tc>
          <w:tcPr>
            <w:tcW w:w="1707" w:type="dxa"/>
            <w:tcBorders>
              <w:top w:val="single" w:sz="4" w:space="0" w:color="000000"/>
              <w:left w:val="single" w:sz="4" w:space="0" w:color="000000"/>
              <w:bottom w:val="single" w:sz="4" w:space="0" w:color="000000"/>
              <w:right w:val="single" w:sz="4" w:space="0" w:color="000000"/>
            </w:tcBorders>
          </w:tcPr>
          <w:p w14:paraId="5E61B9E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30 866,00 $</w:t>
            </w:r>
          </w:p>
        </w:tc>
      </w:tr>
      <w:tr w:rsidR="00F50D70" w:rsidRPr="00BE4F47" w14:paraId="56549D6F"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4FFF4D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J3</w:t>
            </w:r>
          </w:p>
        </w:tc>
        <w:tc>
          <w:tcPr>
            <w:tcW w:w="900" w:type="dxa"/>
            <w:tcBorders>
              <w:top w:val="single" w:sz="4" w:space="0" w:color="000000"/>
              <w:left w:val="single" w:sz="4" w:space="0" w:color="000000"/>
              <w:bottom w:val="single" w:sz="4" w:space="0" w:color="000000"/>
              <w:right w:val="single" w:sz="4" w:space="0" w:color="000000"/>
            </w:tcBorders>
          </w:tcPr>
          <w:p w14:paraId="104DFB7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 nov.</w:t>
            </w:r>
          </w:p>
        </w:tc>
        <w:tc>
          <w:tcPr>
            <w:tcW w:w="3600" w:type="dxa"/>
            <w:tcBorders>
              <w:top w:val="single" w:sz="4" w:space="0" w:color="000000"/>
              <w:left w:val="single" w:sz="4" w:space="0" w:color="000000"/>
              <w:bottom w:val="single" w:sz="4" w:space="0" w:color="000000"/>
              <w:right w:val="single" w:sz="4" w:space="0" w:color="000000"/>
            </w:tcBorders>
          </w:tcPr>
          <w:p w14:paraId="1AB4489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Prototype et interface démontrés. Livrables L01 et L02.</w:t>
            </w:r>
          </w:p>
        </w:tc>
        <w:tc>
          <w:tcPr>
            <w:tcW w:w="1650" w:type="dxa"/>
            <w:tcBorders>
              <w:top w:val="single" w:sz="4" w:space="0" w:color="000000"/>
              <w:left w:val="single" w:sz="4" w:space="0" w:color="000000"/>
              <w:bottom w:val="single" w:sz="4" w:space="0" w:color="000000"/>
              <w:right w:val="single" w:sz="4" w:space="0" w:color="000000"/>
            </w:tcBorders>
          </w:tcPr>
          <w:p w14:paraId="11518C3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22 264,00 $</w:t>
            </w:r>
          </w:p>
        </w:tc>
        <w:tc>
          <w:tcPr>
            <w:tcW w:w="1707" w:type="dxa"/>
            <w:tcBorders>
              <w:top w:val="single" w:sz="4" w:space="0" w:color="000000"/>
              <w:left w:val="single" w:sz="4" w:space="0" w:color="000000"/>
              <w:bottom w:val="single" w:sz="4" w:space="0" w:color="000000"/>
              <w:right w:val="single" w:sz="4" w:space="0" w:color="000000"/>
            </w:tcBorders>
          </w:tcPr>
          <w:p w14:paraId="007CFF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53 130,00 $</w:t>
            </w:r>
          </w:p>
        </w:tc>
      </w:tr>
      <w:tr w:rsidR="00F50D70" w:rsidRPr="00BE4F47" w14:paraId="3ACDB27A"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7287C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J4</w:t>
            </w:r>
          </w:p>
        </w:tc>
        <w:tc>
          <w:tcPr>
            <w:tcW w:w="900" w:type="dxa"/>
            <w:tcBorders>
              <w:top w:val="single" w:sz="4" w:space="0" w:color="000000"/>
              <w:left w:val="single" w:sz="4" w:space="0" w:color="000000"/>
              <w:bottom w:val="single" w:sz="4" w:space="0" w:color="000000"/>
              <w:right w:val="single" w:sz="4" w:space="0" w:color="000000"/>
            </w:tcBorders>
          </w:tcPr>
          <w:p w14:paraId="373368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déc.</w:t>
            </w:r>
          </w:p>
        </w:tc>
        <w:tc>
          <w:tcPr>
            <w:tcW w:w="3600" w:type="dxa"/>
            <w:tcBorders>
              <w:top w:val="single" w:sz="4" w:space="0" w:color="000000"/>
              <w:left w:val="single" w:sz="4" w:space="0" w:color="000000"/>
              <w:bottom w:val="single" w:sz="4" w:space="0" w:color="000000"/>
              <w:right w:val="single" w:sz="4" w:space="0" w:color="000000"/>
            </w:tcBorders>
          </w:tcPr>
          <w:p w14:paraId="4A47B01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Campagne d’essais terminée et conclusions de validation. Livrable L06.</w:t>
            </w:r>
          </w:p>
        </w:tc>
        <w:tc>
          <w:tcPr>
            <w:tcW w:w="1650" w:type="dxa"/>
            <w:tcBorders>
              <w:top w:val="single" w:sz="4" w:space="0" w:color="000000"/>
              <w:left w:val="single" w:sz="4" w:space="0" w:color="000000"/>
              <w:bottom w:val="single" w:sz="4" w:space="0" w:color="000000"/>
              <w:right w:val="single" w:sz="4" w:space="0" w:color="000000"/>
            </w:tcBorders>
          </w:tcPr>
          <w:p w14:paraId="3B3AA69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11 132,00 $</w:t>
            </w:r>
          </w:p>
        </w:tc>
        <w:tc>
          <w:tcPr>
            <w:tcW w:w="1707" w:type="dxa"/>
            <w:tcBorders>
              <w:top w:val="single" w:sz="4" w:space="0" w:color="000000"/>
              <w:left w:val="single" w:sz="4" w:space="0" w:color="000000"/>
              <w:bottom w:val="single" w:sz="4" w:space="0" w:color="000000"/>
              <w:right w:val="single" w:sz="4" w:space="0" w:color="000000"/>
            </w:tcBorders>
          </w:tcPr>
          <w:p w14:paraId="5414BE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64 262,00 $</w:t>
            </w:r>
          </w:p>
        </w:tc>
      </w:tr>
      <w:tr w:rsidR="00F50D70" w:rsidRPr="00BE4F47" w14:paraId="3AE10A81"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044D3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J5</w:t>
            </w:r>
          </w:p>
        </w:tc>
        <w:tc>
          <w:tcPr>
            <w:tcW w:w="900" w:type="dxa"/>
            <w:tcBorders>
              <w:top w:val="single" w:sz="4" w:space="0" w:color="000000"/>
              <w:left w:val="single" w:sz="4" w:space="0" w:color="000000"/>
              <w:bottom w:val="single" w:sz="4" w:space="0" w:color="000000"/>
              <w:right w:val="single" w:sz="4" w:space="0" w:color="000000"/>
            </w:tcBorders>
          </w:tcPr>
          <w:p w14:paraId="6B7885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18 déc.</w:t>
            </w:r>
          </w:p>
        </w:tc>
        <w:tc>
          <w:tcPr>
            <w:tcW w:w="3600" w:type="dxa"/>
            <w:tcBorders>
              <w:top w:val="single" w:sz="4" w:space="0" w:color="000000"/>
              <w:left w:val="single" w:sz="4" w:space="0" w:color="000000"/>
              <w:bottom w:val="single" w:sz="4" w:space="0" w:color="000000"/>
              <w:right w:val="single" w:sz="4" w:space="0" w:color="000000"/>
            </w:tcBorders>
          </w:tcPr>
          <w:p w14:paraId="09AB7B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Recommandation d’ingénierie, rapport final, présentation. Livrables L08 et L09.</w:t>
            </w:r>
          </w:p>
        </w:tc>
        <w:tc>
          <w:tcPr>
            <w:tcW w:w="1650" w:type="dxa"/>
            <w:tcBorders>
              <w:top w:val="single" w:sz="4" w:space="0" w:color="000000"/>
              <w:left w:val="single" w:sz="4" w:space="0" w:color="000000"/>
              <w:bottom w:val="single" w:sz="4" w:space="0" w:color="000000"/>
              <w:right w:val="single" w:sz="4" w:space="0" w:color="000000"/>
            </w:tcBorders>
          </w:tcPr>
          <w:p w14:paraId="129FA3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4 048,00 $</w:t>
            </w:r>
          </w:p>
        </w:tc>
        <w:tc>
          <w:tcPr>
            <w:tcW w:w="1707" w:type="dxa"/>
            <w:tcBorders>
              <w:top w:val="single" w:sz="4" w:space="0" w:color="000000"/>
              <w:left w:val="single" w:sz="4" w:space="0" w:color="000000"/>
              <w:bottom w:val="single" w:sz="4" w:space="0" w:color="000000"/>
              <w:right w:val="single" w:sz="4" w:space="0" w:color="000000"/>
            </w:tcBorders>
          </w:tcPr>
          <w:p w14:paraId="1142631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68 310,00 $</w:t>
            </w:r>
          </w:p>
        </w:tc>
      </w:tr>
      <w:tr w:rsidR="00F50D70" w:rsidRPr="00BE4F47" w14:paraId="46E8D32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65CCED4"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900" w:type="dxa"/>
            <w:tcBorders>
              <w:top w:val="single" w:sz="4" w:space="0" w:color="000000"/>
              <w:left w:val="single" w:sz="4" w:space="0" w:color="000000"/>
              <w:bottom w:val="single" w:sz="4" w:space="0" w:color="000000"/>
              <w:right w:val="single" w:sz="4" w:space="0" w:color="000000"/>
            </w:tcBorders>
          </w:tcPr>
          <w:p w14:paraId="11777E4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Total</w:t>
            </w:r>
          </w:p>
        </w:tc>
        <w:tc>
          <w:tcPr>
            <w:tcW w:w="3600" w:type="dxa"/>
            <w:tcBorders>
              <w:top w:val="single" w:sz="4" w:space="0" w:color="000000"/>
              <w:left w:val="single" w:sz="4" w:space="0" w:color="000000"/>
              <w:bottom w:val="single" w:sz="4" w:space="0" w:color="000000"/>
              <w:right w:val="single" w:sz="4" w:space="0" w:color="000000"/>
            </w:tcBorders>
          </w:tcPr>
          <w:p w14:paraId="3034F6F0"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1650" w:type="dxa"/>
            <w:tcBorders>
              <w:top w:val="single" w:sz="4" w:space="0" w:color="000000"/>
              <w:left w:val="single" w:sz="4" w:space="0" w:color="000000"/>
              <w:bottom w:val="single" w:sz="4" w:space="0" w:color="000000"/>
              <w:right w:val="single" w:sz="4" w:space="0" w:color="000000"/>
            </w:tcBorders>
          </w:tcPr>
          <w:p w14:paraId="7AF21A0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59 400,00 $</w:t>
            </w:r>
          </w:p>
        </w:tc>
        <w:tc>
          <w:tcPr>
            <w:tcW w:w="1707" w:type="dxa"/>
            <w:tcBorders>
              <w:top w:val="single" w:sz="4" w:space="0" w:color="000000"/>
              <w:left w:val="single" w:sz="4" w:space="0" w:color="000000"/>
              <w:bottom w:val="single" w:sz="4" w:space="0" w:color="000000"/>
              <w:right w:val="single" w:sz="4" w:space="0" w:color="000000"/>
            </w:tcBorders>
          </w:tcPr>
          <w:p w14:paraId="34DE156D"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bl>
    <w:p w14:paraId="6CF8A5B4" w14:textId="77777777" w:rsidR="00F50D70" w:rsidRPr="00BE4F47" w:rsidRDefault="00137D7F" w:rsidP="008E113B">
      <w:pPr>
        <w:spacing w:before="200" w:after="130" w:line="360" w:lineRule="auto"/>
        <w:ind w:left="360"/>
        <w:rPr>
          <w:rFonts w:ascii="Aptos" w:hAnsi="Aptos"/>
        </w:rPr>
      </w:pPr>
      <w:bookmarkStart w:id="970" w:name="_Toc241083181"/>
      <w:bookmarkStart w:id="971" w:name="_Toc241670330"/>
      <w:bookmarkStart w:id="972" w:name="_Toc241708038"/>
      <w:r w:rsidRPr="00BE4F47">
        <w:rPr>
          <w:rFonts w:ascii="Aptos" w:hAnsi="Aptos"/>
          <w:color w:val="1A1A19"/>
          <w:sz w:val="20"/>
          <w:szCs w:val="20"/>
        </w:rPr>
        <w:t>L’équipe facture à chaque jalon plus que ce qu’elle a engagé, parce que le prix porte la contingence et le bénéfice, que le coût ne porte pas. Au jalon J2, elle a facturé 30 866 $ pour un coût engagé de 24 400 $. Au jalon J3, 53 130 $ pour 42 000 $. L’écart final, 14 310 $, est exactement la somme de la contingence et du bénéfice. La facturation par jalon évite que l’équipe finance le mandat sur ses propres fonds jusqu’à la livraison.</w:t>
      </w:r>
      <w:bookmarkEnd w:id="970"/>
      <w:bookmarkEnd w:id="971"/>
      <w:bookmarkEnd w:id="972"/>
    </w:p>
    <w:p w14:paraId="77644603" w14:textId="77777777" w:rsidR="00F50D70" w:rsidRPr="00B36301" w:rsidRDefault="00137D7F" w:rsidP="008E113B">
      <w:pPr>
        <w:pStyle w:val="Titre1"/>
        <w:spacing w:line="360" w:lineRule="auto"/>
      </w:pPr>
      <w:bookmarkStart w:id="973" w:name="__RefHeading___Toc240715288"/>
      <w:bookmarkStart w:id="974" w:name="_Toc241708039"/>
      <w:bookmarkEnd w:id="973"/>
      <w:r w:rsidRPr="00B36301">
        <w:t>Échéancier préliminaire</w:t>
      </w:r>
      <w:bookmarkEnd w:id="974"/>
    </w:p>
    <w:p w14:paraId="5CDEC92A" w14:textId="77777777" w:rsidR="00F50D70" w:rsidRPr="00BE4F47" w:rsidRDefault="00137D7F" w:rsidP="008E113B">
      <w:pPr>
        <w:spacing w:after="130" w:line="360" w:lineRule="auto"/>
        <w:ind w:left="360"/>
        <w:rPr>
          <w:rFonts w:ascii="Aptos" w:hAnsi="Aptos"/>
        </w:rPr>
      </w:pPr>
      <w:bookmarkStart w:id="975" w:name="_Toc241083151"/>
      <w:bookmarkStart w:id="976" w:name="_Toc241670332"/>
      <w:bookmarkStart w:id="977" w:name="_Toc241708040"/>
      <w:r w:rsidRPr="00BE4F47">
        <w:rPr>
          <w:rFonts w:ascii="Aptos" w:hAnsi="Aptos"/>
          <w:color w:val="1A1A19"/>
          <w:sz w:val="20"/>
          <w:szCs w:val="20"/>
        </w:rPr>
        <w:t>Le travail est défini, chiffré en heures puis en dollars. Il reste à le placer dans le temps. Cette section construit le calendrier du mandat à partir du trimestre universitaire, le découpe en phases, et fixe les six jalons auxquels l’avancement est mesuré.</w:t>
      </w:r>
      <w:bookmarkEnd w:id="975"/>
      <w:bookmarkEnd w:id="976"/>
      <w:bookmarkEnd w:id="977"/>
    </w:p>
    <w:p w14:paraId="268E7ED7" w14:textId="77777777" w:rsidR="00F50D70" w:rsidRPr="00B36301" w:rsidRDefault="00137D7F" w:rsidP="008E113B">
      <w:pPr>
        <w:pStyle w:val="Titre2"/>
        <w:spacing w:line="360" w:lineRule="auto"/>
      </w:pPr>
      <w:bookmarkStart w:id="978" w:name="_Toc241708041"/>
      <w:r w:rsidRPr="00B36301">
        <w:t>Structure de découpage du projet</w:t>
      </w:r>
      <w:bookmarkEnd w:id="978"/>
    </w:p>
    <w:p w14:paraId="43A4C2AA" w14:textId="77777777" w:rsidR="00F50D70" w:rsidRPr="00BE4F47" w:rsidRDefault="00137D7F" w:rsidP="008E113B">
      <w:pPr>
        <w:spacing w:after="130" w:line="360" w:lineRule="auto"/>
        <w:ind w:left="360"/>
        <w:rPr>
          <w:rFonts w:ascii="Aptos" w:hAnsi="Aptos"/>
        </w:rPr>
      </w:pPr>
      <w:bookmarkStart w:id="979" w:name="_Toc241083154"/>
      <w:bookmarkStart w:id="980" w:name="_Toc241670334"/>
      <w:bookmarkStart w:id="981" w:name="_Toc241708042"/>
      <w:r w:rsidRPr="00BE4F47">
        <w:rPr>
          <w:rFonts w:ascii="Aptos" w:hAnsi="Aptos"/>
          <w:color w:val="1A1A19"/>
          <w:sz w:val="20"/>
          <w:szCs w:val="20"/>
        </w:rPr>
        <w:t>La structure de découpage ci-dessous décompose le mandat en six ensembles, puis chaque ensemble en activités. Elle relie les lots de la section 8, qui portent l’effort, les livrables de la section 2, qui portent la valeur, et les activités, qui portent les durées.</w:t>
      </w:r>
      <w:bookmarkEnd w:id="979"/>
      <w:bookmarkEnd w:id="980"/>
      <w:bookmarkEnd w:id="981"/>
    </w:p>
    <w:p w14:paraId="22CCD551" w14:textId="77777777" w:rsidR="00F50D70" w:rsidRPr="00BE4F47" w:rsidRDefault="002A1CE1" w:rsidP="008E113B">
      <w:pPr>
        <w:keepNext/>
        <w:spacing w:after="130" w:line="360" w:lineRule="auto"/>
        <w:ind w:left="360"/>
        <w:rPr>
          <w:rFonts w:ascii="Aptos" w:hAnsi="Aptos"/>
        </w:rPr>
      </w:pPr>
      <w:bookmarkStart w:id="982" w:name="_Toc241083155"/>
      <w:bookmarkStart w:id="983" w:name="_Toc241670335"/>
      <w:bookmarkStart w:id="984" w:name="_Toc241708043"/>
      <w:r>
        <w:rPr>
          <w:rFonts w:ascii="Aptos" w:hAnsi="Aptos"/>
          <w:noProof/>
        </w:rPr>
        <w:lastRenderedPageBreak/>
        <w:drawing>
          <wp:anchor distT="0" distB="0" distL="114300" distR="114300" simplePos="0" relativeHeight="251656192" behindDoc="0" locked="0" layoutInCell="1" allowOverlap="1" wp14:anchorId="25BD99B5" wp14:editId="62832836">
            <wp:simplePos x="0" y="0"/>
            <wp:positionH relativeFrom="column">
              <wp:posOffset>174625</wp:posOffset>
            </wp:positionH>
            <wp:positionV relativeFrom="paragraph">
              <wp:posOffset>1031875</wp:posOffset>
            </wp:positionV>
            <wp:extent cx="5440680" cy="2179320"/>
            <wp:effectExtent l="0" t="0" r="0" b="0"/>
            <wp:wrapTopAndBottom/>
            <wp:docPr id="1266838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0680" cy="2179320"/>
                    </a:xfrm>
                    <a:prstGeom prst="rect">
                      <a:avLst/>
                    </a:prstGeom>
                    <a:noFill/>
                  </pic:spPr>
                </pic:pic>
              </a:graphicData>
            </a:graphic>
            <wp14:sizeRelH relativeFrom="page">
              <wp14:pctWidth>0</wp14:pctWidth>
            </wp14:sizeRelH>
            <wp14:sizeRelV relativeFrom="page">
              <wp14:pctHeight>0</wp14:pctHeight>
            </wp14:sizeRelV>
          </wp:anchor>
        </w:drawing>
      </w:r>
      <w:r w:rsidR="00273A91" w:rsidRPr="00BE4F47">
        <w:rPr>
          <w:rFonts w:ascii="Aptos" w:hAnsi="Aptos"/>
          <w:color w:val="1A1A19"/>
          <w:sz w:val="20"/>
          <w:szCs w:val="20"/>
        </w:rPr>
        <w:t>Le découpage suit le cycle de vie plutôt que l’organigramme de l’équipe. Un découpage par personne aurait figé l’affectation et rendu l’échéancier dépendant des disponibilités individuelles. Un découpage par phase permet de déplacer une personne d’une activité à une autre sans refaire la planification.</w:t>
      </w:r>
      <w:bookmarkEnd w:id="982"/>
      <w:bookmarkEnd w:id="983"/>
      <w:bookmarkEnd w:id="984"/>
    </w:p>
    <w:p w14:paraId="1CE789BE" w14:textId="77777777" w:rsidR="00F50D70" w:rsidRPr="00BE4F47" w:rsidRDefault="00137D7F" w:rsidP="008E113B">
      <w:pPr>
        <w:pStyle w:val="Lgende"/>
        <w:spacing w:line="360" w:lineRule="auto"/>
        <w:rPr>
          <w:rFonts w:ascii="Aptos" w:hAnsi="Aptos"/>
        </w:rPr>
      </w:pPr>
      <w:bookmarkStart w:id="985" w:name="_Toc241083156"/>
      <w:bookmarkStart w:id="986" w:name="_Toc241670336"/>
      <w:bookmarkStart w:id="987" w:name="_Toc241708044"/>
      <w:r w:rsidRPr="00BE4F47">
        <w:rPr>
          <w:rFonts w:ascii="Aptos" w:hAnsi="Aptos"/>
        </w:rPr>
        <w:t>Figure 10-1. Structure de découpage du projet</w:t>
      </w:r>
      <w:bookmarkEnd w:id="985"/>
      <w:bookmarkEnd w:id="986"/>
      <w:bookmarkEnd w:id="987"/>
    </w:p>
    <w:p w14:paraId="799C0C78" w14:textId="77777777" w:rsidR="00F50D70" w:rsidRPr="00BE4F47" w:rsidRDefault="00137D7F" w:rsidP="008E113B">
      <w:pPr>
        <w:spacing w:after="130" w:line="360" w:lineRule="auto"/>
        <w:ind w:left="360"/>
        <w:rPr>
          <w:rFonts w:ascii="Aptos" w:hAnsi="Aptos"/>
        </w:rPr>
      </w:pPr>
      <w:bookmarkStart w:id="988" w:name="_Toc241083157"/>
      <w:bookmarkStart w:id="989" w:name="_Toc241670337"/>
      <w:bookmarkStart w:id="990" w:name="_Toc241708045"/>
      <w:r w:rsidRPr="00BE4F47">
        <w:rPr>
          <w:rFonts w:ascii="Aptos" w:hAnsi="Aptos"/>
          <w:color w:val="1A1A19"/>
          <w:sz w:val="20"/>
          <w:szCs w:val="20"/>
        </w:rPr>
        <w:t>Chaque feuille de l’arbre porte le lot de travail qui la finance, et, lorsqu’elle s’y rattache, l’état GEMMA ou l’identifiant de fonction qu’elle réalise. C’est ce double rattachement qui permet de calculer la valeur acquise : une activité terminée fait avancer un lot dont l’effort est connu, donc une valeur chiffrable.</w:t>
      </w:r>
      <w:bookmarkEnd w:id="988"/>
      <w:bookmarkEnd w:id="989"/>
      <w:bookmarkEnd w:id="990"/>
    </w:p>
    <w:p w14:paraId="72975E9D" w14:textId="77777777" w:rsidR="00F50D70" w:rsidRPr="00BE4F47" w:rsidRDefault="00137D7F" w:rsidP="008E113B">
      <w:pPr>
        <w:spacing w:after="130" w:line="360" w:lineRule="auto"/>
        <w:ind w:left="360"/>
        <w:rPr>
          <w:rFonts w:ascii="Aptos" w:hAnsi="Aptos"/>
        </w:rPr>
      </w:pPr>
      <w:bookmarkStart w:id="991" w:name="_Toc241083158"/>
      <w:bookmarkStart w:id="992" w:name="_Toc241670338"/>
      <w:bookmarkStart w:id="993" w:name="_Toc241708046"/>
      <w:r w:rsidRPr="00BE4F47">
        <w:rPr>
          <w:rFonts w:ascii="Aptos" w:hAnsi="Aptos"/>
          <w:color w:val="1A1A19"/>
          <w:sz w:val="20"/>
          <w:szCs w:val="20"/>
        </w:rPr>
        <w:t>Les activités se répartissent en trois familles pour l’ordonnancement : les activités séquentielles, où la suivante attend le résultat de la précédente ; les activités parallèles, menées de front par des membres différents ; les activités à ressource partagée, qui réclament la même compétence et doivent donc être décalées.</w:t>
      </w:r>
      <w:bookmarkEnd w:id="991"/>
      <w:bookmarkEnd w:id="992"/>
      <w:bookmarkEnd w:id="993"/>
    </w:p>
    <w:p w14:paraId="3415932A" w14:textId="77777777" w:rsidR="00F50D70" w:rsidRPr="00B36301" w:rsidRDefault="00137D7F" w:rsidP="008E113B">
      <w:pPr>
        <w:pStyle w:val="Titre2"/>
        <w:spacing w:line="360" w:lineRule="auto"/>
      </w:pPr>
      <w:bookmarkStart w:id="994" w:name="_Toc241708047"/>
      <w:r w:rsidRPr="00B36301">
        <w:t>Base de calendrier et capacité de l’équipe</w:t>
      </w:r>
      <w:bookmarkEnd w:id="994"/>
    </w:p>
    <w:p w14:paraId="3ABB7BE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95" w:name="_Toc241083160"/>
      <w:bookmarkStart w:id="996" w:name="_Toc241670340"/>
      <w:bookmarkStart w:id="997" w:name="_Toc241708048"/>
      <w:r w:rsidRPr="00BE4F47">
        <w:rPr>
          <w:rFonts w:ascii="Aptos" w:hAnsi="Aptos"/>
          <w:color w:val="1A1A19"/>
          <w:sz w:val="20"/>
          <w:szCs w:val="20"/>
        </w:rPr>
        <w:t>L’échéancier est construit sur le calendrier du trimestre d’automne 2026 de l’UQAC, qui s’étend du 31 août au 22 décembre 2026 [51]. Trois congés fériés interrompent la période : le 7 septembre, le 30 septembre et le 12 octobre. Un congé pédagogique sans enseignement couvre du 13 au 16 octobre. La date limite d’abandon sans mention d’échec, le 10 novembre, sert de repère pour la gestion du risque d’équipe.</w:t>
      </w:r>
      <w:bookmarkEnd w:id="995"/>
      <w:bookmarkEnd w:id="996"/>
      <w:bookmarkEnd w:id="997"/>
    </w:p>
    <w:p w14:paraId="458D88B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998" w:name="_Toc241083161"/>
      <w:bookmarkStart w:id="999" w:name="_Toc241670341"/>
      <w:bookmarkStart w:id="1000" w:name="_Toc241708049"/>
      <w:r w:rsidRPr="00BE4F47">
        <w:rPr>
          <w:rFonts w:ascii="Aptos" w:hAnsi="Aptos"/>
          <w:color w:val="1A1A19"/>
          <w:sz w:val="20"/>
          <w:szCs w:val="20"/>
        </w:rPr>
        <w:t>L’équipe dispose de trois créneaux fixes chaque semaine : l’atelier du mercredi soir et les séances de laboratoire du jeudi et du vendredi midi.</w:t>
      </w:r>
      <w:bookmarkEnd w:id="998"/>
      <w:bookmarkEnd w:id="999"/>
      <w:bookmarkEnd w:id="1000"/>
    </w:p>
    <w:p w14:paraId="61C1A91E"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001" w:name="_Toc241083162"/>
      <w:bookmarkStart w:id="1002" w:name="_Toc241670342"/>
      <w:bookmarkStart w:id="1003" w:name="_Toc241708050"/>
      <w:r w:rsidRPr="00BE4F47">
        <w:rPr>
          <w:rFonts w:ascii="Aptos" w:hAnsi="Aptos"/>
          <w:color w:val="1A1A19"/>
          <w:sz w:val="20"/>
          <w:szCs w:val="20"/>
        </w:rPr>
        <w:t>La capacité d’une équipe étudiante n’est pas constante : elle baisse pendant les examens de mi-session et pendant les travaux de fin de session. L’échéancier tient compte de cette variation plutôt que de répartir les 1 080 heures uniformément.</w:t>
      </w:r>
      <w:bookmarkEnd w:id="1001"/>
      <w:bookmarkEnd w:id="1002"/>
      <w:bookmarkEnd w:id="1003"/>
    </w:p>
    <w:p w14:paraId="5D81D44A" w14:textId="77777777" w:rsidR="00F50D70" w:rsidRPr="00B36301" w:rsidRDefault="00137D7F" w:rsidP="008E113B">
      <w:pPr>
        <w:pStyle w:val="Titre2"/>
        <w:spacing w:line="360" w:lineRule="auto"/>
      </w:pPr>
      <w:bookmarkStart w:id="1004" w:name="_Toc241708051"/>
      <w:r w:rsidRPr="00B36301">
        <w:lastRenderedPageBreak/>
        <w:t>Découpage en phases, jalons et livrables</w:t>
      </w:r>
      <w:bookmarkEnd w:id="1004"/>
    </w:p>
    <w:p w14:paraId="58BA066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005" w:name="_Toc241083164"/>
      <w:bookmarkStart w:id="1006" w:name="_Toc241670344"/>
      <w:bookmarkStart w:id="1007" w:name="_Toc241708052"/>
      <w:r w:rsidRPr="00BE4F47">
        <w:rPr>
          <w:rFonts w:ascii="Aptos" w:hAnsi="Aptos"/>
          <w:color w:val="1A1A19"/>
          <w:sz w:val="20"/>
          <w:szCs w:val="20"/>
        </w:rPr>
        <w:t>Le projet est découpé en six phases séparées par des jalons. Un jalon est un point de contrôle assorti d’un livrable identifié. Il est franchi ou il ne l’est pas. Les phases sont comptées en semaines complètes et chaque jalon est tenu le vendredi, au dernier créneau de laboratoire de la phase. Le jalon J5 est tenu le 18 décembre, après la réserve d’échéancier.</w:t>
      </w:r>
      <w:bookmarkEnd w:id="1005"/>
      <w:bookmarkEnd w:id="1006"/>
      <w:bookmarkEnd w:id="1007"/>
    </w:p>
    <w:p w14:paraId="7394905B" w14:textId="77777777" w:rsidR="00F50D70" w:rsidRPr="00BE4F47" w:rsidRDefault="00137D7F" w:rsidP="008E113B">
      <w:pPr>
        <w:pStyle w:val="Lgende"/>
        <w:keepNext/>
        <w:spacing w:line="360" w:lineRule="auto"/>
        <w:rPr>
          <w:rFonts w:ascii="Aptos" w:hAnsi="Aptos"/>
        </w:rPr>
      </w:pPr>
      <w:bookmarkStart w:id="1008" w:name="_Toc241083165"/>
      <w:bookmarkStart w:id="1009" w:name="_Toc241670345"/>
      <w:bookmarkStart w:id="1010" w:name="_Toc241708053"/>
      <w:r w:rsidRPr="00BE4F47">
        <w:rPr>
          <w:rFonts w:ascii="Aptos" w:hAnsi="Aptos"/>
        </w:rPr>
        <w:t>Tableau 10-1. Phases, jalons et livrables de l’échéancier préliminaire</w:t>
      </w:r>
      <w:bookmarkEnd w:id="1008"/>
      <w:bookmarkEnd w:id="1009"/>
      <w:bookmarkEnd w:id="1010"/>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540"/>
        <w:gridCol w:w="1850"/>
        <w:gridCol w:w="1330"/>
        <w:gridCol w:w="850"/>
        <w:gridCol w:w="780"/>
        <w:gridCol w:w="3207"/>
      </w:tblGrid>
      <w:tr w:rsidR="00F50D70" w:rsidRPr="00BE4F47" w14:paraId="5AD4E00A" w14:textId="77777777">
        <w:trPr>
          <w:trHeight w:val="248"/>
          <w:tblHeader/>
        </w:trPr>
        <w:tc>
          <w:tcPr>
            <w:tcW w:w="540" w:type="dxa"/>
            <w:tcBorders>
              <w:top w:val="single" w:sz="4" w:space="0" w:color="000000"/>
              <w:left w:val="single" w:sz="4" w:space="0" w:color="000000"/>
              <w:bottom w:val="single" w:sz="4" w:space="0" w:color="000000"/>
              <w:right w:val="single" w:sz="4" w:space="0" w:color="000000"/>
            </w:tcBorders>
            <w:shd w:val="clear" w:color="auto" w:fill="EFF4FB"/>
          </w:tcPr>
          <w:p w14:paraId="2572E5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Ph.</w:t>
            </w:r>
          </w:p>
        </w:tc>
        <w:tc>
          <w:tcPr>
            <w:tcW w:w="1850" w:type="dxa"/>
            <w:tcBorders>
              <w:top w:val="single" w:sz="4" w:space="0" w:color="000000"/>
              <w:left w:val="single" w:sz="4" w:space="0" w:color="000000"/>
              <w:bottom w:val="single" w:sz="4" w:space="0" w:color="000000"/>
              <w:right w:val="single" w:sz="4" w:space="0" w:color="000000"/>
            </w:tcBorders>
            <w:shd w:val="clear" w:color="auto" w:fill="EFF4FB"/>
          </w:tcPr>
          <w:p w14:paraId="43D47B2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Intitulé</w:t>
            </w:r>
          </w:p>
        </w:tc>
        <w:tc>
          <w:tcPr>
            <w:tcW w:w="1330" w:type="dxa"/>
            <w:tcBorders>
              <w:top w:val="single" w:sz="4" w:space="0" w:color="000000"/>
              <w:left w:val="single" w:sz="4" w:space="0" w:color="000000"/>
              <w:bottom w:val="single" w:sz="4" w:space="0" w:color="000000"/>
              <w:right w:val="single" w:sz="4" w:space="0" w:color="000000"/>
            </w:tcBorders>
            <w:shd w:val="clear" w:color="auto" w:fill="EFF4FB"/>
          </w:tcPr>
          <w:p w14:paraId="4984F3B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Période</w:t>
            </w:r>
          </w:p>
        </w:tc>
        <w:tc>
          <w:tcPr>
            <w:tcW w:w="850" w:type="dxa"/>
            <w:tcBorders>
              <w:top w:val="single" w:sz="4" w:space="0" w:color="000000"/>
              <w:left w:val="single" w:sz="4" w:space="0" w:color="000000"/>
              <w:bottom w:val="single" w:sz="4" w:space="0" w:color="000000"/>
              <w:right w:val="single" w:sz="4" w:space="0" w:color="000000"/>
            </w:tcBorders>
            <w:shd w:val="clear" w:color="auto" w:fill="EFF4FB"/>
          </w:tcPr>
          <w:p w14:paraId="0C8578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Effort</w:t>
            </w:r>
          </w:p>
        </w:tc>
        <w:tc>
          <w:tcPr>
            <w:tcW w:w="780" w:type="dxa"/>
            <w:tcBorders>
              <w:top w:val="single" w:sz="4" w:space="0" w:color="000000"/>
              <w:left w:val="single" w:sz="4" w:space="0" w:color="000000"/>
              <w:bottom w:val="single" w:sz="4" w:space="0" w:color="000000"/>
              <w:right w:val="single" w:sz="4" w:space="0" w:color="000000"/>
            </w:tcBorders>
            <w:shd w:val="clear" w:color="auto" w:fill="EFF4FB"/>
          </w:tcPr>
          <w:p w14:paraId="775CB2F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Part</w:t>
            </w:r>
          </w:p>
        </w:tc>
        <w:tc>
          <w:tcPr>
            <w:tcW w:w="3207" w:type="dxa"/>
            <w:tcBorders>
              <w:top w:val="single" w:sz="4" w:space="0" w:color="000000"/>
              <w:left w:val="single" w:sz="4" w:space="0" w:color="000000"/>
              <w:bottom w:val="single" w:sz="4" w:space="0" w:color="000000"/>
              <w:right w:val="single" w:sz="4" w:space="0" w:color="000000"/>
            </w:tcBorders>
            <w:shd w:val="clear" w:color="auto" w:fill="EFF4FB"/>
          </w:tcPr>
          <w:p w14:paraId="3A4A98C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Jalon de fin et livrables</w:t>
            </w:r>
          </w:p>
        </w:tc>
      </w:tr>
      <w:tr w:rsidR="00F50D70" w:rsidRPr="00BE4F47" w14:paraId="779559AA" w14:textId="77777777">
        <w:trPr>
          <w:cantSplit/>
          <w:trHeight w:val="248"/>
        </w:trPr>
        <w:tc>
          <w:tcPr>
            <w:tcW w:w="540" w:type="dxa"/>
            <w:tcBorders>
              <w:top w:val="single" w:sz="4" w:space="0" w:color="000000"/>
              <w:left w:val="single" w:sz="4" w:space="0" w:color="000000"/>
              <w:bottom w:val="single" w:sz="4" w:space="0" w:color="000000"/>
              <w:right w:val="single" w:sz="4" w:space="0" w:color="000000"/>
            </w:tcBorders>
          </w:tcPr>
          <w:p w14:paraId="33A3CB3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P0</w:t>
            </w:r>
          </w:p>
        </w:tc>
        <w:tc>
          <w:tcPr>
            <w:tcW w:w="1850" w:type="dxa"/>
            <w:tcBorders>
              <w:top w:val="single" w:sz="4" w:space="0" w:color="000000"/>
              <w:left w:val="single" w:sz="4" w:space="0" w:color="000000"/>
              <w:bottom w:val="single" w:sz="4" w:space="0" w:color="000000"/>
              <w:right w:val="single" w:sz="4" w:space="0" w:color="000000"/>
            </w:tcBorders>
          </w:tcPr>
          <w:p w14:paraId="2DB869F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Démarrage et cadrage</w:t>
            </w:r>
          </w:p>
        </w:tc>
        <w:tc>
          <w:tcPr>
            <w:tcW w:w="1330" w:type="dxa"/>
            <w:tcBorders>
              <w:top w:val="single" w:sz="4" w:space="0" w:color="000000"/>
              <w:left w:val="single" w:sz="4" w:space="0" w:color="000000"/>
              <w:bottom w:val="single" w:sz="4" w:space="0" w:color="000000"/>
              <w:right w:val="single" w:sz="4" w:space="0" w:color="000000"/>
            </w:tcBorders>
          </w:tcPr>
          <w:p w14:paraId="16C689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31 août au 4 oct.</w:t>
            </w:r>
          </w:p>
        </w:tc>
        <w:tc>
          <w:tcPr>
            <w:tcW w:w="850" w:type="dxa"/>
            <w:tcBorders>
              <w:top w:val="single" w:sz="4" w:space="0" w:color="000000"/>
              <w:left w:val="single" w:sz="4" w:space="0" w:color="000000"/>
              <w:bottom w:val="single" w:sz="4" w:space="0" w:color="000000"/>
              <w:right w:val="single" w:sz="4" w:space="0" w:color="000000"/>
            </w:tcBorders>
          </w:tcPr>
          <w:p w14:paraId="59A7A3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240 h</w:t>
            </w:r>
          </w:p>
        </w:tc>
        <w:tc>
          <w:tcPr>
            <w:tcW w:w="780" w:type="dxa"/>
            <w:tcBorders>
              <w:top w:val="single" w:sz="4" w:space="0" w:color="000000"/>
              <w:left w:val="single" w:sz="4" w:space="0" w:color="000000"/>
              <w:bottom w:val="single" w:sz="4" w:space="0" w:color="000000"/>
              <w:right w:val="single" w:sz="4" w:space="0" w:color="000000"/>
            </w:tcBorders>
          </w:tcPr>
          <w:p w14:paraId="0F25CBF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22,2 %</w:t>
            </w:r>
          </w:p>
        </w:tc>
        <w:tc>
          <w:tcPr>
            <w:tcW w:w="3207" w:type="dxa"/>
            <w:tcBorders>
              <w:top w:val="single" w:sz="4" w:space="0" w:color="000000"/>
              <w:left w:val="single" w:sz="4" w:space="0" w:color="000000"/>
              <w:bottom w:val="single" w:sz="4" w:space="0" w:color="000000"/>
              <w:right w:val="single" w:sz="4" w:space="0" w:color="000000"/>
            </w:tcBorders>
          </w:tcPr>
          <w:p w14:paraId="380D76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J0 (2 oct.). Plan de projet remis. Livrable L07.</w:t>
            </w:r>
          </w:p>
        </w:tc>
      </w:tr>
      <w:tr w:rsidR="00F50D70" w:rsidRPr="00BE4F47" w14:paraId="59FFE7A9"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379DD21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P1</w:t>
            </w:r>
          </w:p>
        </w:tc>
        <w:tc>
          <w:tcPr>
            <w:tcW w:w="1850" w:type="dxa"/>
            <w:tcBorders>
              <w:top w:val="single" w:sz="4" w:space="0" w:color="000000"/>
              <w:left w:val="single" w:sz="4" w:space="0" w:color="000000"/>
              <w:bottom w:val="single" w:sz="4" w:space="0" w:color="000000"/>
              <w:right w:val="single" w:sz="4" w:space="0" w:color="000000"/>
            </w:tcBorders>
          </w:tcPr>
          <w:p w14:paraId="3C923F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Exigences et analyse fonctionnelle</w:t>
            </w:r>
          </w:p>
        </w:tc>
        <w:tc>
          <w:tcPr>
            <w:tcW w:w="1330" w:type="dxa"/>
            <w:tcBorders>
              <w:top w:val="single" w:sz="4" w:space="0" w:color="000000"/>
              <w:left w:val="single" w:sz="4" w:space="0" w:color="000000"/>
              <w:bottom w:val="single" w:sz="4" w:space="0" w:color="000000"/>
              <w:right w:val="single" w:sz="4" w:space="0" w:color="000000"/>
            </w:tcBorders>
          </w:tcPr>
          <w:p w14:paraId="51A1E94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au 11 oct.</w:t>
            </w:r>
          </w:p>
        </w:tc>
        <w:tc>
          <w:tcPr>
            <w:tcW w:w="850" w:type="dxa"/>
            <w:tcBorders>
              <w:top w:val="single" w:sz="4" w:space="0" w:color="000000"/>
              <w:left w:val="single" w:sz="4" w:space="0" w:color="000000"/>
              <w:bottom w:val="single" w:sz="4" w:space="0" w:color="000000"/>
              <w:right w:val="single" w:sz="4" w:space="0" w:color="000000"/>
            </w:tcBorders>
          </w:tcPr>
          <w:p w14:paraId="4B8008D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88 h</w:t>
            </w:r>
          </w:p>
        </w:tc>
        <w:tc>
          <w:tcPr>
            <w:tcW w:w="780" w:type="dxa"/>
            <w:tcBorders>
              <w:top w:val="single" w:sz="4" w:space="0" w:color="000000"/>
              <w:left w:val="single" w:sz="4" w:space="0" w:color="000000"/>
              <w:bottom w:val="single" w:sz="4" w:space="0" w:color="000000"/>
              <w:right w:val="single" w:sz="4" w:space="0" w:color="000000"/>
            </w:tcBorders>
          </w:tcPr>
          <w:p w14:paraId="09DEE5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8,2 %</w:t>
            </w:r>
          </w:p>
        </w:tc>
        <w:tc>
          <w:tcPr>
            <w:tcW w:w="3207" w:type="dxa"/>
            <w:tcBorders>
              <w:top w:val="single" w:sz="4" w:space="0" w:color="000000"/>
              <w:left w:val="single" w:sz="4" w:space="0" w:color="000000"/>
              <w:bottom w:val="single" w:sz="4" w:space="0" w:color="000000"/>
              <w:right w:val="single" w:sz="4" w:space="0" w:color="000000"/>
            </w:tcBorders>
          </w:tcPr>
          <w:p w14:paraId="470D083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J1 (9 oct.). Registre des exigences et GEMMA acceptés. Ils deviennent la référence du projet. Livrables L03 et L04.</w:t>
            </w:r>
          </w:p>
        </w:tc>
      </w:tr>
      <w:tr w:rsidR="00F50D70" w:rsidRPr="00BE4F47" w14:paraId="48045826"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4967308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P2</w:t>
            </w:r>
          </w:p>
        </w:tc>
        <w:tc>
          <w:tcPr>
            <w:tcW w:w="1850" w:type="dxa"/>
            <w:tcBorders>
              <w:top w:val="single" w:sz="4" w:space="0" w:color="000000"/>
              <w:left w:val="single" w:sz="4" w:space="0" w:color="000000"/>
              <w:bottom w:val="single" w:sz="4" w:space="0" w:color="000000"/>
              <w:right w:val="single" w:sz="4" w:space="0" w:color="000000"/>
            </w:tcBorders>
          </w:tcPr>
          <w:p w14:paraId="16BCDD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Conception préliminaire : modèle et architecture</w:t>
            </w:r>
          </w:p>
        </w:tc>
        <w:tc>
          <w:tcPr>
            <w:tcW w:w="1330" w:type="dxa"/>
            <w:tcBorders>
              <w:top w:val="single" w:sz="4" w:space="0" w:color="000000"/>
              <w:left w:val="single" w:sz="4" w:space="0" w:color="000000"/>
              <w:bottom w:val="single" w:sz="4" w:space="0" w:color="000000"/>
              <w:right w:val="single" w:sz="4" w:space="0" w:color="000000"/>
            </w:tcBorders>
          </w:tcPr>
          <w:p w14:paraId="668CE4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 au 25 oct.</w:t>
            </w:r>
          </w:p>
        </w:tc>
        <w:tc>
          <w:tcPr>
            <w:tcW w:w="850" w:type="dxa"/>
            <w:tcBorders>
              <w:top w:val="single" w:sz="4" w:space="0" w:color="000000"/>
              <w:left w:val="single" w:sz="4" w:space="0" w:color="000000"/>
              <w:bottom w:val="single" w:sz="4" w:space="0" w:color="000000"/>
              <w:right w:val="single" w:sz="4" w:space="0" w:color="000000"/>
            </w:tcBorders>
          </w:tcPr>
          <w:p w14:paraId="4629167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160 h</w:t>
            </w:r>
          </w:p>
        </w:tc>
        <w:tc>
          <w:tcPr>
            <w:tcW w:w="780" w:type="dxa"/>
            <w:tcBorders>
              <w:top w:val="single" w:sz="4" w:space="0" w:color="000000"/>
              <w:left w:val="single" w:sz="4" w:space="0" w:color="000000"/>
              <w:bottom w:val="single" w:sz="4" w:space="0" w:color="000000"/>
              <w:right w:val="single" w:sz="4" w:space="0" w:color="000000"/>
            </w:tcBorders>
          </w:tcPr>
          <w:p w14:paraId="314FCF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14,8 %</w:t>
            </w:r>
          </w:p>
        </w:tc>
        <w:tc>
          <w:tcPr>
            <w:tcW w:w="3207" w:type="dxa"/>
            <w:tcBorders>
              <w:top w:val="single" w:sz="4" w:space="0" w:color="000000"/>
              <w:left w:val="single" w:sz="4" w:space="0" w:color="000000"/>
              <w:bottom w:val="single" w:sz="4" w:space="0" w:color="000000"/>
              <w:right w:val="single" w:sz="4" w:space="0" w:color="000000"/>
            </w:tcBorders>
          </w:tcPr>
          <w:p w14:paraId="5DCE22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J2 (23 oct.). Plan de vérification et de validation accepté, architecture et modèle de référence décrits à l’intérieur. Livrable L05.</w:t>
            </w:r>
          </w:p>
        </w:tc>
      </w:tr>
      <w:tr w:rsidR="00F50D70" w:rsidRPr="00BE4F47" w14:paraId="2F92BF41"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69B6896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P3</w:t>
            </w:r>
          </w:p>
        </w:tc>
        <w:tc>
          <w:tcPr>
            <w:tcW w:w="1850" w:type="dxa"/>
            <w:tcBorders>
              <w:top w:val="single" w:sz="4" w:space="0" w:color="000000"/>
              <w:left w:val="single" w:sz="4" w:space="0" w:color="000000"/>
              <w:bottom w:val="single" w:sz="4" w:space="0" w:color="000000"/>
              <w:right w:val="single" w:sz="4" w:space="0" w:color="000000"/>
            </w:tcBorders>
          </w:tcPr>
          <w:p w14:paraId="1AC278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Conception détaillée et développement, deux itérations</w:t>
            </w:r>
          </w:p>
        </w:tc>
        <w:tc>
          <w:tcPr>
            <w:tcW w:w="1330" w:type="dxa"/>
            <w:tcBorders>
              <w:top w:val="single" w:sz="4" w:space="0" w:color="000000"/>
              <w:left w:val="single" w:sz="4" w:space="0" w:color="000000"/>
              <w:bottom w:val="single" w:sz="4" w:space="0" w:color="000000"/>
              <w:right w:val="single" w:sz="4" w:space="0" w:color="000000"/>
            </w:tcBorders>
          </w:tcPr>
          <w:p w14:paraId="319B94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26 oct. au 22 nov.</w:t>
            </w:r>
          </w:p>
        </w:tc>
        <w:tc>
          <w:tcPr>
            <w:tcW w:w="850" w:type="dxa"/>
            <w:tcBorders>
              <w:top w:val="single" w:sz="4" w:space="0" w:color="000000"/>
              <w:left w:val="single" w:sz="4" w:space="0" w:color="000000"/>
              <w:bottom w:val="single" w:sz="4" w:space="0" w:color="000000"/>
              <w:right w:val="single" w:sz="4" w:space="0" w:color="000000"/>
            </w:tcBorders>
          </w:tcPr>
          <w:p w14:paraId="3889D5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352 h</w:t>
            </w:r>
          </w:p>
        </w:tc>
        <w:tc>
          <w:tcPr>
            <w:tcW w:w="780" w:type="dxa"/>
            <w:tcBorders>
              <w:top w:val="single" w:sz="4" w:space="0" w:color="000000"/>
              <w:left w:val="single" w:sz="4" w:space="0" w:color="000000"/>
              <w:bottom w:val="single" w:sz="4" w:space="0" w:color="000000"/>
              <w:right w:val="single" w:sz="4" w:space="0" w:color="000000"/>
            </w:tcBorders>
          </w:tcPr>
          <w:p w14:paraId="1ACDF2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32,6 %</w:t>
            </w:r>
          </w:p>
        </w:tc>
        <w:tc>
          <w:tcPr>
            <w:tcW w:w="3207" w:type="dxa"/>
            <w:tcBorders>
              <w:top w:val="single" w:sz="4" w:space="0" w:color="000000"/>
              <w:left w:val="single" w:sz="4" w:space="0" w:color="000000"/>
              <w:bottom w:val="single" w:sz="4" w:space="0" w:color="000000"/>
              <w:right w:val="single" w:sz="4" w:space="0" w:color="000000"/>
            </w:tcBorders>
          </w:tcPr>
          <w:p w14:paraId="69E9208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J3 (20 nov.). Gel des fonctionnalités. Prototype et interface démontrés, exigences fonctionnelles vérifiées. Livrables L01 et L02.</w:t>
            </w:r>
          </w:p>
        </w:tc>
      </w:tr>
      <w:tr w:rsidR="00F50D70" w:rsidRPr="00BE4F47" w14:paraId="38B067C8" w14:textId="77777777">
        <w:trPr>
          <w:cantSplit/>
          <w:trHeight w:val="433"/>
        </w:trPr>
        <w:tc>
          <w:tcPr>
            <w:tcW w:w="540" w:type="dxa"/>
            <w:tcBorders>
              <w:top w:val="single" w:sz="4" w:space="0" w:color="000000"/>
              <w:left w:val="single" w:sz="4" w:space="0" w:color="000000"/>
              <w:bottom w:val="single" w:sz="4" w:space="0" w:color="000000"/>
              <w:right w:val="single" w:sz="4" w:space="0" w:color="000000"/>
            </w:tcBorders>
          </w:tcPr>
          <w:p w14:paraId="2BBFE80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P4</w:t>
            </w:r>
          </w:p>
        </w:tc>
        <w:tc>
          <w:tcPr>
            <w:tcW w:w="1850" w:type="dxa"/>
            <w:tcBorders>
              <w:top w:val="single" w:sz="4" w:space="0" w:color="000000"/>
              <w:left w:val="single" w:sz="4" w:space="0" w:color="000000"/>
              <w:bottom w:val="single" w:sz="4" w:space="0" w:color="000000"/>
              <w:right w:val="single" w:sz="4" w:space="0" w:color="000000"/>
            </w:tcBorders>
          </w:tcPr>
          <w:p w14:paraId="7C34E5A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Intégration, V&amp;V et campagne d’essais</w:t>
            </w:r>
          </w:p>
        </w:tc>
        <w:tc>
          <w:tcPr>
            <w:tcW w:w="1330" w:type="dxa"/>
            <w:tcBorders>
              <w:top w:val="single" w:sz="4" w:space="0" w:color="000000"/>
              <w:left w:val="single" w:sz="4" w:space="0" w:color="000000"/>
              <w:bottom w:val="single" w:sz="4" w:space="0" w:color="000000"/>
              <w:right w:val="single" w:sz="4" w:space="0" w:color="000000"/>
            </w:tcBorders>
          </w:tcPr>
          <w:p w14:paraId="145A14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23 nov. au 6 déc.</w:t>
            </w:r>
          </w:p>
        </w:tc>
        <w:tc>
          <w:tcPr>
            <w:tcW w:w="850" w:type="dxa"/>
            <w:tcBorders>
              <w:top w:val="single" w:sz="4" w:space="0" w:color="000000"/>
              <w:left w:val="single" w:sz="4" w:space="0" w:color="000000"/>
              <w:bottom w:val="single" w:sz="4" w:space="0" w:color="000000"/>
              <w:right w:val="single" w:sz="4" w:space="0" w:color="000000"/>
            </w:tcBorders>
          </w:tcPr>
          <w:p w14:paraId="5EDEAE0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176 h</w:t>
            </w:r>
          </w:p>
        </w:tc>
        <w:tc>
          <w:tcPr>
            <w:tcW w:w="780" w:type="dxa"/>
            <w:tcBorders>
              <w:top w:val="single" w:sz="4" w:space="0" w:color="000000"/>
              <w:left w:val="single" w:sz="4" w:space="0" w:color="000000"/>
              <w:bottom w:val="single" w:sz="4" w:space="0" w:color="000000"/>
              <w:right w:val="single" w:sz="4" w:space="0" w:color="000000"/>
            </w:tcBorders>
          </w:tcPr>
          <w:p w14:paraId="1FC85E8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16,3 %</w:t>
            </w:r>
          </w:p>
        </w:tc>
        <w:tc>
          <w:tcPr>
            <w:tcW w:w="3207" w:type="dxa"/>
            <w:tcBorders>
              <w:top w:val="single" w:sz="4" w:space="0" w:color="000000"/>
              <w:left w:val="single" w:sz="4" w:space="0" w:color="000000"/>
              <w:bottom w:val="single" w:sz="4" w:space="0" w:color="000000"/>
              <w:right w:val="single" w:sz="4" w:space="0" w:color="000000"/>
            </w:tcBorders>
          </w:tcPr>
          <w:p w14:paraId="64DE214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J4 (4 déc.). Campagne d’essais terminée et conclusions de validation consignées. Livrable L06.</w:t>
            </w:r>
          </w:p>
        </w:tc>
      </w:tr>
      <w:tr w:rsidR="00F50D70" w:rsidRPr="00BE4F47" w14:paraId="6AFA2051"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628A31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P5</w:t>
            </w:r>
          </w:p>
        </w:tc>
        <w:tc>
          <w:tcPr>
            <w:tcW w:w="1850" w:type="dxa"/>
            <w:tcBorders>
              <w:top w:val="single" w:sz="4" w:space="0" w:color="000000"/>
              <w:left w:val="single" w:sz="4" w:space="0" w:color="000000"/>
              <w:bottom w:val="single" w:sz="4" w:space="0" w:color="000000"/>
              <w:right w:val="single" w:sz="4" w:space="0" w:color="000000"/>
            </w:tcBorders>
          </w:tcPr>
          <w:p w14:paraId="6A8E980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Recommandation, rapport final et soutenance</w:t>
            </w:r>
          </w:p>
        </w:tc>
        <w:tc>
          <w:tcPr>
            <w:tcW w:w="1330" w:type="dxa"/>
            <w:tcBorders>
              <w:top w:val="single" w:sz="4" w:space="0" w:color="000000"/>
              <w:left w:val="single" w:sz="4" w:space="0" w:color="000000"/>
              <w:bottom w:val="single" w:sz="4" w:space="0" w:color="000000"/>
              <w:right w:val="single" w:sz="4" w:space="0" w:color="000000"/>
            </w:tcBorders>
          </w:tcPr>
          <w:p w14:paraId="7B6AC2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7 au 13 déc.</w:t>
            </w:r>
          </w:p>
        </w:tc>
        <w:tc>
          <w:tcPr>
            <w:tcW w:w="850" w:type="dxa"/>
            <w:tcBorders>
              <w:top w:val="single" w:sz="4" w:space="0" w:color="000000"/>
              <w:left w:val="single" w:sz="4" w:space="0" w:color="000000"/>
              <w:bottom w:val="single" w:sz="4" w:space="0" w:color="000000"/>
              <w:right w:val="single" w:sz="4" w:space="0" w:color="000000"/>
            </w:tcBorders>
          </w:tcPr>
          <w:p w14:paraId="49B545D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64 h</w:t>
            </w:r>
          </w:p>
        </w:tc>
        <w:tc>
          <w:tcPr>
            <w:tcW w:w="780" w:type="dxa"/>
            <w:tcBorders>
              <w:top w:val="single" w:sz="4" w:space="0" w:color="000000"/>
              <w:left w:val="single" w:sz="4" w:space="0" w:color="000000"/>
              <w:bottom w:val="single" w:sz="4" w:space="0" w:color="000000"/>
              <w:right w:val="single" w:sz="4" w:space="0" w:color="000000"/>
            </w:tcBorders>
          </w:tcPr>
          <w:p w14:paraId="4A44A3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5,9 %</w:t>
            </w:r>
          </w:p>
        </w:tc>
        <w:tc>
          <w:tcPr>
            <w:tcW w:w="3207" w:type="dxa"/>
            <w:tcBorders>
              <w:top w:val="single" w:sz="4" w:space="0" w:color="000000"/>
              <w:left w:val="single" w:sz="4" w:space="0" w:color="000000"/>
              <w:bottom w:val="single" w:sz="4" w:space="0" w:color="000000"/>
              <w:right w:val="single" w:sz="4" w:space="0" w:color="000000"/>
            </w:tcBorders>
          </w:tcPr>
          <w:p w14:paraId="464F4A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J5 (18 déc.). Recommandation d’ingénierie, rapport final, présentation orale. Livrables L08 et L09.</w:t>
            </w:r>
          </w:p>
        </w:tc>
      </w:tr>
      <w:tr w:rsidR="00F50D70" w:rsidRPr="00BE4F47" w14:paraId="74A1D86E" w14:textId="77777777">
        <w:trPr>
          <w:cantSplit/>
          <w:trHeight w:val="320"/>
        </w:trPr>
        <w:tc>
          <w:tcPr>
            <w:tcW w:w="540" w:type="dxa"/>
            <w:tcBorders>
              <w:top w:val="single" w:sz="4" w:space="0" w:color="000000"/>
              <w:left w:val="single" w:sz="4" w:space="0" w:color="000000"/>
              <w:bottom w:val="single" w:sz="4" w:space="0" w:color="000000"/>
              <w:right w:val="single" w:sz="4" w:space="0" w:color="000000"/>
            </w:tcBorders>
          </w:tcPr>
          <w:p w14:paraId="18B6A270"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1850" w:type="dxa"/>
            <w:tcBorders>
              <w:top w:val="single" w:sz="4" w:space="0" w:color="000000"/>
              <w:left w:val="single" w:sz="4" w:space="0" w:color="000000"/>
              <w:bottom w:val="single" w:sz="4" w:space="0" w:color="000000"/>
              <w:right w:val="single" w:sz="4" w:space="0" w:color="000000"/>
            </w:tcBorders>
          </w:tcPr>
          <w:p w14:paraId="318262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Réserve d’échéancier</w:t>
            </w:r>
          </w:p>
        </w:tc>
        <w:tc>
          <w:tcPr>
            <w:tcW w:w="1330" w:type="dxa"/>
            <w:tcBorders>
              <w:top w:val="single" w:sz="4" w:space="0" w:color="000000"/>
              <w:left w:val="single" w:sz="4" w:space="0" w:color="000000"/>
              <w:bottom w:val="single" w:sz="4" w:space="0" w:color="000000"/>
              <w:right w:val="single" w:sz="4" w:space="0" w:color="000000"/>
            </w:tcBorders>
          </w:tcPr>
          <w:p w14:paraId="7207C5B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14 au 18 déc.</w:t>
            </w:r>
          </w:p>
        </w:tc>
        <w:tc>
          <w:tcPr>
            <w:tcW w:w="850" w:type="dxa"/>
            <w:tcBorders>
              <w:top w:val="single" w:sz="4" w:space="0" w:color="000000"/>
              <w:left w:val="single" w:sz="4" w:space="0" w:color="000000"/>
              <w:bottom w:val="single" w:sz="4" w:space="0" w:color="000000"/>
              <w:right w:val="single" w:sz="4" w:space="0" w:color="000000"/>
            </w:tcBorders>
          </w:tcPr>
          <w:p w14:paraId="2F390B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780" w:type="dxa"/>
            <w:tcBorders>
              <w:top w:val="single" w:sz="4" w:space="0" w:color="000000"/>
              <w:left w:val="single" w:sz="4" w:space="0" w:color="000000"/>
              <w:bottom w:val="single" w:sz="4" w:space="0" w:color="000000"/>
              <w:right w:val="single" w:sz="4" w:space="0" w:color="000000"/>
            </w:tcBorders>
          </w:tcPr>
          <w:p w14:paraId="3A8B1BC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3207" w:type="dxa"/>
            <w:tcBorders>
              <w:top w:val="single" w:sz="4" w:space="0" w:color="000000"/>
              <w:left w:val="single" w:sz="4" w:space="0" w:color="000000"/>
              <w:bottom w:val="single" w:sz="4" w:space="0" w:color="000000"/>
              <w:right w:val="single" w:sz="4" w:space="0" w:color="000000"/>
            </w:tcBorders>
          </w:tcPr>
          <w:p w14:paraId="05B465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Tampon non alloué. Marge conservée pour absorber un glissement des phases P3 ou P4.</w:t>
            </w:r>
          </w:p>
        </w:tc>
      </w:tr>
      <w:tr w:rsidR="00F50D70" w:rsidRPr="00BE4F47" w14:paraId="3CAA815F" w14:textId="77777777">
        <w:trPr>
          <w:cantSplit/>
          <w:trHeight w:val="310"/>
        </w:trPr>
        <w:tc>
          <w:tcPr>
            <w:tcW w:w="540" w:type="dxa"/>
            <w:tcBorders>
              <w:top w:val="single" w:sz="4" w:space="0" w:color="000000"/>
              <w:left w:val="single" w:sz="4" w:space="0" w:color="000000"/>
              <w:bottom w:val="single" w:sz="4" w:space="0" w:color="000000"/>
              <w:right w:val="single" w:sz="4" w:space="0" w:color="000000"/>
            </w:tcBorders>
          </w:tcPr>
          <w:p w14:paraId="7FF8FBE1"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1850" w:type="dxa"/>
            <w:tcBorders>
              <w:top w:val="single" w:sz="4" w:space="0" w:color="000000"/>
              <w:left w:val="single" w:sz="4" w:space="0" w:color="000000"/>
              <w:bottom w:val="single" w:sz="4" w:space="0" w:color="000000"/>
              <w:right w:val="single" w:sz="4" w:space="0" w:color="000000"/>
            </w:tcBorders>
          </w:tcPr>
          <w:p w14:paraId="0DE3D3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Total</w:t>
            </w:r>
          </w:p>
        </w:tc>
        <w:tc>
          <w:tcPr>
            <w:tcW w:w="1330" w:type="dxa"/>
            <w:tcBorders>
              <w:top w:val="single" w:sz="4" w:space="0" w:color="000000"/>
              <w:left w:val="single" w:sz="4" w:space="0" w:color="000000"/>
              <w:bottom w:val="single" w:sz="4" w:space="0" w:color="000000"/>
              <w:right w:val="single" w:sz="4" w:space="0" w:color="000000"/>
            </w:tcBorders>
          </w:tcPr>
          <w:p w14:paraId="783F9E67"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850" w:type="dxa"/>
            <w:tcBorders>
              <w:top w:val="single" w:sz="4" w:space="0" w:color="000000"/>
              <w:left w:val="single" w:sz="4" w:space="0" w:color="000000"/>
              <w:bottom w:val="single" w:sz="4" w:space="0" w:color="000000"/>
              <w:right w:val="single" w:sz="4" w:space="0" w:color="000000"/>
            </w:tcBorders>
          </w:tcPr>
          <w:p w14:paraId="3BACC8F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1 080 h</w:t>
            </w:r>
          </w:p>
        </w:tc>
        <w:tc>
          <w:tcPr>
            <w:tcW w:w="780" w:type="dxa"/>
            <w:tcBorders>
              <w:top w:val="single" w:sz="4" w:space="0" w:color="000000"/>
              <w:left w:val="single" w:sz="4" w:space="0" w:color="000000"/>
              <w:bottom w:val="single" w:sz="4" w:space="0" w:color="000000"/>
              <w:right w:val="single" w:sz="4" w:space="0" w:color="000000"/>
            </w:tcBorders>
          </w:tcPr>
          <w:p w14:paraId="6EA63C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100 %</w:t>
            </w:r>
          </w:p>
        </w:tc>
        <w:tc>
          <w:tcPr>
            <w:tcW w:w="3207" w:type="dxa"/>
            <w:tcBorders>
              <w:top w:val="single" w:sz="4" w:space="0" w:color="000000"/>
              <w:left w:val="single" w:sz="4" w:space="0" w:color="000000"/>
              <w:bottom w:val="single" w:sz="4" w:space="0" w:color="000000"/>
              <w:right w:val="single" w:sz="4" w:space="0" w:color="000000"/>
            </w:tcBorders>
          </w:tcPr>
          <w:p w14:paraId="7A6981EE"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r>
    </w:tbl>
    <w:p w14:paraId="389FB468"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1011" w:name="_Toc241670346"/>
      <w:bookmarkStart w:id="1012" w:name="_Toc241708054"/>
      <w:r w:rsidRPr="00BE4F47">
        <w:rPr>
          <w:rFonts w:ascii="Aptos" w:hAnsi="Aptos"/>
          <w:color w:val="1A1A19"/>
          <w:sz w:val="20"/>
          <w:szCs w:val="20"/>
        </w:rPr>
        <w:t>Les deux itérations de la phase P3 durent chacune deux semaines. Chacune se termine par une démonstration interne du produit en état de fonctionner. Les phases P0 à P2 restent en cascade, car les exigences et l’architecture doivent être stabilisées avant de développer.</w:t>
      </w:r>
      <w:bookmarkEnd w:id="1011"/>
      <w:bookmarkEnd w:id="1012"/>
    </w:p>
    <w:p w14:paraId="1B6774B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013" w:name="_Toc241083166"/>
      <w:bookmarkStart w:id="1014" w:name="_Toc241670347"/>
      <w:bookmarkStart w:id="1015" w:name="_Toc241708055"/>
      <w:r w:rsidRPr="00BE4F47">
        <w:rPr>
          <w:rFonts w:ascii="Aptos" w:hAnsi="Aptos"/>
          <w:color w:val="1A1A19"/>
          <w:sz w:val="20"/>
          <w:szCs w:val="20"/>
        </w:rPr>
        <w:t>La phase P0 couvre cinq semaines parce qu’elle s’achève à la remise du plan de projet, le 2 octobre. Les exigences et l’analyse fonctionnelle ont avancé en parallèle pendant cette période, ce qui permet à P1 de tenir en une semaine. La phase P2 ne compte que deux semaines, dont une entamée par le congé pédagogique du 13 au 16 octobre. C’est le passage le plus tendu de l’échéancier, et il est suivi de près au titre du risque RP1.</w:t>
      </w:r>
      <w:bookmarkEnd w:id="1013"/>
      <w:bookmarkEnd w:id="1014"/>
      <w:bookmarkEnd w:id="1015"/>
    </w:p>
    <w:p w14:paraId="61D8CAE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016" w:name="_Toc241083167"/>
      <w:bookmarkStart w:id="1017" w:name="_Toc241670348"/>
      <w:bookmarkStart w:id="1018" w:name="_Toc241708056"/>
      <w:r w:rsidRPr="00BE4F47">
        <w:rPr>
          <w:rFonts w:ascii="Aptos" w:hAnsi="Aptos"/>
          <w:color w:val="1A1A19"/>
          <w:sz w:val="20"/>
          <w:szCs w:val="20"/>
        </w:rPr>
        <w:t>Les codes de livrables L01 à L09 renvoient au tableau des livrables de la section 2. Les codes de lots L1 à L9 renvoient au tableau de répartition de l’effort de la section 8.</w:t>
      </w:r>
      <w:bookmarkEnd w:id="1016"/>
      <w:bookmarkEnd w:id="1017"/>
      <w:bookmarkEnd w:id="1018"/>
    </w:p>
    <w:p w14:paraId="54EDDB6F" w14:textId="77777777" w:rsidR="00F50D70" w:rsidRPr="00BE4F47" w:rsidRDefault="00137D7F" w:rsidP="008E113B">
      <w:pPr>
        <w:pStyle w:val="Titre2"/>
        <w:spacing w:line="360" w:lineRule="auto"/>
      </w:pPr>
      <w:bookmarkStart w:id="1019" w:name="_Toc241708057"/>
      <w:r w:rsidRPr="00BE4F47">
        <w:lastRenderedPageBreak/>
        <w:t>Représentation graphique</w:t>
      </w:r>
      <w:bookmarkEnd w:id="1019"/>
    </w:p>
    <w:p w14:paraId="4624D0DB" w14:textId="77777777" w:rsidR="00F50D70" w:rsidRPr="00BE4F47" w:rsidRDefault="00137D7F" w:rsidP="008E113B">
      <w:pPr>
        <w:spacing w:after="130" w:line="360" w:lineRule="auto"/>
        <w:ind w:left="360"/>
        <w:rPr>
          <w:rFonts w:ascii="Aptos" w:hAnsi="Aptos"/>
        </w:rPr>
      </w:pPr>
      <w:bookmarkStart w:id="1020" w:name="_Toc241670350"/>
      <w:bookmarkStart w:id="1021" w:name="_Toc241708058"/>
      <w:r w:rsidRPr="00BE4F47">
        <w:rPr>
          <w:rFonts w:ascii="Aptos" w:hAnsi="Aptos"/>
          <w:b/>
          <w:color w:val="1A1A19"/>
          <w:sz w:val="20"/>
          <w:szCs w:val="20"/>
        </w:rPr>
        <w:t xml:space="preserve">Diagramme de Gantt. </w:t>
      </w:r>
      <w:r w:rsidRPr="00BE4F47">
        <w:rPr>
          <w:rFonts w:ascii="Aptos" w:hAnsi="Aptos"/>
          <w:color w:val="1A1A19"/>
          <w:sz w:val="20"/>
          <w:szCs w:val="20"/>
        </w:rPr>
        <w:t>Le diagramme ci-dessous place les activités de la structure de découpage sur le calendrier du trimestre et marque les six jalons.</w:t>
      </w:r>
      <w:bookmarkEnd w:id="1020"/>
      <w:bookmarkEnd w:id="1021"/>
    </w:p>
    <w:p w14:paraId="44081C66" w14:textId="77777777" w:rsidR="00F50D70" w:rsidRPr="00BE4F47" w:rsidRDefault="00137D7F" w:rsidP="008E113B">
      <w:pPr>
        <w:spacing w:after="130" w:line="360" w:lineRule="auto"/>
        <w:ind w:left="360"/>
        <w:rPr>
          <w:rFonts w:ascii="Aptos" w:hAnsi="Aptos"/>
        </w:rPr>
      </w:pPr>
      <w:bookmarkStart w:id="1022" w:name="_Toc241083169"/>
      <w:bookmarkStart w:id="1023" w:name="_Toc241670351"/>
      <w:bookmarkStart w:id="1024" w:name="_Toc241708059"/>
      <w:r w:rsidRPr="00BE4F47">
        <w:rPr>
          <w:rFonts w:ascii="Aptos" w:hAnsi="Aptos"/>
          <w:color w:val="1A1A19"/>
          <w:sz w:val="20"/>
          <w:szCs w:val="20"/>
        </w:rPr>
        <w:t>[ INSÉRER ICI LE DIAGRAMME DE GANTT ]</w:t>
      </w:r>
      <w:bookmarkEnd w:id="1022"/>
      <w:bookmarkEnd w:id="1023"/>
      <w:bookmarkEnd w:id="1024"/>
    </w:p>
    <w:p w14:paraId="69FC75B3" w14:textId="77777777" w:rsidR="00F50D70" w:rsidRPr="00BE4F47" w:rsidRDefault="00137D7F" w:rsidP="008E113B">
      <w:pPr>
        <w:pStyle w:val="Lgende"/>
        <w:spacing w:line="360" w:lineRule="auto"/>
        <w:rPr>
          <w:rFonts w:ascii="Aptos" w:hAnsi="Aptos"/>
        </w:rPr>
      </w:pPr>
      <w:bookmarkStart w:id="1025" w:name="_Toc241083170"/>
      <w:bookmarkStart w:id="1026" w:name="_Toc241670352"/>
      <w:bookmarkStart w:id="1027" w:name="_Toc241708060"/>
      <w:r w:rsidRPr="00BE4F47">
        <w:rPr>
          <w:rFonts w:ascii="Aptos" w:hAnsi="Aptos"/>
        </w:rPr>
        <w:t>Figure 10-2. Diagramme de Gantt de l’échéancier préliminaire</w:t>
      </w:r>
      <w:bookmarkEnd w:id="1025"/>
      <w:bookmarkEnd w:id="1026"/>
      <w:bookmarkEnd w:id="1027"/>
    </w:p>
    <w:p w14:paraId="6AF5C308" w14:textId="77777777" w:rsidR="00F50D70" w:rsidRPr="00BE4F47" w:rsidRDefault="00137D7F" w:rsidP="008E113B">
      <w:pPr>
        <w:spacing w:after="130" w:line="360" w:lineRule="auto"/>
        <w:ind w:left="360"/>
        <w:rPr>
          <w:rFonts w:ascii="Aptos" w:hAnsi="Aptos"/>
        </w:rPr>
      </w:pPr>
      <w:bookmarkStart w:id="1028" w:name="_Toc241083172"/>
      <w:bookmarkStart w:id="1029" w:name="_Toc241670353"/>
      <w:bookmarkStart w:id="1030" w:name="_Toc241708061"/>
      <w:r w:rsidRPr="00BE4F47">
        <w:rPr>
          <w:rFonts w:ascii="Aptos" w:hAnsi="Aptos"/>
          <w:b/>
          <w:color w:val="1A1A19"/>
          <w:sz w:val="20"/>
          <w:szCs w:val="20"/>
        </w:rPr>
        <w:t xml:space="preserve">Courbe en S. </w:t>
      </w:r>
      <w:r w:rsidRPr="00BE4F47">
        <w:rPr>
          <w:rFonts w:ascii="Aptos" w:hAnsi="Aptos"/>
          <w:color w:val="1A1A19"/>
          <w:sz w:val="20"/>
          <w:szCs w:val="20"/>
        </w:rPr>
        <w:t>La courbe ci-dessous représente la valeur planifiée, c’est-à-dire le budget que le projet prévoit d’avoir consommé à chaque date. Elle sert de référence au suivi financier : à chaque jalon, la valeur acquise réelle sera reportée sur ce même graphique, et l’écart entre les deux courbes donnera l’avancement en dollars.</w:t>
      </w:r>
      <w:bookmarkEnd w:id="1028"/>
      <w:bookmarkEnd w:id="1029"/>
      <w:bookmarkEnd w:id="1030"/>
    </w:p>
    <w:p w14:paraId="0D6D3F5F" w14:textId="01E074E2" w:rsidR="00F50D70" w:rsidRPr="00BE4F47" w:rsidRDefault="009A4383" w:rsidP="008E113B">
      <w:pPr>
        <w:keepNext/>
        <w:spacing w:after="130" w:line="360" w:lineRule="auto"/>
        <w:ind w:left="360"/>
        <w:rPr>
          <w:rFonts w:ascii="Aptos" w:hAnsi="Aptos"/>
        </w:rPr>
      </w:pPr>
      <w:bookmarkStart w:id="1031" w:name="_Toc241083173"/>
      <w:bookmarkStart w:id="1032" w:name="_Toc241670354"/>
      <w:bookmarkStart w:id="1033" w:name="_Toc241708062"/>
      <w:r>
        <w:rPr>
          <w:noProof/>
        </w:rPr>
        <w:drawing>
          <wp:anchor distT="0" distB="0" distL="114300" distR="114300" simplePos="0" relativeHeight="251658240" behindDoc="0" locked="0" layoutInCell="1" allowOverlap="1" wp14:anchorId="7260C0EF" wp14:editId="4D0C3024">
            <wp:simplePos x="0" y="0"/>
            <wp:positionH relativeFrom="column">
              <wp:posOffset>287655</wp:posOffset>
            </wp:positionH>
            <wp:positionV relativeFrom="paragraph">
              <wp:posOffset>1040765</wp:posOffset>
            </wp:positionV>
            <wp:extent cx="5577840" cy="2729774"/>
            <wp:effectExtent l="0" t="0" r="7620" b="0"/>
            <wp:wrapTopAndBottom/>
            <wp:docPr id="9544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854" name="Picture 954488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7840" cy="2729774"/>
                    </a:xfrm>
                    <a:prstGeom prst="rect">
                      <a:avLst/>
                    </a:prstGeom>
                  </pic:spPr>
                </pic:pic>
              </a:graphicData>
            </a:graphic>
          </wp:anchor>
        </w:drawing>
      </w:r>
      <w:r w:rsidR="00137D7F" w:rsidRPr="00BE4F47">
        <w:rPr>
          <w:rFonts w:ascii="Aptos" w:hAnsi="Aptos"/>
          <w:color w:val="1A1A19"/>
          <w:sz w:val="20"/>
          <w:szCs w:val="20"/>
        </w:rPr>
        <w:t>La courbe est peu creusée, et c’est voulu. La charge est lissée à onze heures par personne et par semaine au plus, parce que chaque membre suit cinq autres cours. Le départ est plus lent parce que les cinq semaines de P0 tombent en début de trimestre, et la fin l’est aussi parce que la dernière semaine sert à la rédaction du rapport et à la soutenance.</w:t>
      </w:r>
      <w:bookmarkEnd w:id="1031"/>
      <w:bookmarkEnd w:id="1032"/>
      <w:bookmarkEnd w:id="1033"/>
    </w:p>
    <w:p w14:paraId="29206A2B" w14:textId="77777777" w:rsidR="00F50D70" w:rsidRPr="00BE4F47" w:rsidRDefault="00137D7F" w:rsidP="008E113B">
      <w:pPr>
        <w:pStyle w:val="Lgende"/>
        <w:spacing w:line="360" w:lineRule="auto"/>
        <w:rPr>
          <w:rFonts w:ascii="Aptos" w:hAnsi="Aptos"/>
        </w:rPr>
      </w:pPr>
      <w:bookmarkStart w:id="1034" w:name="_Toc241083175"/>
      <w:bookmarkStart w:id="1035" w:name="_Toc241670355"/>
      <w:bookmarkStart w:id="1036" w:name="_Toc241708063"/>
      <w:r w:rsidRPr="00BE4F47">
        <w:rPr>
          <w:rFonts w:ascii="Aptos" w:hAnsi="Aptos"/>
        </w:rPr>
        <w:t>Figure 10-3. Courbe en S de la valeur planifiée du mandat</w:t>
      </w:r>
      <w:bookmarkEnd w:id="1034"/>
      <w:bookmarkEnd w:id="1035"/>
      <w:bookmarkEnd w:id="1036"/>
    </w:p>
    <w:p w14:paraId="5B95AF56" w14:textId="77777777" w:rsidR="00F50D70" w:rsidRPr="00BE4F47" w:rsidRDefault="00137D7F" w:rsidP="008E113B">
      <w:pPr>
        <w:spacing w:after="130" w:line="360" w:lineRule="auto"/>
        <w:ind w:left="360"/>
        <w:rPr>
          <w:rFonts w:ascii="Aptos" w:hAnsi="Aptos"/>
        </w:rPr>
      </w:pPr>
      <w:bookmarkStart w:id="1037" w:name="_Toc241083176"/>
      <w:bookmarkStart w:id="1038" w:name="_Toc241670356"/>
      <w:bookmarkStart w:id="1039" w:name="_Toc241708064"/>
      <w:r w:rsidRPr="00BE4F47">
        <w:rPr>
          <w:rFonts w:ascii="Aptos" w:hAnsi="Aptos"/>
          <w:color w:val="1A1A19"/>
          <w:sz w:val="20"/>
          <w:szCs w:val="20"/>
        </w:rPr>
        <w:t>Deux repères s’y lisent directement. La pente reste proche de 4 400 $ par semaine entre J1 et J4 : c’est la charge de croisière du mandat, et un écart durable par rapport à cette pente signale un glissement. Près des trois quarts du budget sont engagés à l’atteinte du jalon J3, ce qui en fait la dernière date utile pour corriger le périmètre. Le suivi sera resserré sur la phase P3, conformément au traitement du risque RP1.</w:t>
      </w:r>
      <w:bookmarkEnd w:id="1037"/>
      <w:bookmarkEnd w:id="1038"/>
      <w:bookmarkEnd w:id="1039"/>
    </w:p>
    <w:p w14:paraId="19F9C8E1" w14:textId="77777777" w:rsidR="00F50D70" w:rsidRPr="00BE4F47" w:rsidRDefault="00137D7F" w:rsidP="008E113B">
      <w:pPr>
        <w:pStyle w:val="Titre4"/>
        <w:spacing w:line="360" w:lineRule="auto"/>
        <w:rPr>
          <w:rFonts w:eastAsia="DengXian Light"/>
          <w:color w:val="2F5496"/>
          <w:sz w:val="32"/>
          <w:szCs w:val="32"/>
          <w:lang w:eastAsia="en-US"/>
        </w:rPr>
      </w:pPr>
      <w:bookmarkStart w:id="1040" w:name="_Toc241708065"/>
      <w:r w:rsidRPr="00BE4F47">
        <w:rPr>
          <w:lang w:eastAsia="en-US"/>
        </w:rPr>
        <w:t>Conclusion</w:t>
      </w:r>
      <w:bookmarkEnd w:id="1040"/>
    </w:p>
    <w:p w14:paraId="1E9C152A" w14:textId="77777777" w:rsidR="00F50D70" w:rsidRPr="00BE4F47" w:rsidRDefault="00137D7F" w:rsidP="008E113B">
      <w:pPr>
        <w:spacing w:after="130" w:line="360" w:lineRule="auto"/>
        <w:ind w:left="360"/>
        <w:rPr>
          <w:rFonts w:ascii="Aptos" w:hAnsi="Aptos"/>
        </w:rPr>
      </w:pPr>
      <w:bookmarkStart w:id="1041" w:name="_Toc241670358"/>
      <w:bookmarkStart w:id="1042" w:name="_Toc241708066"/>
      <w:r w:rsidRPr="00BE4F47">
        <w:rPr>
          <w:rFonts w:ascii="Aptos" w:hAnsi="Aptos"/>
          <w:color w:val="1A1A19"/>
          <w:sz w:val="20"/>
          <w:szCs w:val="20"/>
        </w:rPr>
        <w:t xml:space="preserve">L’équipe juge le mandat faisable dans l’enveloppe de 1 080 heures, pour le périmètre arrêté à la section 2 : la boucle simplifiée, les trois variables de procédé, la détection de dérive, la quantification de l’incertitude et l’interface d’aide à la décision. Il ne l’est plus si le périmètre s’étend </w:t>
      </w:r>
      <w:r w:rsidRPr="00BE4F47">
        <w:rPr>
          <w:rFonts w:ascii="Aptos" w:hAnsi="Aptos"/>
          <w:color w:val="1A1A19"/>
          <w:sz w:val="20"/>
          <w:szCs w:val="20"/>
        </w:rPr>
        <w:lastRenderedPageBreak/>
        <w:t>à un écoulement diphasique, à des données d’exploitation réelles, au temps réel ou à une commande de l’installation.</w:t>
      </w:r>
      <w:bookmarkEnd w:id="1041"/>
      <w:bookmarkEnd w:id="1042"/>
    </w:p>
    <w:p w14:paraId="71480456" w14:textId="77777777" w:rsidR="00F50D70" w:rsidRPr="00BE4F47" w:rsidRDefault="00137D7F" w:rsidP="008E113B">
      <w:pPr>
        <w:spacing w:after="130" w:line="360" w:lineRule="auto"/>
        <w:ind w:left="360"/>
        <w:rPr>
          <w:rFonts w:ascii="Aptos" w:hAnsi="Aptos"/>
        </w:rPr>
      </w:pPr>
      <w:bookmarkStart w:id="1043" w:name="_Toc241670359"/>
      <w:bookmarkStart w:id="1044" w:name="_Toc241708067"/>
      <w:r w:rsidRPr="00BE4F47">
        <w:rPr>
          <w:rFonts w:ascii="Aptos" w:hAnsi="Aptos"/>
          <w:color w:val="1A1A19"/>
          <w:sz w:val="20"/>
          <w:szCs w:val="20"/>
        </w:rPr>
        <w:t>Cet avis tient à trois conditions : le gel des exigences au jalon J1, le maintien des huit membres pendant tout le trimestre, et l’acceptation par le client du domaine de validité annoncé à la section 2. Si les heures viennent à manquer, l’équipe recommande de réduire d’abord les rangs 7 et 8 du tableau de priorisation de la section 1 et de conserver les activités de vérification et de validation.</w:t>
      </w:r>
      <w:bookmarkEnd w:id="1043"/>
      <w:bookmarkEnd w:id="1044"/>
    </w:p>
    <w:p w14:paraId="72DB4FF3" w14:textId="77777777" w:rsidR="00F50D70" w:rsidRPr="00BE4F47" w:rsidRDefault="00137D7F" w:rsidP="008E113B">
      <w:pPr>
        <w:spacing w:after="130" w:line="360" w:lineRule="auto"/>
        <w:ind w:left="360"/>
        <w:rPr>
          <w:rFonts w:ascii="Aptos" w:hAnsi="Aptos"/>
        </w:rPr>
      </w:pPr>
      <w:bookmarkStart w:id="1045" w:name="_Toc241083182"/>
      <w:bookmarkStart w:id="1046" w:name="_Toc241670360"/>
      <w:bookmarkStart w:id="1047" w:name="_Toc241708068"/>
      <w:r w:rsidRPr="00BE4F47">
        <w:rPr>
          <w:rFonts w:ascii="Aptos" w:hAnsi="Aptos"/>
          <w:color w:val="1A1A19"/>
          <w:sz w:val="20"/>
          <w:szCs w:val="20"/>
        </w:rPr>
        <w:t>Deux jalons commandent la suite. Le jalon J1 arrête le registre des exigences et permet de reprendre l’estimation des coûts sur une base mieux définie, ce qui resserrera la fourchette actuelle. Le jalon J2 arrête l’architecture et le plan de vérification et de validation. L’échéancier et la courbe en S sont mis à jour à chaque jalon, de sorte que l’écart entre le prévu et le réalisé reste mesurable pendant le mandat plutôt que constaté à la fin.</w:t>
      </w:r>
      <w:bookmarkEnd w:id="1045"/>
      <w:bookmarkEnd w:id="1046"/>
      <w:bookmarkEnd w:id="1047"/>
    </w:p>
    <w:p w14:paraId="32BAEE7E" w14:textId="77777777" w:rsidR="00F50D70" w:rsidRPr="00B36301" w:rsidRDefault="00137D7F" w:rsidP="008E113B">
      <w:pPr>
        <w:pStyle w:val="Titre1"/>
        <w:spacing w:line="360" w:lineRule="auto"/>
      </w:pPr>
      <w:bookmarkStart w:id="1048" w:name="__RefHeading___Toc240715289"/>
      <w:bookmarkStart w:id="1049" w:name="_Toc241708069"/>
      <w:bookmarkEnd w:id="1048"/>
      <w:r w:rsidRPr="00B36301">
        <w:t>Références pertinentes au projet</w:t>
      </w:r>
      <w:bookmarkEnd w:id="1049"/>
    </w:p>
    <w:p w14:paraId="485C1CA2" w14:textId="77777777" w:rsidR="00F50D70" w:rsidRPr="00BE4F47" w:rsidRDefault="00137D7F" w:rsidP="008E113B">
      <w:pPr>
        <w:spacing w:after="130" w:line="360" w:lineRule="auto"/>
        <w:ind w:left="360"/>
        <w:rPr>
          <w:rFonts w:ascii="Aptos" w:hAnsi="Aptos"/>
        </w:rPr>
      </w:pPr>
      <w:bookmarkStart w:id="1050" w:name="_Toc241708070"/>
      <w:r w:rsidRPr="00BE4F47">
        <w:rPr>
          <w:rFonts w:ascii="Aptos" w:eastAsia="Calibri" w:hAnsi="Aptos" w:cs="Calibri"/>
          <w:color w:val="1A1A19"/>
          <w:sz w:val="20"/>
          <w:szCs w:val="20"/>
        </w:rPr>
        <w:t>Les sources citées dans les dix sections précédentes sont rassemblées ici. Elles sont numérotées selon leur ordre d’apparition dans le document et le même numéro désigne partout la même source.</w:t>
      </w:r>
      <w:bookmarkEnd w:id="1050"/>
    </w:p>
    <w:p w14:paraId="68B89788" w14:textId="2F8B9BD3" w:rsidR="00F50D70" w:rsidRPr="00BE4F47" w:rsidRDefault="00137D7F" w:rsidP="008E113B">
      <w:pPr>
        <w:spacing w:after="130" w:line="360" w:lineRule="auto"/>
        <w:ind w:left="360"/>
        <w:rPr>
          <w:rFonts w:ascii="Aptos" w:hAnsi="Aptos"/>
        </w:rPr>
      </w:pPr>
      <w:bookmarkStart w:id="1051" w:name="_Toc241083188"/>
      <w:bookmarkStart w:id="1052" w:name="_Toc241670362"/>
      <w:bookmarkStart w:id="1053" w:name="_Toc241708071"/>
      <w:r w:rsidRPr="00BE4F47">
        <w:rPr>
          <w:rFonts w:ascii="Aptos" w:eastAsia="Calibri" w:hAnsi="Aptos" w:cs="Calibri"/>
          <w:color w:val="1A1A19"/>
          <w:sz w:val="20"/>
          <w:szCs w:val="20"/>
        </w:rPr>
        <w:t xml:space="preserve">Le style de citation est celui de l’IEEE. </w:t>
      </w:r>
      <w:bookmarkEnd w:id="1051"/>
      <w:bookmarkEnd w:id="1052"/>
      <w:bookmarkEnd w:id="1053"/>
    </w:p>
    <w:p w14:paraId="6F81EBA4" w14:textId="77777777" w:rsidR="00F50D70" w:rsidRPr="00BE4F47" w:rsidRDefault="00137D7F" w:rsidP="008E113B">
      <w:pPr>
        <w:spacing w:after="80" w:line="360" w:lineRule="auto"/>
        <w:ind w:left="480" w:hanging="480"/>
        <w:jc w:val="left"/>
        <w:rPr>
          <w:rFonts w:ascii="Aptos" w:hAnsi="Aptos"/>
        </w:rPr>
      </w:pPr>
      <w:bookmarkStart w:id="1054" w:name="_Toc241670364"/>
      <w:bookmarkStart w:id="1055" w:name="_Toc241708072"/>
      <w:r w:rsidRPr="00BE4F47">
        <w:rPr>
          <w:rFonts w:ascii="Aptos" w:eastAsia="Calibri" w:hAnsi="Aptos" w:cs="Calibri"/>
          <w:color w:val="1A1A19"/>
          <w:sz w:val="20"/>
          <w:szCs w:val="20"/>
        </w:rPr>
        <w:t>[1</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/IEC/IEEE 29148:2018, Ingénierie des systèmes et du logiciel, Processus du cycle de vie, Ingénierie des exigences.  </w:t>
      </w:r>
      <w:hyperlink r:id="rId18">
        <w:r w:rsidR="00F50D70" w:rsidRPr="00BE4F47">
          <w:rPr>
            <w:rFonts w:ascii="Aptos" w:hAnsi="Aptos"/>
            <w:color w:val="1155CC"/>
            <w:sz w:val="18"/>
            <w:u w:val="single"/>
          </w:rPr>
          <w:t>https://www.iso.org/fr/standard/72089.html</w:t>
        </w:r>
        <w:bookmarkEnd w:id="1054"/>
        <w:bookmarkEnd w:id="1055"/>
      </w:hyperlink>
    </w:p>
    <w:p w14:paraId="62970F17" w14:textId="77777777" w:rsidR="00F50D70" w:rsidRPr="00BE4F47" w:rsidRDefault="00137D7F" w:rsidP="008E113B">
      <w:pPr>
        <w:spacing w:after="80" w:line="360" w:lineRule="auto"/>
        <w:ind w:left="480" w:hanging="480"/>
        <w:jc w:val="left"/>
        <w:rPr>
          <w:rFonts w:ascii="Aptos" w:hAnsi="Aptos"/>
        </w:rPr>
      </w:pPr>
      <w:bookmarkStart w:id="1056" w:name="_Toc241670365"/>
      <w:bookmarkStart w:id="1057" w:name="_Toc241708073"/>
      <w:r w:rsidRPr="00BE4F47">
        <w:rPr>
          <w:rFonts w:ascii="Aptos" w:eastAsia="Calibri" w:hAnsi="Aptos" w:cs="Calibri"/>
          <w:color w:val="1A1A19"/>
          <w:sz w:val="20"/>
          <w:szCs w:val="20"/>
        </w:rPr>
        <w:t>[2</w:t>
      </w:r>
      <w:proofErr w:type="gramStart"/>
      <w:r w:rsidRPr="00BE4F47">
        <w:rPr>
          <w:rFonts w:ascii="Aptos" w:eastAsia="Calibri" w:hAnsi="Aptos" w:cs="Calibri"/>
          <w:color w:val="1A1A19"/>
          <w:sz w:val="20"/>
          <w:szCs w:val="20"/>
        </w:rPr>
        <w:t>]  Commission</w:t>
      </w:r>
      <w:proofErr w:type="gramEnd"/>
      <w:r w:rsidRPr="00BE4F47">
        <w:rPr>
          <w:rFonts w:ascii="Aptos" w:eastAsia="Calibri" w:hAnsi="Aptos" w:cs="Calibri"/>
          <w:color w:val="1A1A19"/>
          <w:sz w:val="20"/>
          <w:szCs w:val="20"/>
        </w:rPr>
        <w:t xml:space="preserve"> canadienne de sûreté nucléaire, REGDOC-2.1.1, Système de gestion.  </w:t>
      </w:r>
      <w:hyperlink r:id="rId19">
        <w:r w:rsidR="00F50D70" w:rsidRPr="00BE4F47">
          <w:rPr>
            <w:rFonts w:ascii="Aptos" w:hAnsi="Aptos"/>
            <w:color w:val="1155CC"/>
            <w:sz w:val="18"/>
            <w:u w:val="single"/>
          </w:rPr>
          <w:t>https://www.cnsc-ccsn.gc.ca/fra/acts-and-regulations/regulatory-documents/published/html/regdoc2-1-1/</w:t>
        </w:r>
        <w:bookmarkEnd w:id="1056"/>
        <w:bookmarkEnd w:id="1057"/>
      </w:hyperlink>
    </w:p>
    <w:p w14:paraId="6BAC22E4" w14:textId="77777777" w:rsidR="00F50D70" w:rsidRPr="00BE4F47" w:rsidRDefault="00137D7F" w:rsidP="008E113B">
      <w:pPr>
        <w:spacing w:after="80" w:line="360" w:lineRule="auto"/>
        <w:ind w:left="480" w:hanging="480"/>
        <w:jc w:val="left"/>
        <w:rPr>
          <w:rFonts w:ascii="Aptos" w:hAnsi="Aptos"/>
          <w:lang w:val="en-CA"/>
        </w:rPr>
      </w:pPr>
      <w:bookmarkStart w:id="1058" w:name="_Toc241083191"/>
      <w:bookmarkStart w:id="1059" w:name="_Toc241670366"/>
      <w:bookmarkStart w:id="1060" w:name="_Toc241708074"/>
      <w:r w:rsidRPr="00BE4F47">
        <w:rPr>
          <w:rFonts w:ascii="Aptos" w:eastAsia="Calibri" w:hAnsi="Aptos" w:cs="Calibri"/>
          <w:color w:val="1A1A19"/>
          <w:sz w:val="20"/>
          <w:szCs w:val="20"/>
        </w:rPr>
        <w:t>[3</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/IEC/IEEE 12207:2026, Ingénierie des systèmes et du logiciel, Processus du cycle de vie du logiciel.  </w:t>
      </w:r>
      <w:hyperlink r:id="rId20">
        <w:r w:rsidR="00F50D70" w:rsidRPr="00BE4F47">
          <w:rPr>
            <w:rFonts w:ascii="Aptos" w:hAnsi="Aptos"/>
            <w:color w:val="1155CC"/>
            <w:sz w:val="18"/>
            <w:u w:val="single"/>
            <w:lang w:val="en-CA"/>
          </w:rPr>
          <w:t>https://www.iso.org/fr/standard/90219.html</w:t>
        </w:r>
        <w:bookmarkEnd w:id="1058"/>
        <w:bookmarkEnd w:id="1059"/>
        <w:bookmarkEnd w:id="1060"/>
      </w:hyperlink>
    </w:p>
    <w:p w14:paraId="45C36B8E" w14:textId="77777777" w:rsidR="00F50D70" w:rsidRPr="00BE4F47" w:rsidRDefault="00137D7F" w:rsidP="008E113B">
      <w:pPr>
        <w:spacing w:after="80" w:line="360" w:lineRule="auto"/>
        <w:ind w:left="480" w:hanging="480"/>
        <w:jc w:val="left"/>
        <w:rPr>
          <w:rFonts w:ascii="Aptos" w:hAnsi="Aptos"/>
          <w:lang w:val="en-CA"/>
        </w:rPr>
      </w:pPr>
      <w:bookmarkStart w:id="1061" w:name="_Toc241083192"/>
      <w:bookmarkStart w:id="1062" w:name="_Toc241670367"/>
      <w:bookmarkStart w:id="1063" w:name="_Toc241708075"/>
      <w:r w:rsidRPr="00BE4F47">
        <w:rPr>
          <w:rFonts w:ascii="Aptos" w:eastAsia="Calibri" w:hAnsi="Aptos" w:cs="Calibri"/>
          <w:color w:val="1A1A19"/>
          <w:sz w:val="20"/>
          <w:szCs w:val="20"/>
          <w:lang w:val="en-CA"/>
        </w:rPr>
        <w:t>[4</w:t>
      </w:r>
      <w:proofErr w:type="gramStart"/>
      <w:r w:rsidRPr="00BE4F47">
        <w:rPr>
          <w:rFonts w:ascii="Aptos" w:eastAsia="Calibri" w:hAnsi="Aptos" w:cs="Calibri"/>
          <w:color w:val="1A1A19"/>
          <w:sz w:val="20"/>
          <w:szCs w:val="20"/>
          <w:lang w:val="en-CA"/>
        </w:rPr>
        <w:t>]  M.</w:t>
      </w:r>
      <w:proofErr w:type="gramEnd"/>
      <w:r w:rsidRPr="00BE4F47">
        <w:rPr>
          <w:rFonts w:ascii="Aptos" w:eastAsia="Calibri" w:hAnsi="Aptos" w:cs="Calibri"/>
          <w:color w:val="1A1A19"/>
          <w:sz w:val="20"/>
          <w:szCs w:val="20"/>
          <w:lang w:val="en-CA"/>
        </w:rPr>
        <w:t xml:space="preserve"> Hu et al., « Current status of digital twin architecture and application in nuclear energy field », Annals of Nuclear Energy, vol. 202, art. 110491, 2024</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"https://doi.org/10.1016/j.anucene.2024.110491" \h</w:instrText>
      </w:r>
      <w:r w:rsidR="00F50D70">
        <w:fldChar w:fldCharType="separate"/>
      </w:r>
      <w:r w:rsidR="00F50D70" w:rsidRPr="00BE4F47">
        <w:rPr>
          <w:rFonts w:ascii="Aptos" w:hAnsi="Aptos"/>
          <w:color w:val="1155CC"/>
          <w:sz w:val="18"/>
          <w:u w:val="single"/>
          <w:lang w:val="en-CA"/>
        </w:rPr>
        <w:t>https://doi.org/10.1016/j.anucene.2024.110491</w:t>
      </w:r>
      <w:bookmarkEnd w:id="1061"/>
      <w:bookmarkEnd w:id="1062"/>
      <w:bookmarkEnd w:id="1063"/>
      <w:r w:rsidR="00F50D70">
        <w:fldChar w:fldCharType="end"/>
      </w:r>
    </w:p>
    <w:p w14:paraId="7502019F" w14:textId="77777777" w:rsidR="00F50D70" w:rsidRPr="00BE4F47" w:rsidRDefault="00137D7F" w:rsidP="008E113B">
      <w:pPr>
        <w:spacing w:after="80" w:line="360" w:lineRule="auto"/>
        <w:ind w:left="480" w:hanging="480"/>
        <w:jc w:val="left"/>
        <w:rPr>
          <w:rFonts w:ascii="Aptos" w:hAnsi="Aptos"/>
          <w:lang w:val="en-CA"/>
        </w:rPr>
      </w:pPr>
      <w:bookmarkStart w:id="1064" w:name="_Toc241083193"/>
      <w:bookmarkStart w:id="1065" w:name="_Toc241670368"/>
      <w:bookmarkStart w:id="1066" w:name="_Toc241708076"/>
      <w:r w:rsidRPr="00BE4F47">
        <w:rPr>
          <w:rFonts w:ascii="Aptos" w:eastAsia="Calibri" w:hAnsi="Aptos" w:cs="Calibri"/>
          <w:color w:val="1A1A19"/>
          <w:sz w:val="20"/>
          <w:szCs w:val="20"/>
          <w:lang w:val="en-CA"/>
        </w:rPr>
        <w:t>[5</w:t>
      </w:r>
      <w:proofErr w:type="gramStart"/>
      <w:r w:rsidRPr="00BE4F47">
        <w:rPr>
          <w:rFonts w:ascii="Aptos" w:eastAsia="Calibri" w:hAnsi="Aptos" w:cs="Calibri"/>
          <w:color w:val="1A1A19"/>
          <w:sz w:val="20"/>
          <w:szCs w:val="20"/>
          <w:lang w:val="en-CA"/>
        </w:rPr>
        <w:t>]  Q.</w:t>
      </w:r>
      <w:proofErr w:type="gramEnd"/>
      <w:r w:rsidRPr="00BE4F47">
        <w:rPr>
          <w:rFonts w:ascii="Aptos" w:eastAsia="Calibri" w:hAnsi="Aptos" w:cs="Calibri"/>
          <w:color w:val="1A1A19"/>
          <w:sz w:val="20"/>
          <w:szCs w:val="20"/>
          <w:lang w:val="en-CA"/>
        </w:rPr>
        <w:t xml:space="preserve"> Huang et al., « Shaping the future of nuclear reactors with digital twins: current developments and perspectives », Applied Energy, vol. 402, art. 126922, 2025</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"https://doi.org/10.1016/j.apenergy.2025.126922" \h</w:instrText>
      </w:r>
      <w:r w:rsidR="00F50D70">
        <w:fldChar w:fldCharType="separate"/>
      </w:r>
      <w:r w:rsidR="00F50D70" w:rsidRPr="00BE4F47">
        <w:rPr>
          <w:rFonts w:ascii="Aptos" w:hAnsi="Aptos"/>
          <w:color w:val="1155CC"/>
          <w:sz w:val="18"/>
          <w:u w:val="single"/>
          <w:lang w:val="en-CA"/>
        </w:rPr>
        <w:t>https://doi.org/10.1016/j.apenergy.2025.126922</w:t>
      </w:r>
      <w:bookmarkEnd w:id="1064"/>
      <w:bookmarkEnd w:id="1065"/>
      <w:bookmarkEnd w:id="1066"/>
      <w:r w:rsidR="00F50D70">
        <w:fldChar w:fldCharType="end"/>
      </w:r>
    </w:p>
    <w:p w14:paraId="69052533" w14:textId="77777777" w:rsidR="00F50D70" w:rsidRPr="00BE4F47" w:rsidRDefault="00137D7F" w:rsidP="008E113B">
      <w:pPr>
        <w:spacing w:after="80" w:line="360" w:lineRule="auto"/>
        <w:ind w:left="480" w:hanging="480"/>
        <w:jc w:val="left"/>
        <w:rPr>
          <w:rFonts w:ascii="Aptos" w:hAnsi="Aptos"/>
          <w:lang w:val="en-CA"/>
        </w:rPr>
      </w:pPr>
      <w:bookmarkStart w:id="1067" w:name="_Toc241083194"/>
      <w:bookmarkStart w:id="1068" w:name="_Toc241670369"/>
      <w:bookmarkStart w:id="1069" w:name="_Toc241708077"/>
      <w:r w:rsidRPr="00BE4F47">
        <w:rPr>
          <w:rFonts w:ascii="Aptos" w:eastAsia="Calibri" w:hAnsi="Aptos" w:cs="Calibri"/>
          <w:color w:val="1A1A19"/>
          <w:sz w:val="20"/>
          <w:szCs w:val="20"/>
          <w:lang w:val="en-CA"/>
        </w:rPr>
        <w:t>[6</w:t>
      </w:r>
      <w:proofErr w:type="gramStart"/>
      <w:r w:rsidRPr="00BE4F47">
        <w:rPr>
          <w:rFonts w:ascii="Aptos" w:eastAsia="Calibri" w:hAnsi="Aptos" w:cs="Calibri"/>
          <w:color w:val="1A1A19"/>
          <w:sz w:val="20"/>
          <w:szCs w:val="20"/>
          <w:lang w:val="en-CA"/>
        </w:rPr>
        <w:t>]  H.</w:t>
      </w:r>
      <w:proofErr w:type="gramEnd"/>
      <w:r w:rsidRPr="00BE4F47">
        <w:rPr>
          <w:rFonts w:ascii="Aptos" w:eastAsia="Calibri" w:hAnsi="Aptos" w:cs="Calibri"/>
          <w:color w:val="1A1A19"/>
          <w:sz w:val="20"/>
          <w:szCs w:val="20"/>
          <w:lang w:val="en-CA"/>
        </w:rPr>
        <w:t xml:space="preserve"> Huang, L. Yang, Y. Wang, X. Xu et Y. Lu, « Digital twin-driven online anomaly detection for an automation system based on edge intelligence », Journal of Manufacturing Systems, vol. 59, p. 138-150, 2021</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"https://doi.org/10.1016/j.jmsy.2021.02.010" \h</w:instrText>
      </w:r>
      <w:r w:rsidR="00F50D70">
        <w:fldChar w:fldCharType="separate"/>
      </w:r>
      <w:r w:rsidR="00F50D70" w:rsidRPr="00BE4F47">
        <w:rPr>
          <w:rFonts w:ascii="Aptos" w:hAnsi="Aptos"/>
          <w:color w:val="1155CC"/>
          <w:sz w:val="18"/>
          <w:u w:val="single"/>
          <w:lang w:val="en-CA"/>
        </w:rPr>
        <w:t>https://doi.org/10.1016/j.jmsy.2021.02.010</w:t>
      </w:r>
      <w:bookmarkEnd w:id="1067"/>
      <w:bookmarkEnd w:id="1068"/>
      <w:bookmarkEnd w:id="1069"/>
      <w:r w:rsidR="00F50D70">
        <w:fldChar w:fldCharType="end"/>
      </w:r>
    </w:p>
    <w:p w14:paraId="5A2E28B7" w14:textId="77777777" w:rsidR="00F50D70" w:rsidRPr="00BE4F47" w:rsidRDefault="00137D7F" w:rsidP="008E113B">
      <w:pPr>
        <w:spacing w:after="80" w:line="360" w:lineRule="auto"/>
        <w:ind w:left="480" w:hanging="480"/>
        <w:jc w:val="left"/>
        <w:rPr>
          <w:rFonts w:ascii="Aptos" w:hAnsi="Aptos"/>
          <w:lang w:val="en-CA"/>
        </w:rPr>
      </w:pPr>
      <w:bookmarkStart w:id="1070" w:name="_Toc241083196"/>
      <w:bookmarkStart w:id="1071" w:name="_Toc241670370"/>
      <w:bookmarkStart w:id="1072" w:name="_Toc241708078"/>
      <w:r w:rsidRPr="00BE4F47">
        <w:rPr>
          <w:rFonts w:ascii="Aptos" w:eastAsia="Calibri" w:hAnsi="Aptos" w:cs="Calibri"/>
          <w:color w:val="1A1A19"/>
          <w:sz w:val="20"/>
          <w:szCs w:val="20"/>
          <w:lang w:val="en-CA"/>
        </w:rPr>
        <w:t>[7</w:t>
      </w:r>
      <w:proofErr w:type="gramStart"/>
      <w:r w:rsidRPr="00BE4F47">
        <w:rPr>
          <w:rFonts w:ascii="Aptos" w:eastAsia="Calibri" w:hAnsi="Aptos" w:cs="Calibri"/>
          <w:color w:val="1A1A19"/>
          <w:sz w:val="20"/>
          <w:szCs w:val="20"/>
          <w:lang w:val="en-CA"/>
        </w:rPr>
        <w:t>]  K.</w:t>
      </w:r>
      <w:proofErr w:type="gramEnd"/>
      <w:r w:rsidRPr="00BE4F47">
        <w:rPr>
          <w:rFonts w:ascii="Aptos" w:eastAsia="Calibri" w:hAnsi="Aptos" w:cs="Calibri"/>
          <w:color w:val="1A1A19"/>
          <w:sz w:val="20"/>
          <w:szCs w:val="20"/>
          <w:lang w:val="en-CA"/>
        </w:rPr>
        <w:t xml:space="preserve"> Kobayashi, D. Kumar et S. B. Alam, « AI-driven non-intrusive uncertainty quantification of advanced nuclear fuels for digital twin-enabling technology », Progress in Nuclear Energy, vol. 172, art. 105177, 2024</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"https://doi.org/10.1016/j.pnucene.2024.105177" \h</w:instrText>
      </w:r>
      <w:r w:rsidR="00F50D70">
        <w:fldChar w:fldCharType="separate"/>
      </w:r>
      <w:r w:rsidR="00F50D70" w:rsidRPr="00BE4F47">
        <w:rPr>
          <w:rFonts w:ascii="Aptos" w:hAnsi="Aptos"/>
          <w:color w:val="1155CC"/>
          <w:sz w:val="18"/>
          <w:u w:val="single"/>
          <w:lang w:val="en-CA"/>
        </w:rPr>
        <w:t>https://doi.org/10.1016/j.pnucene.2024.105177</w:t>
      </w:r>
      <w:bookmarkEnd w:id="1070"/>
      <w:bookmarkEnd w:id="1071"/>
      <w:bookmarkEnd w:id="1072"/>
      <w:r w:rsidR="00F50D70">
        <w:fldChar w:fldCharType="end"/>
      </w:r>
    </w:p>
    <w:p w14:paraId="37DCCC5F" w14:textId="77777777" w:rsidR="00F50D70" w:rsidRPr="004631CD" w:rsidRDefault="00137D7F" w:rsidP="008E113B">
      <w:pPr>
        <w:spacing w:after="80" w:line="360" w:lineRule="auto"/>
        <w:ind w:left="480" w:hanging="480"/>
        <w:jc w:val="left"/>
        <w:rPr>
          <w:rFonts w:ascii="Aptos" w:hAnsi="Aptos"/>
          <w:lang w:val="en-CA"/>
        </w:rPr>
      </w:pPr>
      <w:bookmarkStart w:id="1073" w:name="_Toc241083197"/>
      <w:bookmarkStart w:id="1074" w:name="_Toc241670371"/>
      <w:bookmarkStart w:id="1075" w:name="_Toc241708079"/>
      <w:r w:rsidRPr="00BE4F47">
        <w:rPr>
          <w:rFonts w:ascii="Aptos" w:eastAsia="Calibri" w:hAnsi="Aptos" w:cs="Calibri"/>
          <w:color w:val="1A1A19"/>
          <w:sz w:val="20"/>
          <w:szCs w:val="20"/>
          <w:lang w:val="en-CA"/>
        </w:rPr>
        <w:lastRenderedPageBreak/>
        <w:t>[8</w:t>
      </w:r>
      <w:proofErr w:type="gramStart"/>
      <w:r w:rsidRPr="00BE4F47">
        <w:rPr>
          <w:rFonts w:ascii="Aptos" w:eastAsia="Calibri" w:hAnsi="Aptos" w:cs="Calibri"/>
          <w:color w:val="1A1A19"/>
          <w:sz w:val="20"/>
          <w:szCs w:val="20"/>
          <w:lang w:val="en-CA"/>
        </w:rPr>
        <w:t>]  A.</w:t>
      </w:r>
      <w:proofErr w:type="gramEnd"/>
      <w:r w:rsidRPr="00BE4F47">
        <w:rPr>
          <w:rFonts w:ascii="Aptos" w:eastAsia="Calibri" w:hAnsi="Aptos" w:cs="Calibri"/>
          <w:color w:val="1A1A19"/>
          <w:sz w:val="20"/>
          <w:szCs w:val="20"/>
          <w:lang w:val="en-CA"/>
        </w:rPr>
        <w:t xml:space="preserve"> Sayghe, « Digital twin-driven intrusion detection for industrial SCADA: a cyber-physical case study », Sensors, vol. 25, n° 16, art. 4963, 2025</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"https://doi.org/10.3390/s25164963" \h</w:instrText>
      </w:r>
      <w:r w:rsidR="00F50D70">
        <w:fldChar w:fldCharType="separate"/>
      </w:r>
      <w:r w:rsidR="00F50D70" w:rsidRPr="004631CD">
        <w:rPr>
          <w:rFonts w:ascii="Aptos" w:hAnsi="Aptos"/>
          <w:color w:val="1155CC"/>
          <w:sz w:val="18"/>
          <w:u w:val="single"/>
          <w:lang w:val="en-CA"/>
        </w:rPr>
        <w:t>https://doi.org/10.3390/s25164963</w:t>
      </w:r>
      <w:bookmarkEnd w:id="1073"/>
      <w:bookmarkEnd w:id="1074"/>
      <w:bookmarkEnd w:id="1075"/>
      <w:r w:rsidR="00F50D70">
        <w:fldChar w:fldCharType="end"/>
      </w:r>
    </w:p>
    <w:p w14:paraId="0570F9DC" w14:textId="77777777" w:rsidR="00F50D70" w:rsidRPr="004631CD" w:rsidRDefault="00137D7F" w:rsidP="008E113B">
      <w:pPr>
        <w:spacing w:after="80" w:line="360" w:lineRule="auto"/>
        <w:ind w:left="480" w:hanging="480"/>
        <w:jc w:val="left"/>
        <w:rPr>
          <w:rFonts w:ascii="Aptos" w:hAnsi="Aptos"/>
          <w:lang w:val="fr-FR"/>
        </w:rPr>
      </w:pPr>
      <w:bookmarkStart w:id="1076" w:name="_Toc241083195"/>
      <w:bookmarkStart w:id="1077" w:name="_Toc241670372"/>
      <w:bookmarkStart w:id="1078" w:name="_Toc241708080"/>
      <w:r w:rsidRPr="00BE4F47">
        <w:rPr>
          <w:rFonts w:ascii="Aptos" w:eastAsia="Calibri" w:hAnsi="Aptos" w:cs="Calibri"/>
          <w:color w:val="1A1A19"/>
          <w:sz w:val="20"/>
          <w:szCs w:val="20"/>
          <w:lang w:val="en-CA"/>
        </w:rPr>
        <w:t>[9</w:t>
      </w:r>
      <w:proofErr w:type="gramStart"/>
      <w:r w:rsidRPr="00BE4F47">
        <w:rPr>
          <w:rFonts w:ascii="Aptos" w:eastAsia="Calibri" w:hAnsi="Aptos" w:cs="Calibri"/>
          <w:color w:val="1A1A19"/>
          <w:sz w:val="20"/>
          <w:szCs w:val="20"/>
          <w:lang w:val="en-CA"/>
        </w:rPr>
        <w:t>]  C.</w:t>
      </w:r>
      <w:proofErr w:type="gramEnd"/>
      <w:r w:rsidRPr="00BE4F47">
        <w:rPr>
          <w:rFonts w:ascii="Aptos" w:eastAsia="Calibri" w:hAnsi="Aptos" w:cs="Calibri"/>
          <w:color w:val="1A1A19"/>
          <w:sz w:val="20"/>
          <w:szCs w:val="20"/>
          <w:lang w:val="en-CA"/>
        </w:rPr>
        <w:t xml:space="preserve"> Alcaraz et J. Lopez, « Digital twin-assisted anomaly detection for industrial scenarios », International Journal of Critical Infrastructure Protection, vol. 47, art. 100721, 2024</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"https://doi.org/10.1016/j.ijcip.2024.100721" \h</w:instrText>
      </w:r>
      <w:r w:rsidR="00F50D70">
        <w:fldChar w:fldCharType="separate"/>
      </w:r>
      <w:r w:rsidR="00F50D70" w:rsidRPr="004631CD">
        <w:rPr>
          <w:rFonts w:ascii="Aptos" w:hAnsi="Aptos"/>
          <w:color w:val="1155CC"/>
          <w:sz w:val="18"/>
          <w:u w:val="single"/>
          <w:lang w:val="fr-FR"/>
        </w:rPr>
        <w:t>https://doi.org/10.1016/j.ijcip.2024.100721</w:t>
      </w:r>
      <w:bookmarkEnd w:id="1076"/>
      <w:bookmarkEnd w:id="1077"/>
      <w:bookmarkEnd w:id="1078"/>
      <w:r w:rsidR="00F50D70">
        <w:fldChar w:fldCharType="end"/>
      </w:r>
    </w:p>
    <w:p w14:paraId="10872A1D" w14:textId="77777777" w:rsidR="00F50D70" w:rsidRPr="00BE4F47" w:rsidRDefault="00137D7F" w:rsidP="008E113B">
      <w:pPr>
        <w:spacing w:after="80" w:line="360" w:lineRule="auto"/>
        <w:ind w:left="480" w:hanging="480"/>
        <w:jc w:val="left"/>
        <w:rPr>
          <w:rFonts w:ascii="Aptos" w:hAnsi="Aptos"/>
        </w:rPr>
      </w:pPr>
      <w:bookmarkStart w:id="1079" w:name="_Toc241083203"/>
      <w:bookmarkStart w:id="1080" w:name="_Toc241670373"/>
      <w:bookmarkStart w:id="1081" w:name="_Toc241708081"/>
      <w:r w:rsidRPr="00BE4F47">
        <w:rPr>
          <w:rFonts w:ascii="Aptos" w:eastAsia="Calibri" w:hAnsi="Aptos" w:cs="Calibri"/>
          <w:color w:val="1A1A19"/>
          <w:sz w:val="20"/>
          <w:szCs w:val="20"/>
        </w:rPr>
        <w:t>[10</w:t>
      </w:r>
      <w:proofErr w:type="gramStart"/>
      <w:r w:rsidRPr="00BE4F47">
        <w:rPr>
          <w:rFonts w:ascii="Aptos" w:eastAsia="Calibri" w:hAnsi="Aptos" w:cs="Calibri"/>
          <w:color w:val="1A1A19"/>
          <w:sz w:val="20"/>
          <w:szCs w:val="20"/>
        </w:rPr>
        <w:t>]  Ansys</w:t>
      </w:r>
      <w:proofErr w:type="gramEnd"/>
      <w:r w:rsidRPr="00BE4F47">
        <w:rPr>
          <w:rFonts w:ascii="Aptos" w:eastAsia="Calibri" w:hAnsi="Aptos" w:cs="Calibri"/>
          <w:color w:val="1A1A19"/>
          <w:sz w:val="20"/>
          <w:szCs w:val="20"/>
        </w:rPr>
        <w:t xml:space="preserve">, Twin Builder, plateforme de création et de déploiement de jumeaux numériques de systèmes.  </w:t>
      </w:r>
      <w:hyperlink r:id="rId21">
        <w:r w:rsidR="00F50D70" w:rsidRPr="00BE4F47">
          <w:rPr>
            <w:rFonts w:ascii="Aptos" w:hAnsi="Aptos"/>
            <w:color w:val="1155CC"/>
            <w:sz w:val="18"/>
            <w:u w:val="single"/>
          </w:rPr>
          <w:t>https://www.ansys.com/en-gb/products/digital-twin/ansys-twin-builder</w:t>
        </w:r>
        <w:bookmarkEnd w:id="1079"/>
        <w:bookmarkEnd w:id="1080"/>
        <w:bookmarkEnd w:id="1081"/>
      </w:hyperlink>
    </w:p>
    <w:p w14:paraId="2C674206" w14:textId="77777777" w:rsidR="00F50D70" w:rsidRPr="00BE4F47" w:rsidRDefault="00137D7F" w:rsidP="008E113B">
      <w:pPr>
        <w:spacing w:after="80" w:line="360" w:lineRule="auto"/>
        <w:ind w:left="480" w:hanging="480"/>
        <w:jc w:val="left"/>
        <w:rPr>
          <w:rFonts w:ascii="Aptos" w:hAnsi="Aptos"/>
        </w:rPr>
      </w:pPr>
      <w:bookmarkStart w:id="1082" w:name="_Toc241083204"/>
      <w:bookmarkStart w:id="1083" w:name="_Toc241670374"/>
      <w:bookmarkStart w:id="1084" w:name="_Toc241708082"/>
      <w:r w:rsidRPr="00BE4F47">
        <w:rPr>
          <w:rFonts w:ascii="Aptos" w:eastAsia="Calibri" w:hAnsi="Aptos" w:cs="Calibri"/>
          <w:color w:val="1A1A19"/>
          <w:sz w:val="20"/>
          <w:szCs w:val="20"/>
        </w:rPr>
        <w:t>[11</w:t>
      </w:r>
      <w:proofErr w:type="gramStart"/>
      <w:r w:rsidRPr="00BE4F47">
        <w:rPr>
          <w:rFonts w:ascii="Aptos" w:eastAsia="Calibri" w:hAnsi="Aptos" w:cs="Calibri"/>
          <w:color w:val="1A1A19"/>
          <w:sz w:val="20"/>
          <w:szCs w:val="20"/>
        </w:rPr>
        <w:t>]  Siemens</w:t>
      </w:r>
      <w:proofErr w:type="gramEnd"/>
      <w:r w:rsidRPr="00BE4F47">
        <w:rPr>
          <w:rFonts w:ascii="Aptos" w:eastAsia="Calibri" w:hAnsi="Aptos" w:cs="Calibri"/>
          <w:color w:val="1A1A19"/>
          <w:sz w:val="20"/>
          <w:szCs w:val="20"/>
        </w:rPr>
        <w:t xml:space="preserve">, Simcenter Amesim, environnement de simulation de systèmes multiphysiques, incluant les circuits thermiques et hydrauliques.  </w:t>
      </w:r>
      <w:hyperlink r:id="rId22">
        <w:r w:rsidR="00F50D70" w:rsidRPr="00BE4F47">
          <w:rPr>
            <w:rFonts w:ascii="Aptos" w:hAnsi="Aptos"/>
            <w:color w:val="1155CC"/>
            <w:sz w:val="18"/>
            <w:u w:val="single"/>
          </w:rPr>
          <w:t>https://www.siemens.com/en-us/products/simcenter/systems-simulation/amesim/</w:t>
        </w:r>
        <w:bookmarkEnd w:id="1082"/>
        <w:bookmarkEnd w:id="1083"/>
        <w:bookmarkEnd w:id="1084"/>
      </w:hyperlink>
    </w:p>
    <w:p w14:paraId="105CAF75" w14:textId="77777777" w:rsidR="00F50D70" w:rsidRPr="00BE4F47" w:rsidRDefault="00137D7F" w:rsidP="008E113B">
      <w:pPr>
        <w:spacing w:after="80" w:line="360" w:lineRule="auto"/>
        <w:ind w:left="480" w:hanging="480"/>
        <w:jc w:val="left"/>
        <w:rPr>
          <w:rFonts w:ascii="Aptos" w:hAnsi="Aptos"/>
        </w:rPr>
      </w:pPr>
      <w:bookmarkStart w:id="1085" w:name="_Toc241083205"/>
      <w:bookmarkStart w:id="1086" w:name="_Toc241670375"/>
      <w:bookmarkStart w:id="1087" w:name="_Toc241708083"/>
      <w:r w:rsidRPr="00BE4F47">
        <w:rPr>
          <w:rFonts w:ascii="Aptos" w:eastAsia="Calibri" w:hAnsi="Aptos" w:cs="Calibri"/>
          <w:color w:val="1A1A19"/>
          <w:sz w:val="20"/>
          <w:szCs w:val="20"/>
        </w:rPr>
        <w:t>[12</w:t>
      </w:r>
      <w:proofErr w:type="gramStart"/>
      <w:r w:rsidRPr="00BE4F47">
        <w:rPr>
          <w:rFonts w:ascii="Aptos" w:eastAsia="Calibri" w:hAnsi="Aptos" w:cs="Calibri"/>
          <w:color w:val="1A1A19"/>
          <w:sz w:val="20"/>
          <w:szCs w:val="20"/>
        </w:rPr>
        <w:t>]  F.</w:t>
      </w:r>
      <w:proofErr w:type="gramEnd"/>
      <w:r w:rsidRPr="00BE4F47">
        <w:rPr>
          <w:rFonts w:ascii="Aptos" w:eastAsia="Calibri" w:hAnsi="Aptos" w:cs="Calibri"/>
          <w:color w:val="1A1A19"/>
          <w:sz w:val="20"/>
          <w:szCs w:val="20"/>
        </w:rPr>
        <w:t xml:space="preserve"> Casella, ThermoPower, bibliothèque Modelica libre pour la modélisation dynamique des centrales thermiques et des systèmes de conversion d’énergie.  </w:t>
      </w:r>
      <w:hyperlink r:id="rId23">
        <w:r w:rsidR="00F50D70" w:rsidRPr="00BE4F47">
          <w:rPr>
            <w:rFonts w:ascii="Aptos" w:hAnsi="Aptos"/>
            <w:color w:val="1155CC"/>
            <w:sz w:val="18"/>
            <w:u w:val="single"/>
          </w:rPr>
          <w:t>https://github.com/casella/ThermoPower</w:t>
        </w:r>
        <w:bookmarkEnd w:id="1085"/>
        <w:bookmarkEnd w:id="1086"/>
        <w:bookmarkEnd w:id="1087"/>
      </w:hyperlink>
    </w:p>
    <w:p w14:paraId="4EC3D5B9" w14:textId="77777777" w:rsidR="00F50D70" w:rsidRPr="00BE4F47" w:rsidRDefault="00137D7F" w:rsidP="008E113B">
      <w:pPr>
        <w:spacing w:after="80" w:line="360" w:lineRule="auto"/>
        <w:ind w:left="480" w:hanging="480"/>
        <w:jc w:val="left"/>
        <w:rPr>
          <w:rFonts w:ascii="Aptos" w:hAnsi="Aptos"/>
        </w:rPr>
      </w:pPr>
      <w:bookmarkStart w:id="1088" w:name="_Toc241083206"/>
      <w:bookmarkStart w:id="1089" w:name="_Toc241670376"/>
      <w:bookmarkStart w:id="1090" w:name="_Toc241708084"/>
      <w:r w:rsidRPr="00BE4F47">
        <w:rPr>
          <w:rFonts w:ascii="Aptos" w:eastAsia="Calibri" w:hAnsi="Aptos" w:cs="Calibri"/>
          <w:color w:val="1A1A19"/>
          <w:sz w:val="20"/>
          <w:szCs w:val="20"/>
        </w:rPr>
        <w:t>[13</w:t>
      </w:r>
      <w:proofErr w:type="gramStart"/>
      <w:r w:rsidRPr="00BE4F47">
        <w:rPr>
          <w:rFonts w:ascii="Aptos" w:eastAsia="Calibri" w:hAnsi="Aptos" w:cs="Calibri"/>
          <w:color w:val="1A1A19"/>
          <w:sz w:val="20"/>
          <w:szCs w:val="20"/>
        </w:rPr>
        <w:t>]  United</w:t>
      </w:r>
      <w:proofErr w:type="gramEnd"/>
      <w:r w:rsidRPr="00BE4F47">
        <w:rPr>
          <w:rFonts w:ascii="Aptos" w:eastAsia="Calibri" w:hAnsi="Aptos" w:cs="Calibri"/>
          <w:color w:val="1A1A19"/>
          <w:sz w:val="20"/>
          <w:szCs w:val="20"/>
        </w:rPr>
        <w:t xml:space="preserve"> States Nuclear Regulatory Commission, Computer Codes, codes de thermohydraulique TRACE et RELAP5 et leur programme de distribution CAMP.  </w:t>
      </w:r>
      <w:hyperlink r:id="rId24">
        <w:r w:rsidR="00F50D70" w:rsidRPr="00BE4F47">
          <w:rPr>
            <w:rFonts w:ascii="Aptos" w:hAnsi="Aptos"/>
            <w:color w:val="1155CC"/>
            <w:sz w:val="18"/>
            <w:u w:val="single"/>
          </w:rPr>
          <w:t>https://www.nrc.gov/about-nrc/regulatory/research/safetycodes</w:t>
        </w:r>
        <w:bookmarkEnd w:id="1088"/>
        <w:bookmarkEnd w:id="1089"/>
        <w:bookmarkEnd w:id="1090"/>
      </w:hyperlink>
    </w:p>
    <w:p w14:paraId="2C9934D3" w14:textId="77777777" w:rsidR="00F50D70" w:rsidRPr="00BE4F47" w:rsidRDefault="00137D7F" w:rsidP="008E113B">
      <w:pPr>
        <w:spacing w:after="80" w:line="360" w:lineRule="auto"/>
        <w:ind w:left="480" w:hanging="480"/>
        <w:jc w:val="left"/>
        <w:rPr>
          <w:rFonts w:ascii="Aptos" w:hAnsi="Aptos"/>
        </w:rPr>
      </w:pPr>
      <w:bookmarkStart w:id="1091" w:name="_Toc241083198"/>
      <w:bookmarkStart w:id="1092" w:name="_Toc241670377"/>
      <w:bookmarkStart w:id="1093" w:name="_Toc241708085"/>
      <w:r w:rsidRPr="00BE4F47">
        <w:rPr>
          <w:rFonts w:ascii="Aptos" w:eastAsia="Calibri" w:hAnsi="Aptos" w:cs="Calibri"/>
          <w:color w:val="1A1A19"/>
          <w:sz w:val="20"/>
          <w:szCs w:val="20"/>
        </w:rPr>
        <w:t>[14</w:t>
      </w:r>
      <w:proofErr w:type="gramStart"/>
      <w:r w:rsidRPr="00BE4F47">
        <w:rPr>
          <w:rFonts w:ascii="Aptos" w:eastAsia="Calibri" w:hAnsi="Aptos" w:cs="Calibri"/>
          <w:color w:val="1A1A19"/>
          <w:sz w:val="20"/>
          <w:szCs w:val="20"/>
        </w:rPr>
        <w:t>]  Brevet</w:t>
      </w:r>
      <w:proofErr w:type="gramEnd"/>
      <w:r w:rsidRPr="00BE4F47">
        <w:rPr>
          <w:rFonts w:ascii="Aptos" w:eastAsia="Calibri" w:hAnsi="Aptos" w:cs="Calibri"/>
          <w:color w:val="1A1A19"/>
          <w:sz w:val="20"/>
          <w:szCs w:val="20"/>
        </w:rPr>
        <w:t xml:space="preserve"> CN118709527B, « Implementation method of digital twin model of nuclear power plant based on physical-data hybrid drive », Université Jiao Tong de Shanghai, déposé le 4 juin 2024, délivré le 1er avril 2025.  </w:t>
      </w:r>
      <w:hyperlink r:id="rId25">
        <w:r w:rsidR="00F50D70" w:rsidRPr="00BE4F47">
          <w:rPr>
            <w:rFonts w:ascii="Aptos" w:hAnsi="Aptos"/>
            <w:color w:val="1155CC"/>
            <w:sz w:val="18"/>
            <w:u w:val="single"/>
          </w:rPr>
          <w:t>https://patents.google.com/patent/CN118709527B/en</w:t>
        </w:r>
        <w:bookmarkEnd w:id="1091"/>
        <w:bookmarkEnd w:id="1092"/>
        <w:bookmarkEnd w:id="1093"/>
      </w:hyperlink>
    </w:p>
    <w:p w14:paraId="0C8C541A" w14:textId="77777777" w:rsidR="00F50D70" w:rsidRPr="00BE4F47" w:rsidRDefault="00137D7F" w:rsidP="008E113B">
      <w:pPr>
        <w:spacing w:after="80" w:line="360" w:lineRule="auto"/>
        <w:ind w:left="480" w:hanging="480"/>
        <w:jc w:val="left"/>
        <w:rPr>
          <w:rFonts w:ascii="Aptos" w:hAnsi="Aptos"/>
          <w:lang w:val="en-CA"/>
        </w:rPr>
      </w:pPr>
      <w:bookmarkStart w:id="1094" w:name="_Toc241083199"/>
      <w:bookmarkStart w:id="1095" w:name="_Toc241670378"/>
      <w:bookmarkStart w:id="1096" w:name="_Toc241708086"/>
      <w:r w:rsidRPr="00BE4F47">
        <w:rPr>
          <w:rFonts w:ascii="Aptos" w:eastAsia="Calibri" w:hAnsi="Aptos" w:cs="Calibri"/>
          <w:color w:val="1A1A19"/>
          <w:sz w:val="20"/>
          <w:szCs w:val="20"/>
        </w:rPr>
        <w:t>[15</w:t>
      </w:r>
      <w:proofErr w:type="gramStart"/>
      <w:r w:rsidRPr="00BE4F47">
        <w:rPr>
          <w:rFonts w:ascii="Aptos" w:eastAsia="Calibri" w:hAnsi="Aptos" w:cs="Calibri"/>
          <w:color w:val="1A1A19"/>
          <w:sz w:val="20"/>
          <w:szCs w:val="20"/>
        </w:rPr>
        <w:t>]  Demande</w:t>
      </w:r>
      <w:proofErr w:type="gramEnd"/>
      <w:r w:rsidRPr="00BE4F47">
        <w:rPr>
          <w:rFonts w:ascii="Aptos" w:eastAsia="Calibri" w:hAnsi="Aptos" w:cs="Calibri"/>
          <w:color w:val="1A1A19"/>
          <w:sz w:val="20"/>
          <w:szCs w:val="20"/>
        </w:rPr>
        <w:t xml:space="preserve"> de brevet CN118228587A, « Uncertainty analysis method of core digital twin system based on MCMC », Université Jiao Tong de Shanghai, déposée le 26 mars 2024, publiée le 21 juin 2024, rejetée après publication.  </w:t>
      </w:r>
      <w:hyperlink r:id="rId26">
        <w:r w:rsidR="00F50D70" w:rsidRPr="00BE4F47">
          <w:rPr>
            <w:rFonts w:ascii="Aptos" w:hAnsi="Aptos"/>
            <w:color w:val="1155CC"/>
            <w:sz w:val="18"/>
            <w:u w:val="single"/>
            <w:lang w:val="en-CA"/>
          </w:rPr>
          <w:t>https://patents.google.com/patent/CN118228587A/en</w:t>
        </w:r>
        <w:bookmarkEnd w:id="1094"/>
        <w:bookmarkEnd w:id="1095"/>
        <w:bookmarkEnd w:id="1096"/>
      </w:hyperlink>
    </w:p>
    <w:p w14:paraId="7E832DED" w14:textId="77777777" w:rsidR="00F50D70" w:rsidRPr="00BE4F47" w:rsidRDefault="00137D7F" w:rsidP="008E113B">
      <w:pPr>
        <w:spacing w:after="80" w:line="360" w:lineRule="auto"/>
        <w:ind w:left="480" w:hanging="480"/>
        <w:jc w:val="left"/>
        <w:rPr>
          <w:rFonts w:ascii="Aptos" w:hAnsi="Aptos"/>
        </w:rPr>
      </w:pPr>
      <w:bookmarkStart w:id="1097" w:name="_Toc241083200"/>
      <w:bookmarkStart w:id="1098" w:name="_Toc241670379"/>
      <w:bookmarkStart w:id="1099" w:name="_Toc241708087"/>
      <w:r w:rsidRPr="00BE4F47">
        <w:rPr>
          <w:rFonts w:ascii="Aptos" w:eastAsia="Calibri" w:hAnsi="Aptos" w:cs="Calibri"/>
          <w:color w:val="1A1A19"/>
          <w:sz w:val="20"/>
          <w:szCs w:val="20"/>
          <w:lang w:val="en-CA"/>
        </w:rPr>
        <w:t>[16</w:t>
      </w:r>
      <w:proofErr w:type="gramStart"/>
      <w:r w:rsidRPr="00BE4F47">
        <w:rPr>
          <w:rFonts w:ascii="Aptos" w:eastAsia="Calibri" w:hAnsi="Aptos" w:cs="Calibri"/>
          <w:color w:val="1A1A19"/>
          <w:sz w:val="20"/>
          <w:szCs w:val="20"/>
          <w:lang w:val="en-CA"/>
        </w:rPr>
        <w:t>]  Demande</w:t>
      </w:r>
      <w:proofErr w:type="gramEnd"/>
      <w:r w:rsidRPr="00BE4F47">
        <w:rPr>
          <w:rFonts w:ascii="Aptos" w:eastAsia="Calibri" w:hAnsi="Aptos" w:cs="Calibri"/>
          <w:color w:val="1A1A19"/>
          <w:sz w:val="20"/>
          <w:szCs w:val="20"/>
          <w:lang w:val="en-CA"/>
        </w:rPr>
        <w:t xml:space="preserve"> de brevet CN118779601A, « Long-term online prediction and uncertainty analysis method of multi-parameters of digital twin of nuclear power plant », Université Jiao Tong de Shanghai, déposée le </w:t>
      </w:r>
      <w:proofErr w:type="gramStart"/>
      <w:r w:rsidRPr="00BE4F47">
        <w:rPr>
          <w:rFonts w:ascii="Aptos" w:eastAsia="Calibri" w:hAnsi="Aptos" w:cs="Calibri"/>
          <w:color w:val="1A1A19"/>
          <w:sz w:val="20"/>
          <w:szCs w:val="20"/>
          <w:lang w:val="en-CA"/>
        </w:rPr>
        <w:t>14</w:t>
      </w:r>
      <w:proofErr w:type="gramEnd"/>
      <w:r w:rsidRPr="00BE4F47">
        <w:rPr>
          <w:rFonts w:ascii="Aptos" w:eastAsia="Calibri" w:hAnsi="Aptos" w:cs="Calibri"/>
          <w:color w:val="1A1A19"/>
          <w:sz w:val="20"/>
          <w:szCs w:val="20"/>
          <w:lang w:val="en-CA"/>
        </w:rPr>
        <w:t xml:space="preserve"> juin 2024, publiée le </w:t>
      </w:r>
      <w:proofErr w:type="gramStart"/>
      <w:r w:rsidRPr="00BE4F47">
        <w:rPr>
          <w:rFonts w:ascii="Aptos" w:eastAsia="Calibri" w:hAnsi="Aptos" w:cs="Calibri"/>
          <w:color w:val="1A1A19"/>
          <w:sz w:val="20"/>
          <w:szCs w:val="20"/>
          <w:lang w:val="en-CA"/>
        </w:rPr>
        <w:t>15</w:t>
      </w:r>
      <w:proofErr w:type="gramEnd"/>
      <w:r w:rsidRPr="00BE4F47">
        <w:rPr>
          <w:rFonts w:ascii="Aptos" w:eastAsia="Calibri" w:hAnsi="Aptos" w:cs="Calibri"/>
          <w:color w:val="1A1A19"/>
          <w:sz w:val="20"/>
          <w:szCs w:val="20"/>
          <w:lang w:val="en-CA"/>
        </w:rPr>
        <w:t xml:space="preserve"> octobre 2024</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"https://patents.google.com/patent/CN118779601A/en" \h</w:instrText>
      </w:r>
      <w:r w:rsidR="00F50D70">
        <w:fldChar w:fldCharType="separate"/>
      </w:r>
      <w:r w:rsidR="00F50D70" w:rsidRPr="00BE4F47">
        <w:rPr>
          <w:rFonts w:ascii="Aptos" w:hAnsi="Aptos"/>
          <w:color w:val="1155CC"/>
          <w:sz w:val="18"/>
          <w:u w:val="single"/>
        </w:rPr>
        <w:t>https://patents.google.com/patent/CN118779601A/en</w:t>
      </w:r>
      <w:bookmarkEnd w:id="1097"/>
      <w:bookmarkEnd w:id="1098"/>
      <w:bookmarkEnd w:id="1099"/>
      <w:r w:rsidR="00F50D70">
        <w:fldChar w:fldCharType="end"/>
      </w:r>
    </w:p>
    <w:p w14:paraId="0985DE0E" w14:textId="77777777" w:rsidR="00F50D70" w:rsidRPr="00BE4F47" w:rsidRDefault="00137D7F" w:rsidP="008E113B">
      <w:pPr>
        <w:spacing w:after="80" w:line="360" w:lineRule="auto"/>
        <w:ind w:left="480" w:hanging="480"/>
        <w:jc w:val="left"/>
        <w:rPr>
          <w:rFonts w:ascii="Aptos" w:hAnsi="Aptos"/>
          <w:lang w:val="en-CA"/>
        </w:rPr>
      </w:pPr>
      <w:bookmarkStart w:id="1100" w:name="_Toc241083201"/>
      <w:bookmarkStart w:id="1101" w:name="_Toc241670380"/>
      <w:bookmarkStart w:id="1102" w:name="_Toc241708088"/>
      <w:r w:rsidRPr="00BE4F47">
        <w:rPr>
          <w:rFonts w:ascii="Aptos" w:eastAsia="Calibri" w:hAnsi="Aptos" w:cs="Calibri"/>
          <w:color w:val="1A1A19"/>
          <w:sz w:val="20"/>
          <w:szCs w:val="20"/>
        </w:rPr>
        <w:t>[17</w:t>
      </w:r>
      <w:proofErr w:type="gramStart"/>
      <w:r w:rsidRPr="00BE4F47">
        <w:rPr>
          <w:rFonts w:ascii="Aptos" w:eastAsia="Calibri" w:hAnsi="Aptos" w:cs="Calibri"/>
          <w:color w:val="1A1A19"/>
          <w:sz w:val="20"/>
          <w:szCs w:val="20"/>
        </w:rPr>
        <w:t>]  Demande</w:t>
      </w:r>
      <w:proofErr w:type="gramEnd"/>
      <w:r w:rsidRPr="00BE4F47">
        <w:rPr>
          <w:rFonts w:ascii="Aptos" w:eastAsia="Calibri" w:hAnsi="Aptos" w:cs="Calibri"/>
          <w:color w:val="1A1A19"/>
          <w:sz w:val="20"/>
          <w:szCs w:val="20"/>
        </w:rPr>
        <w:t xml:space="preserve"> de brevet CN118068765A, « Method for constructing anomaly detection model for industrial control systems in process industries based on digital twins », Université des sciences et technologies de Huazhong, déposée le 8 mars 2024, publiée le 24 mai 2024.  </w:t>
      </w:r>
      <w:hyperlink r:id="rId27">
        <w:r w:rsidR="00F50D70" w:rsidRPr="00BE4F47">
          <w:rPr>
            <w:rFonts w:ascii="Aptos" w:hAnsi="Aptos"/>
            <w:color w:val="1155CC"/>
            <w:sz w:val="18"/>
            <w:u w:val="single"/>
            <w:lang w:val="en-CA"/>
          </w:rPr>
          <w:t>https://patents.google.com/patent/CN118068765A/en</w:t>
        </w:r>
        <w:bookmarkEnd w:id="1100"/>
        <w:bookmarkEnd w:id="1101"/>
        <w:bookmarkEnd w:id="1102"/>
      </w:hyperlink>
    </w:p>
    <w:p w14:paraId="6FA4636C" w14:textId="77777777" w:rsidR="00F50D70" w:rsidRPr="00BE4F47" w:rsidRDefault="00137D7F" w:rsidP="008E113B">
      <w:pPr>
        <w:spacing w:after="80" w:line="360" w:lineRule="auto"/>
        <w:ind w:left="480" w:hanging="480"/>
        <w:jc w:val="left"/>
        <w:rPr>
          <w:rFonts w:ascii="Aptos" w:hAnsi="Aptos"/>
        </w:rPr>
      </w:pPr>
      <w:bookmarkStart w:id="1103" w:name="_Toc241083202"/>
      <w:bookmarkStart w:id="1104" w:name="_Toc241670381"/>
      <w:bookmarkStart w:id="1105" w:name="_Toc241708089"/>
      <w:r w:rsidRPr="00BE4F47">
        <w:rPr>
          <w:rFonts w:ascii="Aptos" w:eastAsia="Calibri" w:hAnsi="Aptos" w:cs="Calibri"/>
          <w:color w:val="1A1A19"/>
          <w:sz w:val="20"/>
          <w:szCs w:val="20"/>
          <w:lang w:val="en-CA"/>
        </w:rPr>
        <w:t>[18</w:t>
      </w:r>
      <w:proofErr w:type="gramStart"/>
      <w:r w:rsidRPr="00BE4F47">
        <w:rPr>
          <w:rFonts w:ascii="Aptos" w:eastAsia="Calibri" w:hAnsi="Aptos" w:cs="Calibri"/>
          <w:color w:val="1A1A19"/>
          <w:sz w:val="20"/>
          <w:szCs w:val="20"/>
          <w:lang w:val="en-CA"/>
        </w:rPr>
        <w:t>]  Brevet</w:t>
      </w:r>
      <w:proofErr w:type="gramEnd"/>
      <w:r w:rsidRPr="00BE4F47">
        <w:rPr>
          <w:rFonts w:ascii="Aptos" w:eastAsia="Calibri" w:hAnsi="Aptos" w:cs="Calibri"/>
          <w:color w:val="1A1A19"/>
          <w:sz w:val="20"/>
          <w:szCs w:val="20"/>
          <w:lang w:val="en-CA"/>
        </w:rPr>
        <w:t xml:space="preserve"> US12093818B2, « Method and system for semi-supervised deep anomaly detection for large-scale industrial monitoring systems based on time-series data utilizing digital twin simulation data », Honda Motor Co., délivré le </w:t>
      </w:r>
      <w:proofErr w:type="gramStart"/>
      <w:r w:rsidRPr="00BE4F47">
        <w:rPr>
          <w:rFonts w:ascii="Aptos" w:eastAsia="Calibri" w:hAnsi="Aptos" w:cs="Calibri"/>
          <w:color w:val="1A1A19"/>
          <w:sz w:val="20"/>
          <w:szCs w:val="20"/>
          <w:lang w:val="en-CA"/>
        </w:rPr>
        <w:t>17</w:t>
      </w:r>
      <w:proofErr w:type="gramEnd"/>
      <w:r w:rsidRPr="00BE4F47">
        <w:rPr>
          <w:rFonts w:ascii="Aptos" w:eastAsia="Calibri" w:hAnsi="Aptos" w:cs="Calibri"/>
          <w:color w:val="1A1A19"/>
          <w:sz w:val="20"/>
          <w:szCs w:val="20"/>
          <w:lang w:val="en-CA"/>
        </w:rPr>
        <w:t xml:space="preserve"> septembre 2024</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"https://patents.google.com/patent/US12093818B2/en" \h</w:instrText>
      </w:r>
      <w:r w:rsidR="00F50D70">
        <w:fldChar w:fldCharType="separate"/>
      </w:r>
      <w:r w:rsidR="00F50D70" w:rsidRPr="00BE4F47">
        <w:rPr>
          <w:rFonts w:ascii="Aptos" w:hAnsi="Aptos"/>
          <w:color w:val="1155CC"/>
          <w:sz w:val="18"/>
          <w:u w:val="single"/>
        </w:rPr>
        <w:t>https://patents.google.com/patent/US12093818B2/en</w:t>
      </w:r>
      <w:bookmarkEnd w:id="1103"/>
      <w:bookmarkEnd w:id="1104"/>
      <w:bookmarkEnd w:id="1105"/>
      <w:r w:rsidR="00F50D70">
        <w:fldChar w:fldCharType="end"/>
      </w:r>
    </w:p>
    <w:p w14:paraId="49EAF937" w14:textId="77777777" w:rsidR="00F50D70" w:rsidRPr="00BE4F47" w:rsidRDefault="00137D7F" w:rsidP="008E113B">
      <w:pPr>
        <w:spacing w:after="80" w:line="360" w:lineRule="auto"/>
        <w:ind w:left="480" w:hanging="480"/>
        <w:jc w:val="left"/>
        <w:rPr>
          <w:rFonts w:ascii="Aptos" w:hAnsi="Aptos"/>
        </w:rPr>
      </w:pPr>
      <w:bookmarkStart w:id="1106" w:name="_Toc241083207"/>
      <w:bookmarkStart w:id="1107" w:name="_Toc241670382"/>
      <w:bookmarkStart w:id="1108" w:name="_Toc241708090"/>
      <w:r w:rsidRPr="00BE4F47">
        <w:rPr>
          <w:rFonts w:ascii="Aptos" w:eastAsia="Calibri" w:hAnsi="Aptos" w:cs="Calibri"/>
          <w:color w:val="1A1A19"/>
          <w:sz w:val="20"/>
          <w:szCs w:val="20"/>
        </w:rPr>
        <w:t>[19</w:t>
      </w:r>
      <w:proofErr w:type="gramStart"/>
      <w:r w:rsidRPr="00BE4F47">
        <w:rPr>
          <w:rFonts w:ascii="Aptos" w:eastAsia="Calibri" w:hAnsi="Aptos" w:cs="Calibri"/>
          <w:color w:val="1A1A19"/>
          <w:sz w:val="20"/>
          <w:szCs w:val="20"/>
        </w:rPr>
        <w:t>]  Québec</w:t>
      </w:r>
      <w:proofErr w:type="gramEnd"/>
      <w:r w:rsidRPr="00BE4F47">
        <w:rPr>
          <w:rFonts w:ascii="Aptos" w:eastAsia="Calibri" w:hAnsi="Aptos" w:cs="Calibri"/>
          <w:color w:val="1A1A19"/>
          <w:sz w:val="20"/>
          <w:szCs w:val="20"/>
        </w:rPr>
        <w:t xml:space="preserve">, Loi sur les ingénieurs, RLRQ, chapitre I-9.  </w:t>
      </w:r>
      <w:hyperlink r:id="rId28">
        <w:r w:rsidR="00F50D70" w:rsidRPr="00BE4F47">
          <w:rPr>
            <w:rFonts w:ascii="Aptos" w:hAnsi="Aptos"/>
            <w:color w:val="1155CC"/>
            <w:sz w:val="18"/>
            <w:u w:val="single"/>
          </w:rPr>
          <w:t>https://www.legisquebec.gouv.qc.ca/fr/document/lc/I-9</w:t>
        </w:r>
        <w:bookmarkEnd w:id="1106"/>
        <w:bookmarkEnd w:id="1107"/>
        <w:bookmarkEnd w:id="1108"/>
      </w:hyperlink>
    </w:p>
    <w:p w14:paraId="5667991B" w14:textId="77777777" w:rsidR="00F50D70" w:rsidRPr="00BE4F47" w:rsidRDefault="00137D7F" w:rsidP="008E113B">
      <w:pPr>
        <w:spacing w:after="80" w:line="360" w:lineRule="auto"/>
        <w:ind w:left="480" w:hanging="480"/>
        <w:jc w:val="left"/>
        <w:rPr>
          <w:rFonts w:ascii="Aptos" w:hAnsi="Aptos"/>
        </w:rPr>
      </w:pPr>
      <w:bookmarkStart w:id="1109" w:name="_Toc241083208"/>
      <w:bookmarkStart w:id="1110" w:name="_Toc241670383"/>
      <w:bookmarkStart w:id="1111" w:name="_Toc241708091"/>
      <w:r w:rsidRPr="00BE4F47">
        <w:rPr>
          <w:rFonts w:ascii="Aptos" w:eastAsia="Calibri" w:hAnsi="Aptos" w:cs="Calibri"/>
          <w:color w:val="1A1A19"/>
          <w:sz w:val="20"/>
          <w:szCs w:val="20"/>
        </w:rPr>
        <w:lastRenderedPageBreak/>
        <w:t>[20</w:t>
      </w:r>
      <w:proofErr w:type="gramStart"/>
      <w:r w:rsidRPr="00BE4F47">
        <w:rPr>
          <w:rFonts w:ascii="Aptos" w:eastAsia="Calibri" w:hAnsi="Aptos" w:cs="Calibri"/>
          <w:color w:val="1A1A19"/>
          <w:sz w:val="20"/>
          <w:szCs w:val="20"/>
        </w:rPr>
        <w:t>]  Ordre</w:t>
      </w:r>
      <w:proofErr w:type="gramEnd"/>
      <w:r w:rsidRPr="00BE4F47">
        <w:rPr>
          <w:rFonts w:ascii="Aptos" w:eastAsia="Calibri" w:hAnsi="Aptos" w:cs="Calibri"/>
          <w:color w:val="1A1A19"/>
          <w:sz w:val="20"/>
          <w:szCs w:val="20"/>
        </w:rPr>
        <w:t xml:space="preserve"> des ingénieurs du Québec, « Lois et règlements entourant la pratique du génie ».  </w:t>
      </w:r>
      <w:hyperlink r:id="rId29">
        <w:r w:rsidR="00F50D70" w:rsidRPr="00BE4F47">
          <w:rPr>
            <w:rFonts w:ascii="Aptos" w:hAnsi="Aptos"/>
            <w:color w:val="1155CC"/>
            <w:sz w:val="18"/>
            <w:u w:val="single"/>
          </w:rPr>
          <w:t>https://www.oiq.qc.ca/lordre/politiques-lois-et-reglements/lois-et-reglements-entourant-la-pratique-du-genie/</w:t>
        </w:r>
        <w:bookmarkEnd w:id="1109"/>
        <w:bookmarkEnd w:id="1110"/>
        <w:bookmarkEnd w:id="1111"/>
      </w:hyperlink>
    </w:p>
    <w:p w14:paraId="5F6990C0" w14:textId="77777777" w:rsidR="00F50D70" w:rsidRPr="00BE4F47" w:rsidRDefault="00137D7F" w:rsidP="008E113B">
      <w:pPr>
        <w:spacing w:after="80" w:line="360" w:lineRule="auto"/>
        <w:ind w:left="480" w:hanging="480"/>
        <w:jc w:val="left"/>
        <w:rPr>
          <w:rFonts w:ascii="Aptos" w:hAnsi="Aptos"/>
        </w:rPr>
      </w:pPr>
      <w:bookmarkStart w:id="1112" w:name="_Toc241083209"/>
      <w:bookmarkStart w:id="1113" w:name="_Toc241670384"/>
      <w:bookmarkStart w:id="1114" w:name="_Toc241708092"/>
      <w:r w:rsidRPr="00BE4F47">
        <w:rPr>
          <w:rFonts w:ascii="Aptos" w:eastAsia="Calibri" w:hAnsi="Aptos" w:cs="Calibri"/>
          <w:color w:val="1A1A19"/>
          <w:sz w:val="20"/>
          <w:szCs w:val="20"/>
        </w:rPr>
        <w:t>[21</w:t>
      </w:r>
      <w:proofErr w:type="gramStart"/>
      <w:r w:rsidRPr="00BE4F47">
        <w:rPr>
          <w:rFonts w:ascii="Aptos" w:eastAsia="Calibri" w:hAnsi="Aptos" w:cs="Calibri"/>
          <w:color w:val="1A1A19"/>
          <w:sz w:val="20"/>
          <w:szCs w:val="20"/>
        </w:rPr>
        <w:t>]  Canada</w:t>
      </w:r>
      <w:proofErr w:type="gramEnd"/>
      <w:r w:rsidRPr="00BE4F47">
        <w:rPr>
          <w:rFonts w:ascii="Aptos" w:eastAsia="Calibri" w:hAnsi="Aptos" w:cs="Calibri"/>
          <w:color w:val="1A1A19"/>
          <w:sz w:val="20"/>
          <w:szCs w:val="20"/>
        </w:rPr>
        <w:t xml:space="preserve">, Loi sur la sûreté et la réglementation nucléaires, L.C. 1997, ch. 9.  </w:t>
      </w:r>
      <w:hyperlink r:id="rId30">
        <w:r w:rsidR="00F50D70" w:rsidRPr="00BE4F47">
          <w:rPr>
            <w:rFonts w:ascii="Aptos" w:hAnsi="Aptos"/>
            <w:color w:val="1155CC"/>
            <w:sz w:val="18"/>
            <w:u w:val="single"/>
          </w:rPr>
          <w:t>https://laws-lois.justice.gc.ca/fra/lois/N-28.3/index.html</w:t>
        </w:r>
        <w:bookmarkEnd w:id="1112"/>
        <w:bookmarkEnd w:id="1113"/>
        <w:bookmarkEnd w:id="1114"/>
      </w:hyperlink>
    </w:p>
    <w:p w14:paraId="6FE2FDD3" w14:textId="77777777" w:rsidR="00F50D70" w:rsidRPr="00BE4F47" w:rsidRDefault="00137D7F" w:rsidP="008E113B">
      <w:pPr>
        <w:spacing w:after="80" w:line="360" w:lineRule="auto"/>
        <w:ind w:left="480" w:hanging="480"/>
        <w:jc w:val="left"/>
        <w:rPr>
          <w:rFonts w:ascii="Aptos" w:hAnsi="Aptos"/>
        </w:rPr>
      </w:pPr>
      <w:bookmarkStart w:id="1115" w:name="_Toc241083210"/>
      <w:bookmarkStart w:id="1116" w:name="_Toc241670385"/>
      <w:bookmarkStart w:id="1117" w:name="_Toc241708093"/>
      <w:r w:rsidRPr="00BE4F47">
        <w:rPr>
          <w:rFonts w:ascii="Aptos" w:eastAsia="Calibri" w:hAnsi="Aptos" w:cs="Calibri"/>
          <w:color w:val="1A1A19"/>
          <w:sz w:val="20"/>
          <w:szCs w:val="20"/>
        </w:rPr>
        <w:t>[22</w:t>
      </w:r>
      <w:proofErr w:type="gramStart"/>
      <w:r w:rsidRPr="00BE4F47">
        <w:rPr>
          <w:rFonts w:ascii="Aptos" w:eastAsia="Calibri" w:hAnsi="Aptos" w:cs="Calibri"/>
          <w:color w:val="1A1A19"/>
          <w:sz w:val="20"/>
          <w:szCs w:val="20"/>
        </w:rPr>
        <w:t>]  Canada</w:t>
      </w:r>
      <w:proofErr w:type="gramEnd"/>
      <w:r w:rsidRPr="00BE4F47">
        <w:rPr>
          <w:rFonts w:ascii="Aptos" w:eastAsia="Calibri" w:hAnsi="Aptos" w:cs="Calibri"/>
          <w:color w:val="1A1A19"/>
          <w:sz w:val="20"/>
          <w:szCs w:val="20"/>
        </w:rPr>
        <w:t xml:space="preserve">, Règlement général sur la sûreté et la réglementation nucléaires, DORS/2000-202.  </w:t>
      </w:r>
      <w:hyperlink r:id="rId31">
        <w:r w:rsidR="00F50D70" w:rsidRPr="00BE4F47">
          <w:rPr>
            <w:rFonts w:ascii="Aptos" w:hAnsi="Aptos"/>
            <w:color w:val="1155CC"/>
            <w:sz w:val="18"/>
            <w:u w:val="single"/>
          </w:rPr>
          <w:t>https://laws-lois.justice.gc.ca/fra/reglements/DORS-2000-202/index.html</w:t>
        </w:r>
        <w:bookmarkEnd w:id="1115"/>
        <w:bookmarkEnd w:id="1116"/>
        <w:bookmarkEnd w:id="1117"/>
      </w:hyperlink>
    </w:p>
    <w:p w14:paraId="72306CF4" w14:textId="77777777" w:rsidR="00F50D70" w:rsidRPr="00BE4F47" w:rsidRDefault="00137D7F" w:rsidP="008E113B">
      <w:pPr>
        <w:spacing w:after="80" w:line="360" w:lineRule="auto"/>
        <w:ind w:left="480" w:hanging="480"/>
        <w:jc w:val="left"/>
        <w:rPr>
          <w:rFonts w:ascii="Aptos" w:hAnsi="Aptos"/>
        </w:rPr>
      </w:pPr>
      <w:bookmarkStart w:id="1118" w:name="_Toc241083211"/>
      <w:bookmarkStart w:id="1119" w:name="_Toc241670386"/>
      <w:bookmarkStart w:id="1120" w:name="_Toc241708094"/>
      <w:r w:rsidRPr="00BE4F47">
        <w:rPr>
          <w:rFonts w:ascii="Aptos" w:eastAsia="Calibri" w:hAnsi="Aptos" w:cs="Calibri"/>
          <w:color w:val="1A1A19"/>
          <w:sz w:val="20"/>
          <w:szCs w:val="20"/>
        </w:rPr>
        <w:t>[23</w:t>
      </w:r>
      <w:proofErr w:type="gramStart"/>
      <w:r w:rsidRPr="00BE4F47">
        <w:rPr>
          <w:rFonts w:ascii="Aptos" w:eastAsia="Calibri" w:hAnsi="Aptos" w:cs="Calibri"/>
          <w:color w:val="1A1A19"/>
          <w:sz w:val="20"/>
          <w:szCs w:val="20"/>
        </w:rPr>
        <w:t>]  Canada</w:t>
      </w:r>
      <w:proofErr w:type="gramEnd"/>
      <w:r w:rsidRPr="00BE4F47">
        <w:rPr>
          <w:rFonts w:ascii="Aptos" w:eastAsia="Calibri" w:hAnsi="Aptos" w:cs="Calibri"/>
          <w:color w:val="1A1A19"/>
          <w:sz w:val="20"/>
          <w:szCs w:val="20"/>
        </w:rPr>
        <w:t xml:space="preserve">, Règlement sur les installations nucléaires de catégorie I, DORS/2000-204.  </w:t>
      </w:r>
      <w:hyperlink r:id="rId32">
        <w:r w:rsidR="00F50D70" w:rsidRPr="00BE4F47">
          <w:rPr>
            <w:rFonts w:ascii="Aptos" w:hAnsi="Aptos"/>
            <w:color w:val="1155CC"/>
            <w:sz w:val="18"/>
            <w:u w:val="single"/>
          </w:rPr>
          <w:t>https://laws-lois.justice.gc.ca/fra/reglements/DORS-2000-204/index.html</w:t>
        </w:r>
        <w:bookmarkEnd w:id="1118"/>
        <w:bookmarkEnd w:id="1119"/>
        <w:bookmarkEnd w:id="1120"/>
      </w:hyperlink>
    </w:p>
    <w:p w14:paraId="46D0BCA9" w14:textId="77777777" w:rsidR="00F50D70" w:rsidRPr="00BE4F47" w:rsidRDefault="00137D7F" w:rsidP="008E113B">
      <w:pPr>
        <w:spacing w:after="80" w:line="360" w:lineRule="auto"/>
        <w:ind w:left="480" w:hanging="480"/>
        <w:jc w:val="left"/>
        <w:rPr>
          <w:rFonts w:ascii="Aptos" w:hAnsi="Aptos"/>
        </w:rPr>
      </w:pPr>
      <w:bookmarkStart w:id="1121" w:name="_Toc241083212"/>
      <w:bookmarkStart w:id="1122" w:name="_Toc241670387"/>
      <w:bookmarkStart w:id="1123" w:name="_Toc241708095"/>
      <w:r w:rsidRPr="00BE4F47">
        <w:rPr>
          <w:rFonts w:ascii="Aptos" w:eastAsia="Calibri" w:hAnsi="Aptos" w:cs="Calibri"/>
          <w:color w:val="1A1A19"/>
          <w:sz w:val="20"/>
          <w:szCs w:val="20"/>
          <w:lang w:val="en-CA"/>
        </w:rPr>
        <w:t>[24</w:t>
      </w:r>
      <w:proofErr w:type="gramStart"/>
      <w:r w:rsidRPr="00BE4F47">
        <w:rPr>
          <w:rFonts w:ascii="Aptos" w:eastAsia="Calibri" w:hAnsi="Aptos" w:cs="Calibri"/>
          <w:color w:val="1A1A19"/>
          <w:sz w:val="20"/>
          <w:szCs w:val="20"/>
          <w:lang w:val="en-CA"/>
        </w:rPr>
        <w:t>]  CSA</w:t>
      </w:r>
      <w:proofErr w:type="gramEnd"/>
      <w:r w:rsidRPr="00BE4F47">
        <w:rPr>
          <w:rFonts w:ascii="Aptos" w:eastAsia="Calibri" w:hAnsi="Aptos" w:cs="Calibri"/>
          <w:color w:val="1A1A19"/>
          <w:sz w:val="20"/>
          <w:szCs w:val="20"/>
          <w:lang w:val="en-CA"/>
        </w:rPr>
        <w:t xml:space="preserve"> N290.7:21, Cyber security for nuclear facilities, Groupe CSA, Toronto, 2021</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"https://www.csagroup.org/store/product/2428461/" \h</w:instrText>
      </w:r>
      <w:r w:rsidR="00F50D70">
        <w:fldChar w:fldCharType="separate"/>
      </w:r>
      <w:r w:rsidR="00F50D70" w:rsidRPr="00BE4F47">
        <w:rPr>
          <w:rFonts w:ascii="Aptos" w:hAnsi="Aptos"/>
          <w:color w:val="1155CC"/>
          <w:sz w:val="18"/>
          <w:u w:val="single"/>
        </w:rPr>
        <w:t>https://www.csagroup.org/store/product/2428461/</w:t>
      </w:r>
      <w:bookmarkEnd w:id="1121"/>
      <w:bookmarkEnd w:id="1122"/>
      <w:bookmarkEnd w:id="1123"/>
      <w:r w:rsidR="00F50D70">
        <w:fldChar w:fldCharType="end"/>
      </w:r>
    </w:p>
    <w:p w14:paraId="2EF798C2" w14:textId="77777777" w:rsidR="00F50D70" w:rsidRPr="00BE4F47" w:rsidRDefault="00137D7F" w:rsidP="008E113B">
      <w:pPr>
        <w:spacing w:after="80" w:line="360" w:lineRule="auto"/>
        <w:ind w:left="480" w:hanging="480"/>
        <w:jc w:val="left"/>
        <w:rPr>
          <w:rFonts w:ascii="Aptos" w:hAnsi="Aptos"/>
        </w:rPr>
      </w:pPr>
      <w:bookmarkStart w:id="1124" w:name="_Toc241083190"/>
      <w:bookmarkStart w:id="1125" w:name="_Toc241670388"/>
      <w:bookmarkStart w:id="1126" w:name="_Toc241708096"/>
      <w:r w:rsidRPr="00BE4F47">
        <w:rPr>
          <w:rFonts w:ascii="Aptos" w:eastAsia="Calibri" w:hAnsi="Aptos" w:cs="Calibri"/>
          <w:color w:val="1A1A19"/>
          <w:sz w:val="20"/>
          <w:szCs w:val="20"/>
        </w:rPr>
        <w:t>[25</w:t>
      </w:r>
      <w:proofErr w:type="gramStart"/>
      <w:r w:rsidRPr="00BE4F47">
        <w:rPr>
          <w:rFonts w:ascii="Aptos" w:eastAsia="Calibri" w:hAnsi="Aptos" w:cs="Calibri"/>
          <w:color w:val="1A1A19"/>
          <w:sz w:val="20"/>
          <w:szCs w:val="20"/>
        </w:rPr>
        <w:t>]  Commission</w:t>
      </w:r>
      <w:proofErr w:type="gramEnd"/>
      <w:r w:rsidRPr="00BE4F47">
        <w:rPr>
          <w:rFonts w:ascii="Aptos" w:eastAsia="Calibri" w:hAnsi="Aptos" w:cs="Calibri"/>
          <w:color w:val="1A1A19"/>
          <w:sz w:val="20"/>
          <w:szCs w:val="20"/>
        </w:rPr>
        <w:t xml:space="preserve"> canadienne de sûreté nucléaire, REGDOC-2.5.2, Conception d’installations dotées de réacteurs : centrales nucléaires, version 2.1.  </w:t>
      </w:r>
      <w:hyperlink r:id="rId33">
        <w:r w:rsidR="00F50D70" w:rsidRPr="00BE4F47">
          <w:rPr>
            <w:rFonts w:ascii="Aptos" w:hAnsi="Aptos"/>
            <w:color w:val="1155CC"/>
            <w:sz w:val="18"/>
            <w:u w:val="single"/>
          </w:rPr>
          <w:t>https://www.cnsc-ccsn.gc.ca/fra/acts-and-regulations/regulatory-documents/published/html/regdoc2-5-2-v2-1/</w:t>
        </w:r>
        <w:bookmarkEnd w:id="1124"/>
        <w:bookmarkEnd w:id="1125"/>
        <w:bookmarkEnd w:id="1126"/>
      </w:hyperlink>
    </w:p>
    <w:p w14:paraId="50E26826" w14:textId="77777777" w:rsidR="00F50D70" w:rsidRPr="00BE4F47" w:rsidRDefault="00137D7F" w:rsidP="008E113B">
      <w:pPr>
        <w:spacing w:after="80" w:line="360" w:lineRule="auto"/>
        <w:ind w:left="480" w:hanging="480"/>
        <w:jc w:val="left"/>
        <w:rPr>
          <w:rFonts w:ascii="Aptos" w:hAnsi="Aptos"/>
        </w:rPr>
      </w:pPr>
      <w:bookmarkStart w:id="1127" w:name="_Toc241083213"/>
      <w:bookmarkStart w:id="1128" w:name="_Toc241670389"/>
      <w:bookmarkStart w:id="1129" w:name="_Toc241708097"/>
      <w:r w:rsidRPr="00BE4F47">
        <w:rPr>
          <w:rFonts w:ascii="Aptos" w:eastAsia="Calibri" w:hAnsi="Aptos" w:cs="Calibri"/>
          <w:color w:val="1A1A19"/>
          <w:sz w:val="20"/>
          <w:szCs w:val="20"/>
        </w:rPr>
        <w:t>[26</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/IEC/IEEE 15288:2023, Ingénierie des systèmes et du logiciel, Processus du cycle de vie du système.  </w:t>
      </w:r>
      <w:hyperlink r:id="rId34">
        <w:r w:rsidR="00F50D70" w:rsidRPr="00BE4F47">
          <w:rPr>
            <w:rFonts w:ascii="Aptos" w:hAnsi="Aptos"/>
            <w:color w:val="1155CC"/>
            <w:sz w:val="18"/>
            <w:u w:val="single"/>
          </w:rPr>
          <w:t>https://www.iso.org/fr/standard/81702.html</w:t>
        </w:r>
        <w:bookmarkEnd w:id="1127"/>
        <w:bookmarkEnd w:id="1128"/>
        <w:bookmarkEnd w:id="1129"/>
      </w:hyperlink>
    </w:p>
    <w:p w14:paraId="18C261F5" w14:textId="77777777" w:rsidR="00F50D70" w:rsidRPr="00BE4F47" w:rsidRDefault="00137D7F" w:rsidP="008E113B">
      <w:pPr>
        <w:spacing w:after="80" w:line="360" w:lineRule="auto"/>
        <w:ind w:left="480" w:hanging="480"/>
        <w:jc w:val="left"/>
        <w:rPr>
          <w:rFonts w:ascii="Aptos" w:hAnsi="Aptos"/>
        </w:rPr>
      </w:pPr>
      <w:bookmarkStart w:id="1130" w:name="_Toc241083214"/>
      <w:bookmarkStart w:id="1131" w:name="_Toc241670390"/>
      <w:bookmarkStart w:id="1132" w:name="_Toc241708098"/>
      <w:r w:rsidRPr="00BE4F47">
        <w:rPr>
          <w:rFonts w:ascii="Aptos" w:eastAsia="Calibri" w:hAnsi="Aptos" w:cs="Calibri"/>
          <w:color w:val="1A1A19"/>
          <w:sz w:val="20"/>
          <w:szCs w:val="20"/>
        </w:rPr>
        <w:t>[27</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 23247-1:2021, Systèmes d’automatisation et intégration, Cadre technique de jumeau numérique dans un contexte de fabrication, Partie 1 : Vue d’ensemble et principes généraux.  </w:t>
      </w:r>
      <w:hyperlink r:id="rId35">
        <w:r w:rsidR="00F50D70" w:rsidRPr="00BE4F47">
          <w:rPr>
            <w:rFonts w:ascii="Aptos" w:hAnsi="Aptos"/>
            <w:color w:val="1155CC"/>
            <w:sz w:val="18"/>
            <w:u w:val="single"/>
          </w:rPr>
          <w:t>https://www.iso.org/fr/standard/75066.html</w:t>
        </w:r>
        <w:bookmarkEnd w:id="1130"/>
        <w:bookmarkEnd w:id="1131"/>
        <w:bookmarkEnd w:id="1132"/>
      </w:hyperlink>
    </w:p>
    <w:p w14:paraId="66863B26" w14:textId="77777777" w:rsidR="00F50D70" w:rsidRPr="00DE097D" w:rsidRDefault="00137D7F" w:rsidP="008E113B">
      <w:pPr>
        <w:spacing w:after="80" w:line="360" w:lineRule="auto"/>
        <w:ind w:left="480" w:hanging="480"/>
        <w:jc w:val="left"/>
        <w:rPr>
          <w:rFonts w:ascii="Aptos" w:hAnsi="Aptos"/>
          <w:lang w:val="fr-FR"/>
        </w:rPr>
      </w:pPr>
      <w:bookmarkStart w:id="1133" w:name="_Toc241083232"/>
      <w:bookmarkStart w:id="1134" w:name="_Toc241670409"/>
      <w:bookmarkStart w:id="1135" w:name="_Toc241708099"/>
      <w:r w:rsidRPr="00BE4F47">
        <w:rPr>
          <w:rFonts w:ascii="Aptos" w:eastAsia="Calibri" w:hAnsi="Aptos" w:cs="Calibri"/>
          <w:color w:val="1A1A19"/>
          <w:sz w:val="20"/>
          <w:szCs w:val="20"/>
        </w:rPr>
        <w:t>[28</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 23247-2:2021, Systèmes d’automatisation et intégration, Cadre technique de jumeau numérique dans un contexte de fabrication, Partie 2 : Architecture de référence.  </w:t>
      </w:r>
      <w:hyperlink r:id="rId36">
        <w:r w:rsidR="00F50D70" w:rsidRPr="00DE097D">
          <w:rPr>
            <w:rFonts w:ascii="Aptos" w:hAnsi="Aptos"/>
            <w:color w:val="1155CC"/>
            <w:sz w:val="18"/>
            <w:u w:val="single"/>
            <w:lang w:val="fr-FR"/>
          </w:rPr>
          <w:t>https://www.iso.org/fr/standard/78743.html</w:t>
        </w:r>
        <w:bookmarkEnd w:id="1133"/>
        <w:bookmarkEnd w:id="1134"/>
        <w:bookmarkEnd w:id="1135"/>
      </w:hyperlink>
    </w:p>
    <w:p w14:paraId="7434B9E9" w14:textId="77777777" w:rsidR="00F50D70" w:rsidRPr="00BE4F47" w:rsidRDefault="00137D7F" w:rsidP="008E113B">
      <w:pPr>
        <w:spacing w:after="80" w:line="360" w:lineRule="auto"/>
        <w:ind w:left="480" w:hanging="480"/>
        <w:jc w:val="left"/>
        <w:rPr>
          <w:rFonts w:ascii="Aptos" w:hAnsi="Aptos"/>
        </w:rPr>
      </w:pPr>
      <w:bookmarkStart w:id="1136" w:name="_Toc241083215"/>
      <w:bookmarkStart w:id="1137" w:name="_Toc241670391"/>
      <w:bookmarkStart w:id="1138" w:name="_Toc241708100"/>
      <w:r w:rsidRPr="00BE4F47">
        <w:rPr>
          <w:rFonts w:ascii="Aptos" w:eastAsia="Calibri" w:hAnsi="Aptos" w:cs="Calibri"/>
          <w:color w:val="1A1A19"/>
          <w:sz w:val="20"/>
          <w:szCs w:val="20"/>
        </w:rPr>
        <w:t>[29</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/IEC 25010:2023, Ingénierie des systèmes et du logiciel, Exigences de qualité et évaluation (SQuaRE), Modèle de qualité du produit.  </w:t>
      </w:r>
      <w:hyperlink r:id="rId37">
        <w:r w:rsidR="00F50D70" w:rsidRPr="00BE4F47">
          <w:rPr>
            <w:rFonts w:ascii="Aptos" w:hAnsi="Aptos"/>
            <w:color w:val="1155CC"/>
            <w:sz w:val="18"/>
            <w:u w:val="single"/>
          </w:rPr>
          <w:t>https://www.iso.org/fr/standard/78176.html</w:t>
        </w:r>
        <w:bookmarkEnd w:id="1136"/>
        <w:bookmarkEnd w:id="1137"/>
        <w:bookmarkEnd w:id="1138"/>
      </w:hyperlink>
    </w:p>
    <w:p w14:paraId="25CD0B8B" w14:textId="77777777" w:rsidR="00F50D70" w:rsidRPr="00BE4F47" w:rsidRDefault="00137D7F" w:rsidP="008E113B">
      <w:pPr>
        <w:spacing w:after="80" w:line="360" w:lineRule="auto"/>
        <w:ind w:left="480" w:hanging="480"/>
        <w:jc w:val="left"/>
        <w:rPr>
          <w:rFonts w:ascii="Aptos" w:hAnsi="Aptos"/>
          <w:lang w:val="en-CA"/>
        </w:rPr>
      </w:pPr>
      <w:bookmarkStart w:id="1139" w:name="_Toc241083216"/>
      <w:bookmarkStart w:id="1140" w:name="_Toc241670392"/>
      <w:bookmarkStart w:id="1141" w:name="_Toc241708101"/>
      <w:r w:rsidRPr="00BE4F47">
        <w:rPr>
          <w:rFonts w:ascii="Aptos" w:eastAsia="Calibri" w:hAnsi="Aptos" w:cs="Calibri"/>
          <w:color w:val="1A1A19"/>
          <w:sz w:val="20"/>
          <w:szCs w:val="20"/>
        </w:rPr>
        <w:t>[30</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 31000:2018, Management du risque, Lignes directrices, Organisation internationale de normalisation, Genève, 2018.  </w:t>
      </w:r>
      <w:hyperlink r:id="rId38">
        <w:r w:rsidR="00F50D70" w:rsidRPr="00BE4F47">
          <w:rPr>
            <w:rFonts w:ascii="Aptos" w:hAnsi="Aptos"/>
            <w:color w:val="1155CC"/>
            <w:sz w:val="18"/>
            <w:u w:val="single"/>
            <w:lang w:val="en-CA"/>
          </w:rPr>
          <w:t>https://www.iso.org/fr/standard/65694.html</w:t>
        </w:r>
        <w:bookmarkEnd w:id="1139"/>
        <w:bookmarkEnd w:id="1140"/>
        <w:bookmarkEnd w:id="1141"/>
      </w:hyperlink>
    </w:p>
    <w:p w14:paraId="46409C8D" w14:textId="77777777" w:rsidR="00F50D70" w:rsidRPr="00BE4F47" w:rsidRDefault="00137D7F" w:rsidP="008E113B">
      <w:pPr>
        <w:spacing w:after="80" w:line="360" w:lineRule="auto"/>
        <w:ind w:left="480" w:hanging="480"/>
        <w:jc w:val="left"/>
        <w:rPr>
          <w:rFonts w:ascii="Aptos" w:hAnsi="Aptos"/>
        </w:rPr>
      </w:pPr>
      <w:bookmarkStart w:id="1142" w:name="_Toc241083217"/>
      <w:bookmarkStart w:id="1143" w:name="_Toc241670393"/>
      <w:bookmarkStart w:id="1144" w:name="_Toc241708102"/>
      <w:r w:rsidRPr="00BE4F47">
        <w:rPr>
          <w:rFonts w:ascii="Aptos" w:eastAsia="Calibri" w:hAnsi="Aptos" w:cs="Calibri"/>
          <w:color w:val="1A1A19"/>
          <w:sz w:val="20"/>
          <w:szCs w:val="20"/>
          <w:lang w:val="en-CA"/>
        </w:rPr>
        <w:t>[31</w:t>
      </w:r>
      <w:proofErr w:type="gramStart"/>
      <w:r w:rsidRPr="00BE4F47">
        <w:rPr>
          <w:rFonts w:ascii="Aptos" w:eastAsia="Calibri" w:hAnsi="Aptos" w:cs="Calibri"/>
          <w:color w:val="1A1A19"/>
          <w:sz w:val="20"/>
          <w:szCs w:val="20"/>
          <w:lang w:val="en-CA"/>
        </w:rPr>
        <w:t>]  ASME</w:t>
      </w:r>
      <w:proofErr w:type="gramEnd"/>
      <w:r w:rsidRPr="00BE4F47">
        <w:rPr>
          <w:rFonts w:ascii="Aptos" w:eastAsia="Calibri" w:hAnsi="Aptos" w:cs="Calibri"/>
          <w:color w:val="1A1A19"/>
          <w:sz w:val="20"/>
          <w:szCs w:val="20"/>
          <w:lang w:val="en-CA"/>
        </w:rPr>
        <w:t xml:space="preserve"> V&amp;V 20-2009 (R2021), Standard for Verification and Validation in Computational Fluid Dynamics and Heat Transfer, American Society of Mechanical Engineers</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"https://www.asme.org/codes-standards/find-codes-standards/standard-for-verification-and-validation-in-computational-fluid-dynamics-and-heat-transfer" \h</w:instrText>
      </w:r>
      <w:r w:rsidR="00F50D70">
        <w:fldChar w:fldCharType="separate"/>
      </w:r>
      <w:r w:rsidR="00F50D70" w:rsidRPr="00BE4F47">
        <w:rPr>
          <w:rFonts w:ascii="Aptos" w:hAnsi="Aptos"/>
          <w:color w:val="1155CC"/>
          <w:sz w:val="18"/>
          <w:u w:val="single"/>
        </w:rPr>
        <w:t>https://www.asme.org/codes-standards/find-codes-standards/standard-for-verification-and-validation-in-computational-fluid-dynamics-and-heat-transfer</w:t>
      </w:r>
      <w:bookmarkEnd w:id="1142"/>
      <w:bookmarkEnd w:id="1143"/>
      <w:bookmarkEnd w:id="1144"/>
      <w:r w:rsidR="00F50D70">
        <w:fldChar w:fldCharType="end"/>
      </w:r>
    </w:p>
    <w:p w14:paraId="37C2AAE2" w14:textId="77777777" w:rsidR="00F50D70" w:rsidRPr="00BE4F47" w:rsidRDefault="00137D7F" w:rsidP="008E113B">
      <w:pPr>
        <w:spacing w:after="80" w:line="360" w:lineRule="auto"/>
        <w:ind w:left="480" w:hanging="480"/>
        <w:jc w:val="left"/>
        <w:rPr>
          <w:rFonts w:ascii="Aptos" w:hAnsi="Aptos"/>
        </w:rPr>
      </w:pPr>
      <w:bookmarkStart w:id="1145" w:name="_Toc241083218"/>
      <w:bookmarkStart w:id="1146" w:name="_Toc241670394"/>
      <w:bookmarkStart w:id="1147" w:name="_Toc241708103"/>
      <w:r w:rsidRPr="00BE4F47">
        <w:rPr>
          <w:rFonts w:ascii="Aptos" w:eastAsia="Calibri" w:hAnsi="Aptos" w:cs="Calibri"/>
          <w:color w:val="1A1A19"/>
          <w:sz w:val="20"/>
          <w:szCs w:val="20"/>
          <w:lang w:val="en-CA"/>
        </w:rPr>
        <w:t>[32</w:t>
      </w:r>
      <w:proofErr w:type="gramStart"/>
      <w:r w:rsidRPr="00BE4F47">
        <w:rPr>
          <w:rFonts w:ascii="Aptos" w:eastAsia="Calibri" w:hAnsi="Aptos" w:cs="Calibri"/>
          <w:color w:val="1A1A19"/>
          <w:sz w:val="20"/>
          <w:szCs w:val="20"/>
          <w:lang w:val="en-CA"/>
        </w:rPr>
        <w:t>]  IEEE</w:t>
      </w:r>
      <w:proofErr w:type="gramEnd"/>
      <w:r w:rsidRPr="00BE4F47">
        <w:rPr>
          <w:rFonts w:ascii="Aptos" w:eastAsia="Calibri" w:hAnsi="Aptos" w:cs="Calibri"/>
          <w:color w:val="1A1A19"/>
          <w:sz w:val="20"/>
          <w:szCs w:val="20"/>
          <w:lang w:val="en-CA"/>
        </w:rPr>
        <w:t xml:space="preserve"> 1012-2024, IEEE Standard for System, Software, and Hardware Verification and Validation</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"https://standards.ieee.org/ieee/1012/7324" \h</w:instrText>
      </w:r>
      <w:r w:rsidR="00F50D70">
        <w:fldChar w:fldCharType="separate"/>
      </w:r>
      <w:r w:rsidR="00F50D70" w:rsidRPr="00BE4F47">
        <w:rPr>
          <w:rFonts w:ascii="Aptos" w:hAnsi="Aptos"/>
          <w:color w:val="1155CC"/>
          <w:sz w:val="18"/>
          <w:u w:val="single"/>
        </w:rPr>
        <w:t>https://standards.ieee.org/ieee/1012/7324</w:t>
      </w:r>
      <w:bookmarkEnd w:id="1145"/>
      <w:bookmarkEnd w:id="1146"/>
      <w:bookmarkEnd w:id="1147"/>
      <w:r w:rsidR="00F50D70">
        <w:fldChar w:fldCharType="end"/>
      </w:r>
    </w:p>
    <w:p w14:paraId="42227BE4" w14:textId="77777777" w:rsidR="00F50D70" w:rsidRPr="00BE4F47" w:rsidRDefault="00137D7F" w:rsidP="008E113B">
      <w:pPr>
        <w:spacing w:after="80" w:line="360" w:lineRule="auto"/>
        <w:ind w:left="480" w:hanging="480"/>
        <w:jc w:val="left"/>
        <w:rPr>
          <w:rFonts w:ascii="Aptos" w:hAnsi="Aptos"/>
          <w:lang w:val="en-CA"/>
        </w:rPr>
      </w:pPr>
      <w:bookmarkStart w:id="1148" w:name="_Toc241083219"/>
      <w:bookmarkStart w:id="1149" w:name="_Toc241670395"/>
      <w:bookmarkStart w:id="1150" w:name="_Toc241708104"/>
      <w:r w:rsidRPr="00BE4F47">
        <w:rPr>
          <w:rFonts w:ascii="Aptos" w:eastAsia="Calibri" w:hAnsi="Aptos" w:cs="Calibri"/>
          <w:color w:val="1A1A19"/>
          <w:sz w:val="20"/>
          <w:szCs w:val="20"/>
        </w:rPr>
        <w:t>[33</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 9241-210:2019, Ergonomie de l’interaction homme-système, Partie 210 : Conception centrée sur l’opérateur humain pour les systèmes interactifs.  </w:t>
      </w:r>
      <w:hyperlink r:id="rId39">
        <w:r w:rsidR="00F50D70" w:rsidRPr="00BE4F47">
          <w:rPr>
            <w:rFonts w:ascii="Aptos" w:hAnsi="Aptos"/>
            <w:color w:val="1155CC"/>
            <w:sz w:val="18"/>
            <w:u w:val="single"/>
            <w:lang w:val="en-CA"/>
          </w:rPr>
          <w:t>https://www.iso.org/fr/standard/77520.html</w:t>
        </w:r>
        <w:bookmarkEnd w:id="1148"/>
        <w:bookmarkEnd w:id="1149"/>
        <w:bookmarkEnd w:id="1150"/>
      </w:hyperlink>
    </w:p>
    <w:p w14:paraId="3FF7A0DC" w14:textId="77777777" w:rsidR="00F50D70" w:rsidRPr="00BE4F47" w:rsidRDefault="00137D7F" w:rsidP="008E113B">
      <w:pPr>
        <w:spacing w:after="80" w:line="360" w:lineRule="auto"/>
        <w:ind w:left="480" w:hanging="480"/>
        <w:jc w:val="left"/>
        <w:rPr>
          <w:rFonts w:ascii="Aptos" w:hAnsi="Aptos"/>
          <w:lang w:val="en-CA"/>
        </w:rPr>
      </w:pPr>
      <w:bookmarkStart w:id="1151" w:name="_Toc241083220"/>
      <w:bookmarkStart w:id="1152" w:name="_Toc241670396"/>
      <w:bookmarkStart w:id="1153" w:name="_Toc241708105"/>
      <w:r w:rsidRPr="00BE4F47">
        <w:rPr>
          <w:rFonts w:ascii="Aptos" w:eastAsia="Calibri" w:hAnsi="Aptos" w:cs="Calibri"/>
          <w:color w:val="1A1A19"/>
          <w:sz w:val="20"/>
          <w:szCs w:val="20"/>
          <w:lang w:val="en-CA"/>
        </w:rPr>
        <w:t>[34</w:t>
      </w:r>
      <w:proofErr w:type="gramStart"/>
      <w:r w:rsidRPr="00BE4F47">
        <w:rPr>
          <w:rFonts w:ascii="Aptos" w:eastAsia="Calibri" w:hAnsi="Aptos" w:cs="Calibri"/>
          <w:color w:val="1A1A19"/>
          <w:sz w:val="20"/>
          <w:szCs w:val="20"/>
          <w:lang w:val="en-CA"/>
        </w:rPr>
        <w:t>]  IEC</w:t>
      </w:r>
      <w:proofErr w:type="gramEnd"/>
      <w:r w:rsidRPr="00BE4F47">
        <w:rPr>
          <w:rFonts w:ascii="Aptos" w:eastAsia="Calibri" w:hAnsi="Aptos" w:cs="Calibri"/>
          <w:color w:val="1A1A19"/>
          <w:sz w:val="20"/>
          <w:szCs w:val="20"/>
          <w:lang w:val="en-CA"/>
        </w:rPr>
        <w:t xml:space="preserve"> 62645:2019, Nuclear power plants, Instrumentation, control and electrical power systems, Cybersecurity requirements</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"https://webstore.iec.ch/en/publication/32904" \h</w:instrText>
      </w:r>
      <w:r w:rsidR="00F50D70">
        <w:fldChar w:fldCharType="separate"/>
      </w:r>
      <w:r w:rsidR="00F50D70" w:rsidRPr="00BE4F47">
        <w:rPr>
          <w:rFonts w:ascii="Aptos" w:hAnsi="Aptos"/>
          <w:color w:val="1155CC"/>
          <w:sz w:val="18"/>
          <w:u w:val="single"/>
          <w:lang w:val="en-CA"/>
        </w:rPr>
        <w:t>https://webstore.iec.ch/en/publication/32904</w:t>
      </w:r>
      <w:bookmarkEnd w:id="1151"/>
      <w:bookmarkEnd w:id="1152"/>
      <w:bookmarkEnd w:id="1153"/>
      <w:r w:rsidR="00F50D70">
        <w:fldChar w:fldCharType="end"/>
      </w:r>
    </w:p>
    <w:p w14:paraId="19E2F942" w14:textId="77777777" w:rsidR="00F50D70" w:rsidRPr="00BE4F47" w:rsidRDefault="00137D7F" w:rsidP="008E113B">
      <w:pPr>
        <w:spacing w:after="80" w:line="360" w:lineRule="auto"/>
        <w:ind w:left="480" w:hanging="480"/>
        <w:jc w:val="left"/>
        <w:rPr>
          <w:rFonts w:ascii="Aptos" w:hAnsi="Aptos"/>
          <w:lang w:val="en-CA"/>
        </w:rPr>
      </w:pPr>
      <w:bookmarkStart w:id="1154" w:name="_Toc241083221"/>
      <w:bookmarkStart w:id="1155" w:name="_Toc241670397"/>
      <w:bookmarkStart w:id="1156" w:name="_Toc241708106"/>
      <w:r w:rsidRPr="00BE4F47">
        <w:rPr>
          <w:rFonts w:ascii="Aptos" w:eastAsia="Calibri" w:hAnsi="Aptos" w:cs="Calibri"/>
          <w:color w:val="1A1A19"/>
          <w:sz w:val="20"/>
          <w:szCs w:val="20"/>
          <w:lang w:val="en-CA"/>
        </w:rPr>
        <w:lastRenderedPageBreak/>
        <w:t>[35</w:t>
      </w:r>
      <w:proofErr w:type="gramStart"/>
      <w:r w:rsidRPr="00BE4F47">
        <w:rPr>
          <w:rFonts w:ascii="Aptos" w:eastAsia="Calibri" w:hAnsi="Aptos" w:cs="Calibri"/>
          <w:color w:val="1A1A19"/>
          <w:sz w:val="20"/>
          <w:szCs w:val="20"/>
          <w:lang w:val="en-CA"/>
        </w:rPr>
        <w:t>]  IEC</w:t>
      </w:r>
      <w:proofErr w:type="gramEnd"/>
      <w:r w:rsidRPr="00BE4F47">
        <w:rPr>
          <w:rFonts w:ascii="Aptos" w:eastAsia="Calibri" w:hAnsi="Aptos" w:cs="Calibri"/>
          <w:color w:val="1A1A19"/>
          <w:sz w:val="20"/>
          <w:szCs w:val="20"/>
          <w:lang w:val="en-CA"/>
        </w:rPr>
        <w:t xml:space="preserve"> 63096:2020, Nuclear power plants, Instrumentation, control and electrical power systems, Security controls</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"https://webstore.iec.ch/en/publication/32900" \h</w:instrText>
      </w:r>
      <w:r w:rsidR="00F50D70">
        <w:fldChar w:fldCharType="separate"/>
      </w:r>
      <w:r w:rsidR="00F50D70" w:rsidRPr="00BE4F47">
        <w:rPr>
          <w:rFonts w:ascii="Aptos" w:hAnsi="Aptos"/>
          <w:color w:val="1155CC"/>
          <w:sz w:val="18"/>
          <w:u w:val="single"/>
          <w:lang w:val="en-CA"/>
        </w:rPr>
        <w:t>https://webstore.iec.ch/en/publication/32900</w:t>
      </w:r>
      <w:bookmarkEnd w:id="1154"/>
      <w:bookmarkEnd w:id="1155"/>
      <w:bookmarkEnd w:id="1156"/>
      <w:r w:rsidR="00F50D70">
        <w:fldChar w:fldCharType="end"/>
      </w:r>
    </w:p>
    <w:p w14:paraId="33810A95" w14:textId="77777777" w:rsidR="00F50D70" w:rsidRPr="00BE4F47" w:rsidRDefault="00137D7F" w:rsidP="008E113B">
      <w:pPr>
        <w:spacing w:after="80" w:line="360" w:lineRule="auto"/>
        <w:ind w:left="480" w:hanging="480"/>
        <w:jc w:val="left"/>
        <w:rPr>
          <w:rFonts w:ascii="Aptos" w:hAnsi="Aptos"/>
          <w:lang w:val="en-CA"/>
        </w:rPr>
      </w:pPr>
      <w:bookmarkStart w:id="1157" w:name="_Toc241083222"/>
      <w:bookmarkStart w:id="1158" w:name="_Toc241670398"/>
      <w:bookmarkStart w:id="1159" w:name="_Toc241708107"/>
      <w:r w:rsidRPr="00BE4F47">
        <w:rPr>
          <w:rFonts w:ascii="Aptos" w:eastAsia="Calibri" w:hAnsi="Aptos" w:cs="Calibri"/>
          <w:color w:val="1A1A19"/>
          <w:sz w:val="20"/>
          <w:szCs w:val="20"/>
          <w:lang w:val="en-CA"/>
        </w:rPr>
        <w:t>[36</w:t>
      </w:r>
      <w:proofErr w:type="gramStart"/>
      <w:r w:rsidRPr="00BE4F47">
        <w:rPr>
          <w:rFonts w:ascii="Aptos" w:eastAsia="Calibri" w:hAnsi="Aptos" w:cs="Calibri"/>
          <w:color w:val="1A1A19"/>
          <w:sz w:val="20"/>
          <w:szCs w:val="20"/>
          <w:lang w:val="en-CA"/>
        </w:rPr>
        <w:t>]  IEC</w:t>
      </w:r>
      <w:proofErr w:type="gramEnd"/>
      <w:r w:rsidRPr="00BE4F47">
        <w:rPr>
          <w:rFonts w:ascii="Aptos" w:eastAsia="Calibri" w:hAnsi="Aptos" w:cs="Calibri"/>
          <w:color w:val="1A1A19"/>
          <w:sz w:val="20"/>
          <w:szCs w:val="20"/>
          <w:lang w:val="en-CA"/>
        </w:rPr>
        <w:t xml:space="preserve"> 62859:2016 et son amendement A1:2019, Nuclear power plants, Instrumentation and control systems, Requirements for coordinating safety and cybersecurity</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"https://webstore.iec.ch/en/publication/26131" \h</w:instrText>
      </w:r>
      <w:r w:rsidR="00F50D70">
        <w:fldChar w:fldCharType="separate"/>
      </w:r>
      <w:r w:rsidR="00F50D70" w:rsidRPr="00BE4F47">
        <w:rPr>
          <w:rFonts w:ascii="Aptos" w:hAnsi="Aptos"/>
          <w:color w:val="1155CC"/>
          <w:sz w:val="18"/>
          <w:u w:val="single"/>
          <w:lang w:val="en-CA"/>
        </w:rPr>
        <w:t>https://webstore.iec.ch/en/publication/26131</w:t>
      </w:r>
      <w:bookmarkEnd w:id="1157"/>
      <w:bookmarkEnd w:id="1158"/>
      <w:bookmarkEnd w:id="1159"/>
      <w:r w:rsidR="00F50D70">
        <w:fldChar w:fldCharType="end"/>
      </w:r>
    </w:p>
    <w:p w14:paraId="787FB30B" w14:textId="77777777" w:rsidR="00F50D70" w:rsidRPr="00BE4F47" w:rsidRDefault="00137D7F" w:rsidP="008E113B">
      <w:pPr>
        <w:spacing w:after="80" w:line="360" w:lineRule="auto"/>
        <w:ind w:left="480" w:hanging="480"/>
        <w:jc w:val="left"/>
        <w:rPr>
          <w:rFonts w:ascii="Aptos" w:hAnsi="Aptos"/>
          <w:lang w:val="en-CA"/>
        </w:rPr>
      </w:pPr>
      <w:bookmarkStart w:id="1160" w:name="_Toc241083223"/>
      <w:bookmarkStart w:id="1161" w:name="_Toc241670399"/>
      <w:bookmarkStart w:id="1162" w:name="_Toc241708108"/>
      <w:r w:rsidRPr="00BE4F47">
        <w:rPr>
          <w:rFonts w:ascii="Aptos" w:eastAsia="Calibri" w:hAnsi="Aptos" w:cs="Calibri"/>
          <w:color w:val="1A1A19"/>
          <w:sz w:val="20"/>
          <w:szCs w:val="20"/>
          <w:lang w:val="en-CA"/>
        </w:rPr>
        <w:t>[37</w:t>
      </w:r>
      <w:proofErr w:type="gramStart"/>
      <w:r w:rsidRPr="00BE4F47">
        <w:rPr>
          <w:rFonts w:ascii="Aptos" w:eastAsia="Calibri" w:hAnsi="Aptos" w:cs="Calibri"/>
          <w:color w:val="1A1A19"/>
          <w:sz w:val="20"/>
          <w:szCs w:val="20"/>
          <w:lang w:val="en-CA"/>
        </w:rPr>
        <w:t>]  IEC</w:t>
      </w:r>
      <w:proofErr w:type="gramEnd"/>
      <w:r w:rsidRPr="00BE4F47">
        <w:rPr>
          <w:rFonts w:ascii="Aptos" w:eastAsia="Calibri" w:hAnsi="Aptos" w:cs="Calibri"/>
          <w:color w:val="1A1A19"/>
          <w:sz w:val="20"/>
          <w:szCs w:val="20"/>
          <w:lang w:val="en-CA"/>
        </w:rPr>
        <w:t xml:space="preserve"> 61513:2026 (éd. 3.0), Nuclear power plants, </w:t>
      </w:r>
      <w:proofErr w:type="gramStart"/>
      <w:r w:rsidRPr="00BE4F47">
        <w:rPr>
          <w:rFonts w:ascii="Aptos" w:eastAsia="Calibri" w:hAnsi="Aptos" w:cs="Calibri"/>
          <w:color w:val="1A1A19"/>
          <w:sz w:val="20"/>
          <w:szCs w:val="20"/>
          <w:lang w:val="en-CA"/>
        </w:rPr>
        <w:t>Instrumentation</w:t>
      </w:r>
      <w:proofErr w:type="gramEnd"/>
      <w:r w:rsidRPr="00BE4F47">
        <w:rPr>
          <w:rFonts w:ascii="Aptos" w:eastAsia="Calibri" w:hAnsi="Aptos" w:cs="Calibri"/>
          <w:color w:val="1A1A19"/>
          <w:sz w:val="20"/>
          <w:szCs w:val="20"/>
          <w:lang w:val="en-CA"/>
        </w:rPr>
        <w:t xml:space="preserve"> and control important to safety, General requirements for systems</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"https://webstore.iec.ch/en/publication/76309" \h</w:instrText>
      </w:r>
      <w:r w:rsidR="00F50D70">
        <w:fldChar w:fldCharType="separate"/>
      </w:r>
      <w:r w:rsidR="00F50D70" w:rsidRPr="00BE4F47">
        <w:rPr>
          <w:rFonts w:ascii="Aptos" w:hAnsi="Aptos"/>
          <w:color w:val="1155CC"/>
          <w:sz w:val="18"/>
          <w:u w:val="single"/>
          <w:lang w:val="en-CA"/>
        </w:rPr>
        <w:t>https://webstore.iec.ch/en/publication/76309</w:t>
      </w:r>
      <w:bookmarkEnd w:id="1160"/>
      <w:bookmarkEnd w:id="1161"/>
      <w:bookmarkEnd w:id="1162"/>
      <w:r w:rsidR="00F50D70">
        <w:fldChar w:fldCharType="end"/>
      </w:r>
    </w:p>
    <w:p w14:paraId="5604A0AF" w14:textId="77777777" w:rsidR="00F50D70" w:rsidRPr="00BE4F47" w:rsidRDefault="00137D7F" w:rsidP="008E113B">
      <w:pPr>
        <w:spacing w:after="80" w:line="360" w:lineRule="auto"/>
        <w:ind w:left="480" w:hanging="480"/>
        <w:jc w:val="left"/>
        <w:rPr>
          <w:rFonts w:ascii="Aptos" w:hAnsi="Aptos"/>
          <w:lang w:val="en-CA"/>
        </w:rPr>
      </w:pPr>
      <w:bookmarkStart w:id="1163" w:name="_Toc241083224"/>
      <w:bookmarkStart w:id="1164" w:name="_Toc241670400"/>
      <w:bookmarkStart w:id="1165" w:name="_Toc241708109"/>
      <w:r w:rsidRPr="00BE4F47">
        <w:rPr>
          <w:rFonts w:ascii="Aptos" w:eastAsia="Calibri" w:hAnsi="Aptos" w:cs="Calibri"/>
          <w:color w:val="1A1A19"/>
          <w:sz w:val="20"/>
          <w:szCs w:val="20"/>
          <w:lang w:val="en-CA"/>
        </w:rPr>
        <w:t>[38</w:t>
      </w:r>
      <w:proofErr w:type="gramStart"/>
      <w:r w:rsidRPr="00BE4F47">
        <w:rPr>
          <w:rFonts w:ascii="Aptos" w:eastAsia="Calibri" w:hAnsi="Aptos" w:cs="Calibri"/>
          <w:color w:val="1A1A19"/>
          <w:sz w:val="20"/>
          <w:szCs w:val="20"/>
          <w:lang w:val="en-CA"/>
        </w:rPr>
        <w:t>]  IEC</w:t>
      </w:r>
      <w:proofErr w:type="gramEnd"/>
      <w:r w:rsidRPr="00BE4F47">
        <w:rPr>
          <w:rFonts w:ascii="Aptos" w:eastAsia="Calibri" w:hAnsi="Aptos" w:cs="Calibri"/>
          <w:color w:val="1A1A19"/>
          <w:sz w:val="20"/>
          <w:szCs w:val="20"/>
          <w:lang w:val="en-CA"/>
        </w:rPr>
        <w:t xml:space="preserve"> 60880:2006, Nuclear power plants, </w:t>
      </w:r>
      <w:proofErr w:type="gramStart"/>
      <w:r w:rsidRPr="00BE4F47">
        <w:rPr>
          <w:rFonts w:ascii="Aptos" w:eastAsia="Calibri" w:hAnsi="Aptos" w:cs="Calibri"/>
          <w:color w:val="1A1A19"/>
          <w:sz w:val="20"/>
          <w:szCs w:val="20"/>
          <w:lang w:val="en-CA"/>
        </w:rPr>
        <w:t>Instrumentation</w:t>
      </w:r>
      <w:proofErr w:type="gramEnd"/>
      <w:r w:rsidRPr="00BE4F47">
        <w:rPr>
          <w:rFonts w:ascii="Aptos" w:eastAsia="Calibri" w:hAnsi="Aptos" w:cs="Calibri"/>
          <w:color w:val="1A1A19"/>
          <w:sz w:val="20"/>
          <w:szCs w:val="20"/>
          <w:lang w:val="en-CA"/>
        </w:rPr>
        <w:t xml:space="preserve"> and control systems important to safety, Software aspects for computer-based systems performing category A functions</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"https://webstore.iec.ch/en/publication/3795" \h</w:instrText>
      </w:r>
      <w:r w:rsidR="00F50D70">
        <w:fldChar w:fldCharType="separate"/>
      </w:r>
      <w:r w:rsidR="00F50D70" w:rsidRPr="00BE4F47">
        <w:rPr>
          <w:rFonts w:ascii="Aptos" w:hAnsi="Aptos"/>
          <w:color w:val="1155CC"/>
          <w:sz w:val="18"/>
          <w:u w:val="single"/>
          <w:lang w:val="en-CA"/>
        </w:rPr>
        <w:t>https://webstore.iec.ch/en/publication/3795</w:t>
      </w:r>
      <w:bookmarkEnd w:id="1163"/>
      <w:bookmarkEnd w:id="1164"/>
      <w:bookmarkEnd w:id="1165"/>
      <w:r w:rsidR="00F50D70">
        <w:fldChar w:fldCharType="end"/>
      </w:r>
    </w:p>
    <w:p w14:paraId="0A9544CD" w14:textId="77777777" w:rsidR="00F50D70" w:rsidRPr="00BE4F47" w:rsidRDefault="00137D7F" w:rsidP="008E113B">
      <w:pPr>
        <w:spacing w:after="80" w:line="360" w:lineRule="auto"/>
        <w:ind w:left="480" w:hanging="480"/>
        <w:jc w:val="left"/>
        <w:rPr>
          <w:rFonts w:ascii="Aptos" w:hAnsi="Aptos"/>
        </w:rPr>
      </w:pPr>
      <w:bookmarkStart w:id="1166" w:name="_Toc241083225"/>
      <w:bookmarkStart w:id="1167" w:name="_Toc241670401"/>
      <w:bookmarkStart w:id="1168" w:name="_Toc241708110"/>
      <w:r w:rsidRPr="00BE4F47">
        <w:rPr>
          <w:rFonts w:ascii="Aptos" w:eastAsia="Calibri" w:hAnsi="Aptos" w:cs="Calibri"/>
          <w:color w:val="1A1A19"/>
          <w:sz w:val="20"/>
          <w:szCs w:val="20"/>
          <w:lang w:val="en-CA"/>
        </w:rPr>
        <w:t>[39</w:t>
      </w:r>
      <w:proofErr w:type="gramStart"/>
      <w:r w:rsidRPr="00BE4F47">
        <w:rPr>
          <w:rFonts w:ascii="Aptos" w:eastAsia="Calibri" w:hAnsi="Aptos" w:cs="Calibri"/>
          <w:color w:val="1A1A19"/>
          <w:sz w:val="20"/>
          <w:szCs w:val="20"/>
          <w:lang w:val="en-CA"/>
        </w:rPr>
        <w:t>]  IEC</w:t>
      </w:r>
      <w:proofErr w:type="gramEnd"/>
      <w:r w:rsidRPr="00BE4F47">
        <w:rPr>
          <w:rFonts w:ascii="Aptos" w:eastAsia="Calibri" w:hAnsi="Aptos" w:cs="Calibri"/>
          <w:color w:val="1A1A19"/>
          <w:sz w:val="20"/>
          <w:szCs w:val="20"/>
          <w:lang w:val="en-CA"/>
        </w:rPr>
        <w:t xml:space="preserve"> 62138:2018, Nuclear power plants, </w:t>
      </w:r>
      <w:proofErr w:type="gramStart"/>
      <w:r w:rsidRPr="00BE4F47">
        <w:rPr>
          <w:rFonts w:ascii="Aptos" w:eastAsia="Calibri" w:hAnsi="Aptos" w:cs="Calibri"/>
          <w:color w:val="1A1A19"/>
          <w:sz w:val="20"/>
          <w:szCs w:val="20"/>
          <w:lang w:val="en-CA"/>
        </w:rPr>
        <w:t>Instrumentation</w:t>
      </w:r>
      <w:proofErr w:type="gramEnd"/>
      <w:r w:rsidRPr="00BE4F47">
        <w:rPr>
          <w:rFonts w:ascii="Aptos" w:eastAsia="Calibri" w:hAnsi="Aptos" w:cs="Calibri"/>
          <w:color w:val="1A1A19"/>
          <w:sz w:val="20"/>
          <w:szCs w:val="20"/>
          <w:lang w:val="en-CA"/>
        </w:rPr>
        <w:t xml:space="preserve"> and control systems important to safety, Software aspects for computer-based systems performing category B or C functions</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"https://webstore.iec.ch/en/publication/30172" \h</w:instrText>
      </w:r>
      <w:r w:rsidR="00F50D70">
        <w:fldChar w:fldCharType="separate"/>
      </w:r>
      <w:r w:rsidR="00F50D70" w:rsidRPr="00BE4F47">
        <w:rPr>
          <w:rFonts w:ascii="Aptos" w:hAnsi="Aptos"/>
          <w:color w:val="1155CC"/>
          <w:sz w:val="18"/>
          <w:u w:val="single"/>
        </w:rPr>
        <w:t>https://webstore.iec.ch/en/publication/30172</w:t>
      </w:r>
      <w:bookmarkEnd w:id="1166"/>
      <w:bookmarkEnd w:id="1167"/>
      <w:bookmarkEnd w:id="1168"/>
      <w:r w:rsidR="00F50D70">
        <w:fldChar w:fldCharType="end"/>
      </w:r>
    </w:p>
    <w:p w14:paraId="1B7D1D2E" w14:textId="77777777" w:rsidR="00F50D70" w:rsidRPr="00BE4F47" w:rsidRDefault="00137D7F" w:rsidP="008E113B">
      <w:pPr>
        <w:spacing w:after="80" w:line="360" w:lineRule="auto"/>
        <w:ind w:left="480" w:hanging="480"/>
        <w:jc w:val="left"/>
        <w:rPr>
          <w:rFonts w:ascii="Aptos" w:hAnsi="Aptos"/>
        </w:rPr>
      </w:pPr>
      <w:bookmarkStart w:id="1169" w:name="_Toc241083226"/>
      <w:bookmarkStart w:id="1170" w:name="_Toc241670402"/>
      <w:bookmarkStart w:id="1171" w:name="_Toc241708111"/>
      <w:r w:rsidRPr="00BE4F47">
        <w:rPr>
          <w:rFonts w:ascii="Aptos" w:eastAsia="Calibri" w:hAnsi="Aptos" w:cs="Calibri"/>
          <w:color w:val="1A1A19"/>
          <w:sz w:val="20"/>
          <w:szCs w:val="20"/>
        </w:rPr>
        <w:t>[40</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/IEC 27001:2022, Sécurité de l’information, cybersécurité et protection de la vie privée, Systèmes de management de la sécurité de l’information, Exigences.  </w:t>
      </w:r>
      <w:hyperlink r:id="rId40">
        <w:r w:rsidR="00F50D70" w:rsidRPr="00BE4F47">
          <w:rPr>
            <w:rFonts w:ascii="Aptos" w:hAnsi="Aptos"/>
            <w:color w:val="1155CC"/>
            <w:sz w:val="18"/>
            <w:u w:val="single"/>
          </w:rPr>
          <w:t>https://www.iso.org/fr/standard/82875.html</w:t>
        </w:r>
        <w:bookmarkEnd w:id="1169"/>
        <w:bookmarkEnd w:id="1170"/>
        <w:bookmarkEnd w:id="1171"/>
      </w:hyperlink>
    </w:p>
    <w:p w14:paraId="29D523BC" w14:textId="77777777" w:rsidR="00F50D70" w:rsidRPr="00BE4F47" w:rsidRDefault="00137D7F" w:rsidP="008E113B">
      <w:pPr>
        <w:spacing w:after="80" w:line="360" w:lineRule="auto"/>
        <w:ind w:left="480" w:hanging="480"/>
        <w:jc w:val="left"/>
        <w:rPr>
          <w:rFonts w:ascii="Aptos" w:hAnsi="Aptos"/>
        </w:rPr>
      </w:pPr>
      <w:bookmarkStart w:id="1172" w:name="_Toc241083227"/>
      <w:bookmarkStart w:id="1173" w:name="_Toc241670403"/>
      <w:bookmarkStart w:id="1174" w:name="_Toc241708112"/>
      <w:r w:rsidRPr="00BE4F47">
        <w:rPr>
          <w:rFonts w:ascii="Aptos" w:eastAsia="Calibri" w:hAnsi="Aptos" w:cs="Calibri"/>
          <w:color w:val="1A1A19"/>
          <w:sz w:val="20"/>
          <w:szCs w:val="20"/>
        </w:rPr>
        <w:t>[41</w:t>
      </w:r>
      <w:proofErr w:type="gramStart"/>
      <w:r w:rsidRPr="00BE4F47">
        <w:rPr>
          <w:rFonts w:ascii="Aptos" w:eastAsia="Calibri" w:hAnsi="Aptos" w:cs="Calibri"/>
          <w:color w:val="1A1A19"/>
          <w:sz w:val="20"/>
          <w:szCs w:val="20"/>
        </w:rPr>
        <w:t>]  ISO</w:t>
      </w:r>
      <w:proofErr w:type="gramEnd"/>
      <w:r w:rsidRPr="00BE4F47">
        <w:rPr>
          <w:rFonts w:ascii="Aptos" w:eastAsia="Calibri" w:hAnsi="Aptos" w:cs="Calibri"/>
          <w:color w:val="1A1A19"/>
          <w:sz w:val="20"/>
          <w:szCs w:val="20"/>
        </w:rPr>
        <w:t xml:space="preserve">/IEC 27005:2022, Sécurité de l’information, cybersécurité et protection de la vie privée, Préconisations pour la gestion des risques liés à la sécurité de l’information.  </w:t>
      </w:r>
      <w:hyperlink r:id="rId41">
        <w:r w:rsidR="00F50D70" w:rsidRPr="00BE4F47">
          <w:rPr>
            <w:rFonts w:ascii="Aptos" w:hAnsi="Aptos"/>
            <w:color w:val="1155CC"/>
            <w:sz w:val="18"/>
            <w:u w:val="single"/>
          </w:rPr>
          <w:t>https://www.iso.org/fr/standard/80585.html</w:t>
        </w:r>
        <w:bookmarkEnd w:id="1172"/>
        <w:bookmarkEnd w:id="1173"/>
        <w:bookmarkEnd w:id="1174"/>
      </w:hyperlink>
    </w:p>
    <w:p w14:paraId="70C8BBB6" w14:textId="77777777" w:rsidR="00F50D70" w:rsidRPr="00BE4F47" w:rsidRDefault="00137D7F" w:rsidP="008E113B">
      <w:pPr>
        <w:spacing w:after="80" w:line="360" w:lineRule="auto"/>
        <w:ind w:left="480" w:hanging="480"/>
        <w:jc w:val="left"/>
        <w:rPr>
          <w:rFonts w:ascii="Aptos" w:hAnsi="Aptos"/>
        </w:rPr>
      </w:pPr>
      <w:bookmarkStart w:id="1175" w:name="_Toc241083228"/>
      <w:bookmarkStart w:id="1176" w:name="_Toc241670404"/>
      <w:bookmarkStart w:id="1177" w:name="_Toc241708113"/>
      <w:r w:rsidRPr="00BE4F47">
        <w:rPr>
          <w:rFonts w:ascii="Aptos" w:eastAsia="Calibri" w:hAnsi="Aptos" w:cs="Calibri"/>
          <w:color w:val="1A1A19"/>
          <w:sz w:val="20"/>
          <w:szCs w:val="20"/>
        </w:rPr>
        <w:t>[42</w:t>
      </w:r>
      <w:proofErr w:type="gramStart"/>
      <w:r w:rsidRPr="00BE4F47">
        <w:rPr>
          <w:rFonts w:ascii="Aptos" w:eastAsia="Calibri" w:hAnsi="Aptos" w:cs="Calibri"/>
          <w:color w:val="1A1A19"/>
          <w:sz w:val="20"/>
          <w:szCs w:val="20"/>
        </w:rPr>
        <w:t>]  Ordre</w:t>
      </w:r>
      <w:proofErr w:type="gramEnd"/>
      <w:r w:rsidRPr="00BE4F47">
        <w:rPr>
          <w:rFonts w:ascii="Aptos" w:eastAsia="Calibri" w:hAnsi="Aptos" w:cs="Calibri"/>
          <w:color w:val="1A1A19"/>
          <w:sz w:val="20"/>
          <w:szCs w:val="20"/>
        </w:rPr>
        <w:t xml:space="preserve"> des ingénieurs du Québec, « Méthodes d’identification des dangers et d’analyse des risques », Guide de pratique professionnelle.  </w:t>
      </w:r>
      <w:hyperlink r:id="rId42">
        <w:r w:rsidR="00F50D70" w:rsidRPr="00BE4F47">
          <w:rPr>
            <w:rFonts w:ascii="Aptos" w:hAnsi="Aptos"/>
            <w:color w:val="1155CC"/>
            <w:sz w:val="18"/>
            <w:u w:val="single"/>
          </w:rPr>
          <w:t>http://gpp.oiq.qc.ca/Methodes_d_identification_des_dangers_et_d_analyse_des_risques.htm</w:t>
        </w:r>
        <w:bookmarkEnd w:id="1175"/>
        <w:bookmarkEnd w:id="1176"/>
        <w:bookmarkEnd w:id="1177"/>
      </w:hyperlink>
    </w:p>
    <w:p w14:paraId="5FD61BD8" w14:textId="77777777" w:rsidR="00F50D70" w:rsidRPr="00BE4F47" w:rsidRDefault="00137D7F" w:rsidP="008E113B">
      <w:pPr>
        <w:spacing w:after="80" w:line="360" w:lineRule="auto"/>
        <w:ind w:left="480" w:hanging="480"/>
        <w:jc w:val="left"/>
        <w:rPr>
          <w:rFonts w:ascii="Aptos" w:hAnsi="Aptos"/>
        </w:rPr>
      </w:pPr>
      <w:bookmarkStart w:id="1178" w:name="_Toc241083229"/>
      <w:bookmarkStart w:id="1179" w:name="_Toc241670405"/>
      <w:bookmarkStart w:id="1180" w:name="_Toc241708114"/>
      <w:r w:rsidRPr="00BE4F47">
        <w:rPr>
          <w:rFonts w:ascii="Aptos" w:eastAsia="Calibri" w:hAnsi="Aptos" w:cs="Calibri"/>
          <w:color w:val="1A1A19"/>
          <w:sz w:val="20"/>
          <w:szCs w:val="20"/>
        </w:rPr>
        <w:t>[43</w:t>
      </w:r>
      <w:proofErr w:type="gramStart"/>
      <w:r w:rsidRPr="00BE4F47">
        <w:rPr>
          <w:rFonts w:ascii="Aptos" w:eastAsia="Calibri" w:hAnsi="Aptos" w:cs="Calibri"/>
          <w:color w:val="1A1A19"/>
          <w:sz w:val="20"/>
          <w:szCs w:val="20"/>
        </w:rPr>
        <w:t>]  Québec</w:t>
      </w:r>
      <w:proofErr w:type="gramEnd"/>
      <w:r w:rsidRPr="00BE4F47">
        <w:rPr>
          <w:rFonts w:ascii="Aptos" w:eastAsia="Calibri" w:hAnsi="Aptos" w:cs="Calibri"/>
          <w:color w:val="1A1A19"/>
          <w:sz w:val="20"/>
          <w:szCs w:val="20"/>
        </w:rPr>
        <w:t xml:space="preserve">, Code de déontologie des ingénieurs, RLRQ, chapitre I-9, r. 6.  </w:t>
      </w:r>
      <w:hyperlink r:id="rId43">
        <w:r w:rsidR="00F50D70" w:rsidRPr="00BE4F47">
          <w:rPr>
            <w:rFonts w:ascii="Aptos" w:hAnsi="Aptos"/>
            <w:color w:val="1155CC"/>
            <w:sz w:val="18"/>
            <w:u w:val="single"/>
          </w:rPr>
          <w:t>https://www.legisquebec.gouv.qc.ca/fr/document/rc/I-9,%20r.%206%20/</w:t>
        </w:r>
        <w:bookmarkEnd w:id="1178"/>
        <w:bookmarkEnd w:id="1179"/>
        <w:bookmarkEnd w:id="1180"/>
      </w:hyperlink>
    </w:p>
    <w:p w14:paraId="33F70882" w14:textId="77777777" w:rsidR="00F50D70" w:rsidRPr="00BE4F47" w:rsidRDefault="00137D7F" w:rsidP="008E113B">
      <w:pPr>
        <w:spacing w:after="80" w:line="360" w:lineRule="auto"/>
        <w:ind w:left="480" w:hanging="480"/>
        <w:jc w:val="left"/>
        <w:rPr>
          <w:rFonts w:ascii="Aptos" w:hAnsi="Aptos"/>
        </w:rPr>
      </w:pPr>
      <w:bookmarkStart w:id="1181" w:name="_Toc241083230"/>
      <w:bookmarkStart w:id="1182" w:name="_Toc241670406"/>
      <w:bookmarkStart w:id="1183" w:name="_Toc241708115"/>
      <w:r w:rsidRPr="00BE4F47">
        <w:rPr>
          <w:rFonts w:ascii="Aptos" w:eastAsia="Calibri" w:hAnsi="Aptos" w:cs="Calibri"/>
          <w:color w:val="1A1A19"/>
          <w:sz w:val="20"/>
          <w:szCs w:val="20"/>
        </w:rPr>
        <w:t>[44</w:t>
      </w:r>
      <w:proofErr w:type="gramStart"/>
      <w:r w:rsidRPr="00BE4F47">
        <w:rPr>
          <w:rFonts w:ascii="Aptos" w:eastAsia="Calibri" w:hAnsi="Aptos" w:cs="Calibri"/>
          <w:color w:val="1A1A19"/>
          <w:sz w:val="20"/>
          <w:szCs w:val="20"/>
        </w:rPr>
        <w:t>]  Organisation</w:t>
      </w:r>
      <w:proofErr w:type="gramEnd"/>
      <w:r w:rsidRPr="00BE4F47">
        <w:rPr>
          <w:rFonts w:ascii="Aptos" w:eastAsia="Calibri" w:hAnsi="Aptos" w:cs="Calibri"/>
          <w:color w:val="1A1A19"/>
          <w:sz w:val="20"/>
          <w:szCs w:val="20"/>
        </w:rPr>
        <w:t xml:space="preserve"> des Nations unies, Objectifs de développement durable, objectifs 7 et 9.  </w:t>
      </w:r>
      <w:hyperlink r:id="rId44">
        <w:r w:rsidR="00F50D70" w:rsidRPr="00BE4F47">
          <w:rPr>
            <w:rFonts w:ascii="Aptos" w:hAnsi="Aptos"/>
            <w:color w:val="1155CC"/>
            <w:sz w:val="18"/>
            <w:u w:val="single"/>
          </w:rPr>
          <w:t>https://www.un.org/sustainabledevelopment/fr/objectifs-de-developpement-durable/</w:t>
        </w:r>
        <w:bookmarkEnd w:id="1181"/>
        <w:bookmarkEnd w:id="1182"/>
        <w:bookmarkEnd w:id="1183"/>
      </w:hyperlink>
    </w:p>
    <w:p w14:paraId="270E314E" w14:textId="77777777" w:rsidR="00F50D70" w:rsidRPr="00BE4F47" w:rsidRDefault="00137D7F" w:rsidP="008E113B">
      <w:pPr>
        <w:spacing w:after="80" w:line="360" w:lineRule="auto"/>
        <w:ind w:left="480" w:hanging="480"/>
        <w:jc w:val="left"/>
        <w:rPr>
          <w:rFonts w:ascii="Aptos" w:hAnsi="Aptos"/>
        </w:rPr>
      </w:pPr>
      <w:bookmarkStart w:id="1184" w:name="_Toc241083231"/>
      <w:bookmarkStart w:id="1185" w:name="_Toc241670407"/>
      <w:bookmarkStart w:id="1186" w:name="_Toc241708116"/>
      <w:r w:rsidRPr="00BE4F47">
        <w:rPr>
          <w:rFonts w:ascii="Aptos" w:eastAsia="Calibri" w:hAnsi="Aptos" w:cs="Calibri"/>
          <w:color w:val="1A1A19"/>
          <w:sz w:val="20"/>
          <w:szCs w:val="20"/>
          <w:lang w:val="en-CA"/>
        </w:rPr>
        <w:t>[45</w:t>
      </w:r>
      <w:proofErr w:type="gramStart"/>
      <w:r w:rsidRPr="00BE4F47">
        <w:rPr>
          <w:rFonts w:ascii="Aptos" w:eastAsia="Calibri" w:hAnsi="Aptos" w:cs="Calibri"/>
          <w:color w:val="1A1A19"/>
          <w:sz w:val="20"/>
          <w:szCs w:val="20"/>
          <w:lang w:val="en-CA"/>
        </w:rPr>
        <w:t>]  AACE</w:t>
      </w:r>
      <w:proofErr w:type="gramEnd"/>
      <w:r w:rsidRPr="00BE4F47">
        <w:rPr>
          <w:rFonts w:ascii="Aptos" w:eastAsia="Calibri" w:hAnsi="Aptos" w:cs="Calibri"/>
          <w:color w:val="1A1A19"/>
          <w:sz w:val="20"/>
          <w:szCs w:val="20"/>
          <w:lang w:val="en-CA"/>
        </w:rPr>
        <w:t xml:space="preserve"> International, Recommended Practice No. 18R-97, Cost Estimate Classification System as Applied in Engineering, Procurement, and Construction for the Process Industries, rév. du </w:t>
      </w:r>
      <w:proofErr w:type="gramStart"/>
      <w:r w:rsidRPr="00BE4F47">
        <w:rPr>
          <w:rFonts w:ascii="Aptos" w:eastAsia="Calibri" w:hAnsi="Aptos" w:cs="Calibri"/>
          <w:color w:val="1A1A19"/>
          <w:sz w:val="20"/>
          <w:szCs w:val="20"/>
          <w:lang w:val="en-CA"/>
        </w:rPr>
        <w:t>7</w:t>
      </w:r>
      <w:proofErr w:type="gramEnd"/>
      <w:r w:rsidRPr="00BE4F47">
        <w:rPr>
          <w:rFonts w:ascii="Aptos" w:eastAsia="Calibri" w:hAnsi="Aptos" w:cs="Calibri"/>
          <w:color w:val="1A1A19"/>
          <w:sz w:val="20"/>
          <w:szCs w:val="20"/>
          <w:lang w:val="en-CA"/>
        </w:rPr>
        <w:t xml:space="preserve"> août 2020</w:t>
      </w:r>
      <w:proofErr w:type="gramStart"/>
      <w:r w:rsidRPr="00BE4F47">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"https://web.aacei.org/docs/default-source/toc/toc_18r-97.pdf" \h</w:instrText>
      </w:r>
      <w:r w:rsidR="00F50D70">
        <w:fldChar w:fldCharType="separate"/>
      </w:r>
      <w:r w:rsidR="00F50D70" w:rsidRPr="00BE4F47">
        <w:rPr>
          <w:rFonts w:ascii="Aptos" w:hAnsi="Aptos"/>
          <w:color w:val="1155CC"/>
          <w:sz w:val="18"/>
          <w:u w:val="single"/>
        </w:rPr>
        <w:t>https://web.aacei.org/docs/default-source/toc/toc_18r-97.pdf</w:t>
      </w:r>
      <w:bookmarkEnd w:id="1184"/>
      <w:bookmarkEnd w:id="1185"/>
      <w:bookmarkEnd w:id="1186"/>
      <w:r w:rsidR="00F50D70">
        <w:fldChar w:fldCharType="end"/>
      </w:r>
    </w:p>
    <w:p w14:paraId="582AE243" w14:textId="77777777" w:rsidR="00F50D70" w:rsidRPr="00DE097D" w:rsidRDefault="00137D7F" w:rsidP="008E113B">
      <w:pPr>
        <w:spacing w:after="80" w:line="360" w:lineRule="auto"/>
        <w:ind w:left="480" w:hanging="480"/>
        <w:jc w:val="left"/>
        <w:rPr>
          <w:rFonts w:ascii="Aptos" w:hAnsi="Aptos"/>
          <w:lang w:val="en-CA"/>
        </w:rPr>
      </w:pPr>
      <w:bookmarkStart w:id="1187" w:name="_Toc241670408"/>
      <w:bookmarkStart w:id="1188" w:name="_Toc241708117"/>
      <w:r w:rsidRPr="00BE4F47">
        <w:rPr>
          <w:rFonts w:ascii="Aptos" w:eastAsia="Calibri" w:hAnsi="Aptos" w:cs="Calibri"/>
          <w:color w:val="1A1A19"/>
          <w:sz w:val="20"/>
          <w:szCs w:val="20"/>
        </w:rPr>
        <w:t>[46</w:t>
      </w:r>
      <w:proofErr w:type="gramStart"/>
      <w:r w:rsidRPr="00BE4F47">
        <w:rPr>
          <w:rFonts w:ascii="Aptos" w:eastAsia="Calibri" w:hAnsi="Aptos" w:cs="Calibri"/>
          <w:color w:val="1A1A19"/>
          <w:sz w:val="20"/>
          <w:szCs w:val="20"/>
        </w:rPr>
        <w:t>]  IEC</w:t>
      </w:r>
      <w:proofErr w:type="gramEnd"/>
      <w:r w:rsidRPr="00BE4F47">
        <w:rPr>
          <w:rFonts w:ascii="Aptos" w:eastAsia="Calibri" w:hAnsi="Aptos" w:cs="Calibri"/>
          <w:color w:val="1A1A19"/>
          <w:sz w:val="20"/>
          <w:szCs w:val="20"/>
        </w:rPr>
        <w:t xml:space="preserve"> TR 62541-1:2020, OPC unified architecture, Partie 1 : Vue d’ensemble et concepts.  </w:t>
      </w:r>
      <w:hyperlink r:id="rId45">
        <w:r w:rsidR="00F50D70" w:rsidRPr="00DE097D">
          <w:rPr>
            <w:rFonts w:ascii="Aptos" w:hAnsi="Aptos"/>
            <w:color w:val="1155CC"/>
            <w:sz w:val="18"/>
            <w:u w:val="single"/>
            <w:lang w:val="en-CA"/>
          </w:rPr>
          <w:t>https://webstore.iec.ch/publication/61109</w:t>
        </w:r>
        <w:bookmarkEnd w:id="1187"/>
        <w:bookmarkEnd w:id="1188"/>
      </w:hyperlink>
    </w:p>
    <w:p w14:paraId="0036F651" w14:textId="77777777" w:rsidR="00F50D70" w:rsidRPr="00BE4F47" w:rsidRDefault="00137D7F" w:rsidP="008E113B">
      <w:pPr>
        <w:spacing w:after="80" w:line="360" w:lineRule="auto"/>
        <w:ind w:left="480" w:hanging="480"/>
        <w:jc w:val="left"/>
        <w:rPr>
          <w:rFonts w:ascii="Aptos" w:hAnsi="Aptos"/>
        </w:rPr>
      </w:pPr>
      <w:bookmarkStart w:id="1189" w:name="_Toc241670410"/>
      <w:bookmarkStart w:id="1190" w:name="_Toc241708118"/>
      <w:r w:rsidRPr="004631CD">
        <w:rPr>
          <w:rFonts w:ascii="Aptos" w:eastAsia="Calibri" w:hAnsi="Aptos" w:cs="Calibri"/>
          <w:color w:val="1A1A19"/>
          <w:sz w:val="20"/>
          <w:szCs w:val="20"/>
          <w:lang w:val="en-CA"/>
        </w:rPr>
        <w:t>[47</w:t>
      </w:r>
      <w:proofErr w:type="gramStart"/>
      <w:r w:rsidRPr="004631CD">
        <w:rPr>
          <w:rFonts w:ascii="Aptos" w:eastAsia="Calibri" w:hAnsi="Aptos" w:cs="Calibri"/>
          <w:color w:val="1A1A19"/>
          <w:sz w:val="20"/>
          <w:szCs w:val="20"/>
          <w:lang w:val="en-CA"/>
        </w:rPr>
        <w:t>]  Agence</w:t>
      </w:r>
      <w:proofErr w:type="gramEnd"/>
      <w:r w:rsidRPr="004631CD">
        <w:rPr>
          <w:rFonts w:ascii="Aptos" w:eastAsia="Calibri" w:hAnsi="Aptos" w:cs="Calibri"/>
          <w:color w:val="1A1A19"/>
          <w:sz w:val="20"/>
          <w:szCs w:val="20"/>
          <w:lang w:val="en-CA"/>
        </w:rPr>
        <w:t xml:space="preserve"> internationale de l’énergie atomique, Core Knowledge on Instrumentation and Control Systems in Nuclear Power Plants, Nuclear Energy Series n° NP-T-3.12, Vienne, 2011, ISBN 978-92-0-113710-4</w:t>
      </w:r>
      <w:proofErr w:type="gramStart"/>
      <w:r w:rsidRPr="004631CD">
        <w:rPr>
          <w:rFonts w:ascii="Aptos" w:eastAsia="Calibri" w:hAnsi="Aptos" w:cs="Calibri"/>
          <w:color w:val="1A1A19"/>
          <w:sz w:val="20"/>
          <w:szCs w:val="20"/>
          <w:lang w:val="en-CA"/>
        </w:rPr>
        <w:t xml:space="preserve">.  </w:t>
      </w:r>
      <w:proofErr w:type="gramEnd"/>
      <w:r w:rsidR="00F50D70">
        <w:fldChar w:fldCharType="begin"/>
      </w:r>
      <w:r w:rsidR="00F50D70" w:rsidRPr="00DE097D">
        <w:rPr>
          <w:lang w:val="en-CA"/>
        </w:rPr>
        <w:instrText>HYPERLINK "https://www-pub.iaea.org/MTCD/Publications/PDF/Pub1495_web.pdf" \h</w:instrText>
      </w:r>
      <w:r w:rsidR="00F50D70">
        <w:fldChar w:fldCharType="separate"/>
      </w:r>
      <w:r w:rsidR="00F50D70" w:rsidRPr="00BE4F47">
        <w:rPr>
          <w:rFonts w:ascii="Aptos" w:hAnsi="Aptos"/>
          <w:color w:val="1155CC"/>
          <w:sz w:val="18"/>
          <w:u w:val="single"/>
        </w:rPr>
        <w:t>https://www-pub.iaea.org/MTCD/Publications/PDF/Pub1495_web.pdf</w:t>
      </w:r>
      <w:bookmarkEnd w:id="1189"/>
      <w:bookmarkEnd w:id="1190"/>
      <w:r w:rsidR="00F50D70">
        <w:fldChar w:fldCharType="end"/>
      </w:r>
    </w:p>
    <w:p w14:paraId="46981B63" w14:textId="77777777" w:rsidR="00F50D70" w:rsidRPr="00BE4F47" w:rsidRDefault="00137D7F" w:rsidP="008E113B">
      <w:pPr>
        <w:spacing w:after="80" w:line="360" w:lineRule="auto"/>
        <w:ind w:left="480" w:hanging="480"/>
        <w:jc w:val="left"/>
        <w:rPr>
          <w:rFonts w:ascii="Aptos" w:hAnsi="Aptos"/>
        </w:rPr>
      </w:pPr>
      <w:bookmarkStart w:id="1191" w:name="_Toc241083233"/>
      <w:bookmarkStart w:id="1192" w:name="_Toc241670411"/>
      <w:bookmarkStart w:id="1193" w:name="_Toc241708119"/>
      <w:r w:rsidRPr="00BE4F47">
        <w:rPr>
          <w:rFonts w:ascii="Aptos" w:eastAsia="Calibri" w:hAnsi="Aptos" w:cs="Calibri"/>
          <w:color w:val="1A1A19"/>
          <w:sz w:val="20"/>
          <w:szCs w:val="20"/>
          <w:lang w:val="en-CA"/>
        </w:rPr>
        <w:lastRenderedPageBreak/>
        <w:t>[48</w:t>
      </w:r>
      <w:proofErr w:type="gramStart"/>
      <w:r w:rsidRPr="00BE4F47">
        <w:rPr>
          <w:rFonts w:ascii="Aptos" w:eastAsia="Calibri" w:hAnsi="Aptos" w:cs="Calibri"/>
          <w:color w:val="1A1A19"/>
          <w:sz w:val="20"/>
          <w:szCs w:val="20"/>
          <w:lang w:val="en-CA"/>
        </w:rPr>
        <w:t>]  Agence</w:t>
      </w:r>
      <w:proofErr w:type="gramEnd"/>
      <w:r w:rsidRPr="00BE4F47">
        <w:rPr>
          <w:rFonts w:ascii="Aptos" w:eastAsia="Calibri" w:hAnsi="Aptos" w:cs="Calibri"/>
          <w:color w:val="1A1A19"/>
          <w:sz w:val="20"/>
          <w:szCs w:val="20"/>
          <w:lang w:val="en-CA"/>
        </w:rPr>
        <w:t xml:space="preserve"> internationale de l’énergie atomique, Verification and Validation of Software Related to Nuclear Power Plant Instrumentation and Control, Technical Reports Series n° 384, Vienne, 1999, ISBN 92-0-100799-</w:t>
      </w:r>
      <w:proofErr w:type="gramStart"/>
      <w:r w:rsidRPr="00BE4F47">
        <w:rPr>
          <w:rFonts w:ascii="Aptos" w:eastAsia="Calibri" w:hAnsi="Aptos" w:cs="Calibri"/>
          <w:color w:val="1A1A19"/>
          <w:sz w:val="20"/>
          <w:szCs w:val="20"/>
          <w:lang w:val="en-CA"/>
        </w:rPr>
        <w:t xml:space="preserve">X.  </w:t>
      </w:r>
      <w:proofErr w:type="gramEnd"/>
      <w:r w:rsidR="00F50D70">
        <w:fldChar w:fldCharType="begin"/>
      </w:r>
      <w:r w:rsidR="00F50D70" w:rsidRPr="00DE097D">
        <w:rPr>
          <w:lang w:val="en-CA"/>
        </w:rPr>
        <w:instrText>HYPERLINK "https://www-pub.iaea.org/MTCD/Publications/PDF/TRS384_scr.pdf" \h</w:instrText>
      </w:r>
      <w:r w:rsidR="00F50D70">
        <w:fldChar w:fldCharType="separate"/>
      </w:r>
      <w:r w:rsidR="00F50D70" w:rsidRPr="00BE4F47">
        <w:rPr>
          <w:rFonts w:ascii="Aptos" w:hAnsi="Aptos"/>
          <w:color w:val="1155CC"/>
          <w:sz w:val="18"/>
          <w:u w:val="single"/>
        </w:rPr>
        <w:t>https://www-pub.iaea.org/MTCD/Publications/PDF/TRS384_scr.pdf</w:t>
      </w:r>
      <w:bookmarkEnd w:id="1191"/>
      <w:bookmarkEnd w:id="1192"/>
      <w:bookmarkEnd w:id="1193"/>
      <w:r w:rsidR="00F50D70">
        <w:fldChar w:fldCharType="end"/>
      </w:r>
    </w:p>
    <w:p w14:paraId="579429F6" w14:textId="77777777" w:rsidR="00F50D70" w:rsidRPr="00BE4F47" w:rsidRDefault="00137D7F" w:rsidP="008E113B">
      <w:pPr>
        <w:spacing w:after="80" w:line="360" w:lineRule="auto"/>
        <w:ind w:left="480" w:hanging="480"/>
        <w:jc w:val="left"/>
        <w:rPr>
          <w:rFonts w:ascii="Aptos" w:hAnsi="Aptos"/>
        </w:rPr>
      </w:pPr>
      <w:bookmarkStart w:id="1194" w:name="_Toc241670412"/>
      <w:bookmarkStart w:id="1195" w:name="_Toc241708120"/>
      <w:r w:rsidRPr="00BE4F47">
        <w:rPr>
          <w:rFonts w:ascii="Aptos" w:eastAsia="Calibri" w:hAnsi="Aptos" w:cs="Calibri"/>
          <w:color w:val="1A1A19"/>
          <w:sz w:val="20"/>
          <w:szCs w:val="20"/>
        </w:rPr>
        <w:t>[49</w:t>
      </w:r>
      <w:proofErr w:type="gramStart"/>
      <w:r w:rsidRPr="00BE4F47">
        <w:rPr>
          <w:rFonts w:ascii="Aptos" w:eastAsia="Calibri" w:hAnsi="Aptos" w:cs="Calibri"/>
          <w:color w:val="1A1A19"/>
          <w:sz w:val="20"/>
          <w:szCs w:val="20"/>
        </w:rPr>
        <w:t>]  Commission</w:t>
      </w:r>
      <w:proofErr w:type="gramEnd"/>
      <w:r w:rsidRPr="00BE4F47">
        <w:rPr>
          <w:rFonts w:ascii="Aptos" w:eastAsia="Calibri" w:hAnsi="Aptos" w:cs="Calibri"/>
          <w:color w:val="1A1A19"/>
          <w:sz w:val="20"/>
          <w:szCs w:val="20"/>
        </w:rPr>
        <w:t xml:space="preserve"> canadienne de sûreté nucléaire, « La CCSN délivre un permis de déclassement pour l’installation de Gentilly-2 », 22 juin 2016.  </w:t>
      </w:r>
      <w:hyperlink r:id="rId46">
        <w:r w:rsidR="00F50D70" w:rsidRPr="00BE4F47">
          <w:rPr>
            <w:rFonts w:ascii="Aptos" w:hAnsi="Aptos"/>
            <w:color w:val="1155CC"/>
            <w:sz w:val="18"/>
            <w:u w:val="single"/>
          </w:rPr>
          <w:t>https://www.canada.ca/fr/commission-surete-nucleaire/nouvelles/2016/06/la-ccsn-delivre-un-permis-de-declassement-pour-l-installation-de-gentilly-2.html</w:t>
        </w:r>
        <w:bookmarkEnd w:id="1194"/>
        <w:bookmarkEnd w:id="1195"/>
      </w:hyperlink>
    </w:p>
    <w:p w14:paraId="545F8519" w14:textId="77777777" w:rsidR="00F50D70" w:rsidRPr="00BE4F47" w:rsidRDefault="00137D7F" w:rsidP="008E113B">
      <w:pPr>
        <w:spacing w:after="80" w:line="360" w:lineRule="auto"/>
        <w:ind w:left="480" w:hanging="480"/>
        <w:jc w:val="left"/>
        <w:rPr>
          <w:rFonts w:ascii="Aptos" w:hAnsi="Aptos"/>
        </w:rPr>
      </w:pPr>
      <w:bookmarkStart w:id="1196" w:name="_Toc241083234"/>
      <w:bookmarkStart w:id="1197" w:name="_Toc241670413"/>
      <w:bookmarkStart w:id="1198" w:name="_Toc241708121"/>
      <w:r w:rsidRPr="00BE4F47">
        <w:rPr>
          <w:rFonts w:ascii="Aptos" w:eastAsia="Calibri" w:hAnsi="Aptos" w:cs="Calibri"/>
          <w:color w:val="1A1A19"/>
          <w:sz w:val="20"/>
          <w:szCs w:val="20"/>
        </w:rPr>
        <w:t>[50</w:t>
      </w:r>
      <w:proofErr w:type="gramStart"/>
      <w:r w:rsidRPr="00BE4F47">
        <w:rPr>
          <w:rFonts w:ascii="Aptos" w:eastAsia="Calibri" w:hAnsi="Aptos" w:cs="Calibri"/>
          <w:color w:val="1A1A19"/>
          <w:sz w:val="20"/>
          <w:szCs w:val="20"/>
        </w:rPr>
        <w:t>]  Association</w:t>
      </w:r>
      <w:proofErr w:type="gramEnd"/>
      <w:r w:rsidRPr="00BE4F47">
        <w:rPr>
          <w:rFonts w:ascii="Aptos" w:eastAsia="Calibri" w:hAnsi="Aptos" w:cs="Calibri"/>
          <w:color w:val="1A1A19"/>
          <w:sz w:val="20"/>
          <w:szCs w:val="20"/>
        </w:rPr>
        <w:t xml:space="preserve"> des firmes de génie-conseil du Québec, Barème des honoraires, section Documentation et publications. Cité comme point de comparaison seulement.  </w:t>
      </w:r>
      <w:hyperlink r:id="rId47">
        <w:r w:rsidR="00F50D70" w:rsidRPr="00BE4F47">
          <w:rPr>
            <w:rFonts w:ascii="Aptos" w:hAnsi="Aptos"/>
            <w:color w:val="1155CC"/>
            <w:sz w:val="18"/>
            <w:u w:val="single"/>
          </w:rPr>
          <w:t>https://afg.quebec/documentation/publications</w:t>
        </w:r>
        <w:bookmarkEnd w:id="1196"/>
        <w:bookmarkEnd w:id="1197"/>
        <w:bookmarkEnd w:id="1198"/>
      </w:hyperlink>
    </w:p>
    <w:p w14:paraId="6A1AA678" w14:textId="77777777" w:rsidR="00F50D70" w:rsidRPr="00BE4F47" w:rsidRDefault="00137D7F" w:rsidP="008E113B">
      <w:pPr>
        <w:spacing w:after="80" w:line="360" w:lineRule="auto"/>
        <w:ind w:left="480" w:hanging="480"/>
        <w:jc w:val="left"/>
        <w:rPr>
          <w:rFonts w:ascii="Aptos" w:hAnsi="Aptos"/>
        </w:rPr>
      </w:pPr>
      <w:bookmarkStart w:id="1199" w:name="_Toc241083235"/>
      <w:bookmarkStart w:id="1200" w:name="_Toc241670414"/>
      <w:bookmarkStart w:id="1201" w:name="_Toc241708122"/>
      <w:r w:rsidRPr="00BE4F47">
        <w:rPr>
          <w:rFonts w:ascii="Aptos" w:eastAsia="Calibri" w:hAnsi="Aptos" w:cs="Calibri"/>
          <w:color w:val="1A1A19"/>
          <w:sz w:val="20"/>
          <w:szCs w:val="20"/>
        </w:rPr>
        <w:t>[51</w:t>
      </w:r>
      <w:proofErr w:type="gramStart"/>
      <w:r w:rsidRPr="00BE4F47">
        <w:rPr>
          <w:rFonts w:ascii="Aptos" w:eastAsia="Calibri" w:hAnsi="Aptos" w:cs="Calibri"/>
          <w:color w:val="1A1A19"/>
          <w:sz w:val="20"/>
          <w:szCs w:val="20"/>
        </w:rPr>
        <w:t>]  Université</w:t>
      </w:r>
      <w:proofErr w:type="gramEnd"/>
      <w:r w:rsidRPr="00BE4F47">
        <w:rPr>
          <w:rFonts w:ascii="Aptos" w:eastAsia="Calibri" w:hAnsi="Aptos" w:cs="Calibri"/>
          <w:color w:val="1A1A19"/>
          <w:sz w:val="20"/>
          <w:szCs w:val="20"/>
        </w:rPr>
        <w:t xml:space="preserve"> du Québec à Chicoutimi, Bureau du registraire, Calendrier universitaire, trimestre d’automne 2026.  </w:t>
      </w:r>
      <w:hyperlink r:id="rId48">
        <w:r w:rsidR="00F50D70" w:rsidRPr="00BE4F47">
          <w:rPr>
            <w:rFonts w:ascii="Aptos" w:hAnsi="Aptos"/>
            <w:color w:val="1155CC"/>
            <w:sz w:val="18"/>
            <w:u w:val="single"/>
          </w:rPr>
          <w:t>https://www.uqac.ca/registraire/wp-content/uploads/2026/02/AUTOMNE-2026.pdf</w:t>
        </w:r>
        <w:bookmarkEnd w:id="1199"/>
        <w:bookmarkEnd w:id="1200"/>
        <w:bookmarkEnd w:id="1201"/>
      </w:hyperlink>
    </w:p>
    <w:p w14:paraId="6639F16E" w14:textId="77777777" w:rsidR="00F50D70" w:rsidRPr="00BE4F47" w:rsidRDefault="00F50D70" w:rsidP="008E113B">
      <w:pPr>
        <w:pStyle w:val="Corpsdetexte"/>
        <w:spacing w:line="360" w:lineRule="auto"/>
        <w:ind w:left="720"/>
        <w:outlineLvl w:val="9"/>
        <w:rPr>
          <w:rFonts w:ascii="Aptos" w:hAnsi="Aptos"/>
          <w:b w:val="0"/>
        </w:rPr>
      </w:pPr>
    </w:p>
    <w:p w14:paraId="57EFF6BB" w14:textId="77777777" w:rsidR="00F50D70" w:rsidRPr="00BE4F47" w:rsidRDefault="00F50D70" w:rsidP="008E113B">
      <w:pPr>
        <w:pStyle w:val="Corpsdetexte"/>
        <w:spacing w:line="360" w:lineRule="auto"/>
        <w:outlineLvl w:val="9"/>
        <w:rPr>
          <w:rFonts w:ascii="Aptos" w:hAnsi="Aptos"/>
          <w:b w:val="0"/>
        </w:rPr>
      </w:pPr>
    </w:p>
    <w:p w14:paraId="2BD941BF" w14:textId="77777777" w:rsidR="00F50D70" w:rsidRPr="00BE4F47" w:rsidRDefault="00F50D70" w:rsidP="008E113B">
      <w:pPr>
        <w:pStyle w:val="Corpsdetexte"/>
        <w:spacing w:line="360" w:lineRule="auto"/>
        <w:outlineLvl w:val="9"/>
        <w:rPr>
          <w:rFonts w:ascii="Aptos" w:hAnsi="Aptos"/>
        </w:rPr>
      </w:pPr>
    </w:p>
    <w:p w14:paraId="48BBFFBF" w14:textId="77777777" w:rsidR="00F50D70" w:rsidRPr="00BE4F47" w:rsidRDefault="00F50D70" w:rsidP="008E113B">
      <w:pPr>
        <w:spacing w:line="360" w:lineRule="auto"/>
        <w:ind w:left="0"/>
        <w:outlineLvl w:val="9"/>
        <w:rPr>
          <w:rFonts w:ascii="Aptos" w:hAnsi="Aptos"/>
        </w:rPr>
      </w:pPr>
    </w:p>
    <w:sectPr w:rsidR="00F50D70" w:rsidRPr="00BE4F47">
      <w:footerReference w:type="default" r:id="rId49"/>
      <w:pgSz w:w="12240" w:h="15840"/>
      <w:pgMar w:top="851" w:right="1701" w:bottom="709" w:left="1701" w:header="0" w:footer="425"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94085" w14:textId="77777777" w:rsidR="00E03DB9" w:rsidRDefault="00E03DB9">
      <w:r>
        <w:separator/>
      </w:r>
    </w:p>
  </w:endnote>
  <w:endnote w:type="continuationSeparator" w:id="0">
    <w:p w14:paraId="01EB72AA" w14:textId="77777777" w:rsidR="00E03DB9" w:rsidRDefault="00E03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Palatino;Book Antiqu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191E" w14:textId="77777777" w:rsidR="00F50D70" w:rsidRDefault="00137D7F">
    <w:pPr>
      <w:pStyle w:val="Pieddepage"/>
      <w:ind w:left="0"/>
      <w:jc w:val="center"/>
    </w:pPr>
    <w:r>
      <w:fldChar w:fldCharType="begin"/>
    </w:r>
    <w:r>
      <w:instrText xml:space="preserve"> PAGE </w:instrText>
    </w:r>
    <w:r>
      <w:fldChar w:fldCharType="separate"/>
    </w:r>
    <w:r>
      <w:t>47</w:t>
    </w:r>
    <w:r>
      <w:fldChar w:fldCharType="end"/>
    </w:r>
  </w:p>
  <w:p w14:paraId="06136640" w14:textId="77777777" w:rsidR="00F50D70" w:rsidRDefault="00F50D7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805B" w14:textId="77777777" w:rsidR="00E03DB9" w:rsidRDefault="00E03DB9">
      <w:r>
        <w:separator/>
      </w:r>
    </w:p>
  </w:footnote>
  <w:footnote w:type="continuationSeparator" w:id="0">
    <w:p w14:paraId="1D97E6D1" w14:textId="77777777" w:rsidR="00E03DB9" w:rsidRDefault="00E03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5D0"/>
    <w:multiLevelType w:val="multilevel"/>
    <w:tmpl w:val="040C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6B74424"/>
    <w:multiLevelType w:val="multilevel"/>
    <w:tmpl w:val="B00E7AA8"/>
    <w:lvl w:ilvl="0">
      <w:start w:val="1"/>
      <w:numFmt w:val="decimal"/>
      <w:pStyle w:val="Style2"/>
      <w:lvlText w:val="%1."/>
      <w:lvlJc w:val="left"/>
      <w:pPr>
        <w:tabs>
          <w:tab w:val="num" w:pos="425"/>
        </w:tabs>
        <w:ind w:left="425" w:hanging="425"/>
      </w:pPr>
      <w:rPr>
        <w:rFonts w:ascii="Times" w:hAnsi="Times" w:cs="Times"/>
        <w:b/>
        <w:i w:val="0"/>
        <w:sz w:val="22"/>
      </w:rPr>
    </w:lvl>
    <w:lvl w:ilvl="1">
      <w:start w:val="1"/>
      <w:numFmt w:val="decimal"/>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1" w:hanging="1441"/>
      </w:pPr>
    </w:lvl>
  </w:abstractNum>
  <w:abstractNum w:abstractNumId="2" w15:restartNumberingAfterBreak="0">
    <w:nsid w:val="08AE3D62"/>
    <w:multiLevelType w:val="multilevel"/>
    <w:tmpl w:val="113693C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6.%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9540001"/>
    <w:multiLevelType w:val="multilevel"/>
    <w:tmpl w:val="B4F24F9C"/>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0D0D21"/>
    <w:multiLevelType w:val="hybridMultilevel"/>
    <w:tmpl w:val="B8B6B41E"/>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5" w15:restartNumberingAfterBreak="0">
    <w:nsid w:val="148E3870"/>
    <w:multiLevelType w:val="multilevel"/>
    <w:tmpl w:val="A9580E9C"/>
    <w:lvl w:ilvl="0">
      <w:start w:val="1"/>
      <w:numFmt w:val="bullet"/>
      <w:pStyle w:val="Listepuces2"/>
      <w:lvlText w:val=""/>
      <w:lvlJc w:val="left"/>
      <w:pPr>
        <w:tabs>
          <w:tab w:val="num" w:pos="643"/>
        </w:tabs>
        <w:ind w:left="643"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9A4083"/>
    <w:multiLevelType w:val="multilevel"/>
    <w:tmpl w:val="39F83072"/>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E35684"/>
    <w:multiLevelType w:val="multilevel"/>
    <w:tmpl w:val="BAE47164"/>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116E45"/>
    <w:multiLevelType w:val="multilevel"/>
    <w:tmpl w:val="14705170"/>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407C9A"/>
    <w:multiLevelType w:val="multilevel"/>
    <w:tmpl w:val="433A77C2"/>
    <w:lvl w:ilvl="0">
      <w:start w:val="1"/>
      <w:numFmt w:val="bullet"/>
      <w:lvlText w:val=""/>
      <w:lvlJc w:val="left"/>
      <w:pPr>
        <w:tabs>
          <w:tab w:val="num" w:pos="0"/>
        </w:tabs>
        <w:ind w:left="171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C552606"/>
    <w:multiLevelType w:val="hybridMultilevel"/>
    <w:tmpl w:val="F4FE70CC"/>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1" w15:restartNumberingAfterBreak="0">
    <w:nsid w:val="4F46695C"/>
    <w:multiLevelType w:val="multilevel"/>
    <w:tmpl w:val="46D6CB34"/>
    <w:lvl w:ilvl="0">
      <w:start w:val="1"/>
      <w:numFmt w:val="decimal"/>
      <w:pStyle w:val="Titre1"/>
      <w:lvlText w:val="%1."/>
      <w:lvlJc w:val="left"/>
      <w:pPr>
        <w:tabs>
          <w:tab w:val="num" w:pos="425"/>
        </w:tabs>
        <w:ind w:left="425" w:hanging="425"/>
      </w:pPr>
      <w:rPr>
        <w:rFonts w:ascii="Times" w:hAnsi="Times" w:cs="Times"/>
        <w:b/>
        <w:i w:val="0"/>
        <w:sz w:val="22"/>
      </w:rPr>
    </w:lvl>
    <w:lvl w:ilvl="1">
      <w:start w:val="1"/>
      <w:numFmt w:val="decimal"/>
      <w:pStyle w:val="Titre2"/>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1" w:hanging="1441"/>
      </w:pPr>
    </w:lvl>
  </w:abstractNum>
  <w:abstractNum w:abstractNumId="12" w15:restartNumberingAfterBreak="0">
    <w:nsid w:val="51920C22"/>
    <w:multiLevelType w:val="multilevel"/>
    <w:tmpl w:val="53E292A4"/>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49E6FED"/>
    <w:multiLevelType w:val="multilevel"/>
    <w:tmpl w:val="2CE6FF3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6.%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598F7E0F"/>
    <w:multiLevelType w:val="multilevel"/>
    <w:tmpl w:val="D34CBE96"/>
    <w:lvl w:ilvl="0">
      <w:start w:val="1"/>
      <w:numFmt w:val="bullet"/>
      <w:lvlText w:val=""/>
      <w:lvlJc w:val="left"/>
      <w:pPr>
        <w:tabs>
          <w:tab w:val="num" w:pos="0"/>
        </w:tabs>
        <w:ind w:left="11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E415A7"/>
    <w:multiLevelType w:val="hybridMultilevel"/>
    <w:tmpl w:val="B34E271A"/>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6" w15:restartNumberingAfterBreak="0">
    <w:nsid w:val="5E967BF2"/>
    <w:multiLevelType w:val="multilevel"/>
    <w:tmpl w:val="82927CCC"/>
    <w:lvl w:ilvl="0">
      <w:start w:val="1"/>
      <w:numFmt w:val="decimal"/>
      <w:lvlText w:val="3.%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09B5662"/>
    <w:multiLevelType w:val="hybridMultilevel"/>
    <w:tmpl w:val="80664FA6"/>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8" w15:restartNumberingAfterBreak="0">
    <w:nsid w:val="6D4E0793"/>
    <w:multiLevelType w:val="multilevel"/>
    <w:tmpl w:val="94EC9E2C"/>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3317B21"/>
    <w:multiLevelType w:val="multilevel"/>
    <w:tmpl w:val="013A5ACA"/>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9533442">
    <w:abstractNumId w:val="11"/>
  </w:num>
  <w:num w:numId="2" w16cid:durableId="879246760">
    <w:abstractNumId w:val="5"/>
  </w:num>
  <w:num w:numId="3" w16cid:durableId="1087926495">
    <w:abstractNumId w:val="1"/>
  </w:num>
  <w:num w:numId="4" w16cid:durableId="286081102">
    <w:abstractNumId w:val="14"/>
  </w:num>
  <w:num w:numId="5" w16cid:durableId="195780179">
    <w:abstractNumId w:val="8"/>
  </w:num>
  <w:num w:numId="6" w16cid:durableId="1059936052">
    <w:abstractNumId w:val="3"/>
  </w:num>
  <w:num w:numId="7" w16cid:durableId="832138966">
    <w:abstractNumId w:val="13"/>
  </w:num>
  <w:num w:numId="8" w16cid:durableId="1108311080">
    <w:abstractNumId w:val="6"/>
  </w:num>
  <w:num w:numId="9" w16cid:durableId="1263495185">
    <w:abstractNumId w:val="18"/>
  </w:num>
  <w:num w:numId="10" w16cid:durableId="843278149">
    <w:abstractNumId w:val="12"/>
  </w:num>
  <w:num w:numId="11" w16cid:durableId="2014990922">
    <w:abstractNumId w:val="19"/>
  </w:num>
  <w:num w:numId="12" w16cid:durableId="1225415507">
    <w:abstractNumId w:val="2"/>
  </w:num>
  <w:num w:numId="13" w16cid:durableId="1961842731">
    <w:abstractNumId w:val="16"/>
  </w:num>
  <w:num w:numId="14" w16cid:durableId="940066933">
    <w:abstractNumId w:val="0"/>
  </w:num>
  <w:num w:numId="15" w16cid:durableId="296952054">
    <w:abstractNumId w:val="7"/>
  </w:num>
  <w:num w:numId="16" w16cid:durableId="1750998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87633788">
    <w:abstractNumId w:val="11"/>
  </w:num>
  <w:num w:numId="18" w16cid:durableId="1778479020">
    <w:abstractNumId w:val="17"/>
  </w:num>
  <w:num w:numId="19" w16cid:durableId="1847792681">
    <w:abstractNumId w:val="4"/>
  </w:num>
  <w:num w:numId="20" w16cid:durableId="743335554">
    <w:abstractNumId w:val="10"/>
  </w:num>
  <w:num w:numId="21" w16cid:durableId="1697191494">
    <w:abstractNumId w:val="9"/>
  </w:num>
  <w:num w:numId="22" w16cid:durableId="13627766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70"/>
    <w:rsid w:val="00006655"/>
    <w:rsid w:val="00026264"/>
    <w:rsid w:val="000D4376"/>
    <w:rsid w:val="0010676F"/>
    <w:rsid w:val="00136F18"/>
    <w:rsid w:val="00137D7F"/>
    <w:rsid w:val="0015050D"/>
    <w:rsid w:val="00170BF3"/>
    <w:rsid w:val="001975F5"/>
    <w:rsid w:val="001C6F35"/>
    <w:rsid w:val="001E0B13"/>
    <w:rsid w:val="00246F82"/>
    <w:rsid w:val="00256140"/>
    <w:rsid w:val="00273A91"/>
    <w:rsid w:val="002A1CE1"/>
    <w:rsid w:val="002D6186"/>
    <w:rsid w:val="002F3B50"/>
    <w:rsid w:val="003139CB"/>
    <w:rsid w:val="0036725C"/>
    <w:rsid w:val="003D3A94"/>
    <w:rsid w:val="004631CD"/>
    <w:rsid w:val="005A1D5D"/>
    <w:rsid w:val="005E5B35"/>
    <w:rsid w:val="00664824"/>
    <w:rsid w:val="00665895"/>
    <w:rsid w:val="006A6C35"/>
    <w:rsid w:val="006D5CA3"/>
    <w:rsid w:val="007E5FC7"/>
    <w:rsid w:val="00885DAC"/>
    <w:rsid w:val="008E113B"/>
    <w:rsid w:val="008F5FA3"/>
    <w:rsid w:val="00927E59"/>
    <w:rsid w:val="00962984"/>
    <w:rsid w:val="009A4383"/>
    <w:rsid w:val="009F7B47"/>
    <w:rsid w:val="00A36E61"/>
    <w:rsid w:val="00A879DF"/>
    <w:rsid w:val="00AA05CF"/>
    <w:rsid w:val="00AF05CA"/>
    <w:rsid w:val="00B03F2E"/>
    <w:rsid w:val="00B22FB4"/>
    <w:rsid w:val="00B36301"/>
    <w:rsid w:val="00B50D9A"/>
    <w:rsid w:val="00BE4F47"/>
    <w:rsid w:val="00C57ECE"/>
    <w:rsid w:val="00C64550"/>
    <w:rsid w:val="00D154C8"/>
    <w:rsid w:val="00D40E65"/>
    <w:rsid w:val="00DA7337"/>
    <w:rsid w:val="00DB0A89"/>
    <w:rsid w:val="00DE097D"/>
    <w:rsid w:val="00DE546E"/>
    <w:rsid w:val="00E03DB9"/>
    <w:rsid w:val="00F355AE"/>
    <w:rsid w:val="00F50D70"/>
    <w:rsid w:val="00F515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57C82"/>
  <w15:docId w15:val="{85478345-9B3E-44FF-9FF5-ABE588B1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1701"/>
      <w:jc w:val="both"/>
      <w:outlineLvl w:val="2"/>
    </w:pPr>
    <w:rPr>
      <w:rFonts w:ascii="Times" w:eastAsia="MS Mincho" w:hAnsi="Times" w:cs="Times"/>
      <w:sz w:val="22"/>
      <w:szCs w:val="22"/>
      <w:lang w:val="fr-CA" w:eastAsia="zh-CN"/>
    </w:rPr>
  </w:style>
  <w:style w:type="paragraph" w:styleId="Titre1">
    <w:name w:val="heading 1"/>
    <w:basedOn w:val="Normal"/>
    <w:next w:val="Normal"/>
    <w:uiPriority w:val="9"/>
    <w:qFormat/>
    <w:pPr>
      <w:keepNext/>
      <w:numPr>
        <w:numId w:val="1"/>
      </w:numPr>
      <w:spacing w:before="240" w:after="60"/>
      <w:outlineLvl w:val="0"/>
    </w:pPr>
    <w:rPr>
      <w:b/>
      <w:bCs/>
      <w:kern w:val="2"/>
    </w:rPr>
  </w:style>
  <w:style w:type="paragraph" w:styleId="Titre2">
    <w:name w:val="heading 2"/>
    <w:basedOn w:val="Normal"/>
    <w:next w:val="Normal"/>
    <w:link w:val="Titre2Car"/>
    <w:uiPriority w:val="9"/>
    <w:unhideWhenUsed/>
    <w:qFormat/>
    <w:pPr>
      <w:keepNext/>
      <w:numPr>
        <w:ilvl w:val="1"/>
        <w:numId w:val="1"/>
      </w:numPr>
      <w:spacing w:before="240" w:after="60"/>
      <w:outlineLvl w:val="1"/>
    </w:pPr>
    <w:rPr>
      <w:b/>
      <w:bCs/>
    </w:rPr>
  </w:style>
  <w:style w:type="paragraph" w:styleId="Titre3">
    <w:name w:val="heading 3"/>
    <w:basedOn w:val="Retraitcorpsdetexte3"/>
    <w:next w:val="Retraitcorpsdetexte3"/>
    <w:unhideWhenUsed/>
    <w:qFormat/>
    <w:pPr>
      <w:keepNext/>
      <w:spacing w:before="240" w:after="60"/>
      <w:ind w:left="0" w:firstLine="0"/>
    </w:pPr>
  </w:style>
  <w:style w:type="paragraph" w:styleId="Titre4">
    <w:name w:val="heading 4"/>
    <w:basedOn w:val="Normal"/>
    <w:next w:val="Normal"/>
    <w:uiPriority w:val="9"/>
    <w:unhideWhenUsed/>
    <w:qFormat/>
    <w:pPr>
      <w:keepNext/>
      <w:ind w:left="0"/>
      <w:outlineLvl w:val="3"/>
    </w:pPr>
    <w:rPr>
      <w:b/>
      <w:bCs/>
    </w:rPr>
  </w:style>
  <w:style w:type="paragraph" w:styleId="Titre5">
    <w:name w:val="heading 5"/>
    <w:basedOn w:val="Normal"/>
    <w:next w:val="Normal"/>
    <w:uiPriority w:val="9"/>
    <w:semiHidden/>
    <w:unhideWhenUsed/>
    <w:qFormat/>
    <w:pPr>
      <w:keepNext/>
      <w:ind w:left="72"/>
      <w:outlineLvl w:val="4"/>
    </w:pPr>
    <w:rPr>
      <w:b/>
      <w:bCs/>
    </w:rPr>
  </w:style>
  <w:style w:type="paragraph" w:styleId="Titre6">
    <w:name w:val="heading 6"/>
    <w:basedOn w:val="Normal"/>
    <w:next w:val="Normal"/>
    <w:uiPriority w:val="9"/>
    <w:semiHidden/>
    <w:unhideWhenUsed/>
    <w:qFormat/>
    <w:pPr>
      <w:keepNext/>
      <w:ind w:left="0" w:hanging="7"/>
      <w:jc w:val="left"/>
      <w:outlineLvl w:val="5"/>
    </w:pPr>
    <w:rPr>
      <w:b/>
      <w:bCs/>
    </w:rPr>
  </w:style>
  <w:style w:type="paragraph" w:styleId="Titre7">
    <w:name w:val="heading 7"/>
    <w:basedOn w:val="Normal"/>
    <w:next w:val="Normal"/>
    <w:qFormat/>
    <w:pPr>
      <w:keepNext/>
      <w:ind w:left="0" w:hanging="7"/>
      <w:outlineLvl w:val="6"/>
    </w:pPr>
    <w:rPr>
      <w:b/>
      <w:bCs/>
    </w:rPr>
  </w:style>
  <w:style w:type="paragraph" w:styleId="Titre8">
    <w:name w:val="heading 8"/>
    <w:basedOn w:val="Normal"/>
    <w:next w:val="Normal"/>
    <w:qFormat/>
    <w:pPr>
      <w:keepNext/>
      <w:ind w:left="2120" w:hanging="2080"/>
      <w:jc w:val="center"/>
      <w:outlineLvl w:val="7"/>
    </w:pPr>
    <w:rPr>
      <w:u w:val="single"/>
    </w:rPr>
  </w:style>
  <w:style w:type="paragraph" w:styleId="Titre9">
    <w:name w:val="heading 9"/>
    <w:basedOn w:val="Normal"/>
    <w:next w:val="Normal"/>
    <w:qFormat/>
    <w:pPr>
      <w:keepNext/>
      <w:ind w:left="567" w:hanging="574"/>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style>
  <w:style w:type="character" w:customStyle="1" w:styleId="WW8Num3z0">
    <w:name w:val="WW8Num3z0"/>
    <w:qFormat/>
  </w:style>
  <w:style w:type="character" w:customStyle="1" w:styleId="WW8Num4z0">
    <w:name w:val="WW8Num4z0"/>
    <w:qFormat/>
    <w:rPr>
      <w:rFonts w:ascii="Times" w:hAnsi="Times" w:cs="Times"/>
      <w:b/>
      <w:i w:val="0"/>
      <w:sz w:val="22"/>
    </w:rPr>
  </w:style>
  <w:style w:type="character" w:customStyle="1" w:styleId="WW8Num5z0">
    <w:name w:val="WW8Num5z0"/>
    <w:qFormat/>
    <w:rPr>
      <w:rFonts w:ascii="Times" w:hAnsi="Times" w:cs="Times"/>
      <w:b/>
      <w:i w:val="0"/>
      <w:sz w:val="22"/>
    </w:rPr>
  </w:style>
  <w:style w:type="character" w:customStyle="1" w:styleId="WW8Num5z1">
    <w:name w:val="WW8Num5z1"/>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3z0">
    <w:name w:val="WW8Num23z0"/>
    <w:qFormat/>
  </w:style>
  <w:style w:type="character" w:customStyle="1" w:styleId="WW8Num24z0">
    <w:name w:val="WW8Num24z0"/>
    <w:qFormat/>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style>
  <w:style w:type="character" w:customStyle="1" w:styleId="EndnoteCharacters">
    <w:name w:val="Endnote Characters"/>
    <w:qFormat/>
    <w:rPr>
      <w:vertAlign w:val="superscript"/>
    </w:rPr>
  </w:style>
  <w:style w:type="character" w:customStyle="1" w:styleId="FootnoteCharacters">
    <w:name w:val="Footnote Characters"/>
    <w:qFormat/>
    <w:rPr>
      <w:sz w:val="16"/>
      <w:szCs w:val="16"/>
      <w:vertAlign w:val="superscript"/>
    </w:rPr>
  </w:style>
  <w:style w:type="character" w:styleId="Numrodepage">
    <w:name w:val="page number"/>
    <w:rPr>
      <w:rFonts w:ascii="Palatino;Book Antiqua" w:hAnsi="Palatino;Book Antiqua" w:cs="Palatino;Book Antiqua"/>
    </w:rPr>
  </w:style>
  <w:style w:type="character" w:styleId="Hyperlien">
    <w:name w:val="Hyperlink"/>
    <w:uiPriority w:val="99"/>
    <w:rPr>
      <w:color w:val="0000FF"/>
      <w:u w:val="single"/>
    </w:rPr>
  </w:style>
  <w:style w:type="character" w:styleId="Accentuation">
    <w:name w:val="Emphasis"/>
    <w:qFormat/>
    <w:rPr>
      <w:i/>
      <w:iCs/>
    </w:rPr>
  </w:style>
  <w:style w:type="character" w:customStyle="1" w:styleId="CarCar">
    <w:name w:val="Car Car"/>
    <w:qFormat/>
    <w:rPr>
      <w:rFonts w:ascii="Arial Black" w:hAnsi="Arial Black" w:cs="Arial Black"/>
      <w:spacing w:val="-30"/>
      <w:kern w:val="2"/>
      <w:sz w:val="40"/>
      <w:lang w:val="fr-CA" w:bidi="ar-SA"/>
    </w:rPr>
  </w:style>
  <w:style w:type="character" w:customStyle="1" w:styleId="CarCar3">
    <w:name w:val="Car Car3"/>
    <w:qFormat/>
    <w:rPr>
      <w:smallCaps/>
      <w:sz w:val="52"/>
      <w:szCs w:val="52"/>
    </w:rPr>
  </w:style>
  <w:style w:type="character" w:customStyle="1" w:styleId="CarCar4">
    <w:name w:val="Car Car4"/>
    <w:qFormat/>
    <w:rPr>
      <w:rFonts w:ascii="Times" w:hAnsi="Times" w:cs="Times"/>
      <w:b/>
      <w:bCs/>
      <w:kern w:val="2"/>
      <w:sz w:val="22"/>
      <w:szCs w:val="22"/>
      <w:lang w:val="fr-CA" w:bidi="ar-SA"/>
    </w:rPr>
  </w:style>
  <w:style w:type="character" w:customStyle="1" w:styleId="CarCar2">
    <w:name w:val="Car Car2"/>
    <w:qFormat/>
    <w:rPr>
      <w:rFonts w:ascii="Times" w:hAnsi="Times" w:cs="Times"/>
      <w:sz w:val="22"/>
      <w:szCs w:val="22"/>
      <w:lang w:val="fr-CA"/>
    </w:rPr>
  </w:style>
  <w:style w:type="character" w:styleId="Lienvisit">
    <w:name w:val="FollowedHyperlink"/>
    <w:rPr>
      <w:color w:val="800080"/>
      <w:u w:val="single"/>
    </w:rPr>
  </w:style>
  <w:style w:type="character" w:customStyle="1" w:styleId="libelleod1">
    <w:name w:val="libelleod1"/>
    <w:qFormat/>
    <w:rPr>
      <w:rFonts w:cs="Times New Roman"/>
      <w:b/>
      <w:bCs/>
    </w:rPr>
  </w:style>
  <w:style w:type="character" w:customStyle="1" w:styleId="Titre5Car">
    <w:name w:val="Titre 5 Car"/>
    <w:qFormat/>
    <w:rPr>
      <w:rFonts w:ascii="Times" w:hAnsi="Times" w:cs="Times"/>
      <w:b/>
      <w:bCs/>
      <w:sz w:val="22"/>
      <w:szCs w:val="22"/>
      <w:lang w:val="fr-CA" w:bidi="ar-SA"/>
    </w:rPr>
  </w:style>
  <w:style w:type="character" w:customStyle="1" w:styleId="TextedebullesCar">
    <w:name w:val="Texte de bulles Car"/>
    <w:qFormat/>
    <w:rPr>
      <w:rFonts w:ascii="Tahoma" w:hAnsi="Tahoma" w:cs="Tahoma"/>
      <w:sz w:val="16"/>
      <w:szCs w:val="16"/>
    </w:rPr>
  </w:style>
  <w:style w:type="character" w:customStyle="1" w:styleId="PieddepageCar">
    <w:name w:val="Pied de page Car"/>
    <w:qFormat/>
    <w:rPr>
      <w:rFonts w:ascii="Times" w:hAnsi="Times" w:cs="Times"/>
      <w:sz w:val="22"/>
      <w:szCs w:val="22"/>
    </w:rPr>
  </w:style>
  <w:style w:type="character" w:styleId="Mentionnonrsolue">
    <w:name w:val="Unresolved Mention"/>
    <w:uiPriority w:val="99"/>
    <w:qFormat/>
    <w:rPr>
      <w:color w:val="605E5C"/>
      <w:shd w:val="clear" w:color="auto" w:fill="E1DFDD"/>
    </w:rPr>
  </w:style>
  <w:style w:type="character" w:styleId="Marquedecommentaire">
    <w:name w:val="annotation reference"/>
    <w:qFormat/>
    <w:rPr>
      <w:sz w:val="16"/>
      <w:szCs w:val="16"/>
    </w:rPr>
  </w:style>
  <w:style w:type="character" w:customStyle="1" w:styleId="CommentaireCar">
    <w:name w:val="Commentaire Car"/>
    <w:qFormat/>
    <w:rPr>
      <w:rFonts w:ascii="Times" w:hAnsi="Times" w:cs="Times"/>
      <w:lang w:val="fr-CA"/>
    </w:rPr>
  </w:style>
  <w:style w:type="character" w:customStyle="1" w:styleId="ObjetducommentaireCar">
    <w:name w:val="Objet du commentaire Car"/>
    <w:qFormat/>
    <w:rPr>
      <w:rFonts w:ascii="Times" w:hAnsi="Times" w:cs="Times"/>
      <w:b/>
      <w:bCs/>
      <w:lang w:val="fr-CA"/>
    </w:rPr>
  </w:style>
  <w:style w:type="character" w:styleId="lev">
    <w:name w:val="Strong"/>
    <w:qFormat/>
    <w:rPr>
      <w:b/>
      <w:bCs/>
    </w:rPr>
  </w:style>
  <w:style w:type="character" w:customStyle="1" w:styleId="IndexLink">
    <w:name w:val="Index Link"/>
    <w:qFormat/>
  </w:style>
  <w:style w:type="paragraph" w:customStyle="1" w:styleId="Heading">
    <w:name w:val="Heading"/>
    <w:basedOn w:val="Normal"/>
    <w:next w:val="Sous-titre"/>
    <w:qFormat/>
    <w:pPr>
      <w:keepNext/>
      <w:keepLines/>
      <w:pBdr>
        <w:bottom w:val="single" w:sz="6" w:space="16" w:color="000000"/>
      </w:pBdr>
      <w:spacing w:before="220" w:after="60" w:line="320" w:lineRule="atLeast"/>
      <w:ind w:left="0"/>
      <w:jc w:val="left"/>
      <w:outlineLvl w:val="9"/>
    </w:pPr>
    <w:rPr>
      <w:rFonts w:ascii="Arial Black" w:hAnsi="Arial Black" w:cs="Times New Roman"/>
      <w:spacing w:val="-30"/>
      <w:kern w:val="2"/>
      <w:sz w:val="40"/>
      <w:szCs w:val="20"/>
    </w:rPr>
  </w:style>
  <w:style w:type="paragraph" w:styleId="Corpsdetexte">
    <w:name w:val="Body Text"/>
    <w:basedOn w:val="Normal"/>
    <w:pPr>
      <w:ind w:left="0"/>
      <w:jc w:val="left"/>
    </w:pPr>
    <w:rPr>
      <w:b/>
      <w:bCs/>
    </w:rPr>
  </w:style>
  <w:style w:type="paragraph" w:styleId="Liste">
    <w:name w:val="List"/>
    <w:basedOn w:val="Normal"/>
    <w:pPr>
      <w:ind w:left="283" w:hanging="283"/>
    </w:pPr>
  </w:style>
  <w:style w:type="paragraph" w:styleId="Lgende">
    <w:name w:val="caption"/>
    <w:basedOn w:val="Normal"/>
    <w:next w:val="Normal"/>
    <w:qFormat/>
    <w:pPr>
      <w:spacing w:before="120" w:after="120"/>
    </w:pPr>
    <w:rPr>
      <w:b/>
      <w:bCs/>
    </w:rPr>
  </w:style>
  <w:style w:type="paragraph" w:customStyle="1" w:styleId="Index">
    <w:name w:val="Index"/>
    <w:basedOn w:val="Normal"/>
    <w:qFormat/>
    <w:pPr>
      <w:suppressLineNumbers/>
    </w:pPr>
    <w:rPr>
      <w:rFonts w:cs="FreeSans"/>
    </w:rPr>
  </w:style>
  <w:style w:type="paragraph" w:styleId="Retraitcorpsdetexte3">
    <w:name w:val="Body Text Indent 3"/>
    <w:basedOn w:val="Normal"/>
    <w:qFormat/>
    <w:pPr>
      <w:spacing w:line="240" w:lineRule="atLeast"/>
      <w:ind w:firstLine="23"/>
      <w:jc w:val="left"/>
    </w:pPr>
  </w:style>
  <w:style w:type="paragraph" w:styleId="TM3">
    <w:name w:val="toc 3"/>
    <w:basedOn w:val="Normal"/>
    <w:next w:val="Normal"/>
    <w:uiPriority w:val="39"/>
    <w:pPr>
      <w:tabs>
        <w:tab w:val="right" w:leader="dot" w:pos="8504"/>
      </w:tabs>
      <w:ind w:left="1860" w:right="850" w:hanging="760"/>
    </w:pPr>
  </w:style>
  <w:style w:type="paragraph" w:styleId="TM2">
    <w:name w:val="toc 2"/>
    <w:basedOn w:val="Normal"/>
    <w:next w:val="Normal"/>
    <w:uiPriority w:val="39"/>
    <w:pPr>
      <w:tabs>
        <w:tab w:val="right" w:leader="dot" w:pos="8504"/>
      </w:tabs>
      <w:spacing w:line="360" w:lineRule="atLeast"/>
      <w:ind w:left="1100" w:right="850" w:hanging="600"/>
    </w:pPr>
  </w:style>
  <w:style w:type="paragraph" w:styleId="TM1">
    <w:name w:val="toc 1"/>
    <w:basedOn w:val="Normal"/>
    <w:next w:val="Normal"/>
    <w:uiPriority w:val="39"/>
    <w:pPr>
      <w:tabs>
        <w:tab w:val="right" w:leader="dot" w:pos="8504"/>
      </w:tabs>
      <w:spacing w:line="480" w:lineRule="atLeast"/>
      <w:ind w:left="520" w:right="850" w:hanging="520"/>
    </w:pPr>
  </w:style>
  <w:style w:type="paragraph" w:customStyle="1" w:styleId="HeaderandFooter">
    <w:name w:val="Header and Footer"/>
    <w:basedOn w:val="Normal"/>
    <w:qFormat/>
    <w:pPr>
      <w:suppressLineNumbers/>
      <w:tabs>
        <w:tab w:val="center" w:pos="4819"/>
        <w:tab w:val="right" w:pos="9638"/>
      </w:tabs>
    </w:pPr>
  </w:style>
  <w:style w:type="paragraph" w:styleId="Pieddepage">
    <w:name w:val="footer"/>
    <w:basedOn w:val="Normal"/>
    <w:pPr>
      <w:tabs>
        <w:tab w:val="center" w:pos="4252"/>
        <w:tab w:val="right" w:pos="8504"/>
      </w:tabs>
    </w:pPr>
  </w:style>
  <w:style w:type="paragraph" w:styleId="En-tte">
    <w:name w:val="header"/>
    <w:basedOn w:val="Normal"/>
    <w:pPr>
      <w:tabs>
        <w:tab w:val="center" w:pos="4320"/>
        <w:tab w:val="right" w:pos="8640"/>
      </w:tabs>
    </w:pPr>
  </w:style>
  <w:style w:type="paragraph" w:styleId="Notedebasdepage">
    <w:name w:val="footnote text"/>
    <w:basedOn w:val="Normal"/>
    <w:rPr>
      <w:sz w:val="20"/>
      <w:szCs w:val="20"/>
    </w:rPr>
  </w:style>
  <w:style w:type="paragraph" w:styleId="Retraitcorpsdetexte">
    <w:name w:val="Body Text Indent"/>
    <w:basedOn w:val="Normal"/>
    <w:pPr>
      <w:ind w:left="520"/>
    </w:pPr>
  </w:style>
  <w:style w:type="paragraph" w:styleId="Retraitcorpsdetexte2">
    <w:name w:val="Body Text Indent 2"/>
    <w:basedOn w:val="Normal"/>
    <w:qFormat/>
    <w:pPr>
      <w:ind w:left="992"/>
      <w:outlineLvl w:val="1"/>
    </w:pPr>
  </w:style>
  <w:style w:type="paragraph" w:styleId="Listepuces">
    <w:name w:val="List Bullet"/>
    <w:basedOn w:val="Normal"/>
    <w:qFormat/>
    <w:pPr>
      <w:ind w:left="0"/>
    </w:pPr>
  </w:style>
  <w:style w:type="paragraph" w:customStyle="1" w:styleId="Style1">
    <w:name w:val="Style1"/>
    <w:basedOn w:val="Titre3"/>
    <w:qFormat/>
    <w:pPr>
      <w:outlineLvl w:val="9"/>
    </w:pPr>
  </w:style>
  <w:style w:type="paragraph" w:customStyle="1" w:styleId="Style2">
    <w:name w:val="Style2"/>
    <w:basedOn w:val="Style1"/>
    <w:qFormat/>
    <w:pPr>
      <w:numPr>
        <w:numId w:val="3"/>
      </w:numPr>
    </w:pPr>
  </w:style>
  <w:style w:type="paragraph" w:styleId="Corpsdetexte2">
    <w:name w:val="Body Text 2"/>
    <w:basedOn w:val="Normal"/>
    <w:qFormat/>
    <w:pPr>
      <w:ind w:left="0"/>
    </w:pPr>
    <w:rPr>
      <w:rFonts w:ascii="Helvetica" w:hAnsi="Helvetica" w:cs="Helvetica"/>
      <w:sz w:val="18"/>
      <w:szCs w:val="18"/>
    </w:rPr>
  </w:style>
  <w:style w:type="paragraph" w:styleId="Corpsdetexte3">
    <w:name w:val="Body Text 3"/>
    <w:basedOn w:val="Normal"/>
    <w:qFormat/>
    <w:pPr>
      <w:spacing w:line="360" w:lineRule="auto"/>
      <w:ind w:left="0" w:right="1190"/>
    </w:pPr>
    <w:rPr>
      <w:i/>
      <w:iCs/>
    </w:rPr>
  </w:style>
  <w:style w:type="paragraph" w:styleId="TM4">
    <w:name w:val="toc 4"/>
    <w:basedOn w:val="Normal"/>
    <w:next w:val="Normal"/>
    <w:uiPriority w:val="39"/>
    <w:pPr>
      <w:ind w:left="660"/>
    </w:pPr>
  </w:style>
  <w:style w:type="paragraph" w:styleId="TM5">
    <w:name w:val="toc 5"/>
    <w:basedOn w:val="Normal"/>
    <w:next w:val="Normal"/>
    <w:uiPriority w:val="39"/>
    <w:pPr>
      <w:ind w:left="880"/>
    </w:pPr>
  </w:style>
  <w:style w:type="paragraph" w:styleId="TM6">
    <w:name w:val="toc 6"/>
    <w:basedOn w:val="Normal"/>
    <w:next w:val="Normal"/>
    <w:uiPriority w:val="39"/>
    <w:pPr>
      <w:ind w:left="1100"/>
    </w:pPr>
  </w:style>
  <w:style w:type="paragraph" w:styleId="TM7">
    <w:name w:val="toc 7"/>
    <w:basedOn w:val="Normal"/>
    <w:next w:val="Normal"/>
    <w:uiPriority w:val="39"/>
    <w:pPr>
      <w:ind w:left="1320"/>
    </w:pPr>
  </w:style>
  <w:style w:type="paragraph" w:styleId="TM8">
    <w:name w:val="toc 8"/>
    <w:basedOn w:val="Normal"/>
    <w:next w:val="Normal"/>
    <w:uiPriority w:val="39"/>
    <w:pPr>
      <w:ind w:left="1540"/>
    </w:pPr>
  </w:style>
  <w:style w:type="paragraph" w:styleId="TM9">
    <w:name w:val="toc 9"/>
    <w:basedOn w:val="Normal"/>
    <w:next w:val="Normal"/>
    <w:uiPriority w:val="39"/>
    <w:pPr>
      <w:ind w:left="1760"/>
    </w:pPr>
  </w:style>
  <w:style w:type="paragraph" w:styleId="Normalcentr">
    <w:name w:val="Block Text"/>
    <w:basedOn w:val="Normal"/>
    <w:qFormat/>
    <w:pPr>
      <w:tabs>
        <w:tab w:val="right" w:leader="dot" w:pos="8504"/>
      </w:tabs>
      <w:ind w:left="1418" w:right="900" w:hanging="1418"/>
    </w:pPr>
  </w:style>
  <w:style w:type="paragraph" w:styleId="Notedefin">
    <w:name w:val="endnote text"/>
    <w:basedOn w:val="Normal"/>
    <w:rPr>
      <w:sz w:val="20"/>
      <w:szCs w:val="20"/>
    </w:rPr>
  </w:style>
  <w:style w:type="paragraph" w:styleId="Liste2">
    <w:name w:val="List 2"/>
    <w:basedOn w:val="Normal"/>
    <w:qFormat/>
    <w:pPr>
      <w:ind w:left="566" w:hanging="283"/>
    </w:pPr>
  </w:style>
  <w:style w:type="paragraph" w:styleId="Listepuces2">
    <w:name w:val="List Bullet 2"/>
    <w:basedOn w:val="Normal"/>
    <w:qFormat/>
    <w:pPr>
      <w:numPr>
        <w:numId w:val="2"/>
      </w:numPr>
    </w:pPr>
  </w:style>
  <w:style w:type="paragraph" w:styleId="Listecontinue2">
    <w:name w:val="List Continue 2"/>
    <w:basedOn w:val="Normal"/>
    <w:qFormat/>
    <w:pPr>
      <w:spacing w:after="120"/>
      <w:ind w:left="566"/>
    </w:pPr>
  </w:style>
  <w:style w:type="paragraph" w:customStyle="1" w:styleId="Adressedest">
    <w:name w:val="Adresse dest."/>
    <w:basedOn w:val="Normal"/>
    <w:qFormat/>
  </w:style>
  <w:style w:type="paragraph" w:customStyle="1" w:styleId="lattention">
    <w:name w:val="À l'attention"/>
    <w:basedOn w:val="Corpsdetexte"/>
    <w:qFormat/>
  </w:style>
  <w:style w:type="paragraph" w:styleId="NormalWeb">
    <w:name w:val="Normal (Web)"/>
    <w:basedOn w:val="Normal"/>
    <w:qFormat/>
    <w:pPr>
      <w:spacing w:before="100" w:after="100"/>
      <w:ind w:left="0"/>
      <w:jc w:val="left"/>
      <w:outlineLvl w:val="9"/>
    </w:pPr>
    <w:rPr>
      <w:rFonts w:ascii="Times New Roman" w:hAnsi="Times New Roman" w:cs="Times New Roman"/>
      <w:sz w:val="24"/>
      <w:szCs w:val="24"/>
      <w:lang w:val="fr-FR"/>
    </w:rPr>
  </w:style>
  <w:style w:type="paragraph" w:customStyle="1" w:styleId="Enttedetableau">
    <w:name w:val="Entête de tableau"/>
    <w:basedOn w:val="Normal"/>
    <w:qFormat/>
    <w:pPr>
      <w:spacing w:before="60"/>
      <w:ind w:left="0"/>
      <w:jc w:val="center"/>
      <w:outlineLvl w:val="9"/>
    </w:pPr>
    <w:rPr>
      <w:rFonts w:ascii="Arial Black" w:hAnsi="Arial Black" w:cs="Times New Roman"/>
      <w:spacing w:val="-5"/>
      <w:sz w:val="16"/>
      <w:szCs w:val="20"/>
    </w:rPr>
  </w:style>
  <w:style w:type="paragraph" w:styleId="Sous-titre">
    <w:name w:val="Subtitle"/>
    <w:basedOn w:val="Heading"/>
    <w:next w:val="Corpsdetexte"/>
    <w:uiPriority w:val="11"/>
    <w:qFormat/>
    <w:pPr>
      <w:spacing w:before="60" w:after="120" w:line="340" w:lineRule="atLeast"/>
    </w:pPr>
    <w:rPr>
      <w:rFonts w:ascii="Arial" w:hAnsi="Arial" w:cs="Arial"/>
      <w:b/>
      <w:i/>
      <w:spacing w:val="-16"/>
      <w:sz w:val="32"/>
    </w:rPr>
  </w:style>
  <w:style w:type="paragraph" w:customStyle="1" w:styleId="Textedetableau">
    <w:name w:val="Texte de tableau"/>
    <w:basedOn w:val="Normal"/>
    <w:qFormat/>
    <w:pPr>
      <w:spacing w:before="60"/>
      <w:ind w:left="0"/>
      <w:jc w:val="left"/>
      <w:outlineLvl w:val="9"/>
    </w:pPr>
    <w:rPr>
      <w:rFonts w:ascii="Arial" w:hAnsi="Arial" w:cs="Times New Roman"/>
      <w:spacing w:val="-5"/>
      <w:sz w:val="16"/>
      <w:szCs w:val="20"/>
    </w:rPr>
  </w:style>
  <w:style w:type="paragraph" w:styleId="Paragraphedeliste">
    <w:name w:val="List Paragraph"/>
    <w:basedOn w:val="Normal"/>
    <w:qFormat/>
    <w:pPr>
      <w:spacing w:after="200" w:line="276" w:lineRule="auto"/>
      <w:ind w:left="720"/>
      <w:contextualSpacing/>
      <w:jc w:val="left"/>
      <w:outlineLvl w:val="9"/>
    </w:pPr>
    <w:rPr>
      <w:rFonts w:ascii="Cambria" w:eastAsia="Calibri" w:hAnsi="Cambria" w:cs="Times New Roman"/>
      <w:lang w:val="en-US" w:bidi="en-US"/>
    </w:rPr>
  </w:style>
  <w:style w:type="paragraph" w:customStyle="1" w:styleId="desc">
    <w:name w:val="desc"/>
    <w:basedOn w:val="Normal"/>
    <w:qFormat/>
    <w:pPr>
      <w:spacing w:before="100" w:after="100"/>
      <w:ind w:left="0"/>
      <w:jc w:val="left"/>
      <w:outlineLvl w:val="9"/>
    </w:pPr>
    <w:rPr>
      <w:rFonts w:ascii="Times New Roman" w:eastAsia="Calibri" w:hAnsi="Times New Roman" w:cs="Times New Roman"/>
      <w:sz w:val="24"/>
      <w:szCs w:val="24"/>
    </w:rPr>
  </w:style>
  <w:style w:type="paragraph" w:styleId="Textedebulles">
    <w:name w:val="Balloon Text"/>
    <w:basedOn w:val="Normal"/>
    <w:qFormat/>
    <w:rPr>
      <w:rFonts w:ascii="Tahoma" w:hAnsi="Tahoma" w:cs="Times New Roman"/>
      <w:sz w:val="16"/>
      <w:szCs w:val="16"/>
      <w:lang w:val="en-US"/>
    </w:rPr>
  </w:style>
  <w:style w:type="paragraph" w:styleId="Commentaire">
    <w:name w:val="annotation text"/>
    <w:basedOn w:val="Normal"/>
    <w:qFormat/>
    <w:rPr>
      <w:sz w:val="20"/>
      <w:szCs w:val="20"/>
    </w:rPr>
  </w:style>
  <w:style w:type="paragraph" w:styleId="Objetducommentaire">
    <w:name w:val="annotation subject"/>
    <w:basedOn w:val="Commentaire"/>
    <w:next w:val="Commentaire"/>
    <w:qFormat/>
    <w:rPr>
      <w:b/>
      <w:bCs/>
    </w:rPr>
  </w:style>
  <w:style w:type="paragraph" w:styleId="Rvision">
    <w:name w:val="Revision"/>
    <w:qFormat/>
    <w:pPr>
      <w:suppressAutoHyphens/>
    </w:pPr>
    <w:rPr>
      <w:rFonts w:ascii="Times" w:eastAsia="MS Mincho" w:hAnsi="Times" w:cs="Times"/>
      <w:sz w:val="22"/>
      <w:szCs w:val="22"/>
      <w:lang w:val="fr-CA" w:eastAsia="zh-CN"/>
    </w:rPr>
  </w:style>
  <w:style w:type="paragraph" w:styleId="En-ttedetabledesmatires">
    <w:name w:val="TOC Heading"/>
    <w:basedOn w:val="Titre1"/>
    <w:next w:val="Normal"/>
    <w:uiPriority w:val="39"/>
    <w:qFormat/>
    <w:pPr>
      <w:keepLines/>
      <w:numPr>
        <w:numId w:val="0"/>
      </w:numPr>
      <w:spacing w:after="0" w:line="256" w:lineRule="auto"/>
      <w:jc w:val="left"/>
      <w:outlineLvl w:val="9"/>
    </w:pPr>
    <w:rPr>
      <w:rFonts w:ascii="Aptos Display" w:eastAsia="Times New Roman" w:hAnsi="Aptos Display" w:cs="Times New Roman"/>
      <w:b w:val="0"/>
      <w:bCs w:val="0"/>
      <w:color w:val="0F4761"/>
      <w:kern w:val="0"/>
      <w:sz w:val="32"/>
      <w:szCs w:val="32"/>
      <w:lang w:val="fr-FR"/>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character" w:customStyle="1" w:styleId="Titre2Car">
    <w:name w:val="Titre 2 Car"/>
    <w:link w:val="Titre2"/>
    <w:uiPriority w:val="9"/>
    <w:rsid w:val="00927E59"/>
    <w:rPr>
      <w:rFonts w:ascii="Times" w:eastAsia="MS Mincho" w:hAnsi="Times" w:cs="Times"/>
      <w:b/>
      <w:bCs/>
      <w:sz w:val="22"/>
      <w:szCs w:val="22"/>
      <w:lang w:val="fr-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iso.org/fr/standard/72089.html" TargetMode="External"/><Relationship Id="rId26" Type="http://schemas.openxmlformats.org/officeDocument/2006/relationships/hyperlink" Target="https://patents.google.com/patent/CN118228587A/en" TargetMode="External"/><Relationship Id="rId39" Type="http://schemas.openxmlformats.org/officeDocument/2006/relationships/hyperlink" Target="https://www.iso.org/fr/standard/77520.html" TargetMode="External"/><Relationship Id="rId21" Type="http://schemas.openxmlformats.org/officeDocument/2006/relationships/hyperlink" Target="https://www.ansys.com/en-gb/products/digital-twin/ansys-twin-builder" TargetMode="External"/><Relationship Id="rId34" Type="http://schemas.openxmlformats.org/officeDocument/2006/relationships/hyperlink" Target="https://www.iso.org/fr/standard/81702.html" TargetMode="External"/><Relationship Id="rId42" Type="http://schemas.openxmlformats.org/officeDocument/2006/relationships/hyperlink" Target="http://gpp.oiq.qc.ca/Methodes_d_identification_des_dangers_et_d_analyse_des_risques.htm" TargetMode="External"/><Relationship Id="rId47" Type="http://schemas.openxmlformats.org/officeDocument/2006/relationships/hyperlink" Target="https://afg.quebec/documentation/publication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oiq.qc.ca/lordre/politiques-lois-et-reglements/lois-et-reglements-entourant-la-pratique-du-genie/" TargetMode="External"/><Relationship Id="rId11" Type="http://schemas.openxmlformats.org/officeDocument/2006/relationships/image" Target="media/image1.jpeg"/><Relationship Id="rId24" Type="http://schemas.openxmlformats.org/officeDocument/2006/relationships/hyperlink" Target="https://www.nrc.gov/about-nrc/regulatory/research/safetycodes" TargetMode="External"/><Relationship Id="rId32" Type="http://schemas.openxmlformats.org/officeDocument/2006/relationships/hyperlink" Target="https://laws-lois.justice.gc.ca/fra/reglements/DORS-2000-204/index.html" TargetMode="External"/><Relationship Id="rId37" Type="http://schemas.openxmlformats.org/officeDocument/2006/relationships/hyperlink" Target="https://www.iso.org/fr/standard/78176.html" TargetMode="External"/><Relationship Id="rId40" Type="http://schemas.openxmlformats.org/officeDocument/2006/relationships/hyperlink" Target="https://www.iso.org/fr/standard/82875.html" TargetMode="External"/><Relationship Id="rId45" Type="http://schemas.openxmlformats.org/officeDocument/2006/relationships/hyperlink" Target="https://webstore.iec.ch/publication/61109"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casella/ThermoPower" TargetMode="External"/><Relationship Id="rId28" Type="http://schemas.openxmlformats.org/officeDocument/2006/relationships/hyperlink" Target="https://www.legisquebec.gouv.qc.ca/fr/document/lc/I-9" TargetMode="External"/><Relationship Id="rId36" Type="http://schemas.openxmlformats.org/officeDocument/2006/relationships/hyperlink" Target="https://www.iso.org/fr/standard/78743.html"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cnsc-ccsn.gc.ca/fra/acts-and-regulations/regulatory-documents/published/html/regdoc2-1-1/" TargetMode="External"/><Relationship Id="rId31" Type="http://schemas.openxmlformats.org/officeDocument/2006/relationships/hyperlink" Target="https://laws-lois.justice.gc.ca/fra/reglements/DORS-2000-202/index.html" TargetMode="External"/><Relationship Id="rId44" Type="http://schemas.openxmlformats.org/officeDocument/2006/relationships/hyperlink" Target="https://www.un.org/sustainabledevelopment/fr/objectifs-de-developpement-durabl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iemens.com/en-us/products/simcenter/systems-simulation/amesim/" TargetMode="External"/><Relationship Id="rId27" Type="http://schemas.openxmlformats.org/officeDocument/2006/relationships/hyperlink" Target="https://patents.google.com/patent/CN118068765A/en" TargetMode="External"/><Relationship Id="rId30" Type="http://schemas.openxmlformats.org/officeDocument/2006/relationships/hyperlink" Target="https://laws-lois.justice.gc.ca/fra/lois/N-28.3/index.html" TargetMode="External"/><Relationship Id="rId35" Type="http://schemas.openxmlformats.org/officeDocument/2006/relationships/hyperlink" Target="https://www.iso.org/fr/standard/75066.html" TargetMode="External"/><Relationship Id="rId43" Type="http://schemas.openxmlformats.org/officeDocument/2006/relationships/hyperlink" Target="https://www.legisquebec.gouv.qc.ca/fr/document/rc/I-9,%20r.%206%20/" TargetMode="External"/><Relationship Id="rId48" Type="http://schemas.openxmlformats.org/officeDocument/2006/relationships/hyperlink" Target="https://www.uqac.ca/registraire/wp-content/uploads/2026/02/AUTOMNE-2026.pdf"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patents.google.com/patent/CN118709527B/en" TargetMode="External"/><Relationship Id="rId33" Type="http://schemas.openxmlformats.org/officeDocument/2006/relationships/hyperlink" Target="https://www.cnsc-ccsn.gc.ca/fra/acts-and-regulations/regulatory-documents/published/html/regdoc2-5-2-v2-1/" TargetMode="External"/><Relationship Id="rId38" Type="http://schemas.openxmlformats.org/officeDocument/2006/relationships/hyperlink" Target="https://www.iso.org/fr/standard/65694.html" TargetMode="External"/><Relationship Id="rId46" Type="http://schemas.openxmlformats.org/officeDocument/2006/relationships/hyperlink" Target="https://www.canada.ca/fr/commission-surete-nucleaire/nouvelles/2016/06/la-ccsn-delivre-un-permis-de-declassement-pour-l-installation-de-gentilly-2.html" TargetMode="External"/><Relationship Id="rId20" Type="http://schemas.openxmlformats.org/officeDocument/2006/relationships/hyperlink" Target="https://www.iso.org/fr/standard/90219.html" TargetMode="External"/><Relationship Id="rId41" Type="http://schemas.openxmlformats.org/officeDocument/2006/relationships/hyperlink" Target="https://www.iso.org/fr/standard/80585.html"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CADAF5620CD54AA5F65188030E7CD3" ma:contentTypeVersion="3" ma:contentTypeDescription="Crée un document." ma:contentTypeScope="" ma:versionID="58294c6d4a74a5a8f505087f6adebe93">
  <xsd:schema xmlns:xsd="http://www.w3.org/2001/XMLSchema" xmlns:xs="http://www.w3.org/2001/XMLSchema" xmlns:p="http://schemas.microsoft.com/office/2006/metadata/properties" xmlns:ns2="cca4720d-7861-448a-906e-9eecdd53594f" targetNamespace="http://schemas.microsoft.com/office/2006/metadata/properties" ma:root="true" ma:fieldsID="83fcd88ce5d98e92350d7fdd1631802f" ns2:_="">
    <xsd:import namespace="cca4720d-7861-448a-906e-9eecdd5359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4720d-7861-448a-906e-9eecdd5359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6BBB1-BC8A-42BC-B73B-FD6A3B525F14}">
  <ds:schemaRefs>
    <ds:schemaRef ds:uri="http://schemas.microsoft.com/sharepoint/v3/contenttype/forms"/>
  </ds:schemaRefs>
</ds:datastoreItem>
</file>

<file path=customXml/itemProps2.xml><?xml version="1.0" encoding="utf-8"?>
<ds:datastoreItem xmlns:ds="http://schemas.openxmlformats.org/officeDocument/2006/customXml" ds:itemID="{056760C4-E648-448F-8CEE-670A281FDE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A1A051-324B-48A8-884D-EB851ED9D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4720d-7861-448a-906e-9eecdd535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CCB4AD-D83F-4CBB-B16E-59EC1CFA3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24136</Words>
  <Characters>132749</Characters>
  <Application>Microsoft Office Word</Application>
  <DocSecurity>0</DocSecurity>
  <Lines>1106</Lines>
  <Paragraphs>313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Sawadogo</dc:creator>
  <cp:lastModifiedBy>Christian Sawadogo</cp:lastModifiedBy>
  <cp:revision>2</cp:revision>
  <dcterms:created xsi:type="dcterms:W3CDTF">2026-10-01T05:08:00Z</dcterms:created>
  <dcterms:modified xsi:type="dcterms:W3CDTF">2026-10-01T05:08:00Z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2016-09-26T21:09:00Z</dcterms:created>
  <dc:creator>Service informatique LAB 3-519</dc:creator>
  <dc:description/>
  <cp:keywords/>
  <dc:language>en-US</dc:language>
  <cp:lastModifiedBy>Christian Sawadogo</cp:lastModifiedBy>
  <cp:lastPrinted>2016-09-26T17:09:00Z</cp:lastPrinted>
  <dcterms:modified xsi:type="dcterms:W3CDTF">2026-09-20T16:31:00Z</dcterms:modified>
  <cp:revision>36</cp:revision>
  <dc:subject/>
  <dc:title>Plan de cours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0x010100A2CADAF5620CD54AA5F65188030E7CD3</vt:lpwstr>
  </property>
</Properties>
</file>