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metadata/core-properties" Target="docProps/core0.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D0EC77" w14:textId="77777777" w:rsidR="00F50D70" w:rsidRPr="00BE4F47" w:rsidRDefault="002A1CE1" w:rsidP="008E113B">
      <w:pPr>
        <w:keepNext/>
        <w:spacing w:line="360" w:lineRule="auto"/>
        <w:ind w:left="0"/>
        <w:outlineLvl w:val="9"/>
        <w:rPr>
          <w:rFonts w:ascii="Aptos" w:hAnsi="Aptos" w:cs="Arial"/>
          <w:b/>
          <w:sz w:val="40"/>
        </w:rPr>
      </w:pPr>
      <w:r>
        <w:rPr>
          <w:rFonts w:ascii="Aptos" w:hAnsi="Aptos"/>
          <w:noProof/>
        </w:rPr>
        <w:drawing>
          <wp:inline distT="0" distB="0" distL="0" distR="0" wp14:anchorId="29CEB848" wp14:editId="28EA24B1">
            <wp:extent cx="2225040" cy="1333500"/>
            <wp:effectExtent l="0" t="0" r="0" b="0"/>
            <wp:docPr id="1"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
                    <pic:cNvPicPr>
                      <a:picLocks noChangeAspect="1" noChangeArrowheads="1"/>
                    </pic:cNvPicPr>
                  </pic:nvPicPr>
                  <pic:blipFill>
                    <a:blip r:embed="rId11">
                      <a:extLst>
                        <a:ext uri="{28A0092B-C50C-407E-A947-70E740481C1C}">
                          <a14:useLocalDpi xmlns:a14="http://schemas.microsoft.com/office/drawing/2010/main" val="0"/>
                        </a:ext>
                      </a:extLst>
                    </a:blip>
                    <a:srcRect l="-11" t="-18" r="-11" b="-18"/>
                    <a:stretch>
                      <a:fillRect/>
                    </a:stretch>
                  </pic:blipFill>
                  <pic:spPr bwMode="auto">
                    <a:xfrm>
                      <a:off x="0" y="0"/>
                      <a:ext cx="2225040" cy="1333500"/>
                    </a:xfrm>
                    <a:prstGeom prst="rect">
                      <a:avLst/>
                    </a:prstGeom>
                    <a:noFill/>
                    <a:ln>
                      <a:noFill/>
                    </a:ln>
                  </pic:spPr>
                </pic:pic>
              </a:graphicData>
            </a:graphic>
          </wp:inline>
        </w:drawing>
      </w:r>
      <w:r w:rsidR="00273A91" w:rsidRPr="00BE4F47">
        <w:rPr>
          <w:rFonts w:ascii="Aptos" w:eastAsia="Times" w:hAnsi="Aptos"/>
          <w:b/>
          <w:sz w:val="40"/>
        </w:rPr>
        <w:t xml:space="preserve"> </w:t>
      </w:r>
    </w:p>
    <w:p w14:paraId="720C4C7F" w14:textId="77777777" w:rsidR="00F50D70" w:rsidRPr="00BE4F47" w:rsidRDefault="00F50D70" w:rsidP="008E113B">
      <w:pPr>
        <w:spacing w:line="360" w:lineRule="auto"/>
        <w:ind w:left="0"/>
        <w:outlineLvl w:val="9"/>
        <w:rPr>
          <w:rFonts w:ascii="Aptos" w:hAnsi="Aptos" w:cs="Arial"/>
          <w:b/>
          <w:sz w:val="40"/>
        </w:rPr>
      </w:pPr>
    </w:p>
    <w:p w14:paraId="5CDF97F9" w14:textId="77777777" w:rsidR="00F50D70" w:rsidRPr="00BE4F47" w:rsidRDefault="00137D7F" w:rsidP="008E113B">
      <w:pPr>
        <w:pBdr>
          <w:bottom w:val="single" w:sz="6" w:space="1" w:color="000000"/>
        </w:pBdr>
        <w:spacing w:line="360" w:lineRule="auto"/>
        <w:ind w:left="0" w:right="-77"/>
        <w:jc w:val="right"/>
        <w:outlineLvl w:val="9"/>
        <w:rPr>
          <w:rFonts w:ascii="Aptos" w:hAnsi="Aptos" w:cs="Arial"/>
          <w:b/>
          <w:sz w:val="24"/>
          <w:szCs w:val="24"/>
        </w:rPr>
      </w:pPr>
      <w:r w:rsidRPr="00BE4F47">
        <w:rPr>
          <w:rFonts w:ascii="Aptos" w:eastAsia="Calibri" w:hAnsi="Aptos" w:cs="Calibri"/>
          <w:b/>
          <w:color w:val="1A1A19"/>
          <w:sz w:val="20"/>
          <w:szCs w:val="20"/>
        </w:rPr>
        <w:t>MODULE D’INGÉNIERIE</w:t>
      </w:r>
    </w:p>
    <w:p w14:paraId="08D624C5" w14:textId="77777777" w:rsidR="00F50D70" w:rsidRPr="00BE4F47" w:rsidRDefault="00137D7F" w:rsidP="008E113B">
      <w:pPr>
        <w:pBdr>
          <w:bottom w:val="single" w:sz="6" w:space="1" w:color="000000"/>
        </w:pBdr>
        <w:spacing w:line="360" w:lineRule="auto"/>
        <w:ind w:left="0" w:right="-77"/>
        <w:jc w:val="right"/>
        <w:outlineLvl w:val="9"/>
        <w:rPr>
          <w:rFonts w:ascii="Aptos" w:hAnsi="Aptos" w:cs="Arial"/>
          <w:b/>
          <w:sz w:val="24"/>
          <w:szCs w:val="24"/>
        </w:rPr>
      </w:pPr>
      <w:r w:rsidRPr="00BE4F47">
        <w:rPr>
          <w:rFonts w:ascii="Aptos" w:eastAsia="Calibri" w:hAnsi="Aptos" w:cs="Calibri"/>
          <w:b/>
          <w:color w:val="1A1A19"/>
          <w:sz w:val="20"/>
          <w:szCs w:val="20"/>
        </w:rPr>
        <w:t>GÉNIE INFORMATIQUE</w:t>
      </w:r>
    </w:p>
    <w:p w14:paraId="1A4D4FF8" w14:textId="3E52B72C" w:rsidR="00F50D70" w:rsidRPr="00BE4F47" w:rsidRDefault="00137D7F" w:rsidP="008E113B">
      <w:pPr>
        <w:pBdr>
          <w:bottom w:val="single" w:sz="6" w:space="1" w:color="000000"/>
        </w:pBdr>
        <w:spacing w:line="360" w:lineRule="auto"/>
        <w:ind w:left="0" w:right="-77"/>
        <w:jc w:val="right"/>
        <w:outlineLvl w:val="9"/>
        <w:rPr>
          <w:rFonts w:ascii="Aptos" w:hAnsi="Aptos" w:cs="Arial"/>
        </w:rPr>
      </w:pPr>
      <w:r w:rsidRPr="00BE4F47">
        <w:rPr>
          <w:rFonts w:ascii="Aptos" w:eastAsia="Calibri" w:hAnsi="Aptos" w:cs="Calibri"/>
          <w:b/>
          <w:color w:val="1A1A19"/>
          <w:sz w:val="20"/>
          <w:szCs w:val="20"/>
        </w:rPr>
        <w:t>6GEN</w:t>
      </w:r>
      <w:r w:rsidR="00F355AE" w:rsidRPr="00BE4F47">
        <w:rPr>
          <w:rFonts w:ascii="Aptos" w:eastAsia="Calibri" w:hAnsi="Aptos" w:cs="Calibri"/>
          <w:b/>
          <w:color w:val="1A1A19"/>
          <w:sz w:val="20"/>
          <w:szCs w:val="20"/>
        </w:rPr>
        <w:t xml:space="preserve">135 </w:t>
      </w:r>
      <w:r w:rsidR="002F3B50" w:rsidRPr="00BE4F47">
        <w:rPr>
          <w:rFonts w:ascii="Aptos" w:eastAsia="Calibri" w:hAnsi="Aptos" w:cs="Calibri"/>
          <w:b/>
          <w:color w:val="1A1A19"/>
          <w:sz w:val="20"/>
          <w:szCs w:val="20"/>
        </w:rPr>
        <w:t>· INGÉNIERIE</w:t>
      </w:r>
      <w:r w:rsidRPr="00BE4F47">
        <w:rPr>
          <w:rFonts w:ascii="Aptos" w:eastAsia="Calibri" w:hAnsi="Aptos" w:cs="Calibri"/>
          <w:b/>
          <w:color w:val="1A1A19"/>
          <w:sz w:val="20"/>
          <w:szCs w:val="20"/>
        </w:rPr>
        <w:t> : MÉTHODES ET PRATIQUE II</w:t>
      </w:r>
    </w:p>
    <w:p w14:paraId="23018BA0" w14:textId="77777777" w:rsidR="00F50D70" w:rsidRPr="00BE4F47" w:rsidRDefault="00F50D70" w:rsidP="008E113B">
      <w:pPr>
        <w:spacing w:line="360" w:lineRule="auto"/>
        <w:outlineLvl w:val="9"/>
        <w:rPr>
          <w:rFonts w:ascii="Aptos" w:hAnsi="Aptos" w:cs="Arial"/>
        </w:rPr>
      </w:pPr>
    </w:p>
    <w:p w14:paraId="64D07111" w14:textId="7757EFA1" w:rsidR="00F50D70" w:rsidRPr="00BE4F47" w:rsidRDefault="00137D7F" w:rsidP="00DD219E">
      <w:pPr>
        <w:pStyle w:val="Heading"/>
        <w:pBdr>
          <w:bottom w:val="single" w:sz="4" w:space="24" w:color="000000"/>
        </w:pBdr>
        <w:spacing w:after="0" w:line="360" w:lineRule="auto"/>
        <w:jc w:val="right"/>
        <w:rPr>
          <w:rFonts w:ascii="Aptos" w:hAnsi="Aptos"/>
        </w:rPr>
      </w:pPr>
      <w:r w:rsidRPr="00BE4F47">
        <w:rPr>
          <w:rFonts w:ascii="Aptos" w:hAnsi="Aptos"/>
        </w:rPr>
        <w:t>Plan de projet</w:t>
      </w:r>
    </w:p>
    <w:p w14:paraId="2B8E8D8A" w14:textId="77777777" w:rsidR="00F50D70" w:rsidRPr="00BE4F47" w:rsidRDefault="00137D7F" w:rsidP="008E113B">
      <w:pPr>
        <w:pStyle w:val="Heading"/>
        <w:spacing w:after="0" w:line="360" w:lineRule="auto"/>
        <w:jc w:val="center"/>
        <w:rPr>
          <w:rFonts w:ascii="Aptos" w:hAnsi="Aptos" w:cs="Arial"/>
          <w:b/>
          <w:sz w:val="28"/>
          <w:szCs w:val="28"/>
        </w:rPr>
      </w:pPr>
      <w:r w:rsidRPr="00BE4F47">
        <w:rPr>
          <w:rFonts w:ascii="Aptos" w:hAnsi="Aptos" w:cs="Arial"/>
          <w:b/>
          <w:sz w:val="28"/>
          <w:szCs w:val="28"/>
        </w:rPr>
        <w:t>Projet :</w:t>
      </w:r>
    </w:p>
    <w:p w14:paraId="16D8C459" w14:textId="48657575" w:rsidR="00F50D70" w:rsidRPr="003578D3" w:rsidRDefault="00DD219E" w:rsidP="003578D3">
      <w:pPr>
        <w:pStyle w:val="Heading"/>
        <w:pBdr>
          <w:bottom w:val="single" w:sz="4" w:space="24" w:color="000000"/>
        </w:pBdr>
        <w:spacing w:after="0" w:line="360" w:lineRule="auto"/>
        <w:jc w:val="right"/>
        <w:rPr>
          <w:rFonts w:ascii="Aptos" w:hAnsi="Aptos"/>
          <w:sz w:val="36"/>
          <w:szCs w:val="18"/>
        </w:rPr>
      </w:pPr>
      <w:r w:rsidRPr="003578D3">
        <w:rPr>
          <w:rFonts w:ascii="Aptos" w:hAnsi="Aptos"/>
          <w:sz w:val="36"/>
          <w:szCs w:val="18"/>
        </w:rPr>
        <w:t xml:space="preserve">Jumeau </w:t>
      </w:r>
      <w:proofErr w:type="gramStart"/>
      <w:r>
        <w:rPr>
          <w:rFonts w:ascii="Aptos" w:hAnsi="Aptos"/>
          <w:sz w:val="36"/>
          <w:szCs w:val="18"/>
        </w:rPr>
        <w:t>numérique</w:t>
      </w:r>
      <w:r w:rsidR="003578D3" w:rsidRPr="003578D3">
        <w:rPr>
          <w:rFonts w:ascii="Aptos" w:hAnsi="Aptos"/>
          <w:sz w:val="36"/>
          <w:szCs w:val="18"/>
        </w:rPr>
        <w:t xml:space="preserve"> </w:t>
      </w:r>
      <w:r w:rsidR="003578D3">
        <w:rPr>
          <w:rFonts w:ascii="Aptos" w:hAnsi="Aptos"/>
          <w:sz w:val="36"/>
          <w:szCs w:val="18"/>
        </w:rPr>
        <w:t xml:space="preserve"> </w:t>
      </w:r>
      <w:r w:rsidR="003578D3" w:rsidRPr="003578D3">
        <w:rPr>
          <w:rFonts w:ascii="Aptos" w:hAnsi="Aptos"/>
          <w:sz w:val="36"/>
          <w:szCs w:val="18"/>
        </w:rPr>
        <w:t>de</w:t>
      </w:r>
      <w:proofErr w:type="gramEnd"/>
      <w:r w:rsidR="003578D3">
        <w:rPr>
          <w:rFonts w:ascii="Aptos" w:hAnsi="Aptos"/>
          <w:sz w:val="36"/>
          <w:szCs w:val="18"/>
        </w:rPr>
        <w:t xml:space="preserve"> </w:t>
      </w:r>
      <w:proofErr w:type="gramStart"/>
      <w:r w:rsidR="003578D3" w:rsidRPr="003578D3">
        <w:rPr>
          <w:rFonts w:ascii="Aptos" w:hAnsi="Aptos"/>
          <w:sz w:val="36"/>
          <w:szCs w:val="18"/>
        </w:rPr>
        <w:t>surveillance</w:t>
      </w:r>
      <w:r w:rsidR="003578D3">
        <w:rPr>
          <w:rFonts w:ascii="Aptos" w:hAnsi="Aptos"/>
          <w:sz w:val="36"/>
          <w:szCs w:val="18"/>
        </w:rPr>
        <w:t xml:space="preserve"> </w:t>
      </w:r>
      <w:r w:rsidR="00137D7F" w:rsidRPr="003578D3">
        <w:rPr>
          <w:rFonts w:ascii="Aptos" w:hAnsi="Aptos"/>
          <w:sz w:val="36"/>
          <w:szCs w:val="18"/>
        </w:rPr>
        <w:t xml:space="preserve"> d’une</w:t>
      </w:r>
      <w:proofErr w:type="gramEnd"/>
      <w:r w:rsidR="00137D7F" w:rsidRPr="003578D3">
        <w:rPr>
          <w:rFonts w:ascii="Aptos" w:hAnsi="Aptos"/>
          <w:sz w:val="36"/>
          <w:szCs w:val="18"/>
        </w:rPr>
        <w:t xml:space="preserve"> </w:t>
      </w:r>
      <w:r w:rsidR="003578D3">
        <w:rPr>
          <w:rFonts w:ascii="Aptos" w:hAnsi="Aptos"/>
          <w:sz w:val="36"/>
          <w:szCs w:val="18"/>
        </w:rPr>
        <w:t xml:space="preserve"> </w:t>
      </w:r>
      <w:r w:rsidR="00137D7F" w:rsidRPr="003578D3">
        <w:rPr>
          <w:rFonts w:ascii="Aptos" w:hAnsi="Aptos"/>
          <w:sz w:val="36"/>
          <w:szCs w:val="18"/>
        </w:rPr>
        <w:t xml:space="preserve">boucle </w:t>
      </w:r>
      <w:proofErr w:type="spellStart"/>
      <w:r w:rsidR="00137D7F" w:rsidRPr="003578D3">
        <w:rPr>
          <w:rFonts w:ascii="Aptos" w:hAnsi="Aptos"/>
          <w:sz w:val="36"/>
          <w:szCs w:val="18"/>
        </w:rPr>
        <w:t>thermohydraulique</w:t>
      </w:r>
      <w:proofErr w:type="spellEnd"/>
    </w:p>
    <w:p w14:paraId="14F13C50" w14:textId="77777777" w:rsidR="00F50D70" w:rsidRPr="00BE4F47" w:rsidRDefault="00F50D70" w:rsidP="008E113B">
      <w:pPr>
        <w:spacing w:line="360" w:lineRule="auto"/>
        <w:outlineLvl w:val="9"/>
        <w:rPr>
          <w:rFonts w:ascii="Aptos" w:hAnsi="Aptos" w:cs="Arial"/>
          <w:b/>
          <w:sz w:val="28"/>
          <w:szCs w:val="28"/>
        </w:rPr>
      </w:pPr>
    </w:p>
    <w:p w14:paraId="05A38276" w14:textId="77777777" w:rsidR="00F50D70" w:rsidRPr="00BE4F47" w:rsidRDefault="00F50D70" w:rsidP="008E113B">
      <w:pPr>
        <w:spacing w:line="360" w:lineRule="auto"/>
        <w:outlineLvl w:val="9"/>
        <w:rPr>
          <w:rFonts w:ascii="Aptos" w:hAnsi="Aptos"/>
        </w:rPr>
      </w:pPr>
    </w:p>
    <w:p w14:paraId="6CD0A196" w14:textId="77777777" w:rsidR="00F50D70" w:rsidRPr="00BE4F47" w:rsidRDefault="00F50D70" w:rsidP="008E113B">
      <w:pPr>
        <w:spacing w:line="360" w:lineRule="auto"/>
        <w:outlineLvl w:val="9"/>
        <w:rPr>
          <w:rFonts w:ascii="Aptos" w:hAnsi="Aptos"/>
        </w:rPr>
      </w:pPr>
    </w:p>
    <w:p w14:paraId="1AD3E497" w14:textId="77777777" w:rsidR="00F50D70" w:rsidRPr="00BE4F47" w:rsidRDefault="00137D7F" w:rsidP="008E113B">
      <w:pPr>
        <w:spacing w:line="360" w:lineRule="auto"/>
        <w:ind w:left="0"/>
        <w:jc w:val="center"/>
        <w:outlineLvl w:val="9"/>
        <w:rPr>
          <w:rFonts w:ascii="Aptos" w:hAnsi="Aptos"/>
          <w:sz w:val="24"/>
          <w:szCs w:val="24"/>
        </w:rPr>
      </w:pPr>
      <w:r w:rsidRPr="00BE4F47">
        <w:rPr>
          <w:rFonts w:ascii="Aptos" w:eastAsia="Calibri" w:hAnsi="Aptos" w:cs="Calibri"/>
          <w:color w:val="1A1A19"/>
          <w:sz w:val="20"/>
          <w:szCs w:val="20"/>
        </w:rPr>
        <w:t>Préparé par</w:t>
      </w:r>
    </w:p>
    <w:p w14:paraId="4DF53A50" w14:textId="77777777" w:rsidR="00F50D70" w:rsidRPr="00BE4F47" w:rsidRDefault="00F50D70" w:rsidP="008E113B">
      <w:pPr>
        <w:spacing w:line="360" w:lineRule="auto"/>
        <w:ind w:left="0"/>
        <w:outlineLvl w:val="9"/>
        <w:rPr>
          <w:rFonts w:ascii="Aptos" w:hAnsi="Aptos"/>
          <w:sz w:val="24"/>
          <w:szCs w:val="24"/>
        </w:rPr>
      </w:pPr>
    </w:p>
    <w:p w14:paraId="53CAF783" w14:textId="77777777" w:rsidR="00F50D70" w:rsidRPr="00BE4F47" w:rsidRDefault="00137D7F" w:rsidP="008E113B">
      <w:pPr>
        <w:spacing w:line="360" w:lineRule="auto"/>
        <w:ind w:left="0"/>
        <w:jc w:val="center"/>
        <w:outlineLvl w:val="9"/>
        <w:rPr>
          <w:rFonts w:ascii="Aptos" w:hAnsi="Aptos"/>
        </w:rPr>
      </w:pPr>
      <w:r w:rsidRPr="00BE4F47">
        <w:rPr>
          <w:rFonts w:ascii="Aptos" w:eastAsia="Calibri" w:hAnsi="Aptos" w:cs="Calibri"/>
          <w:color w:val="1A1A19"/>
          <w:sz w:val="20"/>
          <w:szCs w:val="20"/>
        </w:rPr>
        <w:t>Christian Kévin Sawadogo, Abdoul Raouf Kabré, Rayane Arèmou Akorede Alimi, Ibrahima Diallo, Aboubacar Sidiki Yansané, Djasra Wilson Thoroum, Jérémie Arno Tchawo Soppewe et Abdramane Dramé</w:t>
      </w:r>
    </w:p>
    <w:p w14:paraId="2C863E5F" w14:textId="77777777" w:rsidR="00F50D70" w:rsidRPr="00BE4F47" w:rsidRDefault="00F50D70" w:rsidP="008E113B">
      <w:pPr>
        <w:spacing w:line="360" w:lineRule="auto"/>
        <w:ind w:left="0"/>
        <w:outlineLvl w:val="9"/>
        <w:rPr>
          <w:rFonts w:ascii="Aptos" w:hAnsi="Aptos"/>
        </w:rPr>
      </w:pPr>
    </w:p>
    <w:p w14:paraId="35139DED" w14:textId="77777777" w:rsidR="00F50D70" w:rsidRPr="00BE4F47" w:rsidRDefault="00F50D70" w:rsidP="008E113B">
      <w:pPr>
        <w:spacing w:line="360" w:lineRule="auto"/>
        <w:ind w:left="0"/>
        <w:outlineLvl w:val="9"/>
        <w:rPr>
          <w:rFonts w:ascii="Aptos" w:hAnsi="Aptos"/>
        </w:rPr>
      </w:pPr>
    </w:p>
    <w:p w14:paraId="4C9E57A7" w14:textId="77777777" w:rsidR="00F50D70" w:rsidRPr="00BE4F47" w:rsidRDefault="00F50D70" w:rsidP="008E113B">
      <w:pPr>
        <w:spacing w:line="360" w:lineRule="auto"/>
        <w:ind w:left="0"/>
        <w:outlineLvl w:val="9"/>
        <w:rPr>
          <w:rFonts w:ascii="Aptos" w:hAnsi="Aptos"/>
        </w:rPr>
      </w:pPr>
    </w:p>
    <w:p w14:paraId="7195713D" w14:textId="77777777" w:rsidR="00F50D70" w:rsidRPr="00BE4F47" w:rsidRDefault="00137D7F" w:rsidP="008E113B">
      <w:pPr>
        <w:spacing w:line="360" w:lineRule="auto"/>
        <w:ind w:left="0"/>
        <w:jc w:val="center"/>
        <w:outlineLvl w:val="9"/>
        <w:rPr>
          <w:rFonts w:ascii="Aptos" w:hAnsi="Aptos"/>
        </w:rPr>
      </w:pPr>
      <w:r w:rsidRPr="00BE4F47">
        <w:rPr>
          <w:rFonts w:ascii="Aptos" w:eastAsia="Calibri" w:hAnsi="Aptos" w:cs="Calibri"/>
          <w:color w:val="1A1A19"/>
          <w:sz w:val="20"/>
          <w:szCs w:val="20"/>
        </w:rPr>
        <w:t>Pour</w:t>
      </w:r>
    </w:p>
    <w:p w14:paraId="0D262D9F" w14:textId="77777777" w:rsidR="00F50D70" w:rsidRPr="00BE4F47" w:rsidRDefault="00F50D70" w:rsidP="008E113B">
      <w:pPr>
        <w:spacing w:line="360" w:lineRule="auto"/>
        <w:ind w:left="0"/>
        <w:jc w:val="center"/>
        <w:outlineLvl w:val="9"/>
        <w:rPr>
          <w:rFonts w:ascii="Aptos" w:hAnsi="Aptos"/>
        </w:rPr>
      </w:pPr>
    </w:p>
    <w:p w14:paraId="43829A2B" w14:textId="77777777" w:rsidR="00F50D70" w:rsidRPr="00BE4F47" w:rsidRDefault="00137D7F" w:rsidP="008E113B">
      <w:pPr>
        <w:spacing w:line="360" w:lineRule="auto"/>
        <w:ind w:left="0"/>
        <w:jc w:val="center"/>
        <w:outlineLvl w:val="9"/>
        <w:rPr>
          <w:rFonts w:ascii="Aptos" w:hAnsi="Aptos"/>
        </w:rPr>
      </w:pPr>
      <w:r w:rsidRPr="00BE4F47">
        <w:rPr>
          <w:rFonts w:ascii="Aptos" w:eastAsia="Calibri" w:hAnsi="Aptos" w:cs="Calibri"/>
          <w:color w:val="1A1A19"/>
          <w:sz w:val="20"/>
          <w:szCs w:val="20"/>
        </w:rPr>
        <w:t>HYDRO-QUÉBEC  (client fictif du scénario de cours)</w:t>
      </w:r>
    </w:p>
    <w:p w14:paraId="04614675" w14:textId="77777777" w:rsidR="00F50D70" w:rsidRPr="00BE4F47" w:rsidRDefault="00F50D70" w:rsidP="008E113B">
      <w:pPr>
        <w:spacing w:line="360" w:lineRule="auto"/>
        <w:ind w:left="0"/>
        <w:jc w:val="center"/>
        <w:outlineLvl w:val="9"/>
        <w:rPr>
          <w:rFonts w:ascii="Aptos" w:hAnsi="Aptos"/>
        </w:rPr>
      </w:pPr>
    </w:p>
    <w:p w14:paraId="22D89A06" w14:textId="77777777" w:rsidR="00F50D70" w:rsidRPr="00BE4F47" w:rsidRDefault="00F50D70" w:rsidP="008E113B">
      <w:pPr>
        <w:spacing w:line="360" w:lineRule="auto"/>
        <w:ind w:left="0"/>
        <w:jc w:val="center"/>
        <w:outlineLvl w:val="9"/>
        <w:rPr>
          <w:rFonts w:ascii="Aptos" w:hAnsi="Aptos"/>
        </w:rPr>
      </w:pPr>
    </w:p>
    <w:p w14:paraId="6A998F66" w14:textId="77777777" w:rsidR="00F50D70" w:rsidRPr="00BE4F47" w:rsidRDefault="00137D7F" w:rsidP="008E113B">
      <w:pPr>
        <w:spacing w:line="360" w:lineRule="auto"/>
        <w:ind w:left="0"/>
        <w:jc w:val="center"/>
        <w:outlineLvl w:val="9"/>
        <w:rPr>
          <w:rFonts w:ascii="Aptos" w:hAnsi="Aptos"/>
        </w:rPr>
      </w:pPr>
      <w:r w:rsidRPr="00BE4F47">
        <w:rPr>
          <w:rFonts w:ascii="Aptos" w:eastAsia="Calibri" w:hAnsi="Aptos" w:cs="Calibri"/>
          <w:color w:val="1A1A19"/>
          <w:sz w:val="20"/>
          <w:szCs w:val="20"/>
        </w:rPr>
        <w:t>2 octobre 2026</w:t>
      </w:r>
    </w:p>
    <w:p w14:paraId="201F373D" w14:textId="77777777" w:rsidR="00F50D70" w:rsidRPr="00BE4F47" w:rsidRDefault="00F50D70" w:rsidP="008E113B">
      <w:pPr>
        <w:spacing w:line="360" w:lineRule="auto"/>
        <w:ind w:left="0"/>
        <w:outlineLvl w:val="9"/>
        <w:rPr>
          <w:rFonts w:ascii="Aptos" w:hAnsi="Aptos"/>
        </w:rPr>
      </w:pPr>
    </w:p>
    <w:p w14:paraId="6896EA50" w14:textId="77777777" w:rsidR="00F50D70" w:rsidRPr="00BE4F47" w:rsidRDefault="00F50D70" w:rsidP="008E113B">
      <w:pPr>
        <w:spacing w:line="360" w:lineRule="auto"/>
        <w:ind w:left="0"/>
        <w:jc w:val="center"/>
        <w:outlineLvl w:val="9"/>
        <w:rPr>
          <w:rFonts w:ascii="Aptos" w:hAnsi="Aptos"/>
        </w:rPr>
      </w:pPr>
    </w:p>
    <w:p w14:paraId="00A7E006" w14:textId="77777777" w:rsidR="00F50D70" w:rsidRPr="00BE4F47" w:rsidRDefault="00F50D70" w:rsidP="008E113B">
      <w:pPr>
        <w:spacing w:line="360" w:lineRule="auto"/>
        <w:ind w:left="0"/>
        <w:jc w:val="center"/>
        <w:outlineLvl w:val="9"/>
        <w:rPr>
          <w:rFonts w:ascii="Aptos" w:hAnsi="Aptos"/>
        </w:rPr>
      </w:pPr>
    </w:p>
    <w:p w14:paraId="4349FB4E" w14:textId="77777777" w:rsidR="00F50D70" w:rsidRPr="00BE4F47" w:rsidRDefault="00F50D70" w:rsidP="008E113B">
      <w:pPr>
        <w:spacing w:line="360" w:lineRule="auto"/>
        <w:ind w:left="0"/>
        <w:jc w:val="center"/>
        <w:outlineLvl w:val="9"/>
        <w:rPr>
          <w:rFonts w:ascii="Aptos" w:hAnsi="Aptos"/>
        </w:rPr>
      </w:pPr>
    </w:p>
    <w:p w14:paraId="083AB0DD" w14:textId="77777777" w:rsidR="00F50D70" w:rsidRPr="00BE4F47" w:rsidRDefault="00F50D70" w:rsidP="008E113B">
      <w:pPr>
        <w:tabs>
          <w:tab w:val="left" w:pos="5670"/>
        </w:tabs>
        <w:spacing w:line="360" w:lineRule="auto"/>
        <w:ind w:left="0"/>
        <w:outlineLvl w:val="9"/>
        <w:rPr>
          <w:rFonts w:ascii="Aptos" w:hAnsi="Aptos"/>
        </w:rPr>
      </w:pPr>
    </w:p>
    <w:p w14:paraId="4E9FBED7" w14:textId="77777777" w:rsidR="00F50D70" w:rsidRPr="00BE4F47" w:rsidRDefault="00137D7F" w:rsidP="008E113B">
      <w:pPr>
        <w:tabs>
          <w:tab w:val="left" w:pos="5670"/>
        </w:tabs>
        <w:spacing w:line="360" w:lineRule="auto"/>
        <w:ind w:left="0"/>
        <w:outlineLvl w:val="9"/>
        <w:rPr>
          <w:rFonts w:ascii="Aptos" w:hAnsi="Aptos"/>
        </w:rPr>
      </w:pPr>
      <w:r w:rsidRPr="00BE4F47">
        <w:rPr>
          <w:rFonts w:ascii="Aptos" w:eastAsia="Calibri" w:hAnsi="Aptos" w:cs="Calibri"/>
          <w:color w:val="1A1A19"/>
          <w:sz w:val="20"/>
          <w:szCs w:val="20"/>
        </w:rPr>
        <w:t xml:space="preserve">CONSEILLER :  Martin Otis, </w:t>
      </w:r>
      <w:proofErr w:type="spellStart"/>
      <w:r w:rsidRPr="00BE4F47">
        <w:rPr>
          <w:rFonts w:ascii="Aptos" w:eastAsia="Calibri" w:hAnsi="Aptos" w:cs="Calibri"/>
          <w:color w:val="1A1A19"/>
          <w:sz w:val="20"/>
          <w:szCs w:val="20"/>
        </w:rPr>
        <w:t>ing</w:t>
      </w:r>
      <w:proofErr w:type="spellEnd"/>
      <w:r w:rsidRPr="00BE4F47">
        <w:rPr>
          <w:rFonts w:ascii="Aptos" w:eastAsia="Calibri" w:hAnsi="Aptos" w:cs="Calibri"/>
          <w:color w:val="1A1A19"/>
          <w:sz w:val="20"/>
          <w:szCs w:val="20"/>
        </w:rPr>
        <w:t>.</w:t>
      </w:r>
    </w:p>
    <w:p w14:paraId="61690C8E" w14:textId="77777777" w:rsidR="00F50D70" w:rsidRPr="00BE4F47" w:rsidRDefault="00F50D70" w:rsidP="008E113B">
      <w:pPr>
        <w:tabs>
          <w:tab w:val="left" w:pos="5670"/>
        </w:tabs>
        <w:spacing w:line="360" w:lineRule="auto"/>
        <w:ind w:left="0"/>
        <w:outlineLvl w:val="9"/>
        <w:rPr>
          <w:rFonts w:ascii="Aptos" w:hAnsi="Aptos"/>
        </w:rPr>
      </w:pPr>
    </w:p>
    <w:p w14:paraId="1613843F" w14:textId="77777777" w:rsidR="00F50D70" w:rsidRPr="00BE4F47" w:rsidRDefault="00F50D70" w:rsidP="008E113B">
      <w:pPr>
        <w:tabs>
          <w:tab w:val="left" w:pos="5670"/>
        </w:tabs>
        <w:spacing w:line="360" w:lineRule="auto"/>
        <w:ind w:left="0"/>
        <w:outlineLvl w:val="9"/>
        <w:rPr>
          <w:rFonts w:ascii="Aptos" w:hAnsi="Aptos"/>
        </w:rPr>
      </w:pPr>
    </w:p>
    <w:p w14:paraId="05C52481" w14:textId="77777777" w:rsidR="00F50D70" w:rsidRPr="00BE4F47" w:rsidRDefault="00F50D70" w:rsidP="008E113B">
      <w:pPr>
        <w:spacing w:line="360" w:lineRule="auto"/>
        <w:ind w:left="0"/>
        <w:outlineLvl w:val="9"/>
        <w:rPr>
          <w:rFonts w:ascii="Aptos" w:hAnsi="Aptos"/>
        </w:rPr>
      </w:pPr>
    </w:p>
    <w:p w14:paraId="77162481" w14:textId="77777777" w:rsidR="00F50D70" w:rsidRPr="00BE4F47" w:rsidRDefault="00F50D70" w:rsidP="008E113B">
      <w:pPr>
        <w:spacing w:line="360" w:lineRule="auto"/>
        <w:outlineLvl w:val="9"/>
        <w:rPr>
          <w:rFonts w:ascii="Aptos" w:hAnsi="Aptos"/>
        </w:rPr>
      </w:pPr>
    </w:p>
    <w:p w14:paraId="2783592F" w14:textId="77777777" w:rsidR="00F50D70" w:rsidRPr="00BE4F47" w:rsidRDefault="00F50D70" w:rsidP="008E113B">
      <w:pPr>
        <w:spacing w:line="360" w:lineRule="auto"/>
        <w:outlineLvl w:val="9"/>
        <w:rPr>
          <w:rFonts w:ascii="Aptos" w:hAnsi="Aptos"/>
        </w:rPr>
      </w:pPr>
    </w:p>
    <w:p w14:paraId="75011E56" w14:textId="77777777" w:rsidR="00F50D70" w:rsidRPr="00BE4F47" w:rsidRDefault="00F50D70" w:rsidP="008E113B">
      <w:pPr>
        <w:spacing w:line="360" w:lineRule="auto"/>
        <w:outlineLvl w:val="9"/>
        <w:rPr>
          <w:rFonts w:ascii="Aptos" w:hAnsi="Aptos"/>
        </w:rPr>
      </w:pPr>
    </w:p>
    <w:p w14:paraId="46F5C746" w14:textId="77777777" w:rsidR="00F50D70" w:rsidRPr="00BE4F47" w:rsidRDefault="00F50D70" w:rsidP="008E113B">
      <w:pPr>
        <w:spacing w:line="360" w:lineRule="auto"/>
        <w:outlineLvl w:val="9"/>
        <w:rPr>
          <w:rFonts w:ascii="Aptos" w:hAnsi="Aptos"/>
        </w:rPr>
      </w:pPr>
    </w:p>
    <w:tbl>
      <w:tblPr>
        <w:tblW w:w="7020" w:type="dxa"/>
        <w:tblInd w:w="648" w:type="dxa"/>
        <w:tblLayout w:type="fixed"/>
        <w:tblLook w:val="04A0" w:firstRow="1" w:lastRow="0" w:firstColumn="1" w:lastColumn="0" w:noHBand="0" w:noVBand="1"/>
      </w:tblPr>
      <w:tblGrid>
        <w:gridCol w:w="2154"/>
        <w:gridCol w:w="4866"/>
      </w:tblGrid>
      <w:tr w:rsidR="00F50D70" w:rsidRPr="00BE4F47" w14:paraId="0AA2A24C" w14:textId="77777777">
        <w:tc>
          <w:tcPr>
            <w:tcW w:w="7020" w:type="dxa"/>
            <w:gridSpan w:val="2"/>
            <w:tcBorders>
              <w:top w:val="single" w:sz="6" w:space="0" w:color="000000"/>
              <w:left w:val="single" w:sz="6" w:space="0" w:color="000000"/>
              <w:bottom w:val="single" w:sz="4" w:space="0" w:color="000000"/>
              <w:right w:val="single" w:sz="6" w:space="0" w:color="000000"/>
            </w:tcBorders>
          </w:tcPr>
          <w:p w14:paraId="5DEA8FFC" w14:textId="77777777" w:rsidR="00F50D70" w:rsidRPr="00BE4F47" w:rsidRDefault="00137D7F" w:rsidP="008E113B">
            <w:pPr>
              <w:pStyle w:val="Enttedetableau"/>
              <w:spacing w:before="20" w:after="20"/>
              <w:rPr>
                <w:rFonts w:ascii="Aptos" w:hAnsi="Aptos"/>
              </w:rPr>
            </w:pPr>
            <w:r w:rsidRPr="00BE4F47">
              <w:rPr>
                <w:rFonts w:ascii="Aptos" w:hAnsi="Aptos" w:cs="Arial"/>
                <w:b/>
                <w:sz w:val="20"/>
              </w:rPr>
              <w:t>Approbation de la proposition de services pour diffusion</w:t>
            </w:r>
          </w:p>
        </w:tc>
      </w:tr>
      <w:tr w:rsidR="00F50D70" w:rsidRPr="00BE4F47" w14:paraId="45FF45FF" w14:textId="77777777">
        <w:tc>
          <w:tcPr>
            <w:tcW w:w="2154" w:type="dxa"/>
            <w:tcBorders>
              <w:left w:val="single" w:sz="6" w:space="0" w:color="000000"/>
            </w:tcBorders>
          </w:tcPr>
          <w:p w14:paraId="1C38F8BB" w14:textId="77777777" w:rsidR="00F50D70" w:rsidRPr="00BE4F47" w:rsidRDefault="00137D7F" w:rsidP="008E113B">
            <w:pPr>
              <w:pStyle w:val="Textedetableau"/>
              <w:spacing w:before="20" w:after="20"/>
              <w:rPr>
                <w:rFonts w:ascii="Aptos" w:hAnsi="Aptos"/>
              </w:rPr>
            </w:pPr>
            <w:r w:rsidRPr="00BE4F47">
              <w:rPr>
                <w:rFonts w:ascii="Aptos" w:hAnsi="Aptos"/>
                <w:sz w:val="20"/>
              </w:rPr>
              <w:t>Nom du conseiller</w:t>
            </w:r>
          </w:p>
        </w:tc>
        <w:tc>
          <w:tcPr>
            <w:tcW w:w="4866" w:type="dxa"/>
            <w:tcBorders>
              <w:right w:val="single" w:sz="6" w:space="0" w:color="000000"/>
            </w:tcBorders>
          </w:tcPr>
          <w:p w14:paraId="50AADD79" w14:textId="77777777" w:rsidR="00F50D70" w:rsidRPr="00BE4F47" w:rsidRDefault="00F50D70" w:rsidP="008E113B">
            <w:pPr>
              <w:pStyle w:val="Textedetableau"/>
              <w:snapToGrid w:val="0"/>
              <w:spacing w:before="20" w:after="20"/>
              <w:rPr>
                <w:rFonts w:ascii="Aptos" w:hAnsi="Aptos"/>
                <w:sz w:val="20"/>
              </w:rPr>
            </w:pPr>
          </w:p>
        </w:tc>
      </w:tr>
      <w:tr w:rsidR="00F50D70" w:rsidRPr="00BE4F47" w14:paraId="1AD1F6E8" w14:textId="77777777">
        <w:tc>
          <w:tcPr>
            <w:tcW w:w="2154" w:type="dxa"/>
            <w:tcBorders>
              <w:left w:val="single" w:sz="6" w:space="0" w:color="000000"/>
            </w:tcBorders>
          </w:tcPr>
          <w:p w14:paraId="6D2D15B6" w14:textId="77777777" w:rsidR="00F50D70" w:rsidRPr="00BE4F47" w:rsidRDefault="00137D7F" w:rsidP="008E113B">
            <w:pPr>
              <w:pStyle w:val="Textedetableau"/>
              <w:spacing w:before="20" w:after="20"/>
              <w:rPr>
                <w:rFonts w:ascii="Aptos" w:hAnsi="Aptos"/>
                <w:sz w:val="20"/>
              </w:rPr>
            </w:pPr>
            <w:r w:rsidRPr="00BE4F47">
              <w:rPr>
                <w:rFonts w:ascii="Aptos" w:hAnsi="Aptos"/>
                <w:sz w:val="20"/>
              </w:rPr>
              <w:t>Date</w:t>
            </w:r>
          </w:p>
        </w:tc>
        <w:tc>
          <w:tcPr>
            <w:tcW w:w="4866" w:type="dxa"/>
            <w:tcBorders>
              <w:right w:val="single" w:sz="6" w:space="0" w:color="000000"/>
            </w:tcBorders>
          </w:tcPr>
          <w:p w14:paraId="75A6CB4B" w14:textId="77777777" w:rsidR="00F50D70" w:rsidRPr="00BE4F47" w:rsidRDefault="00F50D70" w:rsidP="008E113B">
            <w:pPr>
              <w:pStyle w:val="Textedetableau"/>
              <w:snapToGrid w:val="0"/>
              <w:spacing w:before="20" w:after="20"/>
              <w:rPr>
                <w:rFonts w:ascii="Aptos" w:hAnsi="Aptos"/>
                <w:sz w:val="20"/>
              </w:rPr>
            </w:pPr>
          </w:p>
        </w:tc>
      </w:tr>
      <w:tr w:rsidR="00F50D70" w:rsidRPr="00BE4F47" w14:paraId="5A813CBB" w14:textId="77777777">
        <w:tc>
          <w:tcPr>
            <w:tcW w:w="2154" w:type="dxa"/>
            <w:tcBorders>
              <w:left w:val="single" w:sz="6" w:space="0" w:color="000000"/>
              <w:bottom w:val="single" w:sz="4" w:space="0" w:color="000000"/>
            </w:tcBorders>
          </w:tcPr>
          <w:p w14:paraId="03F9E319" w14:textId="77777777" w:rsidR="00F50D70" w:rsidRPr="00BE4F47" w:rsidRDefault="00137D7F" w:rsidP="008E113B">
            <w:pPr>
              <w:pStyle w:val="Textedetableau"/>
              <w:spacing w:before="20" w:after="20"/>
              <w:rPr>
                <w:rFonts w:ascii="Aptos" w:hAnsi="Aptos"/>
                <w:sz w:val="20"/>
              </w:rPr>
            </w:pPr>
            <w:r w:rsidRPr="00BE4F47">
              <w:rPr>
                <w:rFonts w:ascii="Aptos" w:hAnsi="Aptos"/>
                <w:sz w:val="20"/>
              </w:rPr>
              <w:t>Signature</w:t>
            </w:r>
          </w:p>
        </w:tc>
        <w:tc>
          <w:tcPr>
            <w:tcW w:w="4866" w:type="dxa"/>
            <w:tcBorders>
              <w:bottom w:val="single" w:sz="4" w:space="0" w:color="000000"/>
              <w:right w:val="single" w:sz="6" w:space="0" w:color="000000"/>
            </w:tcBorders>
          </w:tcPr>
          <w:p w14:paraId="2489EE21" w14:textId="77777777" w:rsidR="00F50D70" w:rsidRPr="00BE4F47" w:rsidRDefault="00F50D70" w:rsidP="008E113B">
            <w:pPr>
              <w:pStyle w:val="Textedetableau"/>
              <w:snapToGrid w:val="0"/>
              <w:spacing w:before="20" w:after="20"/>
              <w:rPr>
                <w:rFonts w:ascii="Aptos" w:hAnsi="Aptos"/>
                <w:sz w:val="20"/>
              </w:rPr>
            </w:pPr>
          </w:p>
        </w:tc>
      </w:tr>
    </w:tbl>
    <w:p w14:paraId="2B03BC7C" w14:textId="77777777" w:rsidR="00F50D70" w:rsidRPr="00BE4F47" w:rsidRDefault="00F50D70" w:rsidP="008E113B">
      <w:pPr>
        <w:spacing w:line="360" w:lineRule="auto"/>
        <w:outlineLvl w:val="9"/>
        <w:rPr>
          <w:rFonts w:ascii="Aptos" w:hAnsi="Aptos"/>
        </w:rPr>
      </w:pPr>
    </w:p>
    <w:p w14:paraId="49629FC3" w14:textId="77777777" w:rsidR="00F50D70" w:rsidRPr="00BE4F47" w:rsidRDefault="00F50D70" w:rsidP="008E113B">
      <w:pPr>
        <w:spacing w:line="360" w:lineRule="auto"/>
        <w:ind w:left="0"/>
        <w:outlineLvl w:val="9"/>
        <w:rPr>
          <w:rFonts w:ascii="Aptos" w:hAnsi="Aptos"/>
        </w:rPr>
      </w:pPr>
    </w:p>
    <w:p w14:paraId="6797D6F3" w14:textId="77777777" w:rsidR="00F50D70" w:rsidRPr="00BE4F47" w:rsidRDefault="00F50D70" w:rsidP="008E113B">
      <w:pPr>
        <w:spacing w:line="360" w:lineRule="auto"/>
        <w:ind w:left="0"/>
        <w:outlineLvl w:val="9"/>
        <w:rPr>
          <w:rFonts w:ascii="Aptos" w:eastAsia="DengXian Light" w:hAnsi="Aptos"/>
          <w:b/>
          <w:bCs/>
          <w:color w:val="2F5496"/>
          <w:sz w:val="32"/>
          <w:szCs w:val="32"/>
          <w:lang w:eastAsia="en-US"/>
        </w:rPr>
      </w:pPr>
    </w:p>
    <w:p w14:paraId="471E23AF" w14:textId="77777777" w:rsidR="00F50D70" w:rsidRPr="00BE4F47" w:rsidRDefault="00137D7F" w:rsidP="008E113B">
      <w:pPr>
        <w:spacing w:line="360" w:lineRule="auto"/>
        <w:ind w:left="0"/>
        <w:outlineLvl w:val="9"/>
        <w:rPr>
          <w:rFonts w:ascii="Aptos" w:eastAsia="DengXian Light" w:hAnsi="Aptos"/>
          <w:bCs/>
          <w:color w:val="2F5496"/>
          <w:sz w:val="32"/>
          <w:szCs w:val="32"/>
          <w:lang w:eastAsia="en-US"/>
        </w:rPr>
      </w:pPr>
      <w:r w:rsidRPr="00BE4F47">
        <w:rPr>
          <w:rFonts w:ascii="Aptos" w:eastAsia="Calibri" w:hAnsi="Aptos" w:cs="Calibri"/>
          <w:bCs/>
          <w:color w:val="1A1A19"/>
          <w:sz w:val="20"/>
          <w:szCs w:val="20"/>
          <w:lang w:eastAsia="en-US"/>
        </w:rPr>
        <w:t>Historique des révisions</w:t>
      </w:r>
    </w:p>
    <w:tbl>
      <w:tblPr>
        <w:tblW w:w="9054" w:type="dxa"/>
        <w:tblLayout w:type="fixed"/>
        <w:tblLook w:val="04A0" w:firstRow="1" w:lastRow="0" w:firstColumn="1" w:lastColumn="0" w:noHBand="0" w:noVBand="1"/>
      </w:tblPr>
      <w:tblGrid>
        <w:gridCol w:w="2250"/>
        <w:gridCol w:w="2263"/>
        <w:gridCol w:w="2282"/>
        <w:gridCol w:w="2259"/>
      </w:tblGrid>
      <w:tr w:rsidR="00F50D70" w:rsidRPr="00BE4F47" w14:paraId="7F0B08DC" w14:textId="77777777">
        <w:tc>
          <w:tcPr>
            <w:tcW w:w="2126" w:type="dxa"/>
            <w:tcBorders>
              <w:top w:val="single" w:sz="4" w:space="0" w:color="000000"/>
              <w:left w:val="single" w:sz="4" w:space="0" w:color="000000"/>
              <w:bottom w:val="single" w:sz="4" w:space="0" w:color="000000"/>
              <w:right w:val="single" w:sz="4" w:space="0" w:color="000000"/>
            </w:tcBorders>
            <w:shd w:val="clear" w:color="auto" w:fill="C5E0B3"/>
          </w:tcPr>
          <w:p w14:paraId="6A4BD0A1" w14:textId="77777777" w:rsidR="00F50D70" w:rsidRPr="00BE4F47" w:rsidRDefault="00137D7F" w:rsidP="008E113B">
            <w:pPr>
              <w:spacing w:before="20" w:after="20"/>
              <w:ind w:left="0"/>
              <w:jc w:val="left"/>
              <w:outlineLvl w:val="9"/>
              <w:rPr>
                <w:rFonts w:ascii="Aptos" w:eastAsia="Calibri" w:hAnsi="Aptos" w:cs="Times New Roman"/>
                <w:b/>
                <w:lang w:eastAsia="en-US"/>
              </w:rPr>
            </w:pPr>
            <w:r w:rsidRPr="00BE4F47">
              <w:rPr>
                <w:rFonts w:ascii="Aptos" w:eastAsia="Calibri" w:hAnsi="Aptos" w:cs="Times New Roman"/>
                <w:b/>
                <w:lang w:eastAsia="en-US"/>
              </w:rPr>
              <w:t>Date</w:t>
            </w:r>
          </w:p>
        </w:tc>
        <w:tc>
          <w:tcPr>
            <w:tcW w:w="2139" w:type="dxa"/>
            <w:tcBorders>
              <w:top w:val="single" w:sz="4" w:space="0" w:color="000000"/>
              <w:left w:val="single" w:sz="4" w:space="0" w:color="000000"/>
              <w:bottom w:val="single" w:sz="4" w:space="0" w:color="000000"/>
              <w:right w:val="single" w:sz="4" w:space="0" w:color="000000"/>
            </w:tcBorders>
            <w:shd w:val="clear" w:color="auto" w:fill="C5E0B3"/>
          </w:tcPr>
          <w:p w14:paraId="798FAB71" w14:textId="77777777" w:rsidR="00F50D70" w:rsidRPr="00BE4F47" w:rsidRDefault="00137D7F" w:rsidP="008E113B">
            <w:pPr>
              <w:spacing w:before="20" w:after="20"/>
              <w:ind w:left="0"/>
              <w:jc w:val="left"/>
              <w:outlineLvl w:val="9"/>
              <w:rPr>
                <w:rFonts w:ascii="Aptos" w:eastAsia="Calibri" w:hAnsi="Aptos" w:cs="Times New Roman"/>
                <w:b/>
                <w:lang w:eastAsia="en-US"/>
              </w:rPr>
            </w:pPr>
            <w:r w:rsidRPr="00BE4F47">
              <w:rPr>
                <w:rFonts w:ascii="Aptos" w:eastAsia="Calibri" w:hAnsi="Aptos" w:cs="Times New Roman"/>
                <w:b/>
                <w:lang w:eastAsia="en-US"/>
              </w:rPr>
              <w:t>Version</w:t>
            </w:r>
          </w:p>
        </w:tc>
        <w:tc>
          <w:tcPr>
            <w:tcW w:w="2157" w:type="dxa"/>
            <w:tcBorders>
              <w:top w:val="single" w:sz="4" w:space="0" w:color="000000"/>
              <w:left w:val="single" w:sz="4" w:space="0" w:color="000000"/>
              <w:bottom w:val="single" w:sz="4" w:space="0" w:color="000000"/>
              <w:right w:val="single" w:sz="4" w:space="0" w:color="000000"/>
            </w:tcBorders>
            <w:shd w:val="clear" w:color="auto" w:fill="C5E0B3"/>
          </w:tcPr>
          <w:p w14:paraId="17B11107" w14:textId="77777777" w:rsidR="00F50D70" w:rsidRPr="00BE4F47" w:rsidRDefault="00137D7F" w:rsidP="008E113B">
            <w:pPr>
              <w:spacing w:before="20" w:after="20"/>
              <w:ind w:left="0"/>
              <w:jc w:val="left"/>
              <w:outlineLvl w:val="9"/>
              <w:rPr>
                <w:rFonts w:ascii="Aptos" w:eastAsia="Calibri" w:hAnsi="Aptos" w:cs="Times New Roman"/>
                <w:b/>
                <w:lang w:eastAsia="en-US"/>
              </w:rPr>
            </w:pPr>
            <w:r w:rsidRPr="00BE4F47">
              <w:rPr>
                <w:rFonts w:ascii="Aptos" w:eastAsia="Calibri" w:hAnsi="Aptos" w:cs="Times New Roman"/>
                <w:b/>
                <w:lang w:eastAsia="en-US"/>
              </w:rPr>
              <w:t>Description</w:t>
            </w:r>
          </w:p>
        </w:tc>
        <w:tc>
          <w:tcPr>
            <w:tcW w:w="2135" w:type="dxa"/>
            <w:tcBorders>
              <w:top w:val="single" w:sz="4" w:space="0" w:color="000000"/>
              <w:left w:val="single" w:sz="4" w:space="0" w:color="000000"/>
              <w:bottom w:val="single" w:sz="4" w:space="0" w:color="000000"/>
              <w:right w:val="single" w:sz="4" w:space="0" w:color="000000"/>
            </w:tcBorders>
            <w:shd w:val="clear" w:color="auto" w:fill="C5E0B3"/>
          </w:tcPr>
          <w:p w14:paraId="7EE7007F" w14:textId="77777777" w:rsidR="00F50D70" w:rsidRPr="00BE4F47" w:rsidRDefault="00137D7F" w:rsidP="008E113B">
            <w:pPr>
              <w:spacing w:before="20" w:after="20"/>
              <w:ind w:left="0"/>
              <w:jc w:val="left"/>
              <w:outlineLvl w:val="9"/>
              <w:rPr>
                <w:rFonts w:ascii="Aptos" w:eastAsia="Calibri" w:hAnsi="Aptos" w:cs="Times New Roman"/>
                <w:b/>
                <w:lang w:eastAsia="en-US"/>
              </w:rPr>
            </w:pPr>
            <w:r w:rsidRPr="00BE4F47">
              <w:rPr>
                <w:rFonts w:ascii="Aptos" w:eastAsia="Calibri" w:hAnsi="Aptos" w:cs="Times New Roman"/>
                <w:b/>
                <w:lang w:eastAsia="en-US"/>
              </w:rPr>
              <w:t>Auteur</w:t>
            </w:r>
          </w:p>
        </w:tc>
      </w:tr>
      <w:tr w:rsidR="00F50D70" w:rsidRPr="00BE4F47" w14:paraId="622E64D5" w14:textId="77777777">
        <w:tc>
          <w:tcPr>
            <w:tcW w:w="2126" w:type="dxa"/>
            <w:tcBorders>
              <w:top w:val="single" w:sz="4" w:space="0" w:color="000000"/>
              <w:left w:val="single" w:sz="4" w:space="0" w:color="000000"/>
              <w:bottom w:val="single" w:sz="4" w:space="0" w:color="000000"/>
              <w:right w:val="single" w:sz="4" w:space="0" w:color="000000"/>
            </w:tcBorders>
          </w:tcPr>
          <w:p w14:paraId="655FE285" w14:textId="77777777" w:rsidR="00F50D70" w:rsidRPr="00BE4F47" w:rsidRDefault="00137D7F" w:rsidP="008E113B">
            <w:pPr>
              <w:snapToGrid w:val="0"/>
              <w:spacing w:before="20" w:after="20"/>
              <w:ind w:left="0"/>
              <w:jc w:val="left"/>
              <w:outlineLvl w:val="9"/>
              <w:rPr>
                <w:rFonts w:ascii="Aptos" w:eastAsia="Calibri" w:hAnsi="Aptos" w:cs="Times New Roman"/>
                <w:b/>
                <w:lang w:eastAsia="en-US"/>
              </w:rPr>
            </w:pPr>
            <w:r w:rsidRPr="00BE4F47">
              <w:rPr>
                <w:rFonts w:ascii="Aptos" w:eastAsia="Calibri" w:hAnsi="Aptos" w:cs="Times New Roman"/>
                <w:b/>
                <w:lang w:eastAsia="en-US"/>
              </w:rPr>
              <w:t>2 octobre 2026</w:t>
            </w:r>
          </w:p>
        </w:tc>
        <w:tc>
          <w:tcPr>
            <w:tcW w:w="2139" w:type="dxa"/>
            <w:tcBorders>
              <w:top w:val="single" w:sz="4" w:space="0" w:color="000000"/>
              <w:left w:val="single" w:sz="4" w:space="0" w:color="000000"/>
              <w:bottom w:val="single" w:sz="4" w:space="0" w:color="000000"/>
              <w:right w:val="single" w:sz="4" w:space="0" w:color="000000"/>
            </w:tcBorders>
          </w:tcPr>
          <w:p w14:paraId="2A81F93C" w14:textId="77777777" w:rsidR="00F50D70" w:rsidRPr="00BE4F47" w:rsidRDefault="00137D7F"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1.0</w:t>
            </w:r>
          </w:p>
        </w:tc>
        <w:tc>
          <w:tcPr>
            <w:tcW w:w="2157" w:type="dxa"/>
            <w:tcBorders>
              <w:top w:val="single" w:sz="4" w:space="0" w:color="000000"/>
              <w:left w:val="single" w:sz="4" w:space="0" w:color="000000"/>
              <w:bottom w:val="single" w:sz="4" w:space="0" w:color="000000"/>
              <w:right w:val="single" w:sz="4" w:space="0" w:color="000000"/>
            </w:tcBorders>
          </w:tcPr>
          <w:p w14:paraId="5743425F" w14:textId="77777777" w:rsidR="00F50D70" w:rsidRPr="00BE4F47" w:rsidRDefault="00137D7F"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Première version consolidée du plan de projet.</w:t>
            </w:r>
          </w:p>
        </w:tc>
        <w:tc>
          <w:tcPr>
            <w:tcW w:w="2135" w:type="dxa"/>
            <w:tcBorders>
              <w:top w:val="single" w:sz="4" w:space="0" w:color="000000"/>
              <w:left w:val="single" w:sz="4" w:space="0" w:color="000000"/>
              <w:bottom w:val="single" w:sz="4" w:space="0" w:color="000000"/>
              <w:right w:val="single" w:sz="4" w:space="0" w:color="000000"/>
            </w:tcBorders>
          </w:tcPr>
          <w:p w14:paraId="4A560C9B" w14:textId="77777777" w:rsidR="00F50D70" w:rsidRPr="00BE4F47" w:rsidRDefault="00137D7F"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Christian Kévin Sawadogo</w:t>
            </w:r>
          </w:p>
        </w:tc>
      </w:tr>
    </w:tbl>
    <w:p w14:paraId="6FFB84A2" w14:textId="77777777" w:rsidR="00F50D70" w:rsidRPr="00BE4F47" w:rsidRDefault="00F50D70" w:rsidP="008E113B">
      <w:pPr>
        <w:keepLines/>
        <w:spacing w:before="240" w:line="360" w:lineRule="auto"/>
        <w:ind w:left="0"/>
        <w:jc w:val="left"/>
        <w:outlineLvl w:val="0"/>
        <w:rPr>
          <w:rFonts w:ascii="Aptos" w:eastAsia="DengXian Light" w:hAnsi="Aptos" w:cs="Times New Roman"/>
          <w:color w:val="2F5496"/>
          <w:sz w:val="32"/>
          <w:szCs w:val="32"/>
          <w:lang w:eastAsia="en-US"/>
        </w:rPr>
      </w:pPr>
    </w:p>
    <w:p w14:paraId="1F1C1B23" w14:textId="77777777" w:rsidR="00F50D70" w:rsidRPr="00BE4F47" w:rsidRDefault="00137D7F" w:rsidP="008E113B">
      <w:pPr>
        <w:spacing w:line="360" w:lineRule="auto"/>
        <w:ind w:left="0"/>
        <w:outlineLvl w:val="9"/>
        <w:rPr>
          <w:rFonts w:ascii="Aptos" w:eastAsia="DengXian Light" w:hAnsi="Aptos"/>
          <w:bCs/>
          <w:color w:val="2F5496"/>
          <w:sz w:val="32"/>
          <w:szCs w:val="32"/>
          <w:lang w:eastAsia="en-US"/>
        </w:rPr>
      </w:pPr>
      <w:bookmarkStart w:id="0" w:name="__RefHeading___Toc240715052"/>
      <w:bookmarkEnd w:id="0"/>
      <w:r w:rsidRPr="00BE4F47">
        <w:rPr>
          <w:rFonts w:ascii="Aptos" w:eastAsia="Calibri" w:hAnsi="Aptos" w:cs="Calibri"/>
          <w:bCs/>
          <w:color w:val="1A1A19"/>
          <w:sz w:val="20"/>
          <w:szCs w:val="20"/>
          <w:lang w:eastAsia="en-US"/>
        </w:rPr>
        <w:t>Définitions</w:t>
      </w:r>
    </w:p>
    <w:tbl>
      <w:tblPr>
        <w:tblW w:w="9054" w:type="dxa"/>
        <w:tblLayout w:type="fixed"/>
        <w:tblLook w:val="04A0" w:firstRow="1" w:lastRow="0" w:firstColumn="1" w:lastColumn="0" w:noHBand="0" w:noVBand="1"/>
      </w:tblPr>
      <w:tblGrid>
        <w:gridCol w:w="2434"/>
        <w:gridCol w:w="6620"/>
      </w:tblGrid>
      <w:tr w:rsidR="00F50D70" w:rsidRPr="00BE4F47" w14:paraId="45B04663" w14:textId="77777777">
        <w:tc>
          <w:tcPr>
            <w:tcW w:w="2300" w:type="dxa"/>
            <w:tcBorders>
              <w:top w:val="single" w:sz="4" w:space="0" w:color="000000"/>
              <w:left w:val="single" w:sz="4" w:space="0" w:color="000000"/>
              <w:bottom w:val="single" w:sz="4" w:space="0" w:color="000000"/>
              <w:right w:val="single" w:sz="4" w:space="0" w:color="000000"/>
            </w:tcBorders>
            <w:shd w:val="clear" w:color="auto" w:fill="C5E0B3"/>
          </w:tcPr>
          <w:p w14:paraId="1449D0EE" w14:textId="77777777" w:rsidR="00F50D70" w:rsidRPr="00BE4F47" w:rsidRDefault="00137D7F" w:rsidP="008E113B">
            <w:pPr>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Terme</w:t>
            </w:r>
          </w:p>
        </w:tc>
        <w:tc>
          <w:tcPr>
            <w:tcW w:w="6257" w:type="dxa"/>
            <w:tcBorders>
              <w:top w:val="single" w:sz="4" w:space="0" w:color="000000"/>
              <w:left w:val="single" w:sz="4" w:space="0" w:color="000000"/>
              <w:bottom w:val="single" w:sz="4" w:space="0" w:color="000000"/>
              <w:right w:val="single" w:sz="4" w:space="0" w:color="000000"/>
            </w:tcBorders>
            <w:shd w:val="clear" w:color="auto" w:fill="C5E0B3"/>
          </w:tcPr>
          <w:p w14:paraId="6EE0EB50" w14:textId="77777777" w:rsidR="00F50D70" w:rsidRPr="00BE4F47" w:rsidRDefault="00137D7F" w:rsidP="008E113B">
            <w:pPr>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Définition</w:t>
            </w:r>
          </w:p>
        </w:tc>
      </w:tr>
      <w:tr w:rsidR="00F50D70" w:rsidRPr="00BE4F47" w14:paraId="61FB179C" w14:textId="77777777">
        <w:tc>
          <w:tcPr>
            <w:tcW w:w="2300" w:type="dxa"/>
            <w:tcBorders>
              <w:top w:val="single" w:sz="4" w:space="0" w:color="000000"/>
              <w:left w:val="single" w:sz="4" w:space="0" w:color="000000"/>
              <w:bottom w:val="single" w:sz="4" w:space="0" w:color="000000"/>
              <w:right w:val="single" w:sz="4" w:space="0" w:color="000000"/>
            </w:tcBorders>
          </w:tcPr>
          <w:p w14:paraId="16891437" w14:textId="77777777" w:rsidR="00F50D70" w:rsidRPr="00BE4F47" w:rsidRDefault="00137D7F"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Jumeau numérique</w:t>
            </w:r>
          </w:p>
        </w:tc>
        <w:tc>
          <w:tcPr>
            <w:tcW w:w="6257" w:type="dxa"/>
            <w:tcBorders>
              <w:top w:val="single" w:sz="4" w:space="0" w:color="000000"/>
              <w:left w:val="single" w:sz="4" w:space="0" w:color="000000"/>
              <w:bottom w:val="single" w:sz="4" w:space="0" w:color="000000"/>
              <w:right w:val="single" w:sz="4" w:space="0" w:color="000000"/>
            </w:tcBorders>
          </w:tcPr>
          <w:p w14:paraId="23D94A10" w14:textId="77777777" w:rsidR="00F50D70" w:rsidRPr="00BE4F47" w:rsidRDefault="00137D7F"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Modèle numérique d’un système réel qui reproduit son comportement et permet de l’étudier sans agir sur lui. Ici, les données qui l’alimentent sont simulées et le prototype n’agit sur aucune installation.</w:t>
            </w:r>
          </w:p>
        </w:tc>
      </w:tr>
      <w:tr w:rsidR="00F50D70" w:rsidRPr="00BE4F47" w14:paraId="491260C4" w14:textId="77777777">
        <w:tc>
          <w:tcPr>
            <w:tcW w:w="2300" w:type="dxa"/>
            <w:tcBorders>
              <w:top w:val="single" w:sz="4" w:space="0" w:color="000000"/>
              <w:left w:val="single" w:sz="4" w:space="0" w:color="000000"/>
              <w:bottom w:val="single" w:sz="4" w:space="0" w:color="000000"/>
              <w:right w:val="single" w:sz="4" w:space="0" w:color="000000"/>
            </w:tcBorders>
          </w:tcPr>
          <w:p w14:paraId="78C5A6AB" w14:textId="77777777" w:rsidR="00F50D70" w:rsidRPr="00BE4F47" w:rsidRDefault="00137D7F"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 xml:space="preserve">Boucle </w:t>
            </w:r>
            <w:proofErr w:type="spellStart"/>
            <w:r w:rsidRPr="00BE4F47">
              <w:rPr>
                <w:rFonts w:ascii="Aptos" w:eastAsia="Calibri" w:hAnsi="Aptos" w:cs="Times New Roman"/>
                <w:lang w:eastAsia="en-US"/>
              </w:rPr>
              <w:t>thermohydraulique</w:t>
            </w:r>
            <w:proofErr w:type="spellEnd"/>
          </w:p>
        </w:tc>
        <w:tc>
          <w:tcPr>
            <w:tcW w:w="6257" w:type="dxa"/>
            <w:tcBorders>
              <w:top w:val="single" w:sz="4" w:space="0" w:color="000000"/>
              <w:left w:val="single" w:sz="4" w:space="0" w:color="000000"/>
              <w:bottom w:val="single" w:sz="4" w:space="0" w:color="000000"/>
              <w:right w:val="single" w:sz="4" w:space="0" w:color="000000"/>
            </w:tcBorders>
          </w:tcPr>
          <w:p w14:paraId="5197D6A5" w14:textId="77777777" w:rsidR="00F50D70" w:rsidRPr="00BE4F47" w:rsidRDefault="00137D7F"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Circuit fermé où un fluide transporte de la chaleur. Ici, une version simplifiée d’un système de refroidissement, décrite à la section 1.</w:t>
            </w:r>
          </w:p>
        </w:tc>
      </w:tr>
      <w:tr w:rsidR="00F50D70" w:rsidRPr="00BE4F47" w14:paraId="6EE3BD0F" w14:textId="77777777">
        <w:tc>
          <w:tcPr>
            <w:tcW w:w="2300" w:type="dxa"/>
            <w:tcBorders>
              <w:top w:val="single" w:sz="4" w:space="0" w:color="000000"/>
              <w:left w:val="single" w:sz="4" w:space="0" w:color="000000"/>
              <w:bottom w:val="single" w:sz="4" w:space="0" w:color="000000"/>
              <w:right w:val="single" w:sz="4" w:space="0" w:color="000000"/>
            </w:tcBorders>
          </w:tcPr>
          <w:p w14:paraId="61171D76" w14:textId="77777777" w:rsidR="00F50D70" w:rsidRPr="00BE4F47" w:rsidRDefault="00137D7F"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lastRenderedPageBreak/>
              <w:t>GEMMA</w:t>
            </w:r>
          </w:p>
        </w:tc>
        <w:tc>
          <w:tcPr>
            <w:tcW w:w="6257" w:type="dxa"/>
            <w:tcBorders>
              <w:top w:val="single" w:sz="4" w:space="0" w:color="000000"/>
              <w:left w:val="single" w:sz="4" w:space="0" w:color="000000"/>
              <w:bottom w:val="single" w:sz="4" w:space="0" w:color="000000"/>
              <w:right w:val="single" w:sz="4" w:space="0" w:color="000000"/>
            </w:tcBorders>
          </w:tcPr>
          <w:p w14:paraId="4ED2250A" w14:textId="77777777" w:rsidR="00F50D70" w:rsidRPr="00BE4F47" w:rsidRDefault="00137D7F"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Guide d’étude des modes de marche et d’arrêt. Logigramme qui recense les états de fonctionnement, d’arrêt et de défaillance d’un système.</w:t>
            </w:r>
          </w:p>
        </w:tc>
      </w:tr>
      <w:tr w:rsidR="00F50D70" w:rsidRPr="00BE4F47" w14:paraId="3630838A" w14:textId="77777777">
        <w:tc>
          <w:tcPr>
            <w:tcW w:w="2300" w:type="dxa"/>
            <w:tcBorders>
              <w:top w:val="single" w:sz="4" w:space="0" w:color="000000"/>
              <w:left w:val="single" w:sz="4" w:space="0" w:color="000000"/>
              <w:bottom w:val="single" w:sz="4" w:space="0" w:color="000000"/>
              <w:right w:val="single" w:sz="4" w:space="0" w:color="000000"/>
            </w:tcBorders>
          </w:tcPr>
          <w:p w14:paraId="31D8CCC8" w14:textId="77777777" w:rsidR="00F50D70" w:rsidRPr="00BE4F47" w:rsidRDefault="00137D7F"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Jalon</w:t>
            </w:r>
          </w:p>
        </w:tc>
        <w:tc>
          <w:tcPr>
            <w:tcW w:w="6257" w:type="dxa"/>
            <w:tcBorders>
              <w:top w:val="single" w:sz="4" w:space="0" w:color="000000"/>
              <w:left w:val="single" w:sz="4" w:space="0" w:color="000000"/>
              <w:bottom w:val="single" w:sz="4" w:space="0" w:color="000000"/>
              <w:right w:val="single" w:sz="4" w:space="0" w:color="000000"/>
            </w:tcBorders>
          </w:tcPr>
          <w:p w14:paraId="6534D086" w14:textId="77777777" w:rsidR="00F50D70" w:rsidRPr="00BE4F47" w:rsidRDefault="00137D7F"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Point de contrôle assorti d’un livrable identifié. Il est franchi ou il ne l’est pas, sans état intermédiaire.</w:t>
            </w:r>
          </w:p>
        </w:tc>
      </w:tr>
      <w:tr w:rsidR="00F50D70" w:rsidRPr="00BE4F47" w14:paraId="288F99C9" w14:textId="77777777">
        <w:tc>
          <w:tcPr>
            <w:tcW w:w="2300" w:type="dxa"/>
            <w:tcBorders>
              <w:top w:val="single" w:sz="4" w:space="0" w:color="000000"/>
              <w:left w:val="single" w:sz="4" w:space="0" w:color="000000"/>
              <w:bottom w:val="single" w:sz="4" w:space="0" w:color="000000"/>
              <w:right w:val="single" w:sz="4" w:space="0" w:color="000000"/>
            </w:tcBorders>
          </w:tcPr>
          <w:p w14:paraId="7E331D52" w14:textId="77777777" w:rsidR="00F50D70" w:rsidRPr="00BE4F47" w:rsidRDefault="00137D7F"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Lot de travail</w:t>
            </w:r>
          </w:p>
        </w:tc>
        <w:tc>
          <w:tcPr>
            <w:tcW w:w="6257" w:type="dxa"/>
            <w:tcBorders>
              <w:top w:val="single" w:sz="4" w:space="0" w:color="000000"/>
              <w:left w:val="single" w:sz="4" w:space="0" w:color="000000"/>
              <w:bottom w:val="single" w:sz="4" w:space="0" w:color="000000"/>
              <w:right w:val="single" w:sz="4" w:space="0" w:color="000000"/>
            </w:tcBorders>
          </w:tcPr>
          <w:p w14:paraId="09F8CAFA" w14:textId="77777777" w:rsidR="00F50D70" w:rsidRPr="00BE4F47" w:rsidRDefault="00137D7F"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Bloc de travail délimité dans la structure de découpage, avec son effort et son responsable. Les lots du projet sont L1 à L9, définis à la section 8.</w:t>
            </w:r>
          </w:p>
        </w:tc>
      </w:tr>
      <w:tr w:rsidR="00F50D70" w:rsidRPr="00BE4F47" w14:paraId="4AE2BD95" w14:textId="77777777">
        <w:tc>
          <w:tcPr>
            <w:tcW w:w="2300" w:type="dxa"/>
            <w:tcBorders>
              <w:top w:val="single" w:sz="4" w:space="0" w:color="000000"/>
              <w:left w:val="single" w:sz="4" w:space="0" w:color="000000"/>
              <w:bottom w:val="single" w:sz="4" w:space="0" w:color="000000"/>
              <w:right w:val="single" w:sz="4" w:space="0" w:color="000000"/>
            </w:tcBorders>
          </w:tcPr>
          <w:p w14:paraId="280B7A01" w14:textId="77777777" w:rsidR="00F50D70" w:rsidRPr="00BE4F47" w:rsidRDefault="00137D7F"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Classe d’estimation</w:t>
            </w:r>
          </w:p>
        </w:tc>
        <w:tc>
          <w:tcPr>
            <w:tcW w:w="6257" w:type="dxa"/>
            <w:tcBorders>
              <w:top w:val="single" w:sz="4" w:space="0" w:color="000000"/>
              <w:left w:val="single" w:sz="4" w:space="0" w:color="000000"/>
              <w:bottom w:val="single" w:sz="4" w:space="0" w:color="000000"/>
              <w:right w:val="single" w:sz="4" w:space="0" w:color="000000"/>
            </w:tcBorders>
          </w:tcPr>
          <w:p w14:paraId="5B5444DD" w14:textId="77777777" w:rsidR="00F50D70" w:rsidRPr="00BE4F47" w:rsidRDefault="00137D7F"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Niveau de précision d’une estimation de coûts, selon la part du projet déjà définie au moment de l’estimer. La classe 5 est la moins précise.</w:t>
            </w:r>
          </w:p>
        </w:tc>
      </w:tr>
      <w:tr w:rsidR="00F50D70" w:rsidRPr="00BE4F47" w14:paraId="41E8979F" w14:textId="77777777">
        <w:tc>
          <w:tcPr>
            <w:tcW w:w="2300" w:type="dxa"/>
            <w:tcBorders>
              <w:top w:val="single" w:sz="4" w:space="0" w:color="000000"/>
              <w:left w:val="single" w:sz="4" w:space="0" w:color="000000"/>
              <w:bottom w:val="single" w:sz="4" w:space="0" w:color="000000"/>
              <w:right w:val="single" w:sz="4" w:space="0" w:color="000000"/>
            </w:tcBorders>
          </w:tcPr>
          <w:p w14:paraId="778FDB29" w14:textId="77777777" w:rsidR="00F50D70" w:rsidRPr="00BE4F47" w:rsidRDefault="00137D7F"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Coût de revient</w:t>
            </w:r>
          </w:p>
        </w:tc>
        <w:tc>
          <w:tcPr>
            <w:tcW w:w="6257" w:type="dxa"/>
            <w:tcBorders>
              <w:top w:val="single" w:sz="4" w:space="0" w:color="000000"/>
              <w:left w:val="single" w:sz="4" w:space="0" w:color="000000"/>
              <w:bottom w:val="single" w:sz="4" w:space="0" w:color="000000"/>
              <w:right w:val="single" w:sz="4" w:space="0" w:color="000000"/>
            </w:tcBorders>
          </w:tcPr>
          <w:p w14:paraId="64D7B285" w14:textId="77777777" w:rsidR="00F50D70" w:rsidRPr="00BE4F47" w:rsidRDefault="00137D7F"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Ce qu’une heure de travail coûte à l’équipe. À distinguer du prix facturé au client, qui comprend en plus la marge.</w:t>
            </w:r>
          </w:p>
        </w:tc>
      </w:tr>
      <w:tr w:rsidR="00F50D70" w:rsidRPr="00BE4F47" w14:paraId="20EB5BC4" w14:textId="77777777">
        <w:tc>
          <w:tcPr>
            <w:tcW w:w="2300" w:type="dxa"/>
            <w:tcBorders>
              <w:top w:val="single" w:sz="4" w:space="0" w:color="000000"/>
              <w:left w:val="single" w:sz="4" w:space="0" w:color="000000"/>
              <w:bottom w:val="single" w:sz="4" w:space="0" w:color="000000"/>
              <w:right w:val="single" w:sz="4" w:space="0" w:color="000000"/>
            </w:tcBorders>
          </w:tcPr>
          <w:p w14:paraId="130D798B" w14:textId="77777777" w:rsidR="00F50D70" w:rsidRPr="00BE4F47" w:rsidRDefault="00137D7F"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Valeur acquise</w:t>
            </w:r>
          </w:p>
        </w:tc>
        <w:tc>
          <w:tcPr>
            <w:tcW w:w="6257" w:type="dxa"/>
            <w:tcBorders>
              <w:top w:val="single" w:sz="4" w:space="0" w:color="000000"/>
              <w:left w:val="single" w:sz="4" w:space="0" w:color="000000"/>
              <w:bottom w:val="single" w:sz="4" w:space="0" w:color="000000"/>
              <w:right w:val="single" w:sz="4" w:space="0" w:color="000000"/>
            </w:tcBorders>
          </w:tcPr>
          <w:p w14:paraId="06FC879E" w14:textId="77777777" w:rsidR="00F50D70" w:rsidRPr="00BE4F47" w:rsidRDefault="00137D7F"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Valeur du travail réellement réalisé à une date donnée, exprimée en dollars, comparée à ce qui était prévu.</w:t>
            </w:r>
          </w:p>
        </w:tc>
      </w:tr>
      <w:tr w:rsidR="00F50D70" w:rsidRPr="00BE4F47" w14:paraId="0B95FB63" w14:textId="77777777">
        <w:tc>
          <w:tcPr>
            <w:tcW w:w="2300" w:type="dxa"/>
            <w:tcBorders>
              <w:top w:val="single" w:sz="4" w:space="0" w:color="000000"/>
              <w:left w:val="single" w:sz="4" w:space="0" w:color="000000"/>
              <w:bottom w:val="single" w:sz="4" w:space="0" w:color="000000"/>
              <w:right w:val="single" w:sz="4" w:space="0" w:color="000000"/>
            </w:tcBorders>
          </w:tcPr>
          <w:p w14:paraId="002C3DDB" w14:textId="77777777" w:rsidR="00F50D70" w:rsidRPr="00BE4F47" w:rsidRDefault="00137D7F"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Exigence vérifiable</w:t>
            </w:r>
          </w:p>
        </w:tc>
        <w:tc>
          <w:tcPr>
            <w:tcW w:w="6257" w:type="dxa"/>
            <w:tcBorders>
              <w:top w:val="single" w:sz="4" w:space="0" w:color="000000"/>
              <w:left w:val="single" w:sz="4" w:space="0" w:color="000000"/>
              <w:bottom w:val="single" w:sz="4" w:space="0" w:color="000000"/>
              <w:right w:val="single" w:sz="4" w:space="0" w:color="000000"/>
            </w:tcBorders>
          </w:tcPr>
          <w:p w14:paraId="3C4DB142" w14:textId="77777777" w:rsidR="00F50D70" w:rsidRPr="00BE4F47" w:rsidRDefault="00137D7F"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 xml:space="preserve">Exigence formulée </w:t>
            </w:r>
            <w:proofErr w:type="gramStart"/>
            <w:r w:rsidRPr="00BE4F47">
              <w:rPr>
                <w:rFonts w:ascii="Aptos" w:eastAsia="Calibri" w:hAnsi="Aptos" w:cs="Times New Roman"/>
                <w:lang w:eastAsia="en-US"/>
              </w:rPr>
              <w:t>de façon à ce</w:t>
            </w:r>
            <w:proofErr w:type="gramEnd"/>
            <w:r w:rsidRPr="00BE4F47">
              <w:rPr>
                <w:rFonts w:ascii="Aptos" w:eastAsia="Calibri" w:hAnsi="Aptos" w:cs="Times New Roman"/>
                <w:lang w:eastAsia="en-US"/>
              </w:rPr>
              <w:t xml:space="preserve"> qu’un essai ou une inspection puisse établir si elle est satisfaite ou non.</w:t>
            </w:r>
          </w:p>
        </w:tc>
      </w:tr>
    </w:tbl>
    <w:p w14:paraId="13D9AEA1" w14:textId="77777777" w:rsidR="00F50D70" w:rsidRPr="00BE4F47" w:rsidRDefault="00F50D70" w:rsidP="008E113B">
      <w:pPr>
        <w:keepLines/>
        <w:spacing w:before="240" w:line="360" w:lineRule="auto"/>
        <w:ind w:left="0"/>
        <w:jc w:val="left"/>
        <w:outlineLvl w:val="0"/>
        <w:rPr>
          <w:rFonts w:ascii="Aptos" w:eastAsia="DengXian Light" w:hAnsi="Aptos" w:cs="Times New Roman"/>
          <w:color w:val="2F5496"/>
          <w:sz w:val="32"/>
          <w:szCs w:val="32"/>
          <w:lang w:eastAsia="en-US"/>
        </w:rPr>
      </w:pPr>
    </w:p>
    <w:p w14:paraId="210D09AB" w14:textId="77777777" w:rsidR="00F50D70" w:rsidRPr="00BE4F47" w:rsidRDefault="00137D7F" w:rsidP="008E113B">
      <w:pPr>
        <w:spacing w:line="360" w:lineRule="auto"/>
        <w:ind w:left="0"/>
        <w:outlineLvl w:val="9"/>
        <w:rPr>
          <w:rFonts w:ascii="Aptos" w:eastAsia="DengXian Light" w:hAnsi="Aptos"/>
          <w:bCs/>
          <w:color w:val="2F5496"/>
          <w:sz w:val="32"/>
          <w:szCs w:val="32"/>
          <w:lang w:eastAsia="en-US"/>
        </w:rPr>
      </w:pPr>
      <w:bookmarkStart w:id="1" w:name="__RefHeading___Toc240715053"/>
      <w:bookmarkEnd w:id="1"/>
      <w:r w:rsidRPr="00BE4F47">
        <w:rPr>
          <w:rFonts w:ascii="Aptos" w:eastAsia="Calibri" w:hAnsi="Aptos" w:cs="Calibri"/>
          <w:bCs/>
          <w:color w:val="1A1A19"/>
          <w:sz w:val="20"/>
          <w:szCs w:val="20"/>
          <w:lang w:eastAsia="en-US"/>
        </w:rPr>
        <w:t>Abréviations/acronymes</w:t>
      </w:r>
    </w:p>
    <w:tbl>
      <w:tblPr>
        <w:tblW w:w="9054" w:type="dxa"/>
        <w:tblLayout w:type="fixed"/>
        <w:tblLook w:val="04A0" w:firstRow="1" w:lastRow="0" w:firstColumn="1" w:lastColumn="0" w:noHBand="0" w:noVBand="1"/>
      </w:tblPr>
      <w:tblGrid>
        <w:gridCol w:w="1812"/>
        <w:gridCol w:w="7242"/>
      </w:tblGrid>
      <w:tr w:rsidR="00F50D70" w:rsidRPr="00BE4F47" w14:paraId="689B249C" w14:textId="77777777">
        <w:tc>
          <w:tcPr>
            <w:tcW w:w="1713" w:type="dxa"/>
            <w:tcBorders>
              <w:top w:val="single" w:sz="4" w:space="0" w:color="000000"/>
              <w:left w:val="single" w:sz="4" w:space="0" w:color="000000"/>
              <w:bottom w:val="single" w:sz="4" w:space="0" w:color="000000"/>
              <w:right w:val="single" w:sz="4" w:space="0" w:color="000000"/>
            </w:tcBorders>
            <w:shd w:val="clear" w:color="auto" w:fill="C5E0B3"/>
          </w:tcPr>
          <w:p w14:paraId="0C389AEC" w14:textId="77777777" w:rsidR="00F50D70" w:rsidRPr="00BE4F47" w:rsidRDefault="00137D7F" w:rsidP="008E113B">
            <w:pPr>
              <w:spacing w:before="20" w:after="20"/>
              <w:ind w:left="0"/>
              <w:jc w:val="left"/>
              <w:outlineLvl w:val="9"/>
              <w:rPr>
                <w:rFonts w:ascii="Aptos" w:eastAsia="Calibri" w:hAnsi="Aptos" w:cs="Times New Roman"/>
                <w:lang w:eastAsia="en-US"/>
              </w:rPr>
            </w:pPr>
            <w:proofErr w:type="spellStart"/>
            <w:r w:rsidRPr="00BE4F47">
              <w:rPr>
                <w:rFonts w:ascii="Aptos" w:eastAsia="Calibri" w:hAnsi="Aptos" w:cs="Times New Roman"/>
                <w:lang w:eastAsia="en-US"/>
              </w:rPr>
              <w:t>Abré</w:t>
            </w:r>
            <w:proofErr w:type="spellEnd"/>
            <w:r w:rsidRPr="00BE4F47">
              <w:rPr>
                <w:rFonts w:ascii="Aptos" w:eastAsia="Calibri" w:hAnsi="Aptos" w:cs="Times New Roman"/>
                <w:lang w:eastAsia="en-US"/>
              </w:rPr>
              <w:t>./Acro.</w:t>
            </w:r>
          </w:p>
        </w:tc>
        <w:tc>
          <w:tcPr>
            <w:tcW w:w="6844" w:type="dxa"/>
            <w:tcBorders>
              <w:top w:val="single" w:sz="4" w:space="0" w:color="000000"/>
              <w:left w:val="single" w:sz="4" w:space="0" w:color="000000"/>
              <w:bottom w:val="single" w:sz="4" w:space="0" w:color="000000"/>
              <w:right w:val="single" w:sz="4" w:space="0" w:color="000000"/>
            </w:tcBorders>
            <w:shd w:val="clear" w:color="auto" w:fill="C5E0B3"/>
          </w:tcPr>
          <w:p w14:paraId="729C133E" w14:textId="77777777" w:rsidR="00F50D70" w:rsidRPr="00BE4F47" w:rsidRDefault="00137D7F" w:rsidP="008E113B">
            <w:pPr>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Définition</w:t>
            </w:r>
          </w:p>
        </w:tc>
      </w:tr>
      <w:tr w:rsidR="00F50D70" w:rsidRPr="009D5A87" w14:paraId="1331B0C0" w14:textId="77777777">
        <w:tc>
          <w:tcPr>
            <w:tcW w:w="1713" w:type="dxa"/>
            <w:tcBorders>
              <w:top w:val="single" w:sz="4" w:space="0" w:color="000000"/>
              <w:left w:val="single" w:sz="4" w:space="0" w:color="000000"/>
              <w:bottom w:val="single" w:sz="4" w:space="0" w:color="000000"/>
              <w:right w:val="single" w:sz="4" w:space="0" w:color="000000"/>
            </w:tcBorders>
          </w:tcPr>
          <w:p w14:paraId="22D874E0" w14:textId="77777777" w:rsidR="00F50D70" w:rsidRPr="00BE4F47" w:rsidRDefault="00137D7F"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AACE</w:t>
            </w:r>
          </w:p>
        </w:tc>
        <w:tc>
          <w:tcPr>
            <w:tcW w:w="6844" w:type="dxa"/>
            <w:tcBorders>
              <w:top w:val="single" w:sz="4" w:space="0" w:color="000000"/>
              <w:left w:val="single" w:sz="4" w:space="0" w:color="000000"/>
              <w:bottom w:val="single" w:sz="4" w:space="0" w:color="000000"/>
              <w:right w:val="single" w:sz="4" w:space="0" w:color="000000"/>
            </w:tcBorders>
          </w:tcPr>
          <w:p w14:paraId="6508870B" w14:textId="77777777" w:rsidR="00F50D70" w:rsidRPr="00BE4F47" w:rsidRDefault="00137D7F" w:rsidP="008E113B">
            <w:pPr>
              <w:snapToGrid w:val="0"/>
              <w:spacing w:before="20" w:after="20"/>
              <w:ind w:left="0"/>
              <w:jc w:val="left"/>
              <w:outlineLvl w:val="9"/>
              <w:rPr>
                <w:rFonts w:ascii="Aptos" w:eastAsia="Calibri" w:hAnsi="Aptos" w:cs="Times New Roman"/>
                <w:lang w:val="en-CA" w:eastAsia="en-US"/>
              </w:rPr>
            </w:pPr>
            <w:r w:rsidRPr="00BE4F47">
              <w:rPr>
                <w:rFonts w:ascii="Aptos" w:eastAsia="Calibri" w:hAnsi="Aptos" w:cs="Times New Roman"/>
                <w:lang w:val="en-CA" w:eastAsia="en-US"/>
              </w:rPr>
              <w:t>Association for the Advancement of Cost Engineering</w:t>
            </w:r>
          </w:p>
        </w:tc>
      </w:tr>
      <w:tr w:rsidR="00F50D70" w:rsidRPr="00BE4F47" w14:paraId="3FF59581" w14:textId="77777777">
        <w:tc>
          <w:tcPr>
            <w:tcW w:w="1713" w:type="dxa"/>
            <w:tcBorders>
              <w:top w:val="single" w:sz="4" w:space="0" w:color="000000"/>
              <w:left w:val="single" w:sz="4" w:space="0" w:color="000000"/>
              <w:bottom w:val="single" w:sz="4" w:space="0" w:color="000000"/>
              <w:right w:val="single" w:sz="4" w:space="0" w:color="000000"/>
            </w:tcBorders>
          </w:tcPr>
          <w:p w14:paraId="2A4F51FE" w14:textId="77777777" w:rsidR="00F50D70" w:rsidRPr="00BE4F47" w:rsidRDefault="00137D7F"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AIEA</w:t>
            </w:r>
          </w:p>
        </w:tc>
        <w:tc>
          <w:tcPr>
            <w:tcW w:w="6844" w:type="dxa"/>
            <w:tcBorders>
              <w:top w:val="single" w:sz="4" w:space="0" w:color="000000"/>
              <w:left w:val="single" w:sz="4" w:space="0" w:color="000000"/>
              <w:bottom w:val="single" w:sz="4" w:space="0" w:color="000000"/>
              <w:right w:val="single" w:sz="4" w:space="0" w:color="000000"/>
            </w:tcBorders>
          </w:tcPr>
          <w:p w14:paraId="40094DAC" w14:textId="77777777" w:rsidR="00F50D70" w:rsidRPr="00BE4F47" w:rsidRDefault="00137D7F"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Agence internationale de l’énergie atomique</w:t>
            </w:r>
          </w:p>
        </w:tc>
      </w:tr>
      <w:tr w:rsidR="00F50D70" w:rsidRPr="009D5A87" w14:paraId="10F717E2" w14:textId="77777777">
        <w:tc>
          <w:tcPr>
            <w:tcW w:w="1713" w:type="dxa"/>
            <w:tcBorders>
              <w:top w:val="single" w:sz="4" w:space="0" w:color="000000"/>
              <w:left w:val="single" w:sz="4" w:space="0" w:color="000000"/>
              <w:bottom w:val="single" w:sz="4" w:space="0" w:color="000000"/>
              <w:right w:val="single" w:sz="4" w:space="0" w:color="000000"/>
            </w:tcBorders>
          </w:tcPr>
          <w:p w14:paraId="4B753D6B" w14:textId="77777777" w:rsidR="00F50D70" w:rsidRPr="00BE4F47" w:rsidRDefault="00137D7F"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ASME</w:t>
            </w:r>
          </w:p>
        </w:tc>
        <w:tc>
          <w:tcPr>
            <w:tcW w:w="6844" w:type="dxa"/>
            <w:tcBorders>
              <w:top w:val="single" w:sz="4" w:space="0" w:color="000000"/>
              <w:left w:val="single" w:sz="4" w:space="0" w:color="000000"/>
              <w:bottom w:val="single" w:sz="4" w:space="0" w:color="000000"/>
              <w:right w:val="single" w:sz="4" w:space="0" w:color="000000"/>
            </w:tcBorders>
          </w:tcPr>
          <w:p w14:paraId="6BC21D9E" w14:textId="77777777" w:rsidR="00F50D70" w:rsidRPr="00BE4F47" w:rsidRDefault="00137D7F" w:rsidP="008E113B">
            <w:pPr>
              <w:snapToGrid w:val="0"/>
              <w:spacing w:before="20" w:after="20"/>
              <w:ind w:left="0"/>
              <w:jc w:val="left"/>
              <w:outlineLvl w:val="9"/>
              <w:rPr>
                <w:rFonts w:ascii="Aptos" w:eastAsia="Calibri" w:hAnsi="Aptos" w:cs="Times New Roman"/>
                <w:lang w:val="en-CA" w:eastAsia="en-US"/>
              </w:rPr>
            </w:pPr>
            <w:r w:rsidRPr="00BE4F47">
              <w:rPr>
                <w:rFonts w:ascii="Aptos" w:eastAsia="Calibri" w:hAnsi="Aptos" w:cs="Times New Roman"/>
                <w:lang w:val="en-CA" w:eastAsia="en-US"/>
              </w:rPr>
              <w:t>American Society of Mechanical Engineers</w:t>
            </w:r>
          </w:p>
        </w:tc>
      </w:tr>
      <w:tr w:rsidR="00F50D70" w:rsidRPr="00BE4F47" w14:paraId="2CA5935E" w14:textId="77777777">
        <w:tc>
          <w:tcPr>
            <w:tcW w:w="1713" w:type="dxa"/>
            <w:tcBorders>
              <w:top w:val="single" w:sz="4" w:space="0" w:color="000000"/>
              <w:left w:val="single" w:sz="4" w:space="0" w:color="000000"/>
              <w:bottom w:val="single" w:sz="4" w:space="0" w:color="000000"/>
              <w:right w:val="single" w:sz="4" w:space="0" w:color="000000"/>
            </w:tcBorders>
          </w:tcPr>
          <w:p w14:paraId="725BF8B7" w14:textId="77777777" w:rsidR="00F50D70" w:rsidRPr="00BE4F47" w:rsidRDefault="00137D7F"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CCSN</w:t>
            </w:r>
          </w:p>
        </w:tc>
        <w:tc>
          <w:tcPr>
            <w:tcW w:w="6844" w:type="dxa"/>
            <w:tcBorders>
              <w:top w:val="single" w:sz="4" w:space="0" w:color="000000"/>
              <w:left w:val="single" w:sz="4" w:space="0" w:color="000000"/>
              <w:bottom w:val="single" w:sz="4" w:space="0" w:color="000000"/>
              <w:right w:val="single" w:sz="4" w:space="0" w:color="000000"/>
            </w:tcBorders>
          </w:tcPr>
          <w:p w14:paraId="4D61667C" w14:textId="77777777" w:rsidR="00F50D70" w:rsidRPr="00BE4F47" w:rsidRDefault="00137D7F"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Commission canadienne de sûreté nucléaire</w:t>
            </w:r>
          </w:p>
        </w:tc>
      </w:tr>
      <w:tr w:rsidR="00F50D70" w:rsidRPr="00BE4F47" w14:paraId="6F8100DC" w14:textId="77777777">
        <w:tc>
          <w:tcPr>
            <w:tcW w:w="1713" w:type="dxa"/>
            <w:tcBorders>
              <w:top w:val="single" w:sz="4" w:space="0" w:color="000000"/>
              <w:left w:val="single" w:sz="4" w:space="0" w:color="000000"/>
              <w:bottom w:val="single" w:sz="4" w:space="0" w:color="000000"/>
              <w:right w:val="single" w:sz="4" w:space="0" w:color="000000"/>
            </w:tcBorders>
          </w:tcPr>
          <w:p w14:paraId="67133B56" w14:textId="77777777" w:rsidR="00F50D70" w:rsidRPr="00BE4F47" w:rsidRDefault="00137D7F"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CSA</w:t>
            </w:r>
          </w:p>
        </w:tc>
        <w:tc>
          <w:tcPr>
            <w:tcW w:w="6844" w:type="dxa"/>
            <w:tcBorders>
              <w:top w:val="single" w:sz="4" w:space="0" w:color="000000"/>
              <w:left w:val="single" w:sz="4" w:space="0" w:color="000000"/>
              <w:bottom w:val="single" w:sz="4" w:space="0" w:color="000000"/>
              <w:right w:val="single" w:sz="4" w:space="0" w:color="000000"/>
            </w:tcBorders>
          </w:tcPr>
          <w:p w14:paraId="67D8494D" w14:textId="77777777" w:rsidR="00F50D70" w:rsidRPr="00BE4F47" w:rsidRDefault="00137D7F"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Groupe CSA, Association canadienne de normalisation</w:t>
            </w:r>
          </w:p>
        </w:tc>
      </w:tr>
      <w:tr w:rsidR="00F50D70" w:rsidRPr="00BE4F47" w14:paraId="7FB7B89E" w14:textId="77777777">
        <w:tc>
          <w:tcPr>
            <w:tcW w:w="1713" w:type="dxa"/>
            <w:tcBorders>
              <w:top w:val="single" w:sz="4" w:space="0" w:color="000000"/>
              <w:left w:val="single" w:sz="4" w:space="0" w:color="000000"/>
              <w:bottom w:val="single" w:sz="4" w:space="0" w:color="000000"/>
              <w:right w:val="single" w:sz="4" w:space="0" w:color="000000"/>
            </w:tcBorders>
          </w:tcPr>
          <w:p w14:paraId="430AFBB9" w14:textId="77777777" w:rsidR="00F50D70" w:rsidRPr="00BE4F47" w:rsidRDefault="00137D7F"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EX-C</w:t>
            </w:r>
          </w:p>
        </w:tc>
        <w:tc>
          <w:tcPr>
            <w:tcW w:w="6844" w:type="dxa"/>
            <w:tcBorders>
              <w:top w:val="single" w:sz="4" w:space="0" w:color="000000"/>
              <w:left w:val="single" w:sz="4" w:space="0" w:color="000000"/>
              <w:bottom w:val="single" w:sz="4" w:space="0" w:color="000000"/>
              <w:right w:val="single" w:sz="4" w:space="0" w:color="000000"/>
            </w:tcBorders>
          </w:tcPr>
          <w:p w14:paraId="1767AF2B" w14:textId="77777777" w:rsidR="00F50D70" w:rsidRPr="00BE4F47" w:rsidRDefault="00137D7F"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Exigence de périmètre ou de contrainte (registre de la section 1)</w:t>
            </w:r>
          </w:p>
        </w:tc>
      </w:tr>
      <w:tr w:rsidR="00F50D70" w:rsidRPr="00BE4F47" w14:paraId="5C4B6D61" w14:textId="77777777">
        <w:tc>
          <w:tcPr>
            <w:tcW w:w="1713" w:type="dxa"/>
            <w:tcBorders>
              <w:top w:val="single" w:sz="4" w:space="0" w:color="000000"/>
              <w:left w:val="single" w:sz="4" w:space="0" w:color="000000"/>
              <w:bottom w:val="single" w:sz="4" w:space="0" w:color="000000"/>
              <w:right w:val="single" w:sz="4" w:space="0" w:color="000000"/>
            </w:tcBorders>
          </w:tcPr>
          <w:p w14:paraId="463287D9" w14:textId="77777777" w:rsidR="00F50D70" w:rsidRPr="00BE4F47" w:rsidRDefault="00137D7F"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EX-F</w:t>
            </w:r>
          </w:p>
        </w:tc>
        <w:tc>
          <w:tcPr>
            <w:tcW w:w="6844" w:type="dxa"/>
            <w:tcBorders>
              <w:top w:val="single" w:sz="4" w:space="0" w:color="000000"/>
              <w:left w:val="single" w:sz="4" w:space="0" w:color="000000"/>
              <w:bottom w:val="single" w:sz="4" w:space="0" w:color="000000"/>
              <w:right w:val="single" w:sz="4" w:space="0" w:color="000000"/>
            </w:tcBorders>
          </w:tcPr>
          <w:p w14:paraId="1B9272D1" w14:textId="77777777" w:rsidR="00F50D70" w:rsidRPr="00BE4F47" w:rsidRDefault="00137D7F"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Exigence fonctionnelle (registre de la section 1)</w:t>
            </w:r>
          </w:p>
        </w:tc>
      </w:tr>
      <w:tr w:rsidR="00F50D70" w:rsidRPr="00BE4F47" w14:paraId="5F876B23" w14:textId="77777777">
        <w:tc>
          <w:tcPr>
            <w:tcW w:w="1713" w:type="dxa"/>
            <w:tcBorders>
              <w:top w:val="single" w:sz="4" w:space="0" w:color="000000"/>
              <w:left w:val="single" w:sz="4" w:space="0" w:color="000000"/>
              <w:bottom w:val="single" w:sz="4" w:space="0" w:color="000000"/>
              <w:right w:val="single" w:sz="4" w:space="0" w:color="000000"/>
            </w:tcBorders>
          </w:tcPr>
          <w:p w14:paraId="54AFF795" w14:textId="77777777" w:rsidR="00F50D70" w:rsidRPr="00BE4F47" w:rsidRDefault="00137D7F"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EX-Q</w:t>
            </w:r>
          </w:p>
        </w:tc>
        <w:tc>
          <w:tcPr>
            <w:tcW w:w="6844" w:type="dxa"/>
            <w:tcBorders>
              <w:top w:val="single" w:sz="4" w:space="0" w:color="000000"/>
              <w:left w:val="single" w:sz="4" w:space="0" w:color="000000"/>
              <w:bottom w:val="single" w:sz="4" w:space="0" w:color="000000"/>
              <w:right w:val="single" w:sz="4" w:space="0" w:color="000000"/>
            </w:tcBorders>
          </w:tcPr>
          <w:p w14:paraId="7DB9E4B2" w14:textId="77777777" w:rsidR="00F50D70" w:rsidRPr="00BE4F47" w:rsidRDefault="00137D7F"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Exigence de qualité (registre de la section 1)</w:t>
            </w:r>
          </w:p>
        </w:tc>
      </w:tr>
      <w:tr w:rsidR="00F50D70" w:rsidRPr="00BE4F47" w14:paraId="614DBF06" w14:textId="77777777">
        <w:tc>
          <w:tcPr>
            <w:tcW w:w="1713" w:type="dxa"/>
            <w:tcBorders>
              <w:top w:val="single" w:sz="4" w:space="0" w:color="000000"/>
              <w:left w:val="single" w:sz="4" w:space="0" w:color="000000"/>
              <w:bottom w:val="single" w:sz="4" w:space="0" w:color="000000"/>
              <w:right w:val="single" w:sz="4" w:space="0" w:color="000000"/>
            </w:tcBorders>
          </w:tcPr>
          <w:p w14:paraId="6925FBE6" w14:textId="77777777" w:rsidR="00F50D70" w:rsidRPr="00BE4F47" w:rsidRDefault="00137D7F"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GEMMA</w:t>
            </w:r>
          </w:p>
        </w:tc>
        <w:tc>
          <w:tcPr>
            <w:tcW w:w="6844" w:type="dxa"/>
            <w:tcBorders>
              <w:top w:val="single" w:sz="4" w:space="0" w:color="000000"/>
              <w:left w:val="single" w:sz="4" w:space="0" w:color="000000"/>
              <w:bottom w:val="single" w:sz="4" w:space="0" w:color="000000"/>
              <w:right w:val="single" w:sz="4" w:space="0" w:color="000000"/>
            </w:tcBorders>
          </w:tcPr>
          <w:p w14:paraId="713D8CC1" w14:textId="77777777" w:rsidR="00F50D70" w:rsidRPr="00BE4F47" w:rsidRDefault="00137D7F"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Guide d’étude des modes de marche et d’arrêt</w:t>
            </w:r>
          </w:p>
        </w:tc>
      </w:tr>
      <w:tr w:rsidR="00F50D70" w:rsidRPr="00BE4F47" w14:paraId="3D43FE15" w14:textId="77777777">
        <w:tc>
          <w:tcPr>
            <w:tcW w:w="1713" w:type="dxa"/>
            <w:tcBorders>
              <w:top w:val="single" w:sz="4" w:space="0" w:color="000000"/>
              <w:left w:val="single" w:sz="4" w:space="0" w:color="000000"/>
              <w:bottom w:val="single" w:sz="4" w:space="0" w:color="000000"/>
              <w:right w:val="single" w:sz="4" w:space="0" w:color="000000"/>
            </w:tcBorders>
          </w:tcPr>
          <w:p w14:paraId="7EA62D35" w14:textId="77777777" w:rsidR="00F50D70" w:rsidRPr="00BE4F47" w:rsidRDefault="00137D7F"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IEC</w:t>
            </w:r>
          </w:p>
        </w:tc>
        <w:tc>
          <w:tcPr>
            <w:tcW w:w="6844" w:type="dxa"/>
            <w:tcBorders>
              <w:top w:val="single" w:sz="4" w:space="0" w:color="000000"/>
              <w:left w:val="single" w:sz="4" w:space="0" w:color="000000"/>
              <w:bottom w:val="single" w:sz="4" w:space="0" w:color="000000"/>
              <w:right w:val="single" w:sz="4" w:space="0" w:color="000000"/>
            </w:tcBorders>
          </w:tcPr>
          <w:p w14:paraId="482136E6" w14:textId="77777777" w:rsidR="00F50D70" w:rsidRPr="00BE4F47" w:rsidRDefault="00137D7F"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 xml:space="preserve">International </w:t>
            </w:r>
            <w:proofErr w:type="spellStart"/>
            <w:r w:rsidRPr="00BE4F47">
              <w:rPr>
                <w:rFonts w:ascii="Aptos" w:eastAsia="Calibri" w:hAnsi="Aptos" w:cs="Times New Roman"/>
                <w:lang w:eastAsia="en-US"/>
              </w:rPr>
              <w:t>Electrotechnical</w:t>
            </w:r>
            <w:proofErr w:type="spellEnd"/>
            <w:r w:rsidRPr="00BE4F47">
              <w:rPr>
                <w:rFonts w:ascii="Aptos" w:eastAsia="Calibri" w:hAnsi="Aptos" w:cs="Times New Roman"/>
                <w:lang w:eastAsia="en-US"/>
              </w:rPr>
              <w:t xml:space="preserve"> Commission</w:t>
            </w:r>
          </w:p>
        </w:tc>
      </w:tr>
      <w:tr w:rsidR="00F50D70" w:rsidRPr="009D5A87" w14:paraId="2E343864" w14:textId="77777777">
        <w:tc>
          <w:tcPr>
            <w:tcW w:w="1713" w:type="dxa"/>
            <w:tcBorders>
              <w:top w:val="single" w:sz="4" w:space="0" w:color="000000"/>
              <w:left w:val="single" w:sz="4" w:space="0" w:color="000000"/>
              <w:bottom w:val="single" w:sz="4" w:space="0" w:color="000000"/>
              <w:right w:val="single" w:sz="4" w:space="0" w:color="000000"/>
            </w:tcBorders>
          </w:tcPr>
          <w:p w14:paraId="74772E03" w14:textId="77777777" w:rsidR="00F50D70" w:rsidRPr="00BE4F47" w:rsidRDefault="00137D7F"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IEEE</w:t>
            </w:r>
          </w:p>
        </w:tc>
        <w:tc>
          <w:tcPr>
            <w:tcW w:w="6844" w:type="dxa"/>
            <w:tcBorders>
              <w:top w:val="single" w:sz="4" w:space="0" w:color="000000"/>
              <w:left w:val="single" w:sz="4" w:space="0" w:color="000000"/>
              <w:bottom w:val="single" w:sz="4" w:space="0" w:color="000000"/>
              <w:right w:val="single" w:sz="4" w:space="0" w:color="000000"/>
            </w:tcBorders>
          </w:tcPr>
          <w:p w14:paraId="1B2D26BF" w14:textId="77777777" w:rsidR="00F50D70" w:rsidRPr="00BE4F47" w:rsidRDefault="00137D7F" w:rsidP="008E113B">
            <w:pPr>
              <w:snapToGrid w:val="0"/>
              <w:spacing w:before="20" w:after="20"/>
              <w:ind w:left="0"/>
              <w:jc w:val="left"/>
              <w:outlineLvl w:val="9"/>
              <w:rPr>
                <w:rFonts w:ascii="Aptos" w:eastAsia="Calibri" w:hAnsi="Aptos" w:cs="Times New Roman"/>
                <w:lang w:val="en-CA" w:eastAsia="en-US"/>
              </w:rPr>
            </w:pPr>
            <w:r w:rsidRPr="00BE4F47">
              <w:rPr>
                <w:rFonts w:ascii="Aptos" w:eastAsia="Calibri" w:hAnsi="Aptos" w:cs="Times New Roman"/>
                <w:lang w:val="en-CA" w:eastAsia="en-US"/>
              </w:rPr>
              <w:t>Institute of Electrical and Electronics Engineers</w:t>
            </w:r>
          </w:p>
        </w:tc>
      </w:tr>
      <w:tr w:rsidR="00F50D70" w:rsidRPr="00BE4F47" w14:paraId="749FE795" w14:textId="77777777">
        <w:tc>
          <w:tcPr>
            <w:tcW w:w="1713" w:type="dxa"/>
            <w:tcBorders>
              <w:top w:val="single" w:sz="4" w:space="0" w:color="000000"/>
              <w:left w:val="single" w:sz="4" w:space="0" w:color="000000"/>
              <w:bottom w:val="single" w:sz="4" w:space="0" w:color="000000"/>
              <w:right w:val="single" w:sz="4" w:space="0" w:color="000000"/>
            </w:tcBorders>
          </w:tcPr>
          <w:p w14:paraId="2464275A" w14:textId="77777777" w:rsidR="00F50D70" w:rsidRPr="00BE4F47" w:rsidRDefault="00137D7F"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IHM</w:t>
            </w:r>
          </w:p>
        </w:tc>
        <w:tc>
          <w:tcPr>
            <w:tcW w:w="6844" w:type="dxa"/>
            <w:tcBorders>
              <w:top w:val="single" w:sz="4" w:space="0" w:color="000000"/>
              <w:left w:val="single" w:sz="4" w:space="0" w:color="000000"/>
              <w:bottom w:val="single" w:sz="4" w:space="0" w:color="000000"/>
              <w:right w:val="single" w:sz="4" w:space="0" w:color="000000"/>
            </w:tcBorders>
          </w:tcPr>
          <w:p w14:paraId="31466510" w14:textId="77777777" w:rsidR="00F50D70" w:rsidRPr="00BE4F47" w:rsidRDefault="00137D7F"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Interface homme-machine</w:t>
            </w:r>
          </w:p>
        </w:tc>
      </w:tr>
      <w:tr w:rsidR="00F50D70" w:rsidRPr="00BE4F47" w14:paraId="2FE55E33" w14:textId="77777777">
        <w:tc>
          <w:tcPr>
            <w:tcW w:w="1713" w:type="dxa"/>
            <w:tcBorders>
              <w:top w:val="single" w:sz="4" w:space="0" w:color="000000"/>
              <w:left w:val="single" w:sz="4" w:space="0" w:color="000000"/>
              <w:bottom w:val="single" w:sz="4" w:space="0" w:color="000000"/>
              <w:right w:val="single" w:sz="4" w:space="0" w:color="000000"/>
            </w:tcBorders>
          </w:tcPr>
          <w:p w14:paraId="358437FD" w14:textId="77777777" w:rsidR="00F50D70" w:rsidRPr="00BE4F47" w:rsidRDefault="00137D7F"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ISO</w:t>
            </w:r>
          </w:p>
        </w:tc>
        <w:tc>
          <w:tcPr>
            <w:tcW w:w="6844" w:type="dxa"/>
            <w:tcBorders>
              <w:top w:val="single" w:sz="4" w:space="0" w:color="000000"/>
              <w:left w:val="single" w:sz="4" w:space="0" w:color="000000"/>
              <w:bottom w:val="single" w:sz="4" w:space="0" w:color="000000"/>
              <w:right w:val="single" w:sz="4" w:space="0" w:color="000000"/>
            </w:tcBorders>
          </w:tcPr>
          <w:p w14:paraId="2C64BE4D" w14:textId="77777777" w:rsidR="00F50D70" w:rsidRPr="00BE4F47" w:rsidRDefault="00137D7F"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Organisation internationale de normalisation</w:t>
            </w:r>
          </w:p>
        </w:tc>
      </w:tr>
      <w:tr w:rsidR="00F50D70" w:rsidRPr="00BE4F47" w14:paraId="778E3D3B" w14:textId="77777777">
        <w:tc>
          <w:tcPr>
            <w:tcW w:w="1713" w:type="dxa"/>
            <w:tcBorders>
              <w:top w:val="single" w:sz="4" w:space="0" w:color="000000"/>
              <w:left w:val="single" w:sz="4" w:space="0" w:color="000000"/>
              <w:bottom w:val="single" w:sz="4" w:space="0" w:color="000000"/>
              <w:right w:val="single" w:sz="4" w:space="0" w:color="000000"/>
            </w:tcBorders>
          </w:tcPr>
          <w:p w14:paraId="0D5B9649" w14:textId="77777777" w:rsidR="00F50D70" w:rsidRPr="00BE4F47" w:rsidRDefault="00137D7F"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LFS</w:t>
            </w:r>
          </w:p>
        </w:tc>
        <w:tc>
          <w:tcPr>
            <w:tcW w:w="6844" w:type="dxa"/>
            <w:tcBorders>
              <w:top w:val="single" w:sz="4" w:space="0" w:color="000000"/>
              <w:left w:val="single" w:sz="4" w:space="0" w:color="000000"/>
              <w:bottom w:val="single" w:sz="4" w:space="0" w:color="000000"/>
              <w:right w:val="single" w:sz="4" w:space="0" w:color="000000"/>
            </w:tcBorders>
          </w:tcPr>
          <w:p w14:paraId="0DA11423" w14:textId="77777777" w:rsidR="00F50D70" w:rsidRPr="00BE4F47" w:rsidRDefault="00137D7F"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Large File Storage, extension de Git pour les fichiers volumineux</w:t>
            </w:r>
          </w:p>
        </w:tc>
      </w:tr>
      <w:tr w:rsidR="00F50D70" w:rsidRPr="00BE4F47" w14:paraId="1D1AEAD7" w14:textId="77777777">
        <w:tc>
          <w:tcPr>
            <w:tcW w:w="1713" w:type="dxa"/>
            <w:tcBorders>
              <w:top w:val="single" w:sz="4" w:space="0" w:color="000000"/>
              <w:left w:val="single" w:sz="4" w:space="0" w:color="000000"/>
              <w:bottom w:val="single" w:sz="4" w:space="0" w:color="000000"/>
              <w:right w:val="single" w:sz="4" w:space="0" w:color="000000"/>
            </w:tcBorders>
          </w:tcPr>
          <w:p w14:paraId="1569B128" w14:textId="77777777" w:rsidR="00F50D70" w:rsidRPr="00BE4F47" w:rsidRDefault="00137D7F"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NRC</w:t>
            </w:r>
          </w:p>
        </w:tc>
        <w:tc>
          <w:tcPr>
            <w:tcW w:w="6844" w:type="dxa"/>
            <w:tcBorders>
              <w:top w:val="single" w:sz="4" w:space="0" w:color="000000"/>
              <w:left w:val="single" w:sz="4" w:space="0" w:color="000000"/>
              <w:bottom w:val="single" w:sz="4" w:space="0" w:color="000000"/>
              <w:right w:val="single" w:sz="4" w:space="0" w:color="000000"/>
            </w:tcBorders>
          </w:tcPr>
          <w:p w14:paraId="12BDF98A" w14:textId="77777777" w:rsidR="00F50D70" w:rsidRPr="00BE4F47" w:rsidRDefault="00137D7F" w:rsidP="008E113B">
            <w:pPr>
              <w:snapToGrid w:val="0"/>
              <w:spacing w:before="20" w:after="20"/>
              <w:ind w:left="0"/>
              <w:jc w:val="left"/>
              <w:outlineLvl w:val="9"/>
              <w:rPr>
                <w:rFonts w:ascii="Aptos" w:eastAsia="Calibri" w:hAnsi="Aptos" w:cs="Times New Roman"/>
                <w:lang w:eastAsia="en-US"/>
              </w:rPr>
            </w:pPr>
            <w:proofErr w:type="spellStart"/>
            <w:r w:rsidRPr="00BE4F47">
              <w:rPr>
                <w:rFonts w:ascii="Aptos" w:eastAsia="Calibri" w:hAnsi="Aptos" w:cs="Times New Roman"/>
                <w:lang w:eastAsia="en-US"/>
              </w:rPr>
              <w:t>Nuclear</w:t>
            </w:r>
            <w:proofErr w:type="spellEnd"/>
            <w:r w:rsidRPr="00BE4F47">
              <w:rPr>
                <w:rFonts w:ascii="Aptos" w:eastAsia="Calibri" w:hAnsi="Aptos" w:cs="Times New Roman"/>
                <w:lang w:eastAsia="en-US"/>
              </w:rPr>
              <w:t xml:space="preserve"> </w:t>
            </w:r>
            <w:proofErr w:type="spellStart"/>
            <w:r w:rsidRPr="00BE4F47">
              <w:rPr>
                <w:rFonts w:ascii="Aptos" w:eastAsia="Calibri" w:hAnsi="Aptos" w:cs="Times New Roman"/>
                <w:lang w:eastAsia="en-US"/>
              </w:rPr>
              <w:t>Regulatory</w:t>
            </w:r>
            <w:proofErr w:type="spellEnd"/>
            <w:r w:rsidRPr="00BE4F47">
              <w:rPr>
                <w:rFonts w:ascii="Aptos" w:eastAsia="Calibri" w:hAnsi="Aptos" w:cs="Times New Roman"/>
                <w:lang w:eastAsia="en-US"/>
              </w:rPr>
              <w:t xml:space="preserve"> Commission des États-Unis</w:t>
            </w:r>
          </w:p>
        </w:tc>
      </w:tr>
      <w:tr w:rsidR="00F50D70" w:rsidRPr="00BE4F47" w14:paraId="6CCEAC9F" w14:textId="77777777">
        <w:tc>
          <w:tcPr>
            <w:tcW w:w="1713" w:type="dxa"/>
            <w:tcBorders>
              <w:top w:val="single" w:sz="4" w:space="0" w:color="000000"/>
              <w:left w:val="single" w:sz="4" w:space="0" w:color="000000"/>
              <w:bottom w:val="single" w:sz="4" w:space="0" w:color="000000"/>
              <w:right w:val="single" w:sz="4" w:space="0" w:color="000000"/>
            </w:tcBorders>
          </w:tcPr>
          <w:p w14:paraId="58FDE660" w14:textId="77777777" w:rsidR="00F50D70" w:rsidRPr="00BE4F47" w:rsidRDefault="00137D7F"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OPC UA</w:t>
            </w:r>
          </w:p>
        </w:tc>
        <w:tc>
          <w:tcPr>
            <w:tcW w:w="6844" w:type="dxa"/>
            <w:tcBorders>
              <w:top w:val="single" w:sz="4" w:space="0" w:color="000000"/>
              <w:left w:val="single" w:sz="4" w:space="0" w:color="000000"/>
              <w:bottom w:val="single" w:sz="4" w:space="0" w:color="000000"/>
              <w:right w:val="single" w:sz="4" w:space="0" w:color="000000"/>
            </w:tcBorders>
          </w:tcPr>
          <w:p w14:paraId="1F7BD608" w14:textId="77777777" w:rsidR="00F50D70" w:rsidRPr="00BE4F47" w:rsidRDefault="00137D7F"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 xml:space="preserve">OPC </w:t>
            </w:r>
            <w:proofErr w:type="spellStart"/>
            <w:r w:rsidRPr="00BE4F47">
              <w:rPr>
                <w:rFonts w:ascii="Aptos" w:eastAsia="Calibri" w:hAnsi="Aptos" w:cs="Times New Roman"/>
                <w:lang w:eastAsia="en-US"/>
              </w:rPr>
              <w:t>Unified</w:t>
            </w:r>
            <w:proofErr w:type="spellEnd"/>
            <w:r w:rsidRPr="00BE4F47">
              <w:rPr>
                <w:rFonts w:ascii="Aptos" w:eastAsia="Calibri" w:hAnsi="Aptos" w:cs="Times New Roman"/>
                <w:lang w:eastAsia="en-US"/>
              </w:rPr>
              <w:t xml:space="preserve"> Architecture, norme d’interopérabilité industrielle</w:t>
            </w:r>
          </w:p>
        </w:tc>
      </w:tr>
      <w:tr w:rsidR="00F50D70" w:rsidRPr="00BE4F47" w14:paraId="49D4916C" w14:textId="77777777">
        <w:tc>
          <w:tcPr>
            <w:tcW w:w="1713" w:type="dxa"/>
            <w:tcBorders>
              <w:top w:val="single" w:sz="4" w:space="0" w:color="000000"/>
              <w:left w:val="single" w:sz="4" w:space="0" w:color="000000"/>
              <w:bottom w:val="single" w:sz="4" w:space="0" w:color="000000"/>
              <w:right w:val="single" w:sz="4" w:space="0" w:color="000000"/>
            </w:tcBorders>
          </w:tcPr>
          <w:p w14:paraId="58EB5863" w14:textId="77777777" w:rsidR="00F50D70" w:rsidRPr="00BE4F47" w:rsidRDefault="00137D7F"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RACI</w:t>
            </w:r>
          </w:p>
        </w:tc>
        <w:tc>
          <w:tcPr>
            <w:tcW w:w="6844" w:type="dxa"/>
            <w:tcBorders>
              <w:top w:val="single" w:sz="4" w:space="0" w:color="000000"/>
              <w:left w:val="single" w:sz="4" w:space="0" w:color="000000"/>
              <w:bottom w:val="single" w:sz="4" w:space="0" w:color="000000"/>
              <w:right w:val="single" w:sz="4" w:space="0" w:color="000000"/>
            </w:tcBorders>
          </w:tcPr>
          <w:p w14:paraId="57AAADA6" w14:textId="77777777" w:rsidR="00F50D70" w:rsidRPr="00BE4F47" w:rsidRDefault="00137D7F"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Responsable, Approbateur, Consulté, Informé</w:t>
            </w:r>
          </w:p>
        </w:tc>
      </w:tr>
      <w:tr w:rsidR="00F50D70" w:rsidRPr="00BE4F47" w14:paraId="11ECCED0" w14:textId="77777777">
        <w:tc>
          <w:tcPr>
            <w:tcW w:w="1713" w:type="dxa"/>
            <w:tcBorders>
              <w:top w:val="single" w:sz="4" w:space="0" w:color="000000"/>
              <w:left w:val="single" w:sz="4" w:space="0" w:color="000000"/>
              <w:bottom w:val="single" w:sz="4" w:space="0" w:color="000000"/>
              <w:right w:val="single" w:sz="4" w:space="0" w:color="000000"/>
            </w:tcBorders>
          </w:tcPr>
          <w:p w14:paraId="7ADBA716" w14:textId="77777777" w:rsidR="00F50D70" w:rsidRPr="00BE4F47" w:rsidRDefault="00137D7F"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RBS</w:t>
            </w:r>
          </w:p>
        </w:tc>
        <w:tc>
          <w:tcPr>
            <w:tcW w:w="6844" w:type="dxa"/>
            <w:tcBorders>
              <w:top w:val="single" w:sz="4" w:space="0" w:color="000000"/>
              <w:left w:val="single" w:sz="4" w:space="0" w:color="000000"/>
              <w:bottom w:val="single" w:sz="4" w:space="0" w:color="000000"/>
              <w:right w:val="single" w:sz="4" w:space="0" w:color="000000"/>
            </w:tcBorders>
          </w:tcPr>
          <w:p w14:paraId="57A5E270" w14:textId="77777777" w:rsidR="00F50D70" w:rsidRPr="00BE4F47" w:rsidRDefault="00137D7F"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Structure de découpage des risques</w:t>
            </w:r>
          </w:p>
        </w:tc>
      </w:tr>
      <w:tr w:rsidR="00F50D70" w:rsidRPr="00BE4F47" w14:paraId="7F17D3B5" w14:textId="77777777">
        <w:tc>
          <w:tcPr>
            <w:tcW w:w="1713" w:type="dxa"/>
            <w:tcBorders>
              <w:top w:val="single" w:sz="4" w:space="0" w:color="000000"/>
              <w:left w:val="single" w:sz="4" w:space="0" w:color="000000"/>
              <w:bottom w:val="single" w:sz="4" w:space="0" w:color="000000"/>
              <w:right w:val="single" w:sz="4" w:space="0" w:color="000000"/>
            </w:tcBorders>
          </w:tcPr>
          <w:p w14:paraId="44C6B929" w14:textId="77777777" w:rsidR="00F50D70" w:rsidRPr="00BE4F47" w:rsidRDefault="00137D7F"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REGDOC</w:t>
            </w:r>
          </w:p>
        </w:tc>
        <w:tc>
          <w:tcPr>
            <w:tcW w:w="6844" w:type="dxa"/>
            <w:tcBorders>
              <w:top w:val="single" w:sz="4" w:space="0" w:color="000000"/>
              <w:left w:val="single" w:sz="4" w:space="0" w:color="000000"/>
              <w:bottom w:val="single" w:sz="4" w:space="0" w:color="000000"/>
              <w:right w:val="single" w:sz="4" w:space="0" w:color="000000"/>
            </w:tcBorders>
          </w:tcPr>
          <w:p w14:paraId="16BA2B32" w14:textId="77777777" w:rsidR="00F50D70" w:rsidRPr="00BE4F47" w:rsidRDefault="00137D7F"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Document d’application de la réglementation de la CCSN</w:t>
            </w:r>
          </w:p>
        </w:tc>
      </w:tr>
      <w:tr w:rsidR="00F50D70" w:rsidRPr="00BE4F47" w14:paraId="663377D1" w14:textId="77777777">
        <w:tc>
          <w:tcPr>
            <w:tcW w:w="1713" w:type="dxa"/>
            <w:tcBorders>
              <w:top w:val="single" w:sz="4" w:space="0" w:color="000000"/>
              <w:left w:val="single" w:sz="4" w:space="0" w:color="000000"/>
              <w:bottom w:val="single" w:sz="4" w:space="0" w:color="000000"/>
              <w:right w:val="single" w:sz="4" w:space="0" w:color="000000"/>
            </w:tcBorders>
          </w:tcPr>
          <w:p w14:paraId="4FC1470C" w14:textId="77777777" w:rsidR="00F50D70" w:rsidRPr="00BE4F47" w:rsidRDefault="00137D7F"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RLRQ</w:t>
            </w:r>
          </w:p>
        </w:tc>
        <w:tc>
          <w:tcPr>
            <w:tcW w:w="6844" w:type="dxa"/>
            <w:tcBorders>
              <w:top w:val="single" w:sz="4" w:space="0" w:color="000000"/>
              <w:left w:val="single" w:sz="4" w:space="0" w:color="000000"/>
              <w:bottom w:val="single" w:sz="4" w:space="0" w:color="000000"/>
              <w:right w:val="single" w:sz="4" w:space="0" w:color="000000"/>
            </w:tcBorders>
          </w:tcPr>
          <w:p w14:paraId="44CF77CB" w14:textId="77777777" w:rsidR="00F50D70" w:rsidRPr="00BE4F47" w:rsidRDefault="00137D7F"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Recueil des lois et des règlements du Québec</w:t>
            </w:r>
          </w:p>
        </w:tc>
      </w:tr>
      <w:tr w:rsidR="00F50D70" w:rsidRPr="00BE4F47" w14:paraId="1B0C26FD" w14:textId="77777777">
        <w:tc>
          <w:tcPr>
            <w:tcW w:w="1713" w:type="dxa"/>
            <w:tcBorders>
              <w:top w:val="single" w:sz="4" w:space="0" w:color="000000"/>
              <w:left w:val="single" w:sz="4" w:space="0" w:color="000000"/>
              <w:bottom w:val="single" w:sz="4" w:space="0" w:color="000000"/>
              <w:right w:val="single" w:sz="4" w:space="0" w:color="000000"/>
            </w:tcBorders>
          </w:tcPr>
          <w:p w14:paraId="5021CFF2" w14:textId="77777777" w:rsidR="00F50D70" w:rsidRPr="00BE4F47" w:rsidRDefault="00137D7F"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RP, RT</w:t>
            </w:r>
          </w:p>
        </w:tc>
        <w:tc>
          <w:tcPr>
            <w:tcW w:w="6844" w:type="dxa"/>
            <w:tcBorders>
              <w:top w:val="single" w:sz="4" w:space="0" w:color="000000"/>
              <w:left w:val="single" w:sz="4" w:space="0" w:color="000000"/>
              <w:bottom w:val="single" w:sz="4" w:space="0" w:color="000000"/>
              <w:right w:val="single" w:sz="4" w:space="0" w:color="000000"/>
            </w:tcBorders>
          </w:tcPr>
          <w:p w14:paraId="3C33673B" w14:textId="77777777" w:rsidR="00F50D70" w:rsidRPr="00BE4F47" w:rsidRDefault="00137D7F"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Risque de projet, risque de produit (registres de la section 7)</w:t>
            </w:r>
          </w:p>
        </w:tc>
      </w:tr>
      <w:tr w:rsidR="00F50D70" w:rsidRPr="00BE4F47" w14:paraId="136546CF" w14:textId="77777777">
        <w:tc>
          <w:tcPr>
            <w:tcW w:w="1713" w:type="dxa"/>
            <w:tcBorders>
              <w:top w:val="single" w:sz="4" w:space="0" w:color="000000"/>
              <w:left w:val="single" w:sz="4" w:space="0" w:color="000000"/>
              <w:bottom w:val="single" w:sz="4" w:space="0" w:color="000000"/>
              <w:right w:val="single" w:sz="4" w:space="0" w:color="000000"/>
            </w:tcBorders>
          </w:tcPr>
          <w:p w14:paraId="5F887B4B" w14:textId="77777777" w:rsidR="00F50D70" w:rsidRPr="00BE4F47" w:rsidRDefault="00137D7F"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SCADA</w:t>
            </w:r>
          </w:p>
        </w:tc>
        <w:tc>
          <w:tcPr>
            <w:tcW w:w="6844" w:type="dxa"/>
            <w:tcBorders>
              <w:top w:val="single" w:sz="4" w:space="0" w:color="000000"/>
              <w:left w:val="single" w:sz="4" w:space="0" w:color="000000"/>
              <w:bottom w:val="single" w:sz="4" w:space="0" w:color="000000"/>
              <w:right w:val="single" w:sz="4" w:space="0" w:color="000000"/>
            </w:tcBorders>
          </w:tcPr>
          <w:p w14:paraId="11EEDB71" w14:textId="77777777" w:rsidR="00F50D70" w:rsidRPr="00BE4F47" w:rsidRDefault="00137D7F"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Système de télésurveillance et d’acquisition de données</w:t>
            </w:r>
          </w:p>
        </w:tc>
      </w:tr>
      <w:tr w:rsidR="00F50D70" w:rsidRPr="00BE4F47" w14:paraId="14C6A4D3" w14:textId="77777777">
        <w:tc>
          <w:tcPr>
            <w:tcW w:w="1713" w:type="dxa"/>
            <w:tcBorders>
              <w:top w:val="single" w:sz="4" w:space="0" w:color="000000"/>
              <w:left w:val="single" w:sz="4" w:space="0" w:color="000000"/>
              <w:bottom w:val="single" w:sz="4" w:space="0" w:color="000000"/>
              <w:right w:val="single" w:sz="4" w:space="0" w:color="000000"/>
            </w:tcBorders>
          </w:tcPr>
          <w:p w14:paraId="2F5A34FD" w14:textId="77777777" w:rsidR="00F50D70" w:rsidRPr="00BE4F47" w:rsidRDefault="00137D7F"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UML</w:t>
            </w:r>
          </w:p>
        </w:tc>
        <w:tc>
          <w:tcPr>
            <w:tcW w:w="6844" w:type="dxa"/>
            <w:tcBorders>
              <w:top w:val="single" w:sz="4" w:space="0" w:color="000000"/>
              <w:left w:val="single" w:sz="4" w:space="0" w:color="000000"/>
              <w:bottom w:val="single" w:sz="4" w:space="0" w:color="000000"/>
              <w:right w:val="single" w:sz="4" w:space="0" w:color="000000"/>
            </w:tcBorders>
          </w:tcPr>
          <w:p w14:paraId="32AF93D2" w14:textId="77777777" w:rsidR="00F50D70" w:rsidRPr="00BE4F47" w:rsidRDefault="00137D7F" w:rsidP="008E113B">
            <w:pPr>
              <w:snapToGrid w:val="0"/>
              <w:spacing w:before="20" w:after="20"/>
              <w:ind w:left="0"/>
              <w:jc w:val="left"/>
              <w:outlineLvl w:val="9"/>
              <w:rPr>
                <w:rFonts w:ascii="Aptos" w:eastAsia="Calibri" w:hAnsi="Aptos" w:cs="Times New Roman"/>
                <w:lang w:eastAsia="en-US"/>
              </w:rPr>
            </w:pPr>
            <w:proofErr w:type="spellStart"/>
            <w:r w:rsidRPr="00BE4F47">
              <w:rPr>
                <w:rFonts w:ascii="Aptos" w:eastAsia="Calibri" w:hAnsi="Aptos" w:cs="Times New Roman"/>
                <w:lang w:eastAsia="en-US"/>
              </w:rPr>
              <w:t>Unified</w:t>
            </w:r>
            <w:proofErr w:type="spellEnd"/>
            <w:r w:rsidRPr="00BE4F47">
              <w:rPr>
                <w:rFonts w:ascii="Aptos" w:eastAsia="Calibri" w:hAnsi="Aptos" w:cs="Times New Roman"/>
                <w:lang w:eastAsia="en-US"/>
              </w:rPr>
              <w:t xml:space="preserve"> Modeling </w:t>
            </w:r>
            <w:proofErr w:type="spellStart"/>
            <w:r w:rsidRPr="00BE4F47">
              <w:rPr>
                <w:rFonts w:ascii="Aptos" w:eastAsia="Calibri" w:hAnsi="Aptos" w:cs="Times New Roman"/>
                <w:lang w:eastAsia="en-US"/>
              </w:rPr>
              <w:t>Language</w:t>
            </w:r>
            <w:proofErr w:type="spellEnd"/>
            <w:r w:rsidRPr="00BE4F47">
              <w:rPr>
                <w:rFonts w:ascii="Aptos" w:eastAsia="Calibri" w:hAnsi="Aptos" w:cs="Times New Roman"/>
                <w:lang w:eastAsia="en-US"/>
              </w:rPr>
              <w:t>, langage de modélisation</w:t>
            </w:r>
          </w:p>
        </w:tc>
      </w:tr>
      <w:tr w:rsidR="00F50D70" w:rsidRPr="00BE4F47" w14:paraId="5FF0012B" w14:textId="77777777">
        <w:tc>
          <w:tcPr>
            <w:tcW w:w="1713" w:type="dxa"/>
            <w:tcBorders>
              <w:top w:val="single" w:sz="4" w:space="0" w:color="000000"/>
              <w:left w:val="single" w:sz="4" w:space="0" w:color="000000"/>
              <w:bottom w:val="single" w:sz="4" w:space="0" w:color="000000"/>
              <w:right w:val="single" w:sz="4" w:space="0" w:color="000000"/>
            </w:tcBorders>
          </w:tcPr>
          <w:p w14:paraId="042FDB9E" w14:textId="77777777" w:rsidR="00F50D70" w:rsidRPr="00BE4F47" w:rsidRDefault="00137D7F"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lastRenderedPageBreak/>
              <w:t>UQAC</w:t>
            </w:r>
          </w:p>
        </w:tc>
        <w:tc>
          <w:tcPr>
            <w:tcW w:w="6844" w:type="dxa"/>
            <w:tcBorders>
              <w:top w:val="single" w:sz="4" w:space="0" w:color="000000"/>
              <w:left w:val="single" w:sz="4" w:space="0" w:color="000000"/>
              <w:bottom w:val="single" w:sz="4" w:space="0" w:color="000000"/>
              <w:right w:val="single" w:sz="4" w:space="0" w:color="000000"/>
            </w:tcBorders>
          </w:tcPr>
          <w:p w14:paraId="3B08E96E" w14:textId="77777777" w:rsidR="00F50D70" w:rsidRPr="00BE4F47" w:rsidRDefault="00137D7F"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Université du Québec à Chicoutimi</w:t>
            </w:r>
          </w:p>
        </w:tc>
      </w:tr>
      <w:tr w:rsidR="00F50D70" w:rsidRPr="00BE4F47" w14:paraId="231ABA4C" w14:textId="77777777">
        <w:tc>
          <w:tcPr>
            <w:tcW w:w="1713" w:type="dxa"/>
            <w:tcBorders>
              <w:top w:val="single" w:sz="4" w:space="0" w:color="000000"/>
              <w:left w:val="single" w:sz="4" w:space="0" w:color="000000"/>
              <w:bottom w:val="single" w:sz="4" w:space="0" w:color="000000"/>
              <w:right w:val="single" w:sz="4" w:space="0" w:color="000000"/>
            </w:tcBorders>
          </w:tcPr>
          <w:p w14:paraId="23ADFBB6" w14:textId="77777777" w:rsidR="00F50D70" w:rsidRPr="00BE4F47" w:rsidRDefault="00137D7F"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V&amp;V</w:t>
            </w:r>
          </w:p>
        </w:tc>
        <w:tc>
          <w:tcPr>
            <w:tcW w:w="6844" w:type="dxa"/>
            <w:tcBorders>
              <w:top w:val="single" w:sz="4" w:space="0" w:color="000000"/>
              <w:left w:val="single" w:sz="4" w:space="0" w:color="000000"/>
              <w:bottom w:val="single" w:sz="4" w:space="0" w:color="000000"/>
              <w:right w:val="single" w:sz="4" w:space="0" w:color="000000"/>
            </w:tcBorders>
          </w:tcPr>
          <w:p w14:paraId="649E2C6A" w14:textId="77777777" w:rsidR="00F50D70" w:rsidRPr="00BE4F47" w:rsidRDefault="00137D7F"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Vérification et validation</w:t>
            </w:r>
          </w:p>
        </w:tc>
      </w:tr>
    </w:tbl>
    <w:p w14:paraId="2CB00D6D" w14:textId="77777777" w:rsidR="00F50D70" w:rsidRPr="009D5A87" w:rsidRDefault="00137D7F" w:rsidP="009D5A87">
      <w:r w:rsidRPr="009D5A87">
        <w:br w:type="page"/>
      </w:r>
    </w:p>
    <w:sdt>
      <w:sdtPr>
        <w:rPr>
          <w:lang w:val="fr-CA"/>
        </w:rPr>
        <w:id w:val="1271435401"/>
        <w:docPartObj>
          <w:docPartGallery w:val="Table of Contents"/>
          <w:docPartUnique/>
        </w:docPartObj>
      </w:sdtPr>
      <w:sdtEndPr>
        <w:rPr>
          <w:rFonts w:ascii="Times" w:eastAsia="MS Mincho" w:hAnsi="Times" w:cs="Times"/>
          <w:b/>
          <w:bCs/>
          <w:color w:val="auto"/>
          <w:sz w:val="22"/>
          <w:szCs w:val="22"/>
        </w:rPr>
      </w:sdtEndPr>
      <w:sdtContent>
        <w:p w14:paraId="3EAE6B6A" w14:textId="43C97B63" w:rsidR="009D5A87" w:rsidRDefault="009D5A87">
          <w:pPr>
            <w:pStyle w:val="En-ttedetabledesmatires"/>
          </w:pPr>
          <w:r>
            <w:rPr>
              <w:lang w:val="fr-CA"/>
            </w:rPr>
            <w:t>Table des matières</w:t>
          </w:r>
        </w:p>
        <w:p w14:paraId="24B99B4F" w14:textId="7E07ABDC" w:rsidR="009D5A87" w:rsidRDefault="009D5A87" w:rsidP="009D5A87">
          <w:pPr>
            <w:pStyle w:val="TM3"/>
            <w:rPr>
              <w:rFonts w:asciiTheme="minorHAnsi" w:eastAsiaTheme="minorEastAsia" w:hAnsiTheme="minorHAnsi" w:cstheme="minorBidi"/>
              <w:noProof/>
              <w:kern w:val="2"/>
              <w:sz w:val="24"/>
              <w:szCs w:val="24"/>
              <w:lang w:val="fr-FR" w:eastAsia="fr-FR"/>
              <w14:ligatures w14:val="standardContextual"/>
            </w:rPr>
          </w:pPr>
          <w:r>
            <w:fldChar w:fldCharType="begin"/>
          </w:r>
          <w:r>
            <w:instrText xml:space="preserve"> TOC \o "1-3" \h \z \u </w:instrText>
          </w:r>
          <w:r>
            <w:fldChar w:fldCharType="separate"/>
          </w:r>
        </w:p>
        <w:p w14:paraId="0E4D3126" w14:textId="70F5A688" w:rsidR="009D5A87" w:rsidRDefault="009D5A87">
          <w:pPr>
            <w:pStyle w:val="TM1"/>
            <w:rPr>
              <w:rFonts w:asciiTheme="minorHAnsi" w:eastAsiaTheme="minorEastAsia" w:hAnsiTheme="minorHAnsi" w:cstheme="minorBidi"/>
              <w:noProof/>
              <w:kern w:val="2"/>
              <w:sz w:val="24"/>
              <w:szCs w:val="24"/>
              <w:lang w:val="fr-FR" w:eastAsia="fr-FR"/>
              <w14:ligatures w14:val="standardContextual"/>
            </w:rPr>
          </w:pPr>
          <w:hyperlink w:anchor="_Toc241791636" w:history="1">
            <w:r w:rsidRPr="00D72AB4">
              <w:rPr>
                <w:rStyle w:val="Hyperlien"/>
                <w:noProof/>
              </w:rPr>
              <w:t>1.</w:t>
            </w:r>
            <w:r>
              <w:rPr>
                <w:rFonts w:asciiTheme="minorHAnsi" w:eastAsiaTheme="minorEastAsia" w:hAnsiTheme="minorHAnsi" w:cstheme="minorBidi"/>
                <w:noProof/>
                <w:kern w:val="2"/>
                <w:sz w:val="24"/>
                <w:szCs w:val="24"/>
                <w:lang w:val="fr-FR" w:eastAsia="fr-FR"/>
                <w14:ligatures w14:val="standardContextual"/>
              </w:rPr>
              <w:tab/>
            </w:r>
            <w:r w:rsidRPr="00D72AB4">
              <w:rPr>
                <w:rStyle w:val="Hyperlien"/>
                <w:rFonts w:ascii="Aptos" w:hAnsi="Aptos"/>
                <w:noProof/>
              </w:rPr>
              <w:t>Analyse des besoins du client et des exigences des différents intervenants</w:t>
            </w:r>
            <w:r>
              <w:rPr>
                <w:noProof/>
                <w:webHidden/>
              </w:rPr>
              <w:tab/>
            </w:r>
            <w:r>
              <w:rPr>
                <w:noProof/>
                <w:webHidden/>
              </w:rPr>
              <w:fldChar w:fldCharType="begin"/>
            </w:r>
            <w:r>
              <w:rPr>
                <w:noProof/>
                <w:webHidden/>
              </w:rPr>
              <w:instrText xml:space="preserve"> PAGEREF _Toc241791636 \h </w:instrText>
            </w:r>
            <w:r>
              <w:rPr>
                <w:noProof/>
                <w:webHidden/>
              </w:rPr>
            </w:r>
            <w:r>
              <w:rPr>
                <w:noProof/>
                <w:webHidden/>
              </w:rPr>
              <w:fldChar w:fldCharType="separate"/>
            </w:r>
            <w:r w:rsidR="00CE67BA">
              <w:rPr>
                <w:noProof/>
                <w:webHidden/>
              </w:rPr>
              <w:t>8</w:t>
            </w:r>
            <w:r>
              <w:rPr>
                <w:noProof/>
                <w:webHidden/>
              </w:rPr>
              <w:fldChar w:fldCharType="end"/>
            </w:r>
          </w:hyperlink>
        </w:p>
        <w:p w14:paraId="47D76DB6" w14:textId="70DC616B" w:rsidR="009D5A87" w:rsidRDefault="009D5A87">
          <w:pPr>
            <w:pStyle w:val="TM2"/>
            <w:tabs>
              <w:tab w:val="left" w:pos="1100"/>
            </w:tabs>
            <w:rPr>
              <w:rFonts w:asciiTheme="minorHAnsi" w:eastAsiaTheme="minorEastAsia" w:hAnsiTheme="minorHAnsi" w:cstheme="minorBidi"/>
              <w:noProof/>
              <w:kern w:val="2"/>
              <w:sz w:val="24"/>
              <w:szCs w:val="24"/>
              <w:lang w:val="fr-FR" w:eastAsia="fr-FR"/>
              <w14:ligatures w14:val="standardContextual"/>
            </w:rPr>
          </w:pPr>
          <w:hyperlink w:anchor="_Toc241791647" w:history="1">
            <w:r w:rsidRPr="00D72AB4">
              <w:rPr>
                <w:rStyle w:val="Hyperlien"/>
                <w:noProof/>
              </w:rPr>
              <w:t>1.2</w:t>
            </w:r>
            <w:r>
              <w:rPr>
                <w:rFonts w:asciiTheme="minorHAnsi" w:eastAsiaTheme="minorEastAsia" w:hAnsiTheme="minorHAnsi" w:cstheme="minorBidi"/>
                <w:noProof/>
                <w:kern w:val="2"/>
                <w:sz w:val="24"/>
                <w:szCs w:val="24"/>
                <w:lang w:val="fr-FR" w:eastAsia="fr-FR"/>
                <w14:ligatures w14:val="standardContextual"/>
              </w:rPr>
              <w:tab/>
            </w:r>
            <w:r w:rsidRPr="00D72AB4">
              <w:rPr>
                <w:rStyle w:val="Hyperlien"/>
                <w:noProof/>
              </w:rPr>
              <w:t>Parties prenantes</w:t>
            </w:r>
            <w:r>
              <w:rPr>
                <w:noProof/>
                <w:webHidden/>
              </w:rPr>
              <w:tab/>
            </w:r>
            <w:r>
              <w:rPr>
                <w:noProof/>
                <w:webHidden/>
              </w:rPr>
              <w:fldChar w:fldCharType="begin"/>
            </w:r>
            <w:r>
              <w:rPr>
                <w:noProof/>
                <w:webHidden/>
              </w:rPr>
              <w:instrText xml:space="preserve"> PAGEREF _Toc241791647 \h </w:instrText>
            </w:r>
            <w:r>
              <w:rPr>
                <w:noProof/>
                <w:webHidden/>
              </w:rPr>
            </w:r>
            <w:r>
              <w:rPr>
                <w:noProof/>
                <w:webHidden/>
              </w:rPr>
              <w:fldChar w:fldCharType="separate"/>
            </w:r>
            <w:r w:rsidR="00CE67BA">
              <w:rPr>
                <w:noProof/>
                <w:webHidden/>
              </w:rPr>
              <w:t>8</w:t>
            </w:r>
            <w:r>
              <w:rPr>
                <w:noProof/>
                <w:webHidden/>
              </w:rPr>
              <w:fldChar w:fldCharType="end"/>
            </w:r>
          </w:hyperlink>
        </w:p>
        <w:p w14:paraId="5DE2BBB8" w14:textId="73691AB7" w:rsidR="009D5A87" w:rsidRDefault="009D5A87">
          <w:pPr>
            <w:pStyle w:val="TM2"/>
            <w:tabs>
              <w:tab w:val="left" w:pos="1100"/>
            </w:tabs>
            <w:rPr>
              <w:rFonts w:asciiTheme="minorHAnsi" w:eastAsiaTheme="minorEastAsia" w:hAnsiTheme="minorHAnsi" w:cstheme="minorBidi"/>
              <w:noProof/>
              <w:kern w:val="2"/>
              <w:sz w:val="24"/>
              <w:szCs w:val="24"/>
              <w:lang w:val="fr-FR" w:eastAsia="fr-FR"/>
              <w14:ligatures w14:val="standardContextual"/>
            </w:rPr>
          </w:pPr>
          <w:hyperlink w:anchor="_Toc241791650" w:history="1">
            <w:r w:rsidRPr="00D72AB4">
              <w:rPr>
                <w:rStyle w:val="Hyperlien"/>
                <w:noProof/>
              </w:rPr>
              <w:t>1.3</w:t>
            </w:r>
            <w:r>
              <w:rPr>
                <w:rFonts w:asciiTheme="minorHAnsi" w:eastAsiaTheme="minorEastAsia" w:hAnsiTheme="minorHAnsi" w:cstheme="minorBidi"/>
                <w:noProof/>
                <w:kern w:val="2"/>
                <w:sz w:val="24"/>
                <w:szCs w:val="24"/>
                <w:lang w:val="fr-FR" w:eastAsia="fr-FR"/>
                <w14:ligatures w14:val="standardContextual"/>
              </w:rPr>
              <w:tab/>
            </w:r>
            <w:r w:rsidRPr="00D72AB4">
              <w:rPr>
                <w:rStyle w:val="Hyperlien"/>
                <w:noProof/>
              </w:rPr>
              <w:t>Besoins et douleurs</w:t>
            </w:r>
            <w:r>
              <w:rPr>
                <w:noProof/>
                <w:webHidden/>
              </w:rPr>
              <w:tab/>
            </w:r>
            <w:r>
              <w:rPr>
                <w:noProof/>
                <w:webHidden/>
              </w:rPr>
              <w:fldChar w:fldCharType="begin"/>
            </w:r>
            <w:r>
              <w:rPr>
                <w:noProof/>
                <w:webHidden/>
              </w:rPr>
              <w:instrText xml:space="preserve"> PAGEREF _Toc241791650 \h </w:instrText>
            </w:r>
            <w:r>
              <w:rPr>
                <w:noProof/>
                <w:webHidden/>
              </w:rPr>
            </w:r>
            <w:r>
              <w:rPr>
                <w:noProof/>
                <w:webHidden/>
              </w:rPr>
              <w:fldChar w:fldCharType="separate"/>
            </w:r>
            <w:r w:rsidR="00CE67BA">
              <w:rPr>
                <w:noProof/>
                <w:webHidden/>
              </w:rPr>
              <w:t>9</w:t>
            </w:r>
            <w:r>
              <w:rPr>
                <w:noProof/>
                <w:webHidden/>
              </w:rPr>
              <w:fldChar w:fldCharType="end"/>
            </w:r>
          </w:hyperlink>
        </w:p>
        <w:p w14:paraId="61CD6976" w14:textId="13F1D8C5" w:rsidR="009D5A87" w:rsidRDefault="009D5A87">
          <w:pPr>
            <w:pStyle w:val="TM2"/>
            <w:tabs>
              <w:tab w:val="left" w:pos="1100"/>
            </w:tabs>
            <w:rPr>
              <w:rFonts w:asciiTheme="minorHAnsi" w:eastAsiaTheme="minorEastAsia" w:hAnsiTheme="minorHAnsi" w:cstheme="minorBidi"/>
              <w:noProof/>
              <w:kern w:val="2"/>
              <w:sz w:val="24"/>
              <w:szCs w:val="24"/>
              <w:lang w:val="fr-FR" w:eastAsia="fr-FR"/>
              <w14:ligatures w14:val="standardContextual"/>
            </w:rPr>
          </w:pPr>
          <w:hyperlink w:anchor="_Toc241791663" w:history="1">
            <w:r w:rsidRPr="00D72AB4">
              <w:rPr>
                <w:rStyle w:val="Hyperlien"/>
                <w:noProof/>
              </w:rPr>
              <w:t>1.4</w:t>
            </w:r>
            <w:r>
              <w:rPr>
                <w:rFonts w:asciiTheme="minorHAnsi" w:eastAsiaTheme="minorEastAsia" w:hAnsiTheme="minorHAnsi" w:cstheme="minorBidi"/>
                <w:noProof/>
                <w:kern w:val="2"/>
                <w:sz w:val="24"/>
                <w:szCs w:val="24"/>
                <w:lang w:val="fr-FR" w:eastAsia="fr-FR"/>
                <w14:ligatures w14:val="standardContextual"/>
              </w:rPr>
              <w:tab/>
            </w:r>
            <w:r w:rsidRPr="00D72AB4">
              <w:rPr>
                <w:rStyle w:val="Hyperlien"/>
                <w:noProof/>
              </w:rPr>
              <w:t>Modes de fonctionnement et analyse fonctionnelle</w:t>
            </w:r>
            <w:r>
              <w:rPr>
                <w:noProof/>
                <w:webHidden/>
              </w:rPr>
              <w:tab/>
            </w:r>
            <w:r>
              <w:rPr>
                <w:noProof/>
                <w:webHidden/>
              </w:rPr>
              <w:fldChar w:fldCharType="begin"/>
            </w:r>
            <w:r>
              <w:rPr>
                <w:noProof/>
                <w:webHidden/>
              </w:rPr>
              <w:instrText xml:space="preserve"> PAGEREF _Toc241791663 \h </w:instrText>
            </w:r>
            <w:r>
              <w:rPr>
                <w:noProof/>
                <w:webHidden/>
              </w:rPr>
            </w:r>
            <w:r>
              <w:rPr>
                <w:noProof/>
                <w:webHidden/>
              </w:rPr>
              <w:fldChar w:fldCharType="separate"/>
            </w:r>
            <w:r w:rsidR="00CE67BA">
              <w:rPr>
                <w:noProof/>
                <w:webHidden/>
              </w:rPr>
              <w:t>11</w:t>
            </w:r>
            <w:r>
              <w:rPr>
                <w:noProof/>
                <w:webHidden/>
              </w:rPr>
              <w:fldChar w:fldCharType="end"/>
            </w:r>
          </w:hyperlink>
        </w:p>
        <w:p w14:paraId="16B967DD" w14:textId="1DF0453F" w:rsidR="009D5A87" w:rsidRDefault="009D5A87">
          <w:pPr>
            <w:pStyle w:val="TM2"/>
            <w:tabs>
              <w:tab w:val="left" w:pos="1100"/>
            </w:tabs>
            <w:rPr>
              <w:rFonts w:asciiTheme="minorHAnsi" w:eastAsiaTheme="minorEastAsia" w:hAnsiTheme="minorHAnsi" w:cstheme="minorBidi"/>
              <w:noProof/>
              <w:kern w:val="2"/>
              <w:sz w:val="24"/>
              <w:szCs w:val="24"/>
              <w:lang w:val="fr-FR" w:eastAsia="fr-FR"/>
              <w14:ligatures w14:val="standardContextual"/>
            </w:rPr>
          </w:pPr>
          <w:hyperlink w:anchor="_Toc241791675" w:history="1">
            <w:r w:rsidRPr="00D72AB4">
              <w:rPr>
                <w:rStyle w:val="Hyperlien"/>
                <w:noProof/>
              </w:rPr>
              <w:t>1.5</w:t>
            </w:r>
            <w:r>
              <w:rPr>
                <w:rFonts w:asciiTheme="minorHAnsi" w:eastAsiaTheme="minorEastAsia" w:hAnsiTheme="minorHAnsi" w:cstheme="minorBidi"/>
                <w:noProof/>
                <w:kern w:val="2"/>
                <w:sz w:val="24"/>
                <w:szCs w:val="24"/>
                <w:lang w:val="fr-FR" w:eastAsia="fr-FR"/>
                <w14:ligatures w14:val="standardContextual"/>
              </w:rPr>
              <w:tab/>
            </w:r>
            <w:r w:rsidRPr="00D72AB4">
              <w:rPr>
                <w:rStyle w:val="Hyperlien"/>
                <w:noProof/>
              </w:rPr>
              <w:t>Périmètre inclus/exclus</w:t>
            </w:r>
            <w:r>
              <w:rPr>
                <w:noProof/>
                <w:webHidden/>
              </w:rPr>
              <w:tab/>
            </w:r>
            <w:r>
              <w:rPr>
                <w:noProof/>
                <w:webHidden/>
              </w:rPr>
              <w:fldChar w:fldCharType="begin"/>
            </w:r>
            <w:r>
              <w:rPr>
                <w:noProof/>
                <w:webHidden/>
              </w:rPr>
              <w:instrText xml:space="preserve"> PAGEREF _Toc241791675 \h </w:instrText>
            </w:r>
            <w:r>
              <w:rPr>
                <w:noProof/>
                <w:webHidden/>
              </w:rPr>
            </w:r>
            <w:r>
              <w:rPr>
                <w:noProof/>
                <w:webHidden/>
              </w:rPr>
              <w:fldChar w:fldCharType="separate"/>
            </w:r>
            <w:r w:rsidR="00CE67BA">
              <w:rPr>
                <w:noProof/>
                <w:webHidden/>
              </w:rPr>
              <w:t>13</w:t>
            </w:r>
            <w:r>
              <w:rPr>
                <w:noProof/>
                <w:webHidden/>
              </w:rPr>
              <w:fldChar w:fldCharType="end"/>
            </w:r>
          </w:hyperlink>
        </w:p>
        <w:p w14:paraId="3208A2D1" w14:textId="1A6B6A17" w:rsidR="009D5A87" w:rsidRDefault="009D5A87">
          <w:pPr>
            <w:pStyle w:val="TM2"/>
            <w:tabs>
              <w:tab w:val="left" w:pos="1100"/>
            </w:tabs>
            <w:rPr>
              <w:rFonts w:asciiTheme="minorHAnsi" w:eastAsiaTheme="minorEastAsia" w:hAnsiTheme="minorHAnsi" w:cstheme="minorBidi"/>
              <w:noProof/>
              <w:kern w:val="2"/>
              <w:sz w:val="24"/>
              <w:szCs w:val="24"/>
              <w:lang w:val="fr-FR" w:eastAsia="fr-FR"/>
              <w14:ligatures w14:val="standardContextual"/>
            </w:rPr>
          </w:pPr>
          <w:hyperlink w:anchor="_Toc241791678" w:history="1">
            <w:r w:rsidRPr="00D72AB4">
              <w:rPr>
                <w:rStyle w:val="Hyperlien"/>
                <w:noProof/>
              </w:rPr>
              <w:t>1.6</w:t>
            </w:r>
            <w:r>
              <w:rPr>
                <w:rFonts w:asciiTheme="minorHAnsi" w:eastAsiaTheme="minorEastAsia" w:hAnsiTheme="minorHAnsi" w:cstheme="minorBidi"/>
                <w:noProof/>
                <w:kern w:val="2"/>
                <w:sz w:val="24"/>
                <w:szCs w:val="24"/>
                <w:lang w:val="fr-FR" w:eastAsia="fr-FR"/>
                <w14:ligatures w14:val="standardContextual"/>
              </w:rPr>
              <w:tab/>
            </w:r>
            <w:r w:rsidRPr="00D72AB4">
              <w:rPr>
                <w:rStyle w:val="Hyperlien"/>
                <w:noProof/>
              </w:rPr>
              <w:t>Hypothèses</w:t>
            </w:r>
            <w:r>
              <w:rPr>
                <w:noProof/>
                <w:webHidden/>
              </w:rPr>
              <w:tab/>
            </w:r>
            <w:r>
              <w:rPr>
                <w:noProof/>
                <w:webHidden/>
              </w:rPr>
              <w:fldChar w:fldCharType="begin"/>
            </w:r>
            <w:r>
              <w:rPr>
                <w:noProof/>
                <w:webHidden/>
              </w:rPr>
              <w:instrText xml:space="preserve"> PAGEREF _Toc241791678 \h </w:instrText>
            </w:r>
            <w:r>
              <w:rPr>
                <w:noProof/>
                <w:webHidden/>
              </w:rPr>
            </w:r>
            <w:r>
              <w:rPr>
                <w:noProof/>
                <w:webHidden/>
              </w:rPr>
              <w:fldChar w:fldCharType="separate"/>
            </w:r>
            <w:r w:rsidR="00CE67BA">
              <w:rPr>
                <w:noProof/>
                <w:webHidden/>
              </w:rPr>
              <w:t>13</w:t>
            </w:r>
            <w:r>
              <w:rPr>
                <w:noProof/>
                <w:webHidden/>
              </w:rPr>
              <w:fldChar w:fldCharType="end"/>
            </w:r>
          </w:hyperlink>
        </w:p>
        <w:p w14:paraId="0E244B73" w14:textId="79007273" w:rsidR="009D5A87" w:rsidRDefault="009D5A87">
          <w:pPr>
            <w:pStyle w:val="TM2"/>
            <w:tabs>
              <w:tab w:val="left" w:pos="1100"/>
            </w:tabs>
            <w:rPr>
              <w:rFonts w:asciiTheme="minorHAnsi" w:eastAsiaTheme="minorEastAsia" w:hAnsiTheme="minorHAnsi" w:cstheme="minorBidi"/>
              <w:noProof/>
              <w:kern w:val="2"/>
              <w:sz w:val="24"/>
              <w:szCs w:val="24"/>
              <w:lang w:val="fr-FR" w:eastAsia="fr-FR"/>
              <w14:ligatures w14:val="standardContextual"/>
            </w:rPr>
          </w:pPr>
          <w:hyperlink w:anchor="_Toc241791680" w:history="1">
            <w:r w:rsidRPr="00D72AB4">
              <w:rPr>
                <w:rStyle w:val="Hyperlien"/>
                <w:noProof/>
              </w:rPr>
              <w:t>1.7</w:t>
            </w:r>
            <w:r>
              <w:rPr>
                <w:rFonts w:asciiTheme="minorHAnsi" w:eastAsiaTheme="minorEastAsia" w:hAnsiTheme="minorHAnsi" w:cstheme="minorBidi"/>
                <w:noProof/>
                <w:kern w:val="2"/>
                <w:sz w:val="24"/>
                <w:szCs w:val="24"/>
                <w:lang w:val="fr-FR" w:eastAsia="fr-FR"/>
                <w14:ligatures w14:val="standardContextual"/>
              </w:rPr>
              <w:tab/>
            </w:r>
            <w:r w:rsidRPr="00D72AB4">
              <w:rPr>
                <w:rStyle w:val="Hyperlien"/>
                <w:noProof/>
              </w:rPr>
              <w:t>Registre des exigences</w:t>
            </w:r>
            <w:r>
              <w:rPr>
                <w:noProof/>
                <w:webHidden/>
              </w:rPr>
              <w:tab/>
            </w:r>
            <w:r>
              <w:rPr>
                <w:noProof/>
                <w:webHidden/>
              </w:rPr>
              <w:fldChar w:fldCharType="begin"/>
            </w:r>
            <w:r>
              <w:rPr>
                <w:noProof/>
                <w:webHidden/>
              </w:rPr>
              <w:instrText xml:space="preserve"> PAGEREF _Toc241791680 \h </w:instrText>
            </w:r>
            <w:r>
              <w:rPr>
                <w:noProof/>
                <w:webHidden/>
              </w:rPr>
            </w:r>
            <w:r>
              <w:rPr>
                <w:noProof/>
                <w:webHidden/>
              </w:rPr>
              <w:fldChar w:fldCharType="separate"/>
            </w:r>
            <w:r w:rsidR="00CE67BA">
              <w:rPr>
                <w:noProof/>
                <w:webHidden/>
              </w:rPr>
              <w:t>14</w:t>
            </w:r>
            <w:r>
              <w:rPr>
                <w:noProof/>
                <w:webHidden/>
              </w:rPr>
              <w:fldChar w:fldCharType="end"/>
            </w:r>
          </w:hyperlink>
        </w:p>
        <w:p w14:paraId="216F2BDC" w14:textId="55BB3C9F" w:rsidR="009D5A87" w:rsidRDefault="009D5A87">
          <w:pPr>
            <w:pStyle w:val="TM3"/>
            <w:tabs>
              <w:tab w:val="left" w:pos="1860"/>
            </w:tabs>
            <w:rPr>
              <w:rFonts w:asciiTheme="minorHAnsi" w:eastAsiaTheme="minorEastAsia" w:hAnsiTheme="minorHAnsi" w:cstheme="minorBidi"/>
              <w:noProof/>
              <w:kern w:val="2"/>
              <w:sz w:val="24"/>
              <w:szCs w:val="24"/>
              <w:lang w:val="fr-FR" w:eastAsia="fr-FR"/>
              <w14:ligatures w14:val="standardContextual"/>
            </w:rPr>
          </w:pPr>
          <w:hyperlink w:anchor="_Toc241791681" w:history="1">
            <w:r w:rsidRPr="00D72AB4">
              <w:rPr>
                <w:rStyle w:val="Hyperlien"/>
                <w:noProof/>
                <w:lang w:eastAsia="fr-FR"/>
              </w:rPr>
              <w:t>1.7.1</w:t>
            </w:r>
            <w:r>
              <w:rPr>
                <w:rFonts w:asciiTheme="minorHAnsi" w:eastAsiaTheme="minorEastAsia" w:hAnsiTheme="minorHAnsi" w:cstheme="minorBidi"/>
                <w:noProof/>
                <w:kern w:val="2"/>
                <w:sz w:val="24"/>
                <w:szCs w:val="24"/>
                <w:lang w:val="fr-FR" w:eastAsia="fr-FR"/>
                <w14:ligatures w14:val="standardContextual"/>
              </w:rPr>
              <w:tab/>
            </w:r>
            <w:r w:rsidRPr="00D72AB4">
              <w:rPr>
                <w:rStyle w:val="Hyperlien"/>
                <w:noProof/>
                <w:lang w:eastAsia="fr-FR"/>
              </w:rPr>
              <w:t>Méthodes et convention de rédaction</w:t>
            </w:r>
            <w:r>
              <w:rPr>
                <w:noProof/>
                <w:webHidden/>
              </w:rPr>
              <w:tab/>
            </w:r>
            <w:r>
              <w:rPr>
                <w:noProof/>
                <w:webHidden/>
              </w:rPr>
              <w:fldChar w:fldCharType="begin"/>
            </w:r>
            <w:r>
              <w:rPr>
                <w:noProof/>
                <w:webHidden/>
              </w:rPr>
              <w:instrText xml:space="preserve"> PAGEREF _Toc241791681 \h </w:instrText>
            </w:r>
            <w:r>
              <w:rPr>
                <w:noProof/>
                <w:webHidden/>
              </w:rPr>
            </w:r>
            <w:r>
              <w:rPr>
                <w:noProof/>
                <w:webHidden/>
              </w:rPr>
              <w:fldChar w:fldCharType="separate"/>
            </w:r>
            <w:r w:rsidR="00CE67BA">
              <w:rPr>
                <w:noProof/>
                <w:webHidden/>
              </w:rPr>
              <w:t>14</w:t>
            </w:r>
            <w:r>
              <w:rPr>
                <w:noProof/>
                <w:webHidden/>
              </w:rPr>
              <w:fldChar w:fldCharType="end"/>
            </w:r>
          </w:hyperlink>
        </w:p>
        <w:p w14:paraId="5BA7262C" w14:textId="3A306693" w:rsidR="009D5A87" w:rsidRDefault="009D5A87">
          <w:pPr>
            <w:pStyle w:val="TM3"/>
            <w:tabs>
              <w:tab w:val="left" w:pos="1860"/>
            </w:tabs>
            <w:rPr>
              <w:rFonts w:asciiTheme="minorHAnsi" w:eastAsiaTheme="minorEastAsia" w:hAnsiTheme="minorHAnsi" w:cstheme="minorBidi"/>
              <w:noProof/>
              <w:kern w:val="2"/>
              <w:sz w:val="24"/>
              <w:szCs w:val="24"/>
              <w:lang w:val="fr-FR" w:eastAsia="fr-FR"/>
              <w14:ligatures w14:val="standardContextual"/>
            </w:rPr>
          </w:pPr>
          <w:hyperlink w:anchor="_Toc241791686" w:history="1">
            <w:r w:rsidRPr="00D72AB4">
              <w:rPr>
                <w:rStyle w:val="Hyperlien"/>
                <w:noProof/>
                <w:lang w:eastAsia="fr-FR"/>
              </w:rPr>
              <w:t>1.7.2</w:t>
            </w:r>
            <w:r>
              <w:rPr>
                <w:rFonts w:asciiTheme="minorHAnsi" w:eastAsiaTheme="minorEastAsia" w:hAnsiTheme="minorHAnsi" w:cstheme="minorBidi"/>
                <w:noProof/>
                <w:kern w:val="2"/>
                <w:sz w:val="24"/>
                <w:szCs w:val="24"/>
                <w:lang w:val="fr-FR" w:eastAsia="fr-FR"/>
                <w14:ligatures w14:val="standardContextual"/>
              </w:rPr>
              <w:tab/>
            </w:r>
            <w:r w:rsidRPr="00D72AB4">
              <w:rPr>
                <w:rStyle w:val="Hyperlien"/>
                <w:noProof/>
              </w:rPr>
              <w:t>Exigences fonctionnelles</w:t>
            </w:r>
            <w:r>
              <w:rPr>
                <w:noProof/>
                <w:webHidden/>
              </w:rPr>
              <w:tab/>
            </w:r>
            <w:r>
              <w:rPr>
                <w:noProof/>
                <w:webHidden/>
              </w:rPr>
              <w:fldChar w:fldCharType="begin"/>
            </w:r>
            <w:r>
              <w:rPr>
                <w:noProof/>
                <w:webHidden/>
              </w:rPr>
              <w:instrText xml:space="preserve"> PAGEREF _Toc241791686 \h </w:instrText>
            </w:r>
            <w:r>
              <w:rPr>
                <w:noProof/>
                <w:webHidden/>
              </w:rPr>
            </w:r>
            <w:r>
              <w:rPr>
                <w:noProof/>
                <w:webHidden/>
              </w:rPr>
              <w:fldChar w:fldCharType="separate"/>
            </w:r>
            <w:r w:rsidR="00CE67BA">
              <w:rPr>
                <w:noProof/>
                <w:webHidden/>
              </w:rPr>
              <w:t>14</w:t>
            </w:r>
            <w:r>
              <w:rPr>
                <w:noProof/>
                <w:webHidden/>
              </w:rPr>
              <w:fldChar w:fldCharType="end"/>
            </w:r>
          </w:hyperlink>
        </w:p>
        <w:p w14:paraId="0EDF6A34" w14:textId="25A77B0A" w:rsidR="009D5A87" w:rsidRDefault="009D5A87">
          <w:pPr>
            <w:pStyle w:val="TM3"/>
            <w:tabs>
              <w:tab w:val="left" w:pos="1860"/>
            </w:tabs>
            <w:rPr>
              <w:rFonts w:asciiTheme="minorHAnsi" w:eastAsiaTheme="minorEastAsia" w:hAnsiTheme="minorHAnsi" w:cstheme="minorBidi"/>
              <w:noProof/>
              <w:kern w:val="2"/>
              <w:sz w:val="24"/>
              <w:szCs w:val="24"/>
              <w:lang w:val="fr-FR" w:eastAsia="fr-FR"/>
              <w14:ligatures w14:val="standardContextual"/>
            </w:rPr>
          </w:pPr>
          <w:hyperlink w:anchor="_Toc241791688" w:history="1">
            <w:r w:rsidRPr="00D72AB4">
              <w:rPr>
                <w:rStyle w:val="Hyperlien"/>
                <w:noProof/>
                <w:lang w:eastAsia="fr-FR"/>
              </w:rPr>
              <w:t>1.7.3</w:t>
            </w:r>
            <w:r>
              <w:rPr>
                <w:rFonts w:asciiTheme="minorHAnsi" w:eastAsiaTheme="minorEastAsia" w:hAnsiTheme="minorHAnsi" w:cstheme="minorBidi"/>
                <w:noProof/>
                <w:kern w:val="2"/>
                <w:sz w:val="24"/>
                <w:szCs w:val="24"/>
                <w:lang w:val="fr-FR" w:eastAsia="fr-FR"/>
                <w14:ligatures w14:val="standardContextual"/>
              </w:rPr>
              <w:tab/>
            </w:r>
            <w:r w:rsidRPr="00D72AB4">
              <w:rPr>
                <w:rStyle w:val="Hyperlien"/>
                <w:noProof/>
              </w:rPr>
              <w:t>Exigences de qualité</w:t>
            </w:r>
            <w:r>
              <w:rPr>
                <w:noProof/>
                <w:webHidden/>
              </w:rPr>
              <w:tab/>
            </w:r>
            <w:r>
              <w:rPr>
                <w:noProof/>
                <w:webHidden/>
              </w:rPr>
              <w:fldChar w:fldCharType="begin"/>
            </w:r>
            <w:r>
              <w:rPr>
                <w:noProof/>
                <w:webHidden/>
              </w:rPr>
              <w:instrText xml:space="preserve"> PAGEREF _Toc241791688 \h </w:instrText>
            </w:r>
            <w:r>
              <w:rPr>
                <w:noProof/>
                <w:webHidden/>
              </w:rPr>
            </w:r>
            <w:r>
              <w:rPr>
                <w:noProof/>
                <w:webHidden/>
              </w:rPr>
              <w:fldChar w:fldCharType="separate"/>
            </w:r>
            <w:r w:rsidR="00CE67BA">
              <w:rPr>
                <w:noProof/>
                <w:webHidden/>
              </w:rPr>
              <w:t>15</w:t>
            </w:r>
            <w:r>
              <w:rPr>
                <w:noProof/>
                <w:webHidden/>
              </w:rPr>
              <w:fldChar w:fldCharType="end"/>
            </w:r>
          </w:hyperlink>
        </w:p>
        <w:p w14:paraId="2351D64D" w14:textId="087002F3" w:rsidR="009D5A87" w:rsidRDefault="009D5A87">
          <w:pPr>
            <w:pStyle w:val="TM3"/>
            <w:tabs>
              <w:tab w:val="left" w:pos="1860"/>
            </w:tabs>
            <w:rPr>
              <w:rFonts w:asciiTheme="minorHAnsi" w:eastAsiaTheme="minorEastAsia" w:hAnsiTheme="minorHAnsi" w:cstheme="minorBidi"/>
              <w:noProof/>
              <w:kern w:val="2"/>
              <w:sz w:val="24"/>
              <w:szCs w:val="24"/>
              <w:lang w:val="fr-FR" w:eastAsia="fr-FR"/>
              <w14:ligatures w14:val="standardContextual"/>
            </w:rPr>
          </w:pPr>
          <w:hyperlink w:anchor="_Toc241791691" w:history="1">
            <w:r w:rsidRPr="00D72AB4">
              <w:rPr>
                <w:rStyle w:val="Hyperlien"/>
                <w:noProof/>
                <w:lang w:eastAsia="fr-FR"/>
              </w:rPr>
              <w:t>1.7.4</w:t>
            </w:r>
            <w:r>
              <w:rPr>
                <w:rFonts w:asciiTheme="minorHAnsi" w:eastAsiaTheme="minorEastAsia" w:hAnsiTheme="minorHAnsi" w:cstheme="minorBidi"/>
                <w:noProof/>
                <w:kern w:val="2"/>
                <w:sz w:val="24"/>
                <w:szCs w:val="24"/>
                <w:lang w:val="fr-FR" w:eastAsia="fr-FR"/>
                <w14:ligatures w14:val="standardContextual"/>
              </w:rPr>
              <w:tab/>
            </w:r>
            <w:r w:rsidRPr="00D72AB4">
              <w:rPr>
                <w:rStyle w:val="Hyperlien"/>
                <w:noProof/>
              </w:rPr>
              <w:t>Exigences de périmètre et de contrainte</w:t>
            </w:r>
            <w:r>
              <w:rPr>
                <w:noProof/>
                <w:webHidden/>
              </w:rPr>
              <w:tab/>
            </w:r>
            <w:r>
              <w:rPr>
                <w:noProof/>
                <w:webHidden/>
              </w:rPr>
              <w:fldChar w:fldCharType="begin"/>
            </w:r>
            <w:r>
              <w:rPr>
                <w:noProof/>
                <w:webHidden/>
              </w:rPr>
              <w:instrText xml:space="preserve"> PAGEREF _Toc241791691 \h </w:instrText>
            </w:r>
            <w:r>
              <w:rPr>
                <w:noProof/>
                <w:webHidden/>
              </w:rPr>
            </w:r>
            <w:r>
              <w:rPr>
                <w:noProof/>
                <w:webHidden/>
              </w:rPr>
              <w:fldChar w:fldCharType="separate"/>
            </w:r>
            <w:r w:rsidR="00CE67BA">
              <w:rPr>
                <w:noProof/>
                <w:webHidden/>
              </w:rPr>
              <w:t>16</w:t>
            </w:r>
            <w:r>
              <w:rPr>
                <w:noProof/>
                <w:webHidden/>
              </w:rPr>
              <w:fldChar w:fldCharType="end"/>
            </w:r>
          </w:hyperlink>
        </w:p>
        <w:p w14:paraId="66D05442" w14:textId="13AFB053" w:rsidR="009D5A87" w:rsidRDefault="009D5A87">
          <w:pPr>
            <w:pStyle w:val="TM1"/>
            <w:rPr>
              <w:rFonts w:asciiTheme="minorHAnsi" w:eastAsiaTheme="minorEastAsia" w:hAnsiTheme="minorHAnsi" w:cstheme="minorBidi"/>
              <w:noProof/>
              <w:kern w:val="2"/>
              <w:sz w:val="24"/>
              <w:szCs w:val="24"/>
              <w:lang w:val="fr-FR" w:eastAsia="fr-FR"/>
              <w14:ligatures w14:val="standardContextual"/>
            </w:rPr>
          </w:pPr>
          <w:hyperlink w:anchor="_Toc241791694" w:history="1">
            <w:r w:rsidRPr="00D72AB4">
              <w:rPr>
                <w:rStyle w:val="Hyperlien"/>
                <w:noProof/>
              </w:rPr>
              <w:t>2.</w:t>
            </w:r>
            <w:r>
              <w:rPr>
                <w:rFonts w:asciiTheme="minorHAnsi" w:eastAsiaTheme="minorEastAsia" w:hAnsiTheme="minorHAnsi" w:cstheme="minorBidi"/>
                <w:noProof/>
                <w:kern w:val="2"/>
                <w:sz w:val="24"/>
                <w:szCs w:val="24"/>
                <w:lang w:val="fr-FR" w:eastAsia="fr-FR"/>
                <w14:ligatures w14:val="standardContextual"/>
              </w:rPr>
              <w:tab/>
            </w:r>
            <w:r w:rsidRPr="00D72AB4">
              <w:rPr>
                <w:rStyle w:val="Hyperlien"/>
                <w:noProof/>
              </w:rPr>
              <w:t>Description des livrables du projet</w:t>
            </w:r>
            <w:r>
              <w:rPr>
                <w:noProof/>
                <w:webHidden/>
              </w:rPr>
              <w:tab/>
            </w:r>
            <w:r>
              <w:rPr>
                <w:noProof/>
                <w:webHidden/>
              </w:rPr>
              <w:fldChar w:fldCharType="begin"/>
            </w:r>
            <w:r>
              <w:rPr>
                <w:noProof/>
                <w:webHidden/>
              </w:rPr>
              <w:instrText xml:space="preserve"> PAGEREF _Toc241791694 \h </w:instrText>
            </w:r>
            <w:r>
              <w:rPr>
                <w:noProof/>
                <w:webHidden/>
              </w:rPr>
            </w:r>
            <w:r>
              <w:rPr>
                <w:noProof/>
                <w:webHidden/>
              </w:rPr>
              <w:fldChar w:fldCharType="separate"/>
            </w:r>
            <w:r w:rsidR="00CE67BA">
              <w:rPr>
                <w:noProof/>
                <w:webHidden/>
              </w:rPr>
              <w:t>17</w:t>
            </w:r>
            <w:r>
              <w:rPr>
                <w:noProof/>
                <w:webHidden/>
              </w:rPr>
              <w:fldChar w:fldCharType="end"/>
            </w:r>
          </w:hyperlink>
        </w:p>
        <w:p w14:paraId="0B2BC5E3" w14:textId="2B733578" w:rsidR="009D5A87" w:rsidRDefault="009D5A87">
          <w:pPr>
            <w:pStyle w:val="TM2"/>
            <w:tabs>
              <w:tab w:val="left" w:pos="1100"/>
            </w:tabs>
            <w:rPr>
              <w:rFonts w:asciiTheme="minorHAnsi" w:eastAsiaTheme="minorEastAsia" w:hAnsiTheme="minorHAnsi" w:cstheme="minorBidi"/>
              <w:noProof/>
              <w:kern w:val="2"/>
              <w:sz w:val="24"/>
              <w:szCs w:val="24"/>
              <w:lang w:val="fr-FR" w:eastAsia="fr-FR"/>
              <w14:ligatures w14:val="standardContextual"/>
            </w:rPr>
          </w:pPr>
          <w:hyperlink w:anchor="_Toc241791696" w:history="1">
            <w:r w:rsidRPr="00D72AB4">
              <w:rPr>
                <w:rStyle w:val="Hyperlien"/>
                <w:noProof/>
              </w:rPr>
              <w:t>2.1</w:t>
            </w:r>
            <w:r>
              <w:rPr>
                <w:rFonts w:asciiTheme="minorHAnsi" w:eastAsiaTheme="minorEastAsia" w:hAnsiTheme="minorHAnsi" w:cstheme="minorBidi"/>
                <w:noProof/>
                <w:kern w:val="2"/>
                <w:sz w:val="24"/>
                <w:szCs w:val="24"/>
                <w:lang w:val="fr-FR" w:eastAsia="fr-FR"/>
                <w14:ligatures w14:val="standardContextual"/>
              </w:rPr>
              <w:tab/>
            </w:r>
            <w:r w:rsidRPr="00D72AB4">
              <w:rPr>
                <w:rStyle w:val="Hyperlien"/>
                <w:noProof/>
              </w:rPr>
              <w:t>Livrables techniques</w:t>
            </w:r>
            <w:r>
              <w:rPr>
                <w:noProof/>
                <w:webHidden/>
              </w:rPr>
              <w:tab/>
            </w:r>
            <w:r>
              <w:rPr>
                <w:noProof/>
                <w:webHidden/>
              </w:rPr>
              <w:fldChar w:fldCharType="begin"/>
            </w:r>
            <w:r>
              <w:rPr>
                <w:noProof/>
                <w:webHidden/>
              </w:rPr>
              <w:instrText xml:space="preserve"> PAGEREF _Toc241791696 \h </w:instrText>
            </w:r>
            <w:r>
              <w:rPr>
                <w:noProof/>
                <w:webHidden/>
              </w:rPr>
            </w:r>
            <w:r>
              <w:rPr>
                <w:noProof/>
                <w:webHidden/>
              </w:rPr>
              <w:fldChar w:fldCharType="separate"/>
            </w:r>
            <w:r w:rsidR="00CE67BA">
              <w:rPr>
                <w:noProof/>
                <w:webHidden/>
              </w:rPr>
              <w:t>17</w:t>
            </w:r>
            <w:r>
              <w:rPr>
                <w:noProof/>
                <w:webHidden/>
              </w:rPr>
              <w:fldChar w:fldCharType="end"/>
            </w:r>
          </w:hyperlink>
        </w:p>
        <w:p w14:paraId="74ACEBA6" w14:textId="3BB8DDB5" w:rsidR="009D5A87" w:rsidRDefault="009D5A87">
          <w:pPr>
            <w:pStyle w:val="TM2"/>
            <w:tabs>
              <w:tab w:val="left" w:pos="1100"/>
            </w:tabs>
            <w:rPr>
              <w:rFonts w:asciiTheme="minorHAnsi" w:eastAsiaTheme="minorEastAsia" w:hAnsiTheme="minorHAnsi" w:cstheme="minorBidi"/>
              <w:noProof/>
              <w:kern w:val="2"/>
              <w:sz w:val="24"/>
              <w:szCs w:val="24"/>
              <w:lang w:val="fr-FR" w:eastAsia="fr-FR"/>
              <w14:ligatures w14:val="standardContextual"/>
            </w:rPr>
          </w:pPr>
          <w:hyperlink w:anchor="_Toc241791701" w:history="1">
            <w:r w:rsidRPr="00D72AB4">
              <w:rPr>
                <w:rStyle w:val="Hyperlien"/>
                <w:noProof/>
              </w:rPr>
              <w:t>2.2</w:t>
            </w:r>
            <w:r>
              <w:rPr>
                <w:rFonts w:asciiTheme="minorHAnsi" w:eastAsiaTheme="minorEastAsia" w:hAnsiTheme="minorHAnsi" w:cstheme="minorBidi"/>
                <w:noProof/>
                <w:kern w:val="2"/>
                <w:sz w:val="24"/>
                <w:szCs w:val="24"/>
                <w:lang w:val="fr-FR" w:eastAsia="fr-FR"/>
                <w14:ligatures w14:val="standardContextual"/>
              </w:rPr>
              <w:tab/>
            </w:r>
            <w:r w:rsidRPr="00D72AB4">
              <w:rPr>
                <w:rStyle w:val="Hyperlien"/>
                <w:noProof/>
              </w:rPr>
              <w:t>Livrables de gestion</w:t>
            </w:r>
            <w:r>
              <w:rPr>
                <w:noProof/>
                <w:webHidden/>
              </w:rPr>
              <w:tab/>
            </w:r>
            <w:r>
              <w:rPr>
                <w:noProof/>
                <w:webHidden/>
              </w:rPr>
              <w:fldChar w:fldCharType="begin"/>
            </w:r>
            <w:r>
              <w:rPr>
                <w:noProof/>
                <w:webHidden/>
              </w:rPr>
              <w:instrText xml:space="preserve"> PAGEREF _Toc241791701 \h </w:instrText>
            </w:r>
            <w:r>
              <w:rPr>
                <w:noProof/>
                <w:webHidden/>
              </w:rPr>
            </w:r>
            <w:r>
              <w:rPr>
                <w:noProof/>
                <w:webHidden/>
              </w:rPr>
              <w:fldChar w:fldCharType="separate"/>
            </w:r>
            <w:r w:rsidR="00CE67BA">
              <w:rPr>
                <w:noProof/>
                <w:webHidden/>
              </w:rPr>
              <w:t>17</w:t>
            </w:r>
            <w:r>
              <w:rPr>
                <w:noProof/>
                <w:webHidden/>
              </w:rPr>
              <w:fldChar w:fldCharType="end"/>
            </w:r>
          </w:hyperlink>
        </w:p>
        <w:p w14:paraId="6046E6CD" w14:textId="2BA27F3C" w:rsidR="009D5A87" w:rsidRDefault="009D5A87">
          <w:pPr>
            <w:pStyle w:val="TM2"/>
            <w:tabs>
              <w:tab w:val="left" w:pos="1100"/>
            </w:tabs>
            <w:rPr>
              <w:rFonts w:asciiTheme="minorHAnsi" w:eastAsiaTheme="minorEastAsia" w:hAnsiTheme="minorHAnsi" w:cstheme="minorBidi"/>
              <w:noProof/>
              <w:kern w:val="2"/>
              <w:sz w:val="24"/>
              <w:szCs w:val="24"/>
              <w:lang w:val="fr-FR" w:eastAsia="fr-FR"/>
              <w14:ligatures w14:val="standardContextual"/>
            </w:rPr>
          </w:pPr>
          <w:hyperlink w:anchor="_Toc241791704" w:history="1">
            <w:r w:rsidRPr="00D72AB4">
              <w:rPr>
                <w:rStyle w:val="Hyperlien"/>
                <w:noProof/>
              </w:rPr>
              <w:t>2.3</w:t>
            </w:r>
            <w:r>
              <w:rPr>
                <w:rFonts w:asciiTheme="minorHAnsi" w:eastAsiaTheme="minorEastAsia" w:hAnsiTheme="minorHAnsi" w:cstheme="minorBidi"/>
                <w:noProof/>
                <w:kern w:val="2"/>
                <w:sz w:val="24"/>
                <w:szCs w:val="24"/>
                <w:lang w:val="fr-FR" w:eastAsia="fr-FR"/>
                <w14:ligatures w14:val="standardContextual"/>
              </w:rPr>
              <w:tab/>
            </w:r>
            <w:r w:rsidRPr="00D72AB4">
              <w:rPr>
                <w:rStyle w:val="Hyperlien"/>
                <w:noProof/>
              </w:rPr>
              <w:t>Tableau des livrables</w:t>
            </w:r>
            <w:r>
              <w:rPr>
                <w:noProof/>
                <w:webHidden/>
              </w:rPr>
              <w:tab/>
            </w:r>
            <w:r>
              <w:rPr>
                <w:noProof/>
                <w:webHidden/>
              </w:rPr>
              <w:fldChar w:fldCharType="begin"/>
            </w:r>
            <w:r>
              <w:rPr>
                <w:noProof/>
                <w:webHidden/>
              </w:rPr>
              <w:instrText xml:space="preserve"> PAGEREF _Toc241791704 \h </w:instrText>
            </w:r>
            <w:r>
              <w:rPr>
                <w:noProof/>
                <w:webHidden/>
              </w:rPr>
            </w:r>
            <w:r>
              <w:rPr>
                <w:noProof/>
                <w:webHidden/>
              </w:rPr>
              <w:fldChar w:fldCharType="separate"/>
            </w:r>
            <w:r w:rsidR="00CE67BA">
              <w:rPr>
                <w:noProof/>
                <w:webHidden/>
              </w:rPr>
              <w:t>17</w:t>
            </w:r>
            <w:r>
              <w:rPr>
                <w:noProof/>
                <w:webHidden/>
              </w:rPr>
              <w:fldChar w:fldCharType="end"/>
            </w:r>
          </w:hyperlink>
        </w:p>
        <w:p w14:paraId="6C486DA9" w14:textId="2962E764" w:rsidR="009D5A87" w:rsidRDefault="009D5A87">
          <w:pPr>
            <w:pStyle w:val="TM2"/>
            <w:tabs>
              <w:tab w:val="left" w:pos="1100"/>
            </w:tabs>
            <w:rPr>
              <w:rFonts w:asciiTheme="minorHAnsi" w:eastAsiaTheme="minorEastAsia" w:hAnsiTheme="minorHAnsi" w:cstheme="minorBidi"/>
              <w:noProof/>
              <w:kern w:val="2"/>
              <w:sz w:val="24"/>
              <w:szCs w:val="24"/>
              <w:lang w:val="fr-FR" w:eastAsia="fr-FR"/>
              <w14:ligatures w14:val="standardContextual"/>
            </w:rPr>
          </w:pPr>
          <w:hyperlink w:anchor="_Toc241791707" w:history="1">
            <w:r w:rsidRPr="00D72AB4">
              <w:rPr>
                <w:rStyle w:val="Hyperlien"/>
                <w:noProof/>
              </w:rPr>
              <w:t>2.4</w:t>
            </w:r>
            <w:r>
              <w:rPr>
                <w:rFonts w:asciiTheme="minorHAnsi" w:eastAsiaTheme="minorEastAsia" w:hAnsiTheme="minorHAnsi" w:cstheme="minorBidi"/>
                <w:noProof/>
                <w:kern w:val="2"/>
                <w:sz w:val="24"/>
                <w:szCs w:val="24"/>
                <w:lang w:val="fr-FR" w:eastAsia="fr-FR"/>
                <w14:ligatures w14:val="standardContextual"/>
              </w:rPr>
              <w:tab/>
            </w:r>
            <w:r w:rsidRPr="00D72AB4">
              <w:rPr>
                <w:rStyle w:val="Hyperlien"/>
                <w:noProof/>
              </w:rPr>
              <w:t>Domaine de validité et exclusions</w:t>
            </w:r>
            <w:r>
              <w:rPr>
                <w:noProof/>
                <w:webHidden/>
              </w:rPr>
              <w:tab/>
            </w:r>
            <w:r>
              <w:rPr>
                <w:noProof/>
                <w:webHidden/>
              </w:rPr>
              <w:fldChar w:fldCharType="begin"/>
            </w:r>
            <w:r>
              <w:rPr>
                <w:noProof/>
                <w:webHidden/>
              </w:rPr>
              <w:instrText xml:space="preserve"> PAGEREF _Toc241791707 \h </w:instrText>
            </w:r>
            <w:r>
              <w:rPr>
                <w:noProof/>
                <w:webHidden/>
              </w:rPr>
            </w:r>
            <w:r>
              <w:rPr>
                <w:noProof/>
                <w:webHidden/>
              </w:rPr>
              <w:fldChar w:fldCharType="separate"/>
            </w:r>
            <w:r w:rsidR="00CE67BA">
              <w:rPr>
                <w:noProof/>
                <w:webHidden/>
              </w:rPr>
              <w:t>18</w:t>
            </w:r>
            <w:r>
              <w:rPr>
                <w:noProof/>
                <w:webHidden/>
              </w:rPr>
              <w:fldChar w:fldCharType="end"/>
            </w:r>
          </w:hyperlink>
        </w:p>
        <w:p w14:paraId="25D62EFB" w14:textId="704EF580" w:rsidR="009D5A87" w:rsidRDefault="009D5A87">
          <w:pPr>
            <w:pStyle w:val="TM1"/>
            <w:rPr>
              <w:rFonts w:asciiTheme="minorHAnsi" w:eastAsiaTheme="minorEastAsia" w:hAnsiTheme="minorHAnsi" w:cstheme="minorBidi"/>
              <w:noProof/>
              <w:kern w:val="2"/>
              <w:sz w:val="24"/>
              <w:szCs w:val="24"/>
              <w:lang w:val="fr-FR" w:eastAsia="fr-FR"/>
              <w14:ligatures w14:val="standardContextual"/>
            </w:rPr>
          </w:pPr>
          <w:hyperlink w:anchor="_Toc241791712" w:history="1">
            <w:r w:rsidRPr="00D72AB4">
              <w:rPr>
                <w:rStyle w:val="Hyperlien"/>
                <w:noProof/>
              </w:rPr>
              <w:t>3.</w:t>
            </w:r>
            <w:r>
              <w:rPr>
                <w:rFonts w:asciiTheme="minorHAnsi" w:eastAsiaTheme="minorEastAsia" w:hAnsiTheme="minorHAnsi" w:cstheme="minorBidi"/>
                <w:noProof/>
                <w:kern w:val="2"/>
                <w:sz w:val="24"/>
                <w:szCs w:val="24"/>
                <w:lang w:val="fr-FR" w:eastAsia="fr-FR"/>
                <w14:ligatures w14:val="standardContextual"/>
              </w:rPr>
              <w:tab/>
            </w:r>
            <w:r w:rsidRPr="00D72AB4">
              <w:rPr>
                <w:rStyle w:val="Hyperlien"/>
                <w:noProof/>
              </w:rPr>
              <w:t>Description de l’équipe</w:t>
            </w:r>
            <w:r>
              <w:rPr>
                <w:noProof/>
                <w:webHidden/>
              </w:rPr>
              <w:tab/>
            </w:r>
            <w:r>
              <w:rPr>
                <w:noProof/>
                <w:webHidden/>
              </w:rPr>
              <w:fldChar w:fldCharType="begin"/>
            </w:r>
            <w:r>
              <w:rPr>
                <w:noProof/>
                <w:webHidden/>
              </w:rPr>
              <w:instrText xml:space="preserve"> PAGEREF _Toc241791712 \h </w:instrText>
            </w:r>
            <w:r>
              <w:rPr>
                <w:noProof/>
                <w:webHidden/>
              </w:rPr>
            </w:r>
            <w:r>
              <w:rPr>
                <w:noProof/>
                <w:webHidden/>
              </w:rPr>
              <w:fldChar w:fldCharType="separate"/>
            </w:r>
            <w:r w:rsidR="00CE67BA">
              <w:rPr>
                <w:noProof/>
                <w:webHidden/>
              </w:rPr>
              <w:t>19</w:t>
            </w:r>
            <w:r>
              <w:rPr>
                <w:noProof/>
                <w:webHidden/>
              </w:rPr>
              <w:fldChar w:fldCharType="end"/>
            </w:r>
          </w:hyperlink>
        </w:p>
        <w:p w14:paraId="2086585B" w14:textId="7E473842" w:rsidR="009D5A87" w:rsidRDefault="009D5A87">
          <w:pPr>
            <w:pStyle w:val="TM2"/>
            <w:tabs>
              <w:tab w:val="left" w:pos="1100"/>
            </w:tabs>
            <w:rPr>
              <w:rFonts w:asciiTheme="minorHAnsi" w:eastAsiaTheme="minorEastAsia" w:hAnsiTheme="minorHAnsi" w:cstheme="minorBidi"/>
              <w:noProof/>
              <w:kern w:val="2"/>
              <w:sz w:val="24"/>
              <w:szCs w:val="24"/>
              <w:lang w:val="fr-FR" w:eastAsia="fr-FR"/>
              <w14:ligatures w14:val="standardContextual"/>
            </w:rPr>
          </w:pPr>
          <w:hyperlink w:anchor="_Toc241791714" w:history="1">
            <w:r w:rsidRPr="00D72AB4">
              <w:rPr>
                <w:rStyle w:val="Hyperlien"/>
                <w:noProof/>
              </w:rPr>
              <w:t>3.1</w:t>
            </w:r>
            <w:r>
              <w:rPr>
                <w:rFonts w:asciiTheme="minorHAnsi" w:eastAsiaTheme="minorEastAsia" w:hAnsiTheme="minorHAnsi" w:cstheme="minorBidi"/>
                <w:noProof/>
                <w:kern w:val="2"/>
                <w:sz w:val="24"/>
                <w:szCs w:val="24"/>
                <w:lang w:val="fr-FR" w:eastAsia="fr-FR"/>
                <w14:ligatures w14:val="standardContextual"/>
              </w:rPr>
              <w:tab/>
            </w:r>
            <w:r w:rsidRPr="00D72AB4">
              <w:rPr>
                <w:rStyle w:val="Hyperlien"/>
                <w:noProof/>
              </w:rPr>
              <w:t>Composition de l’équipe et description des compétences de chaque membre</w:t>
            </w:r>
            <w:r>
              <w:rPr>
                <w:noProof/>
                <w:webHidden/>
              </w:rPr>
              <w:tab/>
            </w:r>
            <w:r>
              <w:rPr>
                <w:noProof/>
                <w:webHidden/>
              </w:rPr>
              <w:fldChar w:fldCharType="begin"/>
            </w:r>
            <w:r>
              <w:rPr>
                <w:noProof/>
                <w:webHidden/>
              </w:rPr>
              <w:instrText xml:space="preserve"> PAGEREF _Toc241791714 \h </w:instrText>
            </w:r>
            <w:r>
              <w:rPr>
                <w:noProof/>
                <w:webHidden/>
              </w:rPr>
            </w:r>
            <w:r>
              <w:rPr>
                <w:noProof/>
                <w:webHidden/>
              </w:rPr>
              <w:fldChar w:fldCharType="separate"/>
            </w:r>
            <w:r w:rsidR="00CE67BA">
              <w:rPr>
                <w:noProof/>
                <w:webHidden/>
              </w:rPr>
              <w:t>19</w:t>
            </w:r>
            <w:r>
              <w:rPr>
                <w:noProof/>
                <w:webHidden/>
              </w:rPr>
              <w:fldChar w:fldCharType="end"/>
            </w:r>
          </w:hyperlink>
        </w:p>
        <w:p w14:paraId="2ACAAF32" w14:textId="59BEEB0C" w:rsidR="009D5A87" w:rsidRDefault="009D5A87">
          <w:pPr>
            <w:pStyle w:val="TM2"/>
            <w:tabs>
              <w:tab w:val="left" w:pos="1100"/>
            </w:tabs>
            <w:rPr>
              <w:rFonts w:asciiTheme="minorHAnsi" w:eastAsiaTheme="minorEastAsia" w:hAnsiTheme="minorHAnsi" w:cstheme="minorBidi"/>
              <w:noProof/>
              <w:kern w:val="2"/>
              <w:sz w:val="24"/>
              <w:szCs w:val="24"/>
              <w:lang w:val="fr-FR" w:eastAsia="fr-FR"/>
              <w14:ligatures w14:val="standardContextual"/>
            </w:rPr>
          </w:pPr>
          <w:hyperlink w:anchor="_Toc241791717" w:history="1">
            <w:r w:rsidRPr="00D72AB4">
              <w:rPr>
                <w:rStyle w:val="Hyperlien"/>
                <w:noProof/>
              </w:rPr>
              <w:t>3.2</w:t>
            </w:r>
            <w:r>
              <w:rPr>
                <w:rFonts w:asciiTheme="minorHAnsi" w:eastAsiaTheme="minorEastAsia" w:hAnsiTheme="minorHAnsi" w:cstheme="minorBidi"/>
                <w:noProof/>
                <w:kern w:val="2"/>
                <w:sz w:val="24"/>
                <w:szCs w:val="24"/>
                <w:lang w:val="fr-FR" w:eastAsia="fr-FR"/>
                <w14:ligatures w14:val="standardContextual"/>
              </w:rPr>
              <w:tab/>
            </w:r>
            <w:r w:rsidRPr="00D72AB4">
              <w:rPr>
                <w:rStyle w:val="Hyperlien"/>
                <w:noProof/>
              </w:rPr>
              <w:t>Rôles et responsabilités</w:t>
            </w:r>
            <w:r>
              <w:rPr>
                <w:noProof/>
                <w:webHidden/>
              </w:rPr>
              <w:tab/>
            </w:r>
            <w:r>
              <w:rPr>
                <w:noProof/>
                <w:webHidden/>
              </w:rPr>
              <w:fldChar w:fldCharType="begin"/>
            </w:r>
            <w:r>
              <w:rPr>
                <w:noProof/>
                <w:webHidden/>
              </w:rPr>
              <w:instrText xml:space="preserve"> PAGEREF _Toc241791717 \h </w:instrText>
            </w:r>
            <w:r>
              <w:rPr>
                <w:noProof/>
                <w:webHidden/>
              </w:rPr>
            </w:r>
            <w:r>
              <w:rPr>
                <w:noProof/>
                <w:webHidden/>
              </w:rPr>
              <w:fldChar w:fldCharType="separate"/>
            </w:r>
            <w:r w:rsidR="00CE67BA">
              <w:rPr>
                <w:noProof/>
                <w:webHidden/>
              </w:rPr>
              <w:t>19</w:t>
            </w:r>
            <w:r>
              <w:rPr>
                <w:noProof/>
                <w:webHidden/>
              </w:rPr>
              <w:fldChar w:fldCharType="end"/>
            </w:r>
          </w:hyperlink>
        </w:p>
        <w:p w14:paraId="522314EC" w14:textId="5C815AE9" w:rsidR="009D5A87" w:rsidRDefault="009D5A87">
          <w:pPr>
            <w:pStyle w:val="TM1"/>
            <w:rPr>
              <w:rFonts w:asciiTheme="minorHAnsi" w:eastAsiaTheme="minorEastAsia" w:hAnsiTheme="minorHAnsi" w:cstheme="minorBidi"/>
              <w:noProof/>
              <w:kern w:val="2"/>
              <w:sz w:val="24"/>
              <w:szCs w:val="24"/>
              <w:lang w:val="fr-FR" w:eastAsia="fr-FR"/>
              <w14:ligatures w14:val="standardContextual"/>
            </w:rPr>
          </w:pPr>
          <w:hyperlink w:anchor="_Toc241791721" w:history="1">
            <w:r w:rsidRPr="00D72AB4">
              <w:rPr>
                <w:rStyle w:val="Hyperlien"/>
                <w:noProof/>
              </w:rPr>
              <w:t>4.</w:t>
            </w:r>
            <w:r>
              <w:rPr>
                <w:rFonts w:asciiTheme="minorHAnsi" w:eastAsiaTheme="minorEastAsia" w:hAnsiTheme="minorHAnsi" w:cstheme="minorBidi"/>
                <w:noProof/>
                <w:kern w:val="2"/>
                <w:sz w:val="24"/>
                <w:szCs w:val="24"/>
                <w:lang w:val="fr-FR" w:eastAsia="fr-FR"/>
                <w14:ligatures w14:val="standardContextual"/>
              </w:rPr>
              <w:tab/>
            </w:r>
            <w:r w:rsidRPr="00D72AB4">
              <w:rPr>
                <w:rStyle w:val="Hyperlien"/>
                <w:noProof/>
              </w:rPr>
              <w:t>Stratégie de contrôle des versions</w:t>
            </w:r>
            <w:r>
              <w:rPr>
                <w:noProof/>
                <w:webHidden/>
              </w:rPr>
              <w:tab/>
            </w:r>
            <w:r>
              <w:rPr>
                <w:noProof/>
                <w:webHidden/>
              </w:rPr>
              <w:fldChar w:fldCharType="begin"/>
            </w:r>
            <w:r>
              <w:rPr>
                <w:noProof/>
                <w:webHidden/>
              </w:rPr>
              <w:instrText xml:space="preserve"> PAGEREF _Toc241791721 \h </w:instrText>
            </w:r>
            <w:r>
              <w:rPr>
                <w:noProof/>
                <w:webHidden/>
              </w:rPr>
            </w:r>
            <w:r>
              <w:rPr>
                <w:noProof/>
                <w:webHidden/>
              </w:rPr>
              <w:fldChar w:fldCharType="separate"/>
            </w:r>
            <w:r w:rsidR="00CE67BA">
              <w:rPr>
                <w:noProof/>
                <w:webHidden/>
              </w:rPr>
              <w:t>20</w:t>
            </w:r>
            <w:r>
              <w:rPr>
                <w:noProof/>
                <w:webHidden/>
              </w:rPr>
              <w:fldChar w:fldCharType="end"/>
            </w:r>
          </w:hyperlink>
        </w:p>
        <w:p w14:paraId="75BD49F0" w14:textId="5E13F0DC" w:rsidR="009D5A87" w:rsidRDefault="009D5A87">
          <w:pPr>
            <w:pStyle w:val="TM2"/>
            <w:tabs>
              <w:tab w:val="left" w:pos="1100"/>
            </w:tabs>
            <w:rPr>
              <w:rFonts w:asciiTheme="minorHAnsi" w:eastAsiaTheme="minorEastAsia" w:hAnsiTheme="minorHAnsi" w:cstheme="minorBidi"/>
              <w:noProof/>
              <w:kern w:val="2"/>
              <w:sz w:val="24"/>
              <w:szCs w:val="24"/>
              <w:lang w:val="fr-FR" w:eastAsia="fr-FR"/>
              <w14:ligatures w14:val="standardContextual"/>
            </w:rPr>
          </w:pPr>
          <w:hyperlink w:anchor="_Toc241791723" w:history="1">
            <w:r w:rsidRPr="00D72AB4">
              <w:rPr>
                <w:rStyle w:val="Hyperlien"/>
                <w:noProof/>
              </w:rPr>
              <w:t>4.1</w:t>
            </w:r>
            <w:r>
              <w:rPr>
                <w:rFonts w:asciiTheme="minorHAnsi" w:eastAsiaTheme="minorEastAsia" w:hAnsiTheme="minorHAnsi" w:cstheme="minorBidi"/>
                <w:noProof/>
                <w:kern w:val="2"/>
                <w:sz w:val="24"/>
                <w:szCs w:val="24"/>
                <w:lang w:val="fr-FR" w:eastAsia="fr-FR"/>
                <w14:ligatures w14:val="standardContextual"/>
              </w:rPr>
              <w:tab/>
            </w:r>
            <w:r w:rsidRPr="00D72AB4">
              <w:rPr>
                <w:rStyle w:val="Hyperlien"/>
                <w:noProof/>
              </w:rPr>
              <w:t>Objet et portée</w:t>
            </w:r>
            <w:r>
              <w:rPr>
                <w:noProof/>
                <w:webHidden/>
              </w:rPr>
              <w:tab/>
            </w:r>
            <w:r>
              <w:rPr>
                <w:noProof/>
                <w:webHidden/>
              </w:rPr>
              <w:fldChar w:fldCharType="begin"/>
            </w:r>
            <w:r>
              <w:rPr>
                <w:noProof/>
                <w:webHidden/>
              </w:rPr>
              <w:instrText xml:space="preserve"> PAGEREF _Toc241791723 \h </w:instrText>
            </w:r>
            <w:r>
              <w:rPr>
                <w:noProof/>
                <w:webHidden/>
              </w:rPr>
            </w:r>
            <w:r>
              <w:rPr>
                <w:noProof/>
                <w:webHidden/>
              </w:rPr>
              <w:fldChar w:fldCharType="separate"/>
            </w:r>
            <w:r w:rsidR="00CE67BA">
              <w:rPr>
                <w:noProof/>
                <w:webHidden/>
              </w:rPr>
              <w:t>20</w:t>
            </w:r>
            <w:r>
              <w:rPr>
                <w:noProof/>
                <w:webHidden/>
              </w:rPr>
              <w:fldChar w:fldCharType="end"/>
            </w:r>
          </w:hyperlink>
        </w:p>
        <w:p w14:paraId="645807F3" w14:textId="6D2B0D54" w:rsidR="009D5A87" w:rsidRDefault="009D5A87">
          <w:pPr>
            <w:pStyle w:val="TM2"/>
            <w:tabs>
              <w:tab w:val="left" w:pos="1100"/>
            </w:tabs>
            <w:rPr>
              <w:rFonts w:asciiTheme="minorHAnsi" w:eastAsiaTheme="minorEastAsia" w:hAnsiTheme="minorHAnsi" w:cstheme="minorBidi"/>
              <w:noProof/>
              <w:kern w:val="2"/>
              <w:sz w:val="24"/>
              <w:szCs w:val="24"/>
              <w:lang w:val="fr-FR" w:eastAsia="fr-FR"/>
              <w14:ligatures w14:val="standardContextual"/>
            </w:rPr>
          </w:pPr>
          <w:hyperlink w:anchor="_Toc241791730" w:history="1">
            <w:r w:rsidRPr="00D72AB4">
              <w:rPr>
                <w:rStyle w:val="Hyperlien"/>
                <w:noProof/>
              </w:rPr>
              <w:t>4.2</w:t>
            </w:r>
            <w:r>
              <w:rPr>
                <w:rFonts w:asciiTheme="minorHAnsi" w:eastAsiaTheme="minorEastAsia" w:hAnsiTheme="minorHAnsi" w:cstheme="minorBidi"/>
                <w:noProof/>
                <w:kern w:val="2"/>
                <w:sz w:val="24"/>
                <w:szCs w:val="24"/>
                <w:lang w:val="fr-FR" w:eastAsia="fr-FR"/>
                <w14:ligatures w14:val="standardContextual"/>
              </w:rPr>
              <w:tab/>
            </w:r>
            <w:r w:rsidRPr="00D72AB4">
              <w:rPr>
                <w:rStyle w:val="Hyperlien"/>
                <w:noProof/>
              </w:rPr>
              <w:t>Inventaire de l’information à gérer</w:t>
            </w:r>
            <w:r>
              <w:rPr>
                <w:noProof/>
                <w:webHidden/>
              </w:rPr>
              <w:tab/>
            </w:r>
            <w:r>
              <w:rPr>
                <w:noProof/>
                <w:webHidden/>
              </w:rPr>
              <w:fldChar w:fldCharType="begin"/>
            </w:r>
            <w:r>
              <w:rPr>
                <w:noProof/>
                <w:webHidden/>
              </w:rPr>
              <w:instrText xml:space="preserve"> PAGEREF _Toc241791730 \h </w:instrText>
            </w:r>
            <w:r>
              <w:rPr>
                <w:noProof/>
                <w:webHidden/>
              </w:rPr>
            </w:r>
            <w:r>
              <w:rPr>
                <w:noProof/>
                <w:webHidden/>
              </w:rPr>
              <w:fldChar w:fldCharType="separate"/>
            </w:r>
            <w:r w:rsidR="00CE67BA">
              <w:rPr>
                <w:noProof/>
                <w:webHidden/>
              </w:rPr>
              <w:t>20</w:t>
            </w:r>
            <w:r>
              <w:rPr>
                <w:noProof/>
                <w:webHidden/>
              </w:rPr>
              <w:fldChar w:fldCharType="end"/>
            </w:r>
          </w:hyperlink>
        </w:p>
        <w:p w14:paraId="05016D7A" w14:textId="71188348" w:rsidR="009D5A87" w:rsidRDefault="009D5A87">
          <w:pPr>
            <w:pStyle w:val="TM2"/>
            <w:tabs>
              <w:tab w:val="left" w:pos="1100"/>
            </w:tabs>
            <w:rPr>
              <w:rFonts w:asciiTheme="minorHAnsi" w:eastAsiaTheme="minorEastAsia" w:hAnsiTheme="minorHAnsi" w:cstheme="minorBidi"/>
              <w:noProof/>
              <w:kern w:val="2"/>
              <w:sz w:val="24"/>
              <w:szCs w:val="24"/>
              <w:lang w:val="fr-FR" w:eastAsia="fr-FR"/>
              <w14:ligatures w14:val="standardContextual"/>
            </w:rPr>
          </w:pPr>
          <w:hyperlink w:anchor="_Toc241791734" w:history="1">
            <w:r w:rsidRPr="00D72AB4">
              <w:rPr>
                <w:rStyle w:val="Hyperlien"/>
                <w:noProof/>
              </w:rPr>
              <w:t>4.3</w:t>
            </w:r>
            <w:r>
              <w:rPr>
                <w:rFonts w:asciiTheme="minorHAnsi" w:eastAsiaTheme="minorEastAsia" w:hAnsiTheme="minorHAnsi" w:cstheme="minorBidi"/>
                <w:noProof/>
                <w:kern w:val="2"/>
                <w:sz w:val="24"/>
                <w:szCs w:val="24"/>
                <w:lang w:val="fr-FR" w:eastAsia="fr-FR"/>
                <w14:ligatures w14:val="standardContextual"/>
              </w:rPr>
              <w:tab/>
            </w:r>
            <w:r w:rsidRPr="00D72AB4">
              <w:rPr>
                <w:rStyle w:val="Hyperlien"/>
                <w:noProof/>
              </w:rPr>
              <w:t>Outils retenus</w:t>
            </w:r>
            <w:r>
              <w:rPr>
                <w:noProof/>
                <w:webHidden/>
              </w:rPr>
              <w:tab/>
            </w:r>
            <w:r>
              <w:rPr>
                <w:noProof/>
                <w:webHidden/>
              </w:rPr>
              <w:fldChar w:fldCharType="begin"/>
            </w:r>
            <w:r>
              <w:rPr>
                <w:noProof/>
                <w:webHidden/>
              </w:rPr>
              <w:instrText xml:space="preserve"> PAGEREF _Toc241791734 \h </w:instrText>
            </w:r>
            <w:r>
              <w:rPr>
                <w:noProof/>
                <w:webHidden/>
              </w:rPr>
            </w:r>
            <w:r>
              <w:rPr>
                <w:noProof/>
                <w:webHidden/>
              </w:rPr>
              <w:fldChar w:fldCharType="separate"/>
            </w:r>
            <w:r w:rsidR="00CE67BA">
              <w:rPr>
                <w:noProof/>
                <w:webHidden/>
              </w:rPr>
              <w:t>21</w:t>
            </w:r>
            <w:r>
              <w:rPr>
                <w:noProof/>
                <w:webHidden/>
              </w:rPr>
              <w:fldChar w:fldCharType="end"/>
            </w:r>
          </w:hyperlink>
        </w:p>
        <w:p w14:paraId="7375E6F6" w14:textId="1B5507E5" w:rsidR="009D5A87" w:rsidRDefault="009D5A87">
          <w:pPr>
            <w:pStyle w:val="TM2"/>
            <w:tabs>
              <w:tab w:val="left" w:pos="1100"/>
            </w:tabs>
            <w:rPr>
              <w:rFonts w:asciiTheme="minorHAnsi" w:eastAsiaTheme="minorEastAsia" w:hAnsiTheme="minorHAnsi" w:cstheme="minorBidi"/>
              <w:noProof/>
              <w:kern w:val="2"/>
              <w:sz w:val="24"/>
              <w:szCs w:val="24"/>
              <w:lang w:val="fr-FR" w:eastAsia="fr-FR"/>
              <w14:ligatures w14:val="standardContextual"/>
            </w:rPr>
          </w:pPr>
          <w:hyperlink w:anchor="_Toc241791737" w:history="1">
            <w:r w:rsidRPr="00D72AB4">
              <w:rPr>
                <w:rStyle w:val="Hyperlien"/>
                <w:noProof/>
              </w:rPr>
              <w:t>4.4</w:t>
            </w:r>
            <w:r>
              <w:rPr>
                <w:rFonts w:asciiTheme="minorHAnsi" w:eastAsiaTheme="minorEastAsia" w:hAnsiTheme="minorHAnsi" w:cstheme="minorBidi"/>
                <w:noProof/>
                <w:kern w:val="2"/>
                <w:sz w:val="24"/>
                <w:szCs w:val="24"/>
                <w:lang w:val="fr-FR" w:eastAsia="fr-FR"/>
                <w14:ligatures w14:val="standardContextual"/>
              </w:rPr>
              <w:tab/>
            </w:r>
            <w:r w:rsidRPr="00D72AB4">
              <w:rPr>
                <w:rStyle w:val="Hyperlien"/>
                <w:noProof/>
              </w:rPr>
              <w:t>Flux de travail et revue par les pairs</w:t>
            </w:r>
            <w:r>
              <w:rPr>
                <w:noProof/>
                <w:webHidden/>
              </w:rPr>
              <w:tab/>
            </w:r>
            <w:r>
              <w:rPr>
                <w:noProof/>
                <w:webHidden/>
              </w:rPr>
              <w:fldChar w:fldCharType="begin"/>
            </w:r>
            <w:r>
              <w:rPr>
                <w:noProof/>
                <w:webHidden/>
              </w:rPr>
              <w:instrText xml:space="preserve"> PAGEREF _Toc241791737 \h </w:instrText>
            </w:r>
            <w:r>
              <w:rPr>
                <w:noProof/>
                <w:webHidden/>
              </w:rPr>
            </w:r>
            <w:r>
              <w:rPr>
                <w:noProof/>
                <w:webHidden/>
              </w:rPr>
              <w:fldChar w:fldCharType="separate"/>
            </w:r>
            <w:r w:rsidR="00CE67BA">
              <w:rPr>
                <w:noProof/>
                <w:webHidden/>
              </w:rPr>
              <w:t>22</w:t>
            </w:r>
            <w:r>
              <w:rPr>
                <w:noProof/>
                <w:webHidden/>
              </w:rPr>
              <w:fldChar w:fldCharType="end"/>
            </w:r>
          </w:hyperlink>
        </w:p>
        <w:p w14:paraId="01AC05BB" w14:textId="6CC2EDA4" w:rsidR="009D5A87" w:rsidRDefault="009D5A87">
          <w:pPr>
            <w:pStyle w:val="TM1"/>
            <w:rPr>
              <w:rFonts w:asciiTheme="minorHAnsi" w:eastAsiaTheme="minorEastAsia" w:hAnsiTheme="minorHAnsi" w:cstheme="minorBidi"/>
              <w:noProof/>
              <w:kern w:val="2"/>
              <w:sz w:val="24"/>
              <w:szCs w:val="24"/>
              <w:lang w:val="fr-FR" w:eastAsia="fr-FR"/>
              <w14:ligatures w14:val="standardContextual"/>
            </w:rPr>
          </w:pPr>
          <w:hyperlink w:anchor="_Toc241791742" w:history="1">
            <w:r w:rsidRPr="00D72AB4">
              <w:rPr>
                <w:rStyle w:val="Hyperlien"/>
                <w:noProof/>
              </w:rPr>
              <w:t>5.</w:t>
            </w:r>
            <w:r>
              <w:rPr>
                <w:rFonts w:asciiTheme="minorHAnsi" w:eastAsiaTheme="minorEastAsia" w:hAnsiTheme="minorHAnsi" w:cstheme="minorBidi"/>
                <w:noProof/>
                <w:kern w:val="2"/>
                <w:sz w:val="24"/>
                <w:szCs w:val="24"/>
                <w:lang w:val="fr-FR" w:eastAsia="fr-FR"/>
                <w14:ligatures w14:val="standardContextual"/>
              </w:rPr>
              <w:tab/>
            </w:r>
            <w:r w:rsidRPr="00D72AB4">
              <w:rPr>
                <w:rStyle w:val="Hyperlien"/>
                <w:noProof/>
              </w:rPr>
              <w:t>Revue de l’état de l’art</w:t>
            </w:r>
            <w:r>
              <w:rPr>
                <w:noProof/>
                <w:webHidden/>
              </w:rPr>
              <w:tab/>
            </w:r>
            <w:r>
              <w:rPr>
                <w:noProof/>
                <w:webHidden/>
              </w:rPr>
              <w:fldChar w:fldCharType="begin"/>
            </w:r>
            <w:r>
              <w:rPr>
                <w:noProof/>
                <w:webHidden/>
              </w:rPr>
              <w:instrText xml:space="preserve"> PAGEREF _Toc241791742 \h </w:instrText>
            </w:r>
            <w:r>
              <w:rPr>
                <w:noProof/>
                <w:webHidden/>
              </w:rPr>
            </w:r>
            <w:r>
              <w:rPr>
                <w:noProof/>
                <w:webHidden/>
              </w:rPr>
              <w:fldChar w:fldCharType="separate"/>
            </w:r>
            <w:r w:rsidR="00CE67BA">
              <w:rPr>
                <w:noProof/>
                <w:webHidden/>
              </w:rPr>
              <w:t>22</w:t>
            </w:r>
            <w:r>
              <w:rPr>
                <w:noProof/>
                <w:webHidden/>
              </w:rPr>
              <w:fldChar w:fldCharType="end"/>
            </w:r>
          </w:hyperlink>
        </w:p>
        <w:p w14:paraId="0C614F61" w14:textId="2B46B63D" w:rsidR="009D5A87" w:rsidRDefault="009D5A87">
          <w:pPr>
            <w:pStyle w:val="TM2"/>
            <w:tabs>
              <w:tab w:val="left" w:pos="1100"/>
            </w:tabs>
            <w:rPr>
              <w:rFonts w:asciiTheme="minorHAnsi" w:eastAsiaTheme="minorEastAsia" w:hAnsiTheme="minorHAnsi" w:cstheme="minorBidi"/>
              <w:noProof/>
              <w:kern w:val="2"/>
              <w:sz w:val="24"/>
              <w:szCs w:val="24"/>
              <w:lang w:val="fr-FR" w:eastAsia="fr-FR"/>
              <w14:ligatures w14:val="standardContextual"/>
            </w:rPr>
          </w:pPr>
          <w:hyperlink w:anchor="_Toc241791744" w:history="1">
            <w:r w:rsidRPr="00D72AB4">
              <w:rPr>
                <w:rStyle w:val="Hyperlien"/>
                <w:noProof/>
              </w:rPr>
              <w:t>5.1</w:t>
            </w:r>
            <w:r>
              <w:rPr>
                <w:rFonts w:asciiTheme="minorHAnsi" w:eastAsiaTheme="minorEastAsia" w:hAnsiTheme="minorHAnsi" w:cstheme="minorBidi"/>
                <w:noProof/>
                <w:kern w:val="2"/>
                <w:sz w:val="24"/>
                <w:szCs w:val="24"/>
                <w:lang w:val="fr-FR" w:eastAsia="fr-FR"/>
                <w14:ligatures w14:val="standardContextual"/>
              </w:rPr>
              <w:tab/>
            </w:r>
            <w:r w:rsidRPr="00D72AB4">
              <w:rPr>
                <w:rStyle w:val="Hyperlien"/>
                <w:noProof/>
              </w:rPr>
              <w:t>Méthode de recherche</w:t>
            </w:r>
            <w:r>
              <w:rPr>
                <w:noProof/>
                <w:webHidden/>
              </w:rPr>
              <w:tab/>
            </w:r>
            <w:r>
              <w:rPr>
                <w:noProof/>
                <w:webHidden/>
              </w:rPr>
              <w:fldChar w:fldCharType="begin"/>
            </w:r>
            <w:r>
              <w:rPr>
                <w:noProof/>
                <w:webHidden/>
              </w:rPr>
              <w:instrText xml:space="preserve"> PAGEREF _Toc241791744 \h </w:instrText>
            </w:r>
            <w:r>
              <w:rPr>
                <w:noProof/>
                <w:webHidden/>
              </w:rPr>
            </w:r>
            <w:r>
              <w:rPr>
                <w:noProof/>
                <w:webHidden/>
              </w:rPr>
              <w:fldChar w:fldCharType="separate"/>
            </w:r>
            <w:r w:rsidR="00CE67BA">
              <w:rPr>
                <w:noProof/>
                <w:webHidden/>
              </w:rPr>
              <w:t>22</w:t>
            </w:r>
            <w:r>
              <w:rPr>
                <w:noProof/>
                <w:webHidden/>
              </w:rPr>
              <w:fldChar w:fldCharType="end"/>
            </w:r>
          </w:hyperlink>
        </w:p>
        <w:p w14:paraId="127F9D71" w14:textId="2A095291" w:rsidR="009D5A87" w:rsidRDefault="009D5A87">
          <w:pPr>
            <w:pStyle w:val="TM2"/>
            <w:tabs>
              <w:tab w:val="left" w:pos="1100"/>
            </w:tabs>
            <w:rPr>
              <w:rFonts w:asciiTheme="minorHAnsi" w:eastAsiaTheme="minorEastAsia" w:hAnsiTheme="minorHAnsi" w:cstheme="minorBidi"/>
              <w:noProof/>
              <w:kern w:val="2"/>
              <w:sz w:val="24"/>
              <w:szCs w:val="24"/>
              <w:lang w:val="fr-FR" w:eastAsia="fr-FR"/>
              <w14:ligatures w14:val="standardContextual"/>
            </w:rPr>
          </w:pPr>
          <w:hyperlink w:anchor="_Toc241791748" w:history="1">
            <w:r w:rsidRPr="00D72AB4">
              <w:rPr>
                <w:rStyle w:val="Hyperlien"/>
                <w:noProof/>
              </w:rPr>
              <w:t>5.2</w:t>
            </w:r>
            <w:r>
              <w:rPr>
                <w:rFonts w:asciiTheme="minorHAnsi" w:eastAsiaTheme="minorEastAsia" w:hAnsiTheme="minorHAnsi" w:cstheme="minorBidi"/>
                <w:noProof/>
                <w:kern w:val="2"/>
                <w:sz w:val="24"/>
                <w:szCs w:val="24"/>
                <w:lang w:val="fr-FR" w:eastAsia="fr-FR"/>
                <w14:ligatures w14:val="standardContextual"/>
              </w:rPr>
              <w:tab/>
            </w:r>
            <w:r w:rsidRPr="00D72AB4">
              <w:rPr>
                <w:rStyle w:val="Hyperlien"/>
                <w:noProof/>
              </w:rPr>
              <w:t>Ce qui existe</w:t>
            </w:r>
            <w:r>
              <w:rPr>
                <w:noProof/>
                <w:webHidden/>
              </w:rPr>
              <w:tab/>
            </w:r>
            <w:r>
              <w:rPr>
                <w:noProof/>
                <w:webHidden/>
              </w:rPr>
              <w:fldChar w:fldCharType="begin"/>
            </w:r>
            <w:r>
              <w:rPr>
                <w:noProof/>
                <w:webHidden/>
              </w:rPr>
              <w:instrText xml:space="preserve"> PAGEREF _Toc241791748 \h </w:instrText>
            </w:r>
            <w:r>
              <w:rPr>
                <w:noProof/>
                <w:webHidden/>
              </w:rPr>
            </w:r>
            <w:r>
              <w:rPr>
                <w:noProof/>
                <w:webHidden/>
              </w:rPr>
              <w:fldChar w:fldCharType="separate"/>
            </w:r>
            <w:r w:rsidR="00CE67BA">
              <w:rPr>
                <w:noProof/>
                <w:webHidden/>
              </w:rPr>
              <w:t>23</w:t>
            </w:r>
            <w:r>
              <w:rPr>
                <w:noProof/>
                <w:webHidden/>
              </w:rPr>
              <w:fldChar w:fldCharType="end"/>
            </w:r>
          </w:hyperlink>
        </w:p>
        <w:p w14:paraId="620A7955" w14:textId="2913A4AC" w:rsidR="009D5A87" w:rsidRDefault="009D5A87">
          <w:pPr>
            <w:pStyle w:val="TM2"/>
            <w:tabs>
              <w:tab w:val="left" w:pos="1100"/>
            </w:tabs>
            <w:rPr>
              <w:rFonts w:asciiTheme="minorHAnsi" w:eastAsiaTheme="minorEastAsia" w:hAnsiTheme="minorHAnsi" w:cstheme="minorBidi"/>
              <w:noProof/>
              <w:kern w:val="2"/>
              <w:sz w:val="24"/>
              <w:szCs w:val="24"/>
              <w:lang w:val="fr-FR" w:eastAsia="fr-FR"/>
              <w14:ligatures w14:val="standardContextual"/>
            </w:rPr>
          </w:pPr>
          <w:hyperlink w:anchor="_Toc241791784" w:history="1">
            <w:r w:rsidRPr="00D72AB4">
              <w:rPr>
                <w:rStyle w:val="Hyperlien"/>
                <w:noProof/>
              </w:rPr>
              <w:t>5.3</w:t>
            </w:r>
            <w:r>
              <w:rPr>
                <w:rFonts w:asciiTheme="minorHAnsi" w:eastAsiaTheme="minorEastAsia" w:hAnsiTheme="minorHAnsi" w:cstheme="minorBidi"/>
                <w:noProof/>
                <w:kern w:val="2"/>
                <w:sz w:val="24"/>
                <w:szCs w:val="24"/>
                <w:lang w:val="fr-FR" w:eastAsia="fr-FR"/>
                <w14:ligatures w14:val="standardContextual"/>
              </w:rPr>
              <w:tab/>
            </w:r>
            <w:r w:rsidRPr="00D72AB4">
              <w:rPr>
                <w:rStyle w:val="Hyperlien"/>
                <w:noProof/>
              </w:rPr>
              <w:t>Brevets, droits et redevances</w:t>
            </w:r>
            <w:r>
              <w:rPr>
                <w:noProof/>
                <w:webHidden/>
              </w:rPr>
              <w:tab/>
            </w:r>
            <w:r>
              <w:rPr>
                <w:noProof/>
                <w:webHidden/>
              </w:rPr>
              <w:fldChar w:fldCharType="begin"/>
            </w:r>
            <w:r>
              <w:rPr>
                <w:noProof/>
                <w:webHidden/>
              </w:rPr>
              <w:instrText xml:space="preserve"> PAGEREF _Toc241791784 \h </w:instrText>
            </w:r>
            <w:r>
              <w:rPr>
                <w:noProof/>
                <w:webHidden/>
              </w:rPr>
            </w:r>
            <w:r>
              <w:rPr>
                <w:noProof/>
                <w:webHidden/>
              </w:rPr>
              <w:fldChar w:fldCharType="separate"/>
            </w:r>
            <w:r w:rsidR="00CE67BA">
              <w:rPr>
                <w:noProof/>
                <w:webHidden/>
              </w:rPr>
              <w:t>26</w:t>
            </w:r>
            <w:r>
              <w:rPr>
                <w:noProof/>
                <w:webHidden/>
              </w:rPr>
              <w:fldChar w:fldCharType="end"/>
            </w:r>
          </w:hyperlink>
        </w:p>
        <w:p w14:paraId="7437D8D7" w14:textId="4BA6FC45" w:rsidR="009D5A87" w:rsidRDefault="009D5A87">
          <w:pPr>
            <w:pStyle w:val="TM2"/>
            <w:tabs>
              <w:tab w:val="left" w:pos="1100"/>
            </w:tabs>
            <w:rPr>
              <w:rFonts w:asciiTheme="minorHAnsi" w:eastAsiaTheme="minorEastAsia" w:hAnsiTheme="minorHAnsi" w:cstheme="minorBidi"/>
              <w:noProof/>
              <w:kern w:val="2"/>
              <w:sz w:val="24"/>
              <w:szCs w:val="24"/>
              <w:lang w:val="fr-FR" w:eastAsia="fr-FR"/>
              <w14:ligatures w14:val="standardContextual"/>
            </w:rPr>
          </w:pPr>
          <w:hyperlink w:anchor="_Toc241791795" w:history="1">
            <w:r w:rsidRPr="00D72AB4">
              <w:rPr>
                <w:rStyle w:val="Hyperlien"/>
                <w:noProof/>
              </w:rPr>
              <w:t>5.4</w:t>
            </w:r>
            <w:r>
              <w:rPr>
                <w:rFonts w:asciiTheme="minorHAnsi" w:eastAsiaTheme="minorEastAsia" w:hAnsiTheme="minorHAnsi" w:cstheme="minorBidi"/>
                <w:noProof/>
                <w:kern w:val="2"/>
                <w:sz w:val="24"/>
                <w:szCs w:val="24"/>
                <w:lang w:val="fr-FR" w:eastAsia="fr-FR"/>
                <w14:ligatures w14:val="standardContextual"/>
              </w:rPr>
              <w:tab/>
            </w:r>
            <w:r w:rsidRPr="00D72AB4">
              <w:rPr>
                <w:rStyle w:val="Hyperlien"/>
                <w:noProof/>
              </w:rPr>
              <w:t>Positionnement du projet</w:t>
            </w:r>
            <w:r>
              <w:rPr>
                <w:noProof/>
                <w:webHidden/>
              </w:rPr>
              <w:tab/>
            </w:r>
            <w:r>
              <w:rPr>
                <w:noProof/>
                <w:webHidden/>
              </w:rPr>
              <w:fldChar w:fldCharType="begin"/>
            </w:r>
            <w:r>
              <w:rPr>
                <w:noProof/>
                <w:webHidden/>
              </w:rPr>
              <w:instrText xml:space="preserve"> PAGEREF _Toc241791795 \h </w:instrText>
            </w:r>
            <w:r>
              <w:rPr>
                <w:noProof/>
                <w:webHidden/>
              </w:rPr>
            </w:r>
            <w:r>
              <w:rPr>
                <w:noProof/>
                <w:webHidden/>
              </w:rPr>
              <w:fldChar w:fldCharType="separate"/>
            </w:r>
            <w:r w:rsidR="00CE67BA">
              <w:rPr>
                <w:noProof/>
                <w:webHidden/>
              </w:rPr>
              <w:t>28</w:t>
            </w:r>
            <w:r>
              <w:rPr>
                <w:noProof/>
                <w:webHidden/>
              </w:rPr>
              <w:fldChar w:fldCharType="end"/>
            </w:r>
          </w:hyperlink>
        </w:p>
        <w:p w14:paraId="3DEB8B54" w14:textId="172013BB" w:rsidR="009D5A87" w:rsidRDefault="009D5A87">
          <w:pPr>
            <w:pStyle w:val="TM2"/>
            <w:tabs>
              <w:tab w:val="left" w:pos="1100"/>
            </w:tabs>
            <w:rPr>
              <w:rFonts w:asciiTheme="minorHAnsi" w:eastAsiaTheme="minorEastAsia" w:hAnsiTheme="minorHAnsi" w:cstheme="minorBidi"/>
              <w:noProof/>
              <w:kern w:val="2"/>
              <w:sz w:val="24"/>
              <w:szCs w:val="24"/>
              <w:lang w:val="fr-FR" w:eastAsia="fr-FR"/>
              <w14:ligatures w14:val="standardContextual"/>
            </w:rPr>
          </w:pPr>
          <w:hyperlink w:anchor="_Toc241791802" w:history="1">
            <w:r w:rsidRPr="00D72AB4">
              <w:rPr>
                <w:rStyle w:val="Hyperlien"/>
                <w:noProof/>
              </w:rPr>
              <w:t>5.5</w:t>
            </w:r>
            <w:r>
              <w:rPr>
                <w:rFonts w:asciiTheme="minorHAnsi" w:eastAsiaTheme="minorEastAsia" w:hAnsiTheme="minorHAnsi" w:cstheme="minorBidi"/>
                <w:noProof/>
                <w:kern w:val="2"/>
                <w:sz w:val="24"/>
                <w:szCs w:val="24"/>
                <w:lang w:val="fr-FR" w:eastAsia="fr-FR"/>
                <w14:ligatures w14:val="standardContextual"/>
              </w:rPr>
              <w:tab/>
            </w:r>
            <w:r w:rsidRPr="00D72AB4">
              <w:rPr>
                <w:rStyle w:val="Hyperlien"/>
                <w:noProof/>
              </w:rPr>
              <w:t>Lacunes de notre revue</w:t>
            </w:r>
            <w:r>
              <w:rPr>
                <w:noProof/>
                <w:webHidden/>
              </w:rPr>
              <w:tab/>
            </w:r>
            <w:r>
              <w:rPr>
                <w:noProof/>
                <w:webHidden/>
              </w:rPr>
              <w:fldChar w:fldCharType="begin"/>
            </w:r>
            <w:r>
              <w:rPr>
                <w:noProof/>
                <w:webHidden/>
              </w:rPr>
              <w:instrText xml:space="preserve"> PAGEREF _Toc241791802 \h </w:instrText>
            </w:r>
            <w:r>
              <w:rPr>
                <w:noProof/>
                <w:webHidden/>
              </w:rPr>
            </w:r>
            <w:r>
              <w:rPr>
                <w:noProof/>
                <w:webHidden/>
              </w:rPr>
              <w:fldChar w:fldCharType="separate"/>
            </w:r>
            <w:r w:rsidR="00CE67BA">
              <w:rPr>
                <w:noProof/>
                <w:webHidden/>
              </w:rPr>
              <w:t>29</w:t>
            </w:r>
            <w:r>
              <w:rPr>
                <w:noProof/>
                <w:webHidden/>
              </w:rPr>
              <w:fldChar w:fldCharType="end"/>
            </w:r>
          </w:hyperlink>
        </w:p>
        <w:p w14:paraId="44D9DC65" w14:textId="0890A270" w:rsidR="009D5A87" w:rsidRDefault="009D5A87">
          <w:pPr>
            <w:pStyle w:val="TM1"/>
            <w:rPr>
              <w:rFonts w:asciiTheme="minorHAnsi" w:eastAsiaTheme="minorEastAsia" w:hAnsiTheme="minorHAnsi" w:cstheme="minorBidi"/>
              <w:noProof/>
              <w:kern w:val="2"/>
              <w:sz w:val="24"/>
              <w:szCs w:val="24"/>
              <w:lang w:val="fr-FR" w:eastAsia="fr-FR"/>
              <w14:ligatures w14:val="standardContextual"/>
            </w:rPr>
          </w:pPr>
          <w:hyperlink w:anchor="_Toc241791808" w:history="1">
            <w:r w:rsidRPr="00D72AB4">
              <w:rPr>
                <w:rStyle w:val="Hyperlien"/>
                <w:noProof/>
              </w:rPr>
              <w:t>6.</w:t>
            </w:r>
            <w:r>
              <w:rPr>
                <w:rFonts w:asciiTheme="minorHAnsi" w:eastAsiaTheme="minorEastAsia" w:hAnsiTheme="minorHAnsi" w:cstheme="minorBidi"/>
                <w:noProof/>
                <w:kern w:val="2"/>
                <w:sz w:val="24"/>
                <w:szCs w:val="24"/>
                <w:lang w:val="fr-FR" w:eastAsia="fr-FR"/>
                <w14:ligatures w14:val="standardContextual"/>
              </w:rPr>
              <w:tab/>
            </w:r>
            <w:r w:rsidRPr="00D72AB4">
              <w:rPr>
                <w:rStyle w:val="Hyperlien"/>
                <w:noProof/>
              </w:rPr>
              <w:t>Normes, codes et standards</w:t>
            </w:r>
            <w:r>
              <w:rPr>
                <w:noProof/>
                <w:webHidden/>
              </w:rPr>
              <w:tab/>
            </w:r>
            <w:r>
              <w:rPr>
                <w:noProof/>
                <w:webHidden/>
              </w:rPr>
              <w:fldChar w:fldCharType="begin"/>
            </w:r>
            <w:r>
              <w:rPr>
                <w:noProof/>
                <w:webHidden/>
              </w:rPr>
              <w:instrText xml:space="preserve"> PAGEREF _Toc241791808 \h </w:instrText>
            </w:r>
            <w:r>
              <w:rPr>
                <w:noProof/>
                <w:webHidden/>
              </w:rPr>
            </w:r>
            <w:r>
              <w:rPr>
                <w:noProof/>
                <w:webHidden/>
              </w:rPr>
              <w:fldChar w:fldCharType="separate"/>
            </w:r>
            <w:r w:rsidR="00CE67BA">
              <w:rPr>
                <w:noProof/>
                <w:webHidden/>
              </w:rPr>
              <w:t>29</w:t>
            </w:r>
            <w:r>
              <w:rPr>
                <w:noProof/>
                <w:webHidden/>
              </w:rPr>
              <w:fldChar w:fldCharType="end"/>
            </w:r>
          </w:hyperlink>
        </w:p>
        <w:p w14:paraId="5ED440B1" w14:textId="376DF77F" w:rsidR="009D5A87" w:rsidRDefault="009D5A87">
          <w:pPr>
            <w:pStyle w:val="TM2"/>
            <w:tabs>
              <w:tab w:val="left" w:pos="1100"/>
            </w:tabs>
            <w:rPr>
              <w:rFonts w:asciiTheme="minorHAnsi" w:eastAsiaTheme="minorEastAsia" w:hAnsiTheme="minorHAnsi" w:cstheme="minorBidi"/>
              <w:noProof/>
              <w:kern w:val="2"/>
              <w:sz w:val="24"/>
              <w:szCs w:val="24"/>
              <w:lang w:val="fr-FR" w:eastAsia="fr-FR"/>
              <w14:ligatures w14:val="standardContextual"/>
            </w:rPr>
          </w:pPr>
          <w:hyperlink w:anchor="_Toc241791811" w:history="1">
            <w:r w:rsidRPr="00D72AB4">
              <w:rPr>
                <w:rStyle w:val="Hyperlien"/>
                <w:noProof/>
              </w:rPr>
              <w:t>6.1</w:t>
            </w:r>
            <w:r>
              <w:rPr>
                <w:rFonts w:asciiTheme="minorHAnsi" w:eastAsiaTheme="minorEastAsia" w:hAnsiTheme="minorHAnsi" w:cstheme="minorBidi"/>
                <w:noProof/>
                <w:kern w:val="2"/>
                <w:sz w:val="24"/>
                <w:szCs w:val="24"/>
                <w:lang w:val="fr-FR" w:eastAsia="fr-FR"/>
                <w14:ligatures w14:val="standardContextual"/>
              </w:rPr>
              <w:tab/>
            </w:r>
            <w:r w:rsidRPr="00D72AB4">
              <w:rPr>
                <w:rStyle w:val="Hyperlien"/>
                <w:noProof/>
              </w:rPr>
              <w:t>Cadre législatif</w:t>
            </w:r>
            <w:r>
              <w:rPr>
                <w:noProof/>
                <w:webHidden/>
              </w:rPr>
              <w:tab/>
            </w:r>
            <w:r>
              <w:rPr>
                <w:noProof/>
                <w:webHidden/>
              </w:rPr>
              <w:fldChar w:fldCharType="begin"/>
            </w:r>
            <w:r>
              <w:rPr>
                <w:noProof/>
                <w:webHidden/>
              </w:rPr>
              <w:instrText xml:space="preserve"> PAGEREF _Toc241791811 \h </w:instrText>
            </w:r>
            <w:r>
              <w:rPr>
                <w:noProof/>
                <w:webHidden/>
              </w:rPr>
            </w:r>
            <w:r>
              <w:rPr>
                <w:noProof/>
                <w:webHidden/>
              </w:rPr>
              <w:fldChar w:fldCharType="separate"/>
            </w:r>
            <w:r w:rsidR="00CE67BA">
              <w:rPr>
                <w:noProof/>
                <w:webHidden/>
              </w:rPr>
              <w:t>29</w:t>
            </w:r>
            <w:r>
              <w:rPr>
                <w:noProof/>
                <w:webHidden/>
              </w:rPr>
              <w:fldChar w:fldCharType="end"/>
            </w:r>
          </w:hyperlink>
        </w:p>
        <w:p w14:paraId="66C3691E" w14:textId="2C4F91FB" w:rsidR="009D5A87" w:rsidRDefault="009D5A87">
          <w:pPr>
            <w:pStyle w:val="TM2"/>
            <w:tabs>
              <w:tab w:val="left" w:pos="1100"/>
            </w:tabs>
            <w:rPr>
              <w:rFonts w:asciiTheme="minorHAnsi" w:eastAsiaTheme="minorEastAsia" w:hAnsiTheme="minorHAnsi" w:cstheme="minorBidi"/>
              <w:noProof/>
              <w:kern w:val="2"/>
              <w:sz w:val="24"/>
              <w:szCs w:val="24"/>
              <w:lang w:val="fr-FR" w:eastAsia="fr-FR"/>
              <w14:ligatures w14:val="standardContextual"/>
            </w:rPr>
          </w:pPr>
          <w:hyperlink w:anchor="_Toc241791822" w:history="1">
            <w:r w:rsidRPr="00D72AB4">
              <w:rPr>
                <w:rStyle w:val="Hyperlien"/>
                <w:noProof/>
              </w:rPr>
              <w:t>6.2</w:t>
            </w:r>
            <w:r>
              <w:rPr>
                <w:rFonts w:asciiTheme="minorHAnsi" w:eastAsiaTheme="minorEastAsia" w:hAnsiTheme="minorHAnsi" w:cstheme="minorBidi"/>
                <w:noProof/>
                <w:kern w:val="2"/>
                <w:sz w:val="24"/>
                <w:szCs w:val="24"/>
                <w:lang w:val="fr-FR" w:eastAsia="fr-FR"/>
                <w14:ligatures w14:val="standardContextual"/>
              </w:rPr>
              <w:tab/>
            </w:r>
            <w:r w:rsidRPr="00D72AB4">
              <w:rPr>
                <w:rStyle w:val="Hyperlien"/>
                <w:noProof/>
              </w:rPr>
              <w:t>Cadre réglementaire</w:t>
            </w:r>
            <w:r>
              <w:rPr>
                <w:noProof/>
                <w:webHidden/>
              </w:rPr>
              <w:tab/>
            </w:r>
            <w:r>
              <w:rPr>
                <w:noProof/>
                <w:webHidden/>
              </w:rPr>
              <w:fldChar w:fldCharType="begin"/>
            </w:r>
            <w:r>
              <w:rPr>
                <w:noProof/>
                <w:webHidden/>
              </w:rPr>
              <w:instrText xml:space="preserve"> PAGEREF _Toc241791822 \h </w:instrText>
            </w:r>
            <w:r>
              <w:rPr>
                <w:noProof/>
                <w:webHidden/>
              </w:rPr>
            </w:r>
            <w:r>
              <w:rPr>
                <w:noProof/>
                <w:webHidden/>
              </w:rPr>
              <w:fldChar w:fldCharType="separate"/>
            </w:r>
            <w:r w:rsidR="00CE67BA">
              <w:rPr>
                <w:noProof/>
                <w:webHidden/>
              </w:rPr>
              <w:t>31</w:t>
            </w:r>
            <w:r>
              <w:rPr>
                <w:noProof/>
                <w:webHidden/>
              </w:rPr>
              <w:fldChar w:fldCharType="end"/>
            </w:r>
          </w:hyperlink>
        </w:p>
        <w:p w14:paraId="1327A7BE" w14:textId="2E962E41" w:rsidR="009D5A87" w:rsidRDefault="009D5A87">
          <w:pPr>
            <w:pStyle w:val="TM2"/>
            <w:tabs>
              <w:tab w:val="left" w:pos="1100"/>
            </w:tabs>
            <w:rPr>
              <w:rFonts w:asciiTheme="minorHAnsi" w:eastAsiaTheme="minorEastAsia" w:hAnsiTheme="minorHAnsi" w:cstheme="minorBidi"/>
              <w:noProof/>
              <w:kern w:val="2"/>
              <w:sz w:val="24"/>
              <w:szCs w:val="24"/>
              <w:lang w:val="fr-FR" w:eastAsia="fr-FR"/>
              <w14:ligatures w14:val="standardContextual"/>
            </w:rPr>
          </w:pPr>
          <w:hyperlink w:anchor="_Toc241791826" w:history="1">
            <w:r w:rsidRPr="00D72AB4">
              <w:rPr>
                <w:rStyle w:val="Hyperlien"/>
                <w:noProof/>
              </w:rPr>
              <w:t>6.3</w:t>
            </w:r>
            <w:r>
              <w:rPr>
                <w:rFonts w:asciiTheme="minorHAnsi" w:eastAsiaTheme="minorEastAsia" w:hAnsiTheme="minorHAnsi" w:cstheme="minorBidi"/>
                <w:noProof/>
                <w:kern w:val="2"/>
                <w:sz w:val="24"/>
                <w:szCs w:val="24"/>
                <w:lang w:val="fr-FR" w:eastAsia="fr-FR"/>
                <w14:ligatures w14:val="standardContextual"/>
              </w:rPr>
              <w:tab/>
            </w:r>
            <w:r w:rsidRPr="00D72AB4">
              <w:rPr>
                <w:rStyle w:val="Hyperlien"/>
                <w:noProof/>
              </w:rPr>
              <w:t>Normes applicables</w:t>
            </w:r>
            <w:r>
              <w:rPr>
                <w:noProof/>
                <w:webHidden/>
              </w:rPr>
              <w:tab/>
            </w:r>
            <w:r>
              <w:rPr>
                <w:noProof/>
                <w:webHidden/>
              </w:rPr>
              <w:fldChar w:fldCharType="begin"/>
            </w:r>
            <w:r>
              <w:rPr>
                <w:noProof/>
                <w:webHidden/>
              </w:rPr>
              <w:instrText xml:space="preserve"> PAGEREF _Toc241791826 \h </w:instrText>
            </w:r>
            <w:r>
              <w:rPr>
                <w:noProof/>
                <w:webHidden/>
              </w:rPr>
            </w:r>
            <w:r>
              <w:rPr>
                <w:noProof/>
                <w:webHidden/>
              </w:rPr>
              <w:fldChar w:fldCharType="separate"/>
            </w:r>
            <w:r w:rsidR="00CE67BA">
              <w:rPr>
                <w:noProof/>
                <w:webHidden/>
              </w:rPr>
              <w:t>31</w:t>
            </w:r>
            <w:r>
              <w:rPr>
                <w:noProof/>
                <w:webHidden/>
              </w:rPr>
              <w:fldChar w:fldCharType="end"/>
            </w:r>
          </w:hyperlink>
        </w:p>
        <w:p w14:paraId="55264319" w14:textId="101949C9" w:rsidR="009D5A87" w:rsidRDefault="009D5A87">
          <w:pPr>
            <w:pStyle w:val="TM2"/>
            <w:tabs>
              <w:tab w:val="left" w:pos="1100"/>
            </w:tabs>
            <w:rPr>
              <w:rFonts w:asciiTheme="minorHAnsi" w:eastAsiaTheme="minorEastAsia" w:hAnsiTheme="minorHAnsi" w:cstheme="minorBidi"/>
              <w:noProof/>
              <w:kern w:val="2"/>
              <w:sz w:val="24"/>
              <w:szCs w:val="24"/>
              <w:lang w:val="fr-FR" w:eastAsia="fr-FR"/>
              <w14:ligatures w14:val="standardContextual"/>
            </w:rPr>
          </w:pPr>
          <w:hyperlink w:anchor="_Toc241791832" w:history="1">
            <w:r w:rsidRPr="00D72AB4">
              <w:rPr>
                <w:rStyle w:val="Hyperlien"/>
                <w:noProof/>
              </w:rPr>
              <w:t>6.4</w:t>
            </w:r>
            <w:r>
              <w:rPr>
                <w:rFonts w:asciiTheme="minorHAnsi" w:eastAsiaTheme="minorEastAsia" w:hAnsiTheme="minorHAnsi" w:cstheme="minorBidi"/>
                <w:noProof/>
                <w:kern w:val="2"/>
                <w:sz w:val="24"/>
                <w:szCs w:val="24"/>
                <w:lang w:val="fr-FR" w:eastAsia="fr-FR"/>
                <w14:ligatures w14:val="standardContextual"/>
              </w:rPr>
              <w:tab/>
            </w:r>
            <w:r w:rsidRPr="00D72AB4">
              <w:rPr>
                <w:rStyle w:val="Hyperlien"/>
                <w:noProof/>
              </w:rPr>
              <w:t>Esprit des normes et dépassement</w:t>
            </w:r>
            <w:r>
              <w:rPr>
                <w:noProof/>
                <w:webHidden/>
              </w:rPr>
              <w:tab/>
            </w:r>
            <w:r>
              <w:rPr>
                <w:noProof/>
                <w:webHidden/>
              </w:rPr>
              <w:fldChar w:fldCharType="begin"/>
            </w:r>
            <w:r>
              <w:rPr>
                <w:noProof/>
                <w:webHidden/>
              </w:rPr>
              <w:instrText xml:space="preserve"> PAGEREF _Toc241791832 \h </w:instrText>
            </w:r>
            <w:r>
              <w:rPr>
                <w:noProof/>
                <w:webHidden/>
              </w:rPr>
            </w:r>
            <w:r>
              <w:rPr>
                <w:noProof/>
                <w:webHidden/>
              </w:rPr>
              <w:fldChar w:fldCharType="separate"/>
            </w:r>
            <w:r w:rsidR="00CE67BA">
              <w:rPr>
                <w:noProof/>
                <w:webHidden/>
              </w:rPr>
              <w:t>34</w:t>
            </w:r>
            <w:r>
              <w:rPr>
                <w:noProof/>
                <w:webHidden/>
              </w:rPr>
              <w:fldChar w:fldCharType="end"/>
            </w:r>
          </w:hyperlink>
        </w:p>
        <w:p w14:paraId="1BCB96DB" w14:textId="1AE43173" w:rsidR="009D5A87" w:rsidRDefault="009D5A87">
          <w:pPr>
            <w:pStyle w:val="TM2"/>
            <w:tabs>
              <w:tab w:val="left" w:pos="1100"/>
            </w:tabs>
            <w:rPr>
              <w:rFonts w:asciiTheme="minorHAnsi" w:eastAsiaTheme="minorEastAsia" w:hAnsiTheme="minorHAnsi" w:cstheme="minorBidi"/>
              <w:noProof/>
              <w:kern w:val="2"/>
              <w:sz w:val="24"/>
              <w:szCs w:val="24"/>
              <w:lang w:val="fr-FR" w:eastAsia="fr-FR"/>
              <w14:ligatures w14:val="standardContextual"/>
            </w:rPr>
          </w:pPr>
          <w:hyperlink w:anchor="_Toc241791839" w:history="1">
            <w:r w:rsidRPr="00D72AB4">
              <w:rPr>
                <w:rStyle w:val="Hyperlien"/>
                <w:noProof/>
              </w:rPr>
              <w:t>6.5</w:t>
            </w:r>
            <w:r>
              <w:rPr>
                <w:rFonts w:asciiTheme="minorHAnsi" w:eastAsiaTheme="minorEastAsia" w:hAnsiTheme="minorHAnsi" w:cstheme="minorBidi"/>
                <w:noProof/>
                <w:kern w:val="2"/>
                <w:sz w:val="24"/>
                <w:szCs w:val="24"/>
                <w:lang w:val="fr-FR" w:eastAsia="fr-FR"/>
                <w14:ligatures w14:val="standardContextual"/>
              </w:rPr>
              <w:tab/>
            </w:r>
            <w:r w:rsidRPr="00D72AB4">
              <w:rPr>
                <w:rStyle w:val="Hyperlien"/>
                <w:noProof/>
              </w:rPr>
              <w:t>Incidence sur la conception</w:t>
            </w:r>
            <w:r>
              <w:rPr>
                <w:noProof/>
                <w:webHidden/>
              </w:rPr>
              <w:tab/>
            </w:r>
            <w:r>
              <w:rPr>
                <w:noProof/>
                <w:webHidden/>
              </w:rPr>
              <w:fldChar w:fldCharType="begin"/>
            </w:r>
            <w:r>
              <w:rPr>
                <w:noProof/>
                <w:webHidden/>
              </w:rPr>
              <w:instrText xml:space="preserve"> PAGEREF _Toc241791839 \h </w:instrText>
            </w:r>
            <w:r>
              <w:rPr>
                <w:noProof/>
                <w:webHidden/>
              </w:rPr>
            </w:r>
            <w:r>
              <w:rPr>
                <w:noProof/>
                <w:webHidden/>
              </w:rPr>
              <w:fldChar w:fldCharType="separate"/>
            </w:r>
            <w:r w:rsidR="00CE67BA">
              <w:rPr>
                <w:noProof/>
                <w:webHidden/>
              </w:rPr>
              <w:t>35</w:t>
            </w:r>
            <w:r>
              <w:rPr>
                <w:noProof/>
                <w:webHidden/>
              </w:rPr>
              <w:fldChar w:fldCharType="end"/>
            </w:r>
          </w:hyperlink>
        </w:p>
        <w:p w14:paraId="037B93B0" w14:textId="0BE74E5B" w:rsidR="009D5A87" w:rsidRDefault="009D5A87">
          <w:pPr>
            <w:pStyle w:val="TM1"/>
            <w:rPr>
              <w:rFonts w:asciiTheme="minorHAnsi" w:eastAsiaTheme="minorEastAsia" w:hAnsiTheme="minorHAnsi" w:cstheme="minorBidi"/>
              <w:noProof/>
              <w:kern w:val="2"/>
              <w:sz w:val="24"/>
              <w:szCs w:val="24"/>
              <w:lang w:val="fr-FR" w:eastAsia="fr-FR"/>
              <w14:ligatures w14:val="standardContextual"/>
            </w:rPr>
          </w:pPr>
          <w:hyperlink w:anchor="_Toc241791865" w:history="1">
            <w:r w:rsidRPr="00D72AB4">
              <w:rPr>
                <w:rStyle w:val="Hyperlien"/>
                <w:noProof/>
              </w:rPr>
              <w:t>7.</w:t>
            </w:r>
            <w:r>
              <w:rPr>
                <w:rFonts w:asciiTheme="minorHAnsi" w:eastAsiaTheme="minorEastAsia" w:hAnsiTheme="minorHAnsi" w:cstheme="minorBidi"/>
                <w:noProof/>
                <w:kern w:val="2"/>
                <w:sz w:val="24"/>
                <w:szCs w:val="24"/>
                <w:lang w:val="fr-FR" w:eastAsia="fr-FR"/>
                <w14:ligatures w14:val="standardContextual"/>
              </w:rPr>
              <w:tab/>
            </w:r>
            <w:r w:rsidRPr="00D72AB4">
              <w:rPr>
                <w:rStyle w:val="Hyperlien"/>
                <w:noProof/>
              </w:rPr>
              <w:t>Impacts et gestion des risques</w:t>
            </w:r>
            <w:r>
              <w:rPr>
                <w:noProof/>
                <w:webHidden/>
              </w:rPr>
              <w:tab/>
            </w:r>
            <w:r>
              <w:rPr>
                <w:noProof/>
                <w:webHidden/>
              </w:rPr>
              <w:fldChar w:fldCharType="begin"/>
            </w:r>
            <w:r>
              <w:rPr>
                <w:noProof/>
                <w:webHidden/>
              </w:rPr>
              <w:instrText xml:space="preserve"> PAGEREF _Toc241791865 \h </w:instrText>
            </w:r>
            <w:r>
              <w:rPr>
                <w:noProof/>
                <w:webHidden/>
              </w:rPr>
            </w:r>
            <w:r>
              <w:rPr>
                <w:noProof/>
                <w:webHidden/>
              </w:rPr>
              <w:fldChar w:fldCharType="separate"/>
            </w:r>
            <w:r w:rsidR="00CE67BA">
              <w:rPr>
                <w:noProof/>
                <w:webHidden/>
              </w:rPr>
              <w:t>37</w:t>
            </w:r>
            <w:r>
              <w:rPr>
                <w:noProof/>
                <w:webHidden/>
              </w:rPr>
              <w:fldChar w:fldCharType="end"/>
            </w:r>
          </w:hyperlink>
        </w:p>
        <w:p w14:paraId="53A510D5" w14:textId="2D130526" w:rsidR="009D5A87" w:rsidRDefault="009D5A87">
          <w:pPr>
            <w:pStyle w:val="TM2"/>
            <w:tabs>
              <w:tab w:val="left" w:pos="1100"/>
            </w:tabs>
            <w:rPr>
              <w:rFonts w:asciiTheme="minorHAnsi" w:eastAsiaTheme="minorEastAsia" w:hAnsiTheme="minorHAnsi" w:cstheme="minorBidi"/>
              <w:noProof/>
              <w:kern w:val="2"/>
              <w:sz w:val="24"/>
              <w:szCs w:val="24"/>
              <w:lang w:val="fr-FR" w:eastAsia="fr-FR"/>
              <w14:ligatures w14:val="standardContextual"/>
            </w:rPr>
          </w:pPr>
          <w:hyperlink w:anchor="_Toc241791869" w:history="1">
            <w:r w:rsidRPr="00D72AB4">
              <w:rPr>
                <w:rStyle w:val="Hyperlien"/>
                <w:noProof/>
              </w:rPr>
              <w:t>7.1</w:t>
            </w:r>
            <w:r>
              <w:rPr>
                <w:rFonts w:asciiTheme="minorHAnsi" w:eastAsiaTheme="minorEastAsia" w:hAnsiTheme="minorHAnsi" w:cstheme="minorBidi"/>
                <w:noProof/>
                <w:kern w:val="2"/>
                <w:sz w:val="24"/>
                <w:szCs w:val="24"/>
                <w:lang w:val="fr-FR" w:eastAsia="fr-FR"/>
                <w14:ligatures w14:val="standardContextual"/>
              </w:rPr>
              <w:tab/>
            </w:r>
            <w:r w:rsidRPr="00D72AB4">
              <w:rPr>
                <w:rStyle w:val="Hyperlien"/>
                <w:noProof/>
              </w:rPr>
              <w:t>Impacts du projet</w:t>
            </w:r>
            <w:r>
              <w:rPr>
                <w:noProof/>
                <w:webHidden/>
              </w:rPr>
              <w:tab/>
            </w:r>
            <w:r>
              <w:rPr>
                <w:noProof/>
                <w:webHidden/>
              </w:rPr>
              <w:fldChar w:fldCharType="begin"/>
            </w:r>
            <w:r>
              <w:rPr>
                <w:noProof/>
                <w:webHidden/>
              </w:rPr>
              <w:instrText xml:space="preserve"> PAGEREF _Toc241791869 \h </w:instrText>
            </w:r>
            <w:r>
              <w:rPr>
                <w:noProof/>
                <w:webHidden/>
              </w:rPr>
            </w:r>
            <w:r>
              <w:rPr>
                <w:noProof/>
                <w:webHidden/>
              </w:rPr>
              <w:fldChar w:fldCharType="separate"/>
            </w:r>
            <w:r w:rsidR="00CE67BA">
              <w:rPr>
                <w:noProof/>
                <w:webHidden/>
              </w:rPr>
              <w:t>37</w:t>
            </w:r>
            <w:r>
              <w:rPr>
                <w:noProof/>
                <w:webHidden/>
              </w:rPr>
              <w:fldChar w:fldCharType="end"/>
            </w:r>
          </w:hyperlink>
        </w:p>
        <w:p w14:paraId="032DEA0B" w14:textId="57FF1BD3" w:rsidR="009D5A87" w:rsidRDefault="009D5A87">
          <w:pPr>
            <w:pStyle w:val="TM2"/>
            <w:tabs>
              <w:tab w:val="left" w:pos="1100"/>
            </w:tabs>
            <w:rPr>
              <w:rFonts w:asciiTheme="minorHAnsi" w:eastAsiaTheme="minorEastAsia" w:hAnsiTheme="minorHAnsi" w:cstheme="minorBidi"/>
              <w:noProof/>
              <w:kern w:val="2"/>
              <w:sz w:val="24"/>
              <w:szCs w:val="24"/>
              <w:lang w:val="fr-FR" w:eastAsia="fr-FR"/>
              <w14:ligatures w14:val="standardContextual"/>
            </w:rPr>
          </w:pPr>
          <w:hyperlink w:anchor="_Toc241791895" w:history="1">
            <w:r w:rsidRPr="00D72AB4">
              <w:rPr>
                <w:rStyle w:val="Hyperlien"/>
                <w:noProof/>
              </w:rPr>
              <w:t>7.2</w:t>
            </w:r>
            <w:r>
              <w:rPr>
                <w:rFonts w:asciiTheme="minorHAnsi" w:eastAsiaTheme="minorEastAsia" w:hAnsiTheme="minorHAnsi" w:cstheme="minorBidi"/>
                <w:noProof/>
                <w:kern w:val="2"/>
                <w:sz w:val="24"/>
                <w:szCs w:val="24"/>
                <w:lang w:val="fr-FR" w:eastAsia="fr-FR"/>
                <w14:ligatures w14:val="standardContextual"/>
              </w:rPr>
              <w:tab/>
            </w:r>
            <w:r w:rsidRPr="00D72AB4">
              <w:rPr>
                <w:rStyle w:val="Hyperlien"/>
                <w:noProof/>
              </w:rPr>
              <w:t>Bénéfices, inconvénients et rôle de l’équipe</w:t>
            </w:r>
            <w:r>
              <w:rPr>
                <w:noProof/>
                <w:webHidden/>
              </w:rPr>
              <w:tab/>
            </w:r>
            <w:r>
              <w:rPr>
                <w:noProof/>
                <w:webHidden/>
              </w:rPr>
              <w:fldChar w:fldCharType="begin"/>
            </w:r>
            <w:r>
              <w:rPr>
                <w:noProof/>
                <w:webHidden/>
              </w:rPr>
              <w:instrText xml:space="preserve"> PAGEREF _Toc241791895 \h </w:instrText>
            </w:r>
            <w:r>
              <w:rPr>
                <w:noProof/>
                <w:webHidden/>
              </w:rPr>
            </w:r>
            <w:r>
              <w:rPr>
                <w:noProof/>
                <w:webHidden/>
              </w:rPr>
              <w:fldChar w:fldCharType="separate"/>
            </w:r>
            <w:r w:rsidR="00CE67BA">
              <w:rPr>
                <w:noProof/>
                <w:webHidden/>
              </w:rPr>
              <w:t>39</w:t>
            </w:r>
            <w:r>
              <w:rPr>
                <w:noProof/>
                <w:webHidden/>
              </w:rPr>
              <w:fldChar w:fldCharType="end"/>
            </w:r>
          </w:hyperlink>
        </w:p>
        <w:p w14:paraId="43F59C4C" w14:textId="27B43A0D" w:rsidR="009D5A87" w:rsidRDefault="009D5A87">
          <w:pPr>
            <w:pStyle w:val="TM2"/>
            <w:tabs>
              <w:tab w:val="left" w:pos="1100"/>
            </w:tabs>
            <w:rPr>
              <w:rFonts w:asciiTheme="minorHAnsi" w:eastAsiaTheme="minorEastAsia" w:hAnsiTheme="minorHAnsi" w:cstheme="minorBidi"/>
              <w:noProof/>
              <w:kern w:val="2"/>
              <w:sz w:val="24"/>
              <w:szCs w:val="24"/>
              <w:lang w:val="fr-FR" w:eastAsia="fr-FR"/>
              <w14:ligatures w14:val="standardContextual"/>
            </w:rPr>
          </w:pPr>
          <w:hyperlink w:anchor="_Toc241791907" w:history="1">
            <w:r w:rsidRPr="00D72AB4">
              <w:rPr>
                <w:rStyle w:val="Hyperlien"/>
                <w:noProof/>
              </w:rPr>
              <w:t>7.3</w:t>
            </w:r>
            <w:r>
              <w:rPr>
                <w:rFonts w:asciiTheme="minorHAnsi" w:eastAsiaTheme="minorEastAsia" w:hAnsiTheme="minorHAnsi" w:cstheme="minorBidi"/>
                <w:noProof/>
                <w:kern w:val="2"/>
                <w:sz w:val="24"/>
                <w:szCs w:val="24"/>
                <w:lang w:val="fr-FR" w:eastAsia="fr-FR"/>
                <w14:ligatures w14:val="standardContextual"/>
              </w:rPr>
              <w:tab/>
            </w:r>
            <w:r w:rsidRPr="00D72AB4">
              <w:rPr>
                <w:rStyle w:val="Hyperlien"/>
                <w:noProof/>
              </w:rPr>
              <w:t>Méthode d’analyse des risques</w:t>
            </w:r>
            <w:r>
              <w:rPr>
                <w:noProof/>
                <w:webHidden/>
              </w:rPr>
              <w:tab/>
            </w:r>
            <w:r>
              <w:rPr>
                <w:noProof/>
                <w:webHidden/>
              </w:rPr>
              <w:fldChar w:fldCharType="begin"/>
            </w:r>
            <w:r>
              <w:rPr>
                <w:noProof/>
                <w:webHidden/>
              </w:rPr>
              <w:instrText xml:space="preserve"> PAGEREF _Toc241791907 \h </w:instrText>
            </w:r>
            <w:r>
              <w:rPr>
                <w:noProof/>
                <w:webHidden/>
              </w:rPr>
            </w:r>
            <w:r>
              <w:rPr>
                <w:noProof/>
                <w:webHidden/>
              </w:rPr>
              <w:fldChar w:fldCharType="separate"/>
            </w:r>
            <w:r w:rsidR="00CE67BA">
              <w:rPr>
                <w:noProof/>
                <w:webHidden/>
              </w:rPr>
              <w:t>41</w:t>
            </w:r>
            <w:r>
              <w:rPr>
                <w:noProof/>
                <w:webHidden/>
              </w:rPr>
              <w:fldChar w:fldCharType="end"/>
            </w:r>
          </w:hyperlink>
        </w:p>
        <w:p w14:paraId="11B6A115" w14:textId="1F4CB7F5" w:rsidR="009D5A87" w:rsidRDefault="009D5A87">
          <w:pPr>
            <w:pStyle w:val="TM2"/>
            <w:tabs>
              <w:tab w:val="left" w:pos="1100"/>
            </w:tabs>
            <w:rPr>
              <w:rFonts w:asciiTheme="minorHAnsi" w:eastAsiaTheme="minorEastAsia" w:hAnsiTheme="minorHAnsi" w:cstheme="minorBidi"/>
              <w:noProof/>
              <w:kern w:val="2"/>
              <w:sz w:val="24"/>
              <w:szCs w:val="24"/>
              <w:lang w:val="fr-FR" w:eastAsia="fr-FR"/>
              <w14:ligatures w14:val="standardContextual"/>
            </w:rPr>
          </w:pPr>
          <w:hyperlink w:anchor="_Toc241791922" w:history="1">
            <w:r w:rsidRPr="00D72AB4">
              <w:rPr>
                <w:rStyle w:val="Hyperlien"/>
                <w:noProof/>
              </w:rPr>
              <w:t>7.4</w:t>
            </w:r>
            <w:r>
              <w:rPr>
                <w:rFonts w:asciiTheme="minorHAnsi" w:eastAsiaTheme="minorEastAsia" w:hAnsiTheme="minorHAnsi" w:cstheme="minorBidi"/>
                <w:noProof/>
                <w:kern w:val="2"/>
                <w:sz w:val="24"/>
                <w:szCs w:val="24"/>
                <w:lang w:val="fr-FR" w:eastAsia="fr-FR"/>
                <w14:ligatures w14:val="standardContextual"/>
              </w:rPr>
              <w:tab/>
            </w:r>
            <w:r w:rsidRPr="00D72AB4">
              <w:rPr>
                <w:rStyle w:val="Hyperlien"/>
                <w:noProof/>
              </w:rPr>
              <w:t>Registres des risques et profil</w:t>
            </w:r>
            <w:r>
              <w:rPr>
                <w:noProof/>
                <w:webHidden/>
              </w:rPr>
              <w:tab/>
            </w:r>
            <w:r>
              <w:rPr>
                <w:noProof/>
                <w:webHidden/>
              </w:rPr>
              <w:fldChar w:fldCharType="begin"/>
            </w:r>
            <w:r>
              <w:rPr>
                <w:noProof/>
                <w:webHidden/>
              </w:rPr>
              <w:instrText xml:space="preserve"> PAGEREF _Toc241791922 \h </w:instrText>
            </w:r>
            <w:r>
              <w:rPr>
                <w:noProof/>
                <w:webHidden/>
              </w:rPr>
            </w:r>
            <w:r>
              <w:rPr>
                <w:noProof/>
                <w:webHidden/>
              </w:rPr>
              <w:fldChar w:fldCharType="separate"/>
            </w:r>
            <w:r w:rsidR="00CE67BA">
              <w:rPr>
                <w:noProof/>
                <w:webHidden/>
              </w:rPr>
              <w:t>42</w:t>
            </w:r>
            <w:r>
              <w:rPr>
                <w:noProof/>
                <w:webHidden/>
              </w:rPr>
              <w:fldChar w:fldCharType="end"/>
            </w:r>
          </w:hyperlink>
        </w:p>
        <w:p w14:paraId="4D6AFF1C" w14:textId="14168F7A" w:rsidR="009D5A87" w:rsidRDefault="009D5A87">
          <w:pPr>
            <w:pStyle w:val="TM2"/>
            <w:tabs>
              <w:tab w:val="left" w:pos="1100"/>
            </w:tabs>
            <w:rPr>
              <w:rFonts w:asciiTheme="minorHAnsi" w:eastAsiaTheme="minorEastAsia" w:hAnsiTheme="minorHAnsi" w:cstheme="minorBidi"/>
              <w:noProof/>
              <w:kern w:val="2"/>
              <w:sz w:val="24"/>
              <w:szCs w:val="24"/>
              <w:lang w:val="fr-FR" w:eastAsia="fr-FR"/>
              <w14:ligatures w14:val="standardContextual"/>
            </w:rPr>
          </w:pPr>
          <w:hyperlink w:anchor="_Toc241791937" w:history="1">
            <w:r w:rsidRPr="00D72AB4">
              <w:rPr>
                <w:rStyle w:val="Hyperlien"/>
                <w:noProof/>
              </w:rPr>
              <w:t>7.5</w:t>
            </w:r>
            <w:r>
              <w:rPr>
                <w:rFonts w:asciiTheme="minorHAnsi" w:eastAsiaTheme="minorEastAsia" w:hAnsiTheme="minorHAnsi" w:cstheme="minorBidi"/>
                <w:noProof/>
                <w:kern w:val="2"/>
                <w:sz w:val="24"/>
                <w:szCs w:val="24"/>
                <w:lang w:val="fr-FR" w:eastAsia="fr-FR"/>
                <w14:ligatures w14:val="standardContextual"/>
              </w:rPr>
              <w:tab/>
            </w:r>
            <w:r w:rsidRPr="00D72AB4">
              <w:rPr>
                <w:rStyle w:val="Hyperlien"/>
                <w:noProof/>
              </w:rPr>
              <w:t>Matrice de couverture des contraintes du mandat</w:t>
            </w:r>
            <w:r>
              <w:rPr>
                <w:noProof/>
                <w:webHidden/>
              </w:rPr>
              <w:tab/>
            </w:r>
            <w:r>
              <w:rPr>
                <w:noProof/>
                <w:webHidden/>
              </w:rPr>
              <w:fldChar w:fldCharType="begin"/>
            </w:r>
            <w:r>
              <w:rPr>
                <w:noProof/>
                <w:webHidden/>
              </w:rPr>
              <w:instrText xml:space="preserve"> PAGEREF _Toc241791937 \h </w:instrText>
            </w:r>
            <w:r>
              <w:rPr>
                <w:noProof/>
                <w:webHidden/>
              </w:rPr>
            </w:r>
            <w:r>
              <w:rPr>
                <w:noProof/>
                <w:webHidden/>
              </w:rPr>
              <w:fldChar w:fldCharType="separate"/>
            </w:r>
            <w:r w:rsidR="00CE67BA">
              <w:rPr>
                <w:noProof/>
                <w:webHidden/>
              </w:rPr>
              <w:t>47</w:t>
            </w:r>
            <w:r>
              <w:rPr>
                <w:noProof/>
                <w:webHidden/>
              </w:rPr>
              <w:fldChar w:fldCharType="end"/>
            </w:r>
          </w:hyperlink>
        </w:p>
        <w:p w14:paraId="1E1A5A9F" w14:textId="2C11E421" w:rsidR="009D5A87" w:rsidRDefault="009D5A87">
          <w:pPr>
            <w:pStyle w:val="TM1"/>
            <w:rPr>
              <w:rFonts w:asciiTheme="minorHAnsi" w:eastAsiaTheme="minorEastAsia" w:hAnsiTheme="minorHAnsi" w:cstheme="minorBidi"/>
              <w:noProof/>
              <w:kern w:val="2"/>
              <w:sz w:val="24"/>
              <w:szCs w:val="24"/>
              <w:lang w:val="fr-FR" w:eastAsia="fr-FR"/>
              <w14:ligatures w14:val="standardContextual"/>
            </w:rPr>
          </w:pPr>
          <w:hyperlink w:anchor="_Toc241791940" w:history="1">
            <w:r w:rsidRPr="00D72AB4">
              <w:rPr>
                <w:rStyle w:val="Hyperlien"/>
                <w:noProof/>
              </w:rPr>
              <w:t>8.</w:t>
            </w:r>
            <w:r>
              <w:rPr>
                <w:rFonts w:asciiTheme="minorHAnsi" w:eastAsiaTheme="minorEastAsia" w:hAnsiTheme="minorHAnsi" w:cstheme="minorBidi"/>
                <w:noProof/>
                <w:kern w:val="2"/>
                <w:sz w:val="24"/>
                <w:szCs w:val="24"/>
                <w:lang w:val="fr-FR" w:eastAsia="fr-FR"/>
                <w14:ligatures w14:val="standardContextual"/>
              </w:rPr>
              <w:tab/>
            </w:r>
            <w:r w:rsidRPr="00D72AB4">
              <w:rPr>
                <w:rStyle w:val="Hyperlien"/>
                <w:noProof/>
              </w:rPr>
              <w:t>Estimation des ressources nécessaires au projet</w:t>
            </w:r>
            <w:r>
              <w:rPr>
                <w:noProof/>
                <w:webHidden/>
              </w:rPr>
              <w:tab/>
            </w:r>
            <w:r>
              <w:rPr>
                <w:noProof/>
                <w:webHidden/>
              </w:rPr>
              <w:fldChar w:fldCharType="begin"/>
            </w:r>
            <w:r>
              <w:rPr>
                <w:noProof/>
                <w:webHidden/>
              </w:rPr>
              <w:instrText xml:space="preserve"> PAGEREF _Toc241791940 \h </w:instrText>
            </w:r>
            <w:r>
              <w:rPr>
                <w:noProof/>
                <w:webHidden/>
              </w:rPr>
            </w:r>
            <w:r>
              <w:rPr>
                <w:noProof/>
                <w:webHidden/>
              </w:rPr>
              <w:fldChar w:fldCharType="separate"/>
            </w:r>
            <w:r w:rsidR="00CE67BA">
              <w:rPr>
                <w:noProof/>
                <w:webHidden/>
              </w:rPr>
              <w:t>48</w:t>
            </w:r>
            <w:r>
              <w:rPr>
                <w:noProof/>
                <w:webHidden/>
              </w:rPr>
              <w:fldChar w:fldCharType="end"/>
            </w:r>
          </w:hyperlink>
        </w:p>
        <w:p w14:paraId="22D21074" w14:textId="7DBE355C" w:rsidR="009D5A87" w:rsidRDefault="009D5A87">
          <w:pPr>
            <w:pStyle w:val="TM2"/>
            <w:tabs>
              <w:tab w:val="left" w:pos="1100"/>
            </w:tabs>
            <w:rPr>
              <w:rFonts w:asciiTheme="minorHAnsi" w:eastAsiaTheme="minorEastAsia" w:hAnsiTheme="minorHAnsi" w:cstheme="minorBidi"/>
              <w:noProof/>
              <w:kern w:val="2"/>
              <w:sz w:val="24"/>
              <w:szCs w:val="24"/>
              <w:lang w:val="fr-FR" w:eastAsia="fr-FR"/>
              <w14:ligatures w14:val="standardContextual"/>
            </w:rPr>
          </w:pPr>
          <w:hyperlink w:anchor="_Toc241791942" w:history="1">
            <w:r w:rsidRPr="00D72AB4">
              <w:rPr>
                <w:rStyle w:val="Hyperlien"/>
                <w:noProof/>
              </w:rPr>
              <w:t>8.1</w:t>
            </w:r>
            <w:r>
              <w:rPr>
                <w:rFonts w:asciiTheme="minorHAnsi" w:eastAsiaTheme="minorEastAsia" w:hAnsiTheme="minorHAnsi" w:cstheme="minorBidi"/>
                <w:noProof/>
                <w:kern w:val="2"/>
                <w:sz w:val="24"/>
                <w:szCs w:val="24"/>
                <w:lang w:val="fr-FR" w:eastAsia="fr-FR"/>
                <w14:ligatures w14:val="standardContextual"/>
              </w:rPr>
              <w:tab/>
            </w:r>
            <w:r w:rsidRPr="00D72AB4">
              <w:rPr>
                <w:rStyle w:val="Hyperlien"/>
                <w:noProof/>
              </w:rPr>
              <w:t xml:space="preserve">Méthode </w:t>
            </w:r>
            <w:r w:rsidRPr="00D72AB4">
              <w:rPr>
                <w:rStyle w:val="Hyperlien"/>
                <w:noProof/>
              </w:rPr>
              <w:t>d</w:t>
            </w:r>
            <w:r w:rsidRPr="00D72AB4">
              <w:rPr>
                <w:rStyle w:val="Hyperlien"/>
                <w:noProof/>
              </w:rPr>
              <w:t>’estimation et classe de l’estimation</w:t>
            </w:r>
            <w:r>
              <w:rPr>
                <w:noProof/>
                <w:webHidden/>
              </w:rPr>
              <w:tab/>
            </w:r>
            <w:r>
              <w:rPr>
                <w:noProof/>
                <w:webHidden/>
              </w:rPr>
              <w:fldChar w:fldCharType="begin"/>
            </w:r>
            <w:r>
              <w:rPr>
                <w:noProof/>
                <w:webHidden/>
              </w:rPr>
              <w:instrText xml:space="preserve"> PAGEREF _Toc241791942 \h </w:instrText>
            </w:r>
            <w:r>
              <w:rPr>
                <w:noProof/>
                <w:webHidden/>
              </w:rPr>
            </w:r>
            <w:r>
              <w:rPr>
                <w:noProof/>
                <w:webHidden/>
              </w:rPr>
              <w:fldChar w:fldCharType="separate"/>
            </w:r>
            <w:r w:rsidR="00CE67BA">
              <w:rPr>
                <w:noProof/>
                <w:webHidden/>
              </w:rPr>
              <w:t>48</w:t>
            </w:r>
            <w:r>
              <w:rPr>
                <w:noProof/>
                <w:webHidden/>
              </w:rPr>
              <w:fldChar w:fldCharType="end"/>
            </w:r>
          </w:hyperlink>
        </w:p>
        <w:p w14:paraId="1990A4F2" w14:textId="200BEF6D" w:rsidR="009D5A87" w:rsidRDefault="009D5A87">
          <w:pPr>
            <w:pStyle w:val="TM2"/>
            <w:tabs>
              <w:tab w:val="left" w:pos="1100"/>
            </w:tabs>
            <w:rPr>
              <w:rFonts w:asciiTheme="minorHAnsi" w:eastAsiaTheme="minorEastAsia" w:hAnsiTheme="minorHAnsi" w:cstheme="minorBidi"/>
              <w:noProof/>
              <w:kern w:val="2"/>
              <w:sz w:val="24"/>
              <w:szCs w:val="24"/>
              <w:lang w:val="fr-FR" w:eastAsia="fr-FR"/>
              <w14:ligatures w14:val="standardContextual"/>
            </w:rPr>
          </w:pPr>
          <w:hyperlink w:anchor="_Toc241791948" w:history="1">
            <w:r w:rsidRPr="00D72AB4">
              <w:rPr>
                <w:rStyle w:val="Hyperlien"/>
                <w:noProof/>
              </w:rPr>
              <w:t>8.2</w:t>
            </w:r>
            <w:r>
              <w:rPr>
                <w:rFonts w:asciiTheme="minorHAnsi" w:eastAsiaTheme="minorEastAsia" w:hAnsiTheme="minorHAnsi" w:cstheme="minorBidi"/>
                <w:noProof/>
                <w:kern w:val="2"/>
                <w:sz w:val="24"/>
                <w:szCs w:val="24"/>
                <w:lang w:val="fr-FR" w:eastAsia="fr-FR"/>
                <w14:ligatures w14:val="standardContextual"/>
              </w:rPr>
              <w:tab/>
            </w:r>
            <w:r w:rsidRPr="00D72AB4">
              <w:rPr>
                <w:rStyle w:val="Hyperlien"/>
                <w:noProof/>
              </w:rPr>
              <w:t>Registre des hypothèses</w:t>
            </w:r>
            <w:r>
              <w:rPr>
                <w:noProof/>
                <w:webHidden/>
              </w:rPr>
              <w:tab/>
            </w:r>
            <w:r>
              <w:rPr>
                <w:noProof/>
                <w:webHidden/>
              </w:rPr>
              <w:fldChar w:fldCharType="begin"/>
            </w:r>
            <w:r>
              <w:rPr>
                <w:noProof/>
                <w:webHidden/>
              </w:rPr>
              <w:instrText xml:space="preserve"> PAGEREF _Toc241791948 \h </w:instrText>
            </w:r>
            <w:r>
              <w:rPr>
                <w:noProof/>
                <w:webHidden/>
              </w:rPr>
            </w:r>
            <w:r>
              <w:rPr>
                <w:noProof/>
                <w:webHidden/>
              </w:rPr>
              <w:fldChar w:fldCharType="separate"/>
            </w:r>
            <w:r w:rsidR="00CE67BA">
              <w:rPr>
                <w:noProof/>
                <w:webHidden/>
              </w:rPr>
              <w:t>49</w:t>
            </w:r>
            <w:r>
              <w:rPr>
                <w:noProof/>
                <w:webHidden/>
              </w:rPr>
              <w:fldChar w:fldCharType="end"/>
            </w:r>
          </w:hyperlink>
        </w:p>
        <w:p w14:paraId="32E0E504" w14:textId="10671830" w:rsidR="009D5A87" w:rsidRDefault="009D5A87">
          <w:pPr>
            <w:pStyle w:val="TM2"/>
            <w:tabs>
              <w:tab w:val="left" w:pos="1100"/>
            </w:tabs>
            <w:rPr>
              <w:rFonts w:asciiTheme="minorHAnsi" w:eastAsiaTheme="minorEastAsia" w:hAnsiTheme="minorHAnsi" w:cstheme="minorBidi"/>
              <w:noProof/>
              <w:kern w:val="2"/>
              <w:sz w:val="24"/>
              <w:szCs w:val="24"/>
              <w:lang w:val="fr-FR" w:eastAsia="fr-FR"/>
              <w14:ligatures w14:val="standardContextual"/>
            </w:rPr>
          </w:pPr>
          <w:hyperlink w:anchor="_Toc241791951" w:history="1">
            <w:r w:rsidRPr="00D72AB4">
              <w:rPr>
                <w:rStyle w:val="Hyperlien"/>
                <w:noProof/>
              </w:rPr>
              <w:t>8.3</w:t>
            </w:r>
            <w:r>
              <w:rPr>
                <w:rFonts w:asciiTheme="minorHAnsi" w:eastAsiaTheme="minorEastAsia" w:hAnsiTheme="minorHAnsi" w:cstheme="minorBidi"/>
                <w:noProof/>
                <w:kern w:val="2"/>
                <w:sz w:val="24"/>
                <w:szCs w:val="24"/>
                <w:lang w:val="fr-FR" w:eastAsia="fr-FR"/>
                <w14:ligatures w14:val="standardContextual"/>
              </w:rPr>
              <w:tab/>
            </w:r>
            <w:r w:rsidRPr="00D72AB4">
              <w:rPr>
                <w:rStyle w:val="Hyperlien"/>
                <w:noProof/>
              </w:rPr>
              <w:t>Ressources humaines</w:t>
            </w:r>
            <w:r>
              <w:rPr>
                <w:noProof/>
                <w:webHidden/>
              </w:rPr>
              <w:tab/>
            </w:r>
            <w:r>
              <w:rPr>
                <w:noProof/>
                <w:webHidden/>
              </w:rPr>
              <w:fldChar w:fldCharType="begin"/>
            </w:r>
            <w:r>
              <w:rPr>
                <w:noProof/>
                <w:webHidden/>
              </w:rPr>
              <w:instrText xml:space="preserve"> PAGEREF _Toc241791951 \h </w:instrText>
            </w:r>
            <w:r>
              <w:rPr>
                <w:noProof/>
                <w:webHidden/>
              </w:rPr>
            </w:r>
            <w:r>
              <w:rPr>
                <w:noProof/>
                <w:webHidden/>
              </w:rPr>
              <w:fldChar w:fldCharType="separate"/>
            </w:r>
            <w:r w:rsidR="00CE67BA">
              <w:rPr>
                <w:noProof/>
                <w:webHidden/>
              </w:rPr>
              <w:t>50</w:t>
            </w:r>
            <w:r>
              <w:rPr>
                <w:noProof/>
                <w:webHidden/>
              </w:rPr>
              <w:fldChar w:fldCharType="end"/>
            </w:r>
          </w:hyperlink>
        </w:p>
        <w:p w14:paraId="08643183" w14:textId="4972FF9F" w:rsidR="009D5A87" w:rsidRDefault="009D5A87">
          <w:pPr>
            <w:pStyle w:val="TM2"/>
            <w:tabs>
              <w:tab w:val="left" w:pos="1100"/>
            </w:tabs>
            <w:rPr>
              <w:rFonts w:asciiTheme="minorHAnsi" w:eastAsiaTheme="minorEastAsia" w:hAnsiTheme="minorHAnsi" w:cstheme="minorBidi"/>
              <w:noProof/>
              <w:kern w:val="2"/>
              <w:sz w:val="24"/>
              <w:szCs w:val="24"/>
              <w:lang w:val="fr-FR" w:eastAsia="fr-FR"/>
              <w14:ligatures w14:val="standardContextual"/>
            </w:rPr>
          </w:pPr>
          <w:hyperlink w:anchor="_Toc241791955" w:history="1">
            <w:r w:rsidRPr="00D72AB4">
              <w:rPr>
                <w:rStyle w:val="Hyperlien"/>
                <w:noProof/>
              </w:rPr>
              <w:t>8.4</w:t>
            </w:r>
            <w:r>
              <w:rPr>
                <w:rFonts w:asciiTheme="minorHAnsi" w:eastAsiaTheme="minorEastAsia" w:hAnsiTheme="minorHAnsi" w:cstheme="minorBidi"/>
                <w:noProof/>
                <w:kern w:val="2"/>
                <w:sz w:val="24"/>
                <w:szCs w:val="24"/>
                <w:lang w:val="fr-FR" w:eastAsia="fr-FR"/>
                <w14:ligatures w14:val="standardContextual"/>
              </w:rPr>
              <w:tab/>
            </w:r>
            <w:r w:rsidRPr="00D72AB4">
              <w:rPr>
                <w:rStyle w:val="Hyperlien"/>
                <w:noProof/>
              </w:rPr>
              <w:t>Ressources matérielles et d’infrastructure</w:t>
            </w:r>
            <w:r>
              <w:rPr>
                <w:noProof/>
                <w:webHidden/>
              </w:rPr>
              <w:tab/>
            </w:r>
            <w:r>
              <w:rPr>
                <w:noProof/>
                <w:webHidden/>
              </w:rPr>
              <w:fldChar w:fldCharType="begin"/>
            </w:r>
            <w:r>
              <w:rPr>
                <w:noProof/>
                <w:webHidden/>
              </w:rPr>
              <w:instrText xml:space="preserve"> PAGEREF _Toc241791955 \h </w:instrText>
            </w:r>
            <w:r>
              <w:rPr>
                <w:noProof/>
                <w:webHidden/>
              </w:rPr>
            </w:r>
            <w:r>
              <w:rPr>
                <w:noProof/>
                <w:webHidden/>
              </w:rPr>
              <w:fldChar w:fldCharType="separate"/>
            </w:r>
            <w:r w:rsidR="00CE67BA">
              <w:rPr>
                <w:noProof/>
                <w:webHidden/>
              </w:rPr>
              <w:t>50</w:t>
            </w:r>
            <w:r>
              <w:rPr>
                <w:noProof/>
                <w:webHidden/>
              </w:rPr>
              <w:fldChar w:fldCharType="end"/>
            </w:r>
          </w:hyperlink>
        </w:p>
        <w:p w14:paraId="3EAF5940" w14:textId="3C0B119C" w:rsidR="009D5A87" w:rsidRDefault="009D5A87">
          <w:pPr>
            <w:pStyle w:val="TM2"/>
            <w:tabs>
              <w:tab w:val="left" w:pos="1100"/>
            </w:tabs>
            <w:rPr>
              <w:rFonts w:asciiTheme="minorHAnsi" w:eastAsiaTheme="minorEastAsia" w:hAnsiTheme="minorHAnsi" w:cstheme="minorBidi"/>
              <w:noProof/>
              <w:kern w:val="2"/>
              <w:sz w:val="24"/>
              <w:szCs w:val="24"/>
              <w:lang w:val="fr-FR" w:eastAsia="fr-FR"/>
              <w14:ligatures w14:val="standardContextual"/>
            </w:rPr>
          </w:pPr>
          <w:hyperlink w:anchor="_Toc241791958" w:history="1">
            <w:r w:rsidRPr="00D72AB4">
              <w:rPr>
                <w:rStyle w:val="Hyperlien"/>
                <w:noProof/>
              </w:rPr>
              <w:t>8.5</w:t>
            </w:r>
            <w:r>
              <w:rPr>
                <w:rFonts w:asciiTheme="minorHAnsi" w:eastAsiaTheme="minorEastAsia" w:hAnsiTheme="minorHAnsi" w:cstheme="minorBidi"/>
                <w:noProof/>
                <w:kern w:val="2"/>
                <w:sz w:val="24"/>
                <w:szCs w:val="24"/>
                <w:lang w:val="fr-FR" w:eastAsia="fr-FR"/>
                <w14:ligatures w14:val="standardContextual"/>
              </w:rPr>
              <w:tab/>
            </w:r>
            <w:r w:rsidRPr="00D72AB4">
              <w:rPr>
                <w:rStyle w:val="Hyperlien"/>
                <w:noProof/>
              </w:rPr>
              <w:t>Ressources logicielles envisagées</w:t>
            </w:r>
            <w:r>
              <w:rPr>
                <w:noProof/>
                <w:webHidden/>
              </w:rPr>
              <w:tab/>
            </w:r>
            <w:r>
              <w:rPr>
                <w:noProof/>
                <w:webHidden/>
              </w:rPr>
              <w:fldChar w:fldCharType="begin"/>
            </w:r>
            <w:r>
              <w:rPr>
                <w:noProof/>
                <w:webHidden/>
              </w:rPr>
              <w:instrText xml:space="preserve"> PAGEREF _Toc241791958 \h </w:instrText>
            </w:r>
            <w:r>
              <w:rPr>
                <w:noProof/>
                <w:webHidden/>
              </w:rPr>
            </w:r>
            <w:r>
              <w:rPr>
                <w:noProof/>
                <w:webHidden/>
              </w:rPr>
              <w:fldChar w:fldCharType="separate"/>
            </w:r>
            <w:r w:rsidR="00CE67BA">
              <w:rPr>
                <w:noProof/>
                <w:webHidden/>
              </w:rPr>
              <w:t>51</w:t>
            </w:r>
            <w:r>
              <w:rPr>
                <w:noProof/>
                <w:webHidden/>
              </w:rPr>
              <w:fldChar w:fldCharType="end"/>
            </w:r>
          </w:hyperlink>
        </w:p>
        <w:p w14:paraId="6DF93B08" w14:textId="552BD4E5" w:rsidR="009D5A87" w:rsidRDefault="009D5A87">
          <w:pPr>
            <w:pStyle w:val="TM2"/>
            <w:tabs>
              <w:tab w:val="left" w:pos="1100"/>
            </w:tabs>
            <w:rPr>
              <w:rFonts w:asciiTheme="minorHAnsi" w:eastAsiaTheme="minorEastAsia" w:hAnsiTheme="minorHAnsi" w:cstheme="minorBidi"/>
              <w:noProof/>
              <w:kern w:val="2"/>
              <w:sz w:val="24"/>
              <w:szCs w:val="24"/>
              <w:lang w:val="fr-FR" w:eastAsia="fr-FR"/>
              <w14:ligatures w14:val="standardContextual"/>
            </w:rPr>
          </w:pPr>
          <w:hyperlink w:anchor="_Toc241791961" w:history="1">
            <w:r w:rsidRPr="00D72AB4">
              <w:rPr>
                <w:rStyle w:val="Hyperlien"/>
                <w:noProof/>
              </w:rPr>
              <w:t>8.6</w:t>
            </w:r>
            <w:r>
              <w:rPr>
                <w:rFonts w:asciiTheme="minorHAnsi" w:eastAsiaTheme="minorEastAsia" w:hAnsiTheme="minorHAnsi" w:cstheme="minorBidi"/>
                <w:noProof/>
                <w:kern w:val="2"/>
                <w:sz w:val="24"/>
                <w:szCs w:val="24"/>
                <w:lang w:val="fr-FR" w:eastAsia="fr-FR"/>
                <w14:ligatures w14:val="standardContextual"/>
              </w:rPr>
              <w:tab/>
            </w:r>
            <w:r w:rsidRPr="00D72AB4">
              <w:rPr>
                <w:rStyle w:val="Hyperlien"/>
                <w:noProof/>
              </w:rPr>
              <w:t>Ressources informationnelles et normatives</w:t>
            </w:r>
            <w:r>
              <w:rPr>
                <w:noProof/>
                <w:webHidden/>
              </w:rPr>
              <w:tab/>
            </w:r>
            <w:r>
              <w:rPr>
                <w:noProof/>
                <w:webHidden/>
              </w:rPr>
              <w:fldChar w:fldCharType="begin"/>
            </w:r>
            <w:r>
              <w:rPr>
                <w:noProof/>
                <w:webHidden/>
              </w:rPr>
              <w:instrText xml:space="preserve"> PAGEREF _Toc241791961 \h </w:instrText>
            </w:r>
            <w:r>
              <w:rPr>
                <w:noProof/>
                <w:webHidden/>
              </w:rPr>
            </w:r>
            <w:r>
              <w:rPr>
                <w:noProof/>
                <w:webHidden/>
              </w:rPr>
              <w:fldChar w:fldCharType="separate"/>
            </w:r>
            <w:r w:rsidR="00CE67BA">
              <w:rPr>
                <w:noProof/>
                <w:webHidden/>
              </w:rPr>
              <w:t>52</w:t>
            </w:r>
            <w:r>
              <w:rPr>
                <w:noProof/>
                <w:webHidden/>
              </w:rPr>
              <w:fldChar w:fldCharType="end"/>
            </w:r>
          </w:hyperlink>
        </w:p>
        <w:p w14:paraId="06549C93" w14:textId="6146C5AC" w:rsidR="009D5A87" w:rsidRDefault="009D5A87">
          <w:pPr>
            <w:pStyle w:val="TM1"/>
            <w:rPr>
              <w:rFonts w:asciiTheme="minorHAnsi" w:eastAsiaTheme="minorEastAsia" w:hAnsiTheme="minorHAnsi" w:cstheme="minorBidi"/>
              <w:noProof/>
              <w:kern w:val="2"/>
              <w:sz w:val="24"/>
              <w:szCs w:val="24"/>
              <w:lang w:val="fr-FR" w:eastAsia="fr-FR"/>
              <w14:ligatures w14:val="standardContextual"/>
            </w:rPr>
          </w:pPr>
          <w:hyperlink w:anchor="_Toc241791965" w:history="1">
            <w:r w:rsidRPr="00D72AB4">
              <w:rPr>
                <w:rStyle w:val="Hyperlien"/>
                <w:noProof/>
              </w:rPr>
              <w:t>9.</w:t>
            </w:r>
            <w:r>
              <w:rPr>
                <w:rFonts w:asciiTheme="minorHAnsi" w:eastAsiaTheme="minorEastAsia" w:hAnsiTheme="minorHAnsi" w:cstheme="minorBidi"/>
                <w:noProof/>
                <w:kern w:val="2"/>
                <w:sz w:val="24"/>
                <w:szCs w:val="24"/>
                <w:lang w:val="fr-FR" w:eastAsia="fr-FR"/>
                <w14:ligatures w14:val="standardContextual"/>
              </w:rPr>
              <w:tab/>
            </w:r>
            <w:r w:rsidRPr="00D72AB4">
              <w:rPr>
                <w:rStyle w:val="Hyperlien"/>
                <w:noProof/>
              </w:rPr>
              <w:t>Estimation préliminaire des coûts</w:t>
            </w:r>
            <w:r>
              <w:rPr>
                <w:noProof/>
                <w:webHidden/>
              </w:rPr>
              <w:tab/>
            </w:r>
            <w:r>
              <w:rPr>
                <w:noProof/>
                <w:webHidden/>
              </w:rPr>
              <w:fldChar w:fldCharType="begin"/>
            </w:r>
            <w:r>
              <w:rPr>
                <w:noProof/>
                <w:webHidden/>
              </w:rPr>
              <w:instrText xml:space="preserve"> PAGEREF _Toc241791965 \h </w:instrText>
            </w:r>
            <w:r>
              <w:rPr>
                <w:noProof/>
                <w:webHidden/>
              </w:rPr>
            </w:r>
            <w:r>
              <w:rPr>
                <w:noProof/>
                <w:webHidden/>
              </w:rPr>
              <w:fldChar w:fldCharType="separate"/>
            </w:r>
            <w:r w:rsidR="00CE67BA">
              <w:rPr>
                <w:noProof/>
                <w:webHidden/>
              </w:rPr>
              <w:t>52</w:t>
            </w:r>
            <w:r>
              <w:rPr>
                <w:noProof/>
                <w:webHidden/>
              </w:rPr>
              <w:fldChar w:fldCharType="end"/>
            </w:r>
          </w:hyperlink>
        </w:p>
        <w:p w14:paraId="00168A3A" w14:textId="52E540A7" w:rsidR="009D5A87" w:rsidRDefault="009D5A87">
          <w:pPr>
            <w:pStyle w:val="TM2"/>
            <w:tabs>
              <w:tab w:val="left" w:pos="1100"/>
            </w:tabs>
            <w:rPr>
              <w:rFonts w:asciiTheme="minorHAnsi" w:eastAsiaTheme="minorEastAsia" w:hAnsiTheme="minorHAnsi" w:cstheme="minorBidi"/>
              <w:noProof/>
              <w:kern w:val="2"/>
              <w:sz w:val="24"/>
              <w:szCs w:val="24"/>
              <w:lang w:val="fr-FR" w:eastAsia="fr-FR"/>
              <w14:ligatures w14:val="standardContextual"/>
            </w:rPr>
          </w:pPr>
          <w:hyperlink w:anchor="_Toc241791973" w:history="1">
            <w:r w:rsidRPr="00D72AB4">
              <w:rPr>
                <w:rStyle w:val="Hyperlien"/>
                <w:noProof/>
              </w:rPr>
              <w:t>9.1</w:t>
            </w:r>
            <w:r>
              <w:rPr>
                <w:rFonts w:asciiTheme="minorHAnsi" w:eastAsiaTheme="minorEastAsia" w:hAnsiTheme="minorHAnsi" w:cstheme="minorBidi"/>
                <w:noProof/>
                <w:kern w:val="2"/>
                <w:sz w:val="24"/>
                <w:szCs w:val="24"/>
                <w:lang w:val="fr-FR" w:eastAsia="fr-FR"/>
                <w14:ligatures w14:val="standardContextual"/>
              </w:rPr>
              <w:tab/>
            </w:r>
            <w:r w:rsidRPr="00D72AB4">
              <w:rPr>
                <w:rStyle w:val="Hyperlien"/>
                <w:noProof/>
              </w:rPr>
              <w:t>Grille budgétaire</w:t>
            </w:r>
            <w:r>
              <w:rPr>
                <w:noProof/>
                <w:webHidden/>
              </w:rPr>
              <w:tab/>
            </w:r>
            <w:r>
              <w:rPr>
                <w:noProof/>
                <w:webHidden/>
              </w:rPr>
              <w:fldChar w:fldCharType="begin"/>
            </w:r>
            <w:r>
              <w:rPr>
                <w:noProof/>
                <w:webHidden/>
              </w:rPr>
              <w:instrText xml:space="preserve"> PAGEREF _Toc241791973 \h </w:instrText>
            </w:r>
            <w:r>
              <w:rPr>
                <w:noProof/>
                <w:webHidden/>
              </w:rPr>
            </w:r>
            <w:r>
              <w:rPr>
                <w:noProof/>
                <w:webHidden/>
              </w:rPr>
              <w:fldChar w:fldCharType="separate"/>
            </w:r>
            <w:r w:rsidR="00CE67BA">
              <w:rPr>
                <w:noProof/>
                <w:webHidden/>
              </w:rPr>
              <w:t>53</w:t>
            </w:r>
            <w:r>
              <w:rPr>
                <w:noProof/>
                <w:webHidden/>
              </w:rPr>
              <w:fldChar w:fldCharType="end"/>
            </w:r>
          </w:hyperlink>
        </w:p>
        <w:p w14:paraId="1D877E89" w14:textId="3110C27B" w:rsidR="009D5A87" w:rsidRDefault="009D5A87">
          <w:pPr>
            <w:pStyle w:val="TM2"/>
            <w:tabs>
              <w:tab w:val="left" w:pos="1100"/>
            </w:tabs>
            <w:rPr>
              <w:rFonts w:asciiTheme="minorHAnsi" w:eastAsiaTheme="minorEastAsia" w:hAnsiTheme="minorHAnsi" w:cstheme="minorBidi"/>
              <w:noProof/>
              <w:kern w:val="2"/>
              <w:sz w:val="24"/>
              <w:szCs w:val="24"/>
              <w:lang w:val="fr-FR" w:eastAsia="fr-FR"/>
              <w14:ligatures w14:val="standardContextual"/>
            </w:rPr>
          </w:pPr>
          <w:hyperlink w:anchor="_Toc241791979" w:history="1">
            <w:r w:rsidRPr="00D72AB4">
              <w:rPr>
                <w:rStyle w:val="Hyperlien"/>
                <w:noProof/>
              </w:rPr>
              <w:t>9.2</w:t>
            </w:r>
            <w:r>
              <w:rPr>
                <w:rFonts w:asciiTheme="minorHAnsi" w:eastAsiaTheme="minorEastAsia" w:hAnsiTheme="minorHAnsi" w:cstheme="minorBidi"/>
                <w:noProof/>
                <w:kern w:val="2"/>
                <w:sz w:val="24"/>
                <w:szCs w:val="24"/>
                <w:lang w:val="fr-FR" w:eastAsia="fr-FR"/>
                <w14:ligatures w14:val="standardContextual"/>
              </w:rPr>
              <w:tab/>
            </w:r>
            <w:r w:rsidRPr="00D72AB4">
              <w:rPr>
                <w:rStyle w:val="Hyperlien"/>
                <w:noProof/>
              </w:rPr>
              <w:t>Répartition dans le temps et bordereau des prix</w:t>
            </w:r>
            <w:r>
              <w:rPr>
                <w:noProof/>
                <w:webHidden/>
              </w:rPr>
              <w:tab/>
            </w:r>
            <w:r>
              <w:rPr>
                <w:noProof/>
                <w:webHidden/>
              </w:rPr>
              <w:fldChar w:fldCharType="begin"/>
            </w:r>
            <w:r>
              <w:rPr>
                <w:noProof/>
                <w:webHidden/>
              </w:rPr>
              <w:instrText xml:space="preserve"> PAGEREF _Toc241791979 \h </w:instrText>
            </w:r>
            <w:r>
              <w:rPr>
                <w:noProof/>
                <w:webHidden/>
              </w:rPr>
            </w:r>
            <w:r>
              <w:rPr>
                <w:noProof/>
                <w:webHidden/>
              </w:rPr>
              <w:fldChar w:fldCharType="separate"/>
            </w:r>
            <w:r w:rsidR="00CE67BA">
              <w:rPr>
                <w:noProof/>
                <w:webHidden/>
              </w:rPr>
              <w:t>55</w:t>
            </w:r>
            <w:r>
              <w:rPr>
                <w:noProof/>
                <w:webHidden/>
              </w:rPr>
              <w:fldChar w:fldCharType="end"/>
            </w:r>
          </w:hyperlink>
        </w:p>
        <w:p w14:paraId="78A43F9A" w14:textId="3C2630A6" w:rsidR="009D5A87" w:rsidRDefault="009D5A87">
          <w:pPr>
            <w:pStyle w:val="TM1"/>
            <w:rPr>
              <w:rFonts w:asciiTheme="minorHAnsi" w:eastAsiaTheme="minorEastAsia" w:hAnsiTheme="minorHAnsi" w:cstheme="minorBidi"/>
              <w:noProof/>
              <w:kern w:val="2"/>
              <w:sz w:val="24"/>
              <w:szCs w:val="24"/>
              <w:lang w:val="fr-FR" w:eastAsia="fr-FR"/>
              <w14:ligatures w14:val="standardContextual"/>
            </w:rPr>
          </w:pPr>
          <w:hyperlink w:anchor="_Toc241791988" w:history="1">
            <w:r w:rsidRPr="00D72AB4">
              <w:rPr>
                <w:rStyle w:val="Hyperlien"/>
                <w:noProof/>
              </w:rPr>
              <w:t>10.</w:t>
            </w:r>
            <w:r>
              <w:rPr>
                <w:rFonts w:asciiTheme="minorHAnsi" w:eastAsiaTheme="minorEastAsia" w:hAnsiTheme="minorHAnsi" w:cstheme="minorBidi"/>
                <w:noProof/>
                <w:kern w:val="2"/>
                <w:sz w:val="24"/>
                <w:szCs w:val="24"/>
                <w:lang w:val="fr-FR" w:eastAsia="fr-FR"/>
                <w14:ligatures w14:val="standardContextual"/>
              </w:rPr>
              <w:tab/>
            </w:r>
            <w:r w:rsidRPr="00D72AB4">
              <w:rPr>
                <w:rStyle w:val="Hyperlien"/>
                <w:noProof/>
              </w:rPr>
              <w:t>Échéancier préliminaire</w:t>
            </w:r>
            <w:r>
              <w:rPr>
                <w:noProof/>
                <w:webHidden/>
              </w:rPr>
              <w:tab/>
            </w:r>
            <w:r>
              <w:rPr>
                <w:noProof/>
                <w:webHidden/>
              </w:rPr>
              <w:fldChar w:fldCharType="begin"/>
            </w:r>
            <w:r>
              <w:rPr>
                <w:noProof/>
                <w:webHidden/>
              </w:rPr>
              <w:instrText xml:space="preserve"> PAGEREF _Toc241791988 \h </w:instrText>
            </w:r>
            <w:r>
              <w:rPr>
                <w:noProof/>
                <w:webHidden/>
              </w:rPr>
            </w:r>
            <w:r>
              <w:rPr>
                <w:noProof/>
                <w:webHidden/>
              </w:rPr>
              <w:fldChar w:fldCharType="separate"/>
            </w:r>
            <w:r w:rsidR="00CE67BA">
              <w:rPr>
                <w:noProof/>
                <w:webHidden/>
              </w:rPr>
              <w:t>56</w:t>
            </w:r>
            <w:r>
              <w:rPr>
                <w:noProof/>
                <w:webHidden/>
              </w:rPr>
              <w:fldChar w:fldCharType="end"/>
            </w:r>
          </w:hyperlink>
        </w:p>
        <w:p w14:paraId="50560AB0" w14:textId="4A113EAB" w:rsidR="009D5A87" w:rsidRDefault="009D5A87">
          <w:pPr>
            <w:pStyle w:val="TM2"/>
            <w:tabs>
              <w:tab w:val="left" w:pos="1860"/>
            </w:tabs>
            <w:rPr>
              <w:rFonts w:asciiTheme="minorHAnsi" w:eastAsiaTheme="minorEastAsia" w:hAnsiTheme="minorHAnsi" w:cstheme="minorBidi"/>
              <w:noProof/>
              <w:kern w:val="2"/>
              <w:sz w:val="24"/>
              <w:szCs w:val="24"/>
              <w:lang w:val="fr-FR" w:eastAsia="fr-FR"/>
              <w14:ligatures w14:val="standardContextual"/>
            </w:rPr>
          </w:pPr>
          <w:hyperlink w:anchor="_Toc241791990" w:history="1">
            <w:r w:rsidRPr="00D72AB4">
              <w:rPr>
                <w:rStyle w:val="Hyperlien"/>
                <w:noProof/>
              </w:rPr>
              <w:t>10.1</w:t>
            </w:r>
            <w:r>
              <w:rPr>
                <w:rFonts w:asciiTheme="minorHAnsi" w:eastAsiaTheme="minorEastAsia" w:hAnsiTheme="minorHAnsi" w:cstheme="minorBidi"/>
                <w:noProof/>
                <w:kern w:val="2"/>
                <w:sz w:val="24"/>
                <w:szCs w:val="24"/>
                <w:lang w:val="fr-FR" w:eastAsia="fr-FR"/>
                <w14:ligatures w14:val="standardContextual"/>
              </w:rPr>
              <w:tab/>
            </w:r>
            <w:r w:rsidRPr="00D72AB4">
              <w:rPr>
                <w:rStyle w:val="Hyperlien"/>
                <w:noProof/>
              </w:rPr>
              <w:t>Structure de découpage du projet</w:t>
            </w:r>
            <w:r>
              <w:rPr>
                <w:noProof/>
                <w:webHidden/>
              </w:rPr>
              <w:tab/>
            </w:r>
            <w:r>
              <w:rPr>
                <w:noProof/>
                <w:webHidden/>
              </w:rPr>
              <w:fldChar w:fldCharType="begin"/>
            </w:r>
            <w:r>
              <w:rPr>
                <w:noProof/>
                <w:webHidden/>
              </w:rPr>
              <w:instrText xml:space="preserve"> PAGEREF _Toc241791990 \h </w:instrText>
            </w:r>
            <w:r>
              <w:rPr>
                <w:noProof/>
                <w:webHidden/>
              </w:rPr>
            </w:r>
            <w:r>
              <w:rPr>
                <w:noProof/>
                <w:webHidden/>
              </w:rPr>
              <w:fldChar w:fldCharType="separate"/>
            </w:r>
            <w:r w:rsidR="00CE67BA">
              <w:rPr>
                <w:noProof/>
                <w:webHidden/>
              </w:rPr>
              <w:t>56</w:t>
            </w:r>
            <w:r>
              <w:rPr>
                <w:noProof/>
                <w:webHidden/>
              </w:rPr>
              <w:fldChar w:fldCharType="end"/>
            </w:r>
          </w:hyperlink>
        </w:p>
        <w:p w14:paraId="16EF86C3" w14:textId="539684D9" w:rsidR="009D5A87" w:rsidRDefault="009D5A87">
          <w:pPr>
            <w:pStyle w:val="TM2"/>
            <w:tabs>
              <w:tab w:val="left" w:pos="1860"/>
            </w:tabs>
            <w:rPr>
              <w:rFonts w:asciiTheme="minorHAnsi" w:eastAsiaTheme="minorEastAsia" w:hAnsiTheme="minorHAnsi" w:cstheme="minorBidi"/>
              <w:noProof/>
              <w:kern w:val="2"/>
              <w:sz w:val="24"/>
              <w:szCs w:val="24"/>
              <w:lang w:val="fr-FR" w:eastAsia="fr-FR"/>
              <w14:ligatures w14:val="standardContextual"/>
            </w:rPr>
          </w:pPr>
          <w:hyperlink w:anchor="_Toc241791996" w:history="1">
            <w:r w:rsidRPr="00D72AB4">
              <w:rPr>
                <w:rStyle w:val="Hyperlien"/>
                <w:noProof/>
              </w:rPr>
              <w:t>10.2</w:t>
            </w:r>
            <w:r>
              <w:rPr>
                <w:rFonts w:asciiTheme="minorHAnsi" w:eastAsiaTheme="minorEastAsia" w:hAnsiTheme="minorHAnsi" w:cstheme="minorBidi"/>
                <w:noProof/>
                <w:kern w:val="2"/>
                <w:sz w:val="24"/>
                <w:szCs w:val="24"/>
                <w:lang w:val="fr-FR" w:eastAsia="fr-FR"/>
                <w14:ligatures w14:val="standardContextual"/>
              </w:rPr>
              <w:tab/>
            </w:r>
            <w:r w:rsidRPr="00D72AB4">
              <w:rPr>
                <w:rStyle w:val="Hyperlien"/>
                <w:noProof/>
              </w:rPr>
              <w:t>Base de calendrier et capacité de l’équipe</w:t>
            </w:r>
            <w:r>
              <w:rPr>
                <w:noProof/>
                <w:webHidden/>
              </w:rPr>
              <w:tab/>
            </w:r>
            <w:r>
              <w:rPr>
                <w:noProof/>
                <w:webHidden/>
              </w:rPr>
              <w:fldChar w:fldCharType="begin"/>
            </w:r>
            <w:r>
              <w:rPr>
                <w:noProof/>
                <w:webHidden/>
              </w:rPr>
              <w:instrText xml:space="preserve"> PAGEREF _Toc241791996 \h </w:instrText>
            </w:r>
            <w:r>
              <w:rPr>
                <w:noProof/>
                <w:webHidden/>
              </w:rPr>
            </w:r>
            <w:r>
              <w:rPr>
                <w:noProof/>
                <w:webHidden/>
              </w:rPr>
              <w:fldChar w:fldCharType="separate"/>
            </w:r>
            <w:r w:rsidR="00CE67BA">
              <w:rPr>
                <w:noProof/>
                <w:webHidden/>
              </w:rPr>
              <w:t>57</w:t>
            </w:r>
            <w:r>
              <w:rPr>
                <w:noProof/>
                <w:webHidden/>
              </w:rPr>
              <w:fldChar w:fldCharType="end"/>
            </w:r>
          </w:hyperlink>
        </w:p>
        <w:p w14:paraId="0D26B742" w14:textId="73656016" w:rsidR="009D5A87" w:rsidRDefault="009D5A87">
          <w:pPr>
            <w:pStyle w:val="TM2"/>
            <w:tabs>
              <w:tab w:val="left" w:pos="1860"/>
            </w:tabs>
            <w:rPr>
              <w:rFonts w:asciiTheme="minorHAnsi" w:eastAsiaTheme="minorEastAsia" w:hAnsiTheme="minorHAnsi" w:cstheme="minorBidi"/>
              <w:noProof/>
              <w:kern w:val="2"/>
              <w:sz w:val="24"/>
              <w:szCs w:val="24"/>
              <w:lang w:val="fr-FR" w:eastAsia="fr-FR"/>
              <w14:ligatures w14:val="standardContextual"/>
            </w:rPr>
          </w:pPr>
          <w:hyperlink w:anchor="_Toc241792000" w:history="1">
            <w:r w:rsidRPr="00D72AB4">
              <w:rPr>
                <w:rStyle w:val="Hyperlien"/>
                <w:noProof/>
              </w:rPr>
              <w:t>10.3</w:t>
            </w:r>
            <w:r>
              <w:rPr>
                <w:rFonts w:asciiTheme="minorHAnsi" w:eastAsiaTheme="minorEastAsia" w:hAnsiTheme="minorHAnsi" w:cstheme="minorBidi"/>
                <w:noProof/>
                <w:kern w:val="2"/>
                <w:sz w:val="24"/>
                <w:szCs w:val="24"/>
                <w:lang w:val="fr-FR" w:eastAsia="fr-FR"/>
                <w14:ligatures w14:val="standardContextual"/>
              </w:rPr>
              <w:tab/>
            </w:r>
            <w:r w:rsidRPr="00D72AB4">
              <w:rPr>
                <w:rStyle w:val="Hyperlien"/>
                <w:noProof/>
              </w:rPr>
              <w:t>Découpage en phases, jalons et livrables</w:t>
            </w:r>
            <w:r>
              <w:rPr>
                <w:noProof/>
                <w:webHidden/>
              </w:rPr>
              <w:tab/>
            </w:r>
            <w:r>
              <w:rPr>
                <w:noProof/>
                <w:webHidden/>
              </w:rPr>
              <w:fldChar w:fldCharType="begin"/>
            </w:r>
            <w:r>
              <w:rPr>
                <w:noProof/>
                <w:webHidden/>
              </w:rPr>
              <w:instrText xml:space="preserve"> PAGEREF _Toc241792000 \h </w:instrText>
            </w:r>
            <w:r>
              <w:rPr>
                <w:noProof/>
                <w:webHidden/>
              </w:rPr>
            </w:r>
            <w:r>
              <w:rPr>
                <w:noProof/>
                <w:webHidden/>
              </w:rPr>
              <w:fldChar w:fldCharType="separate"/>
            </w:r>
            <w:r w:rsidR="00CE67BA">
              <w:rPr>
                <w:noProof/>
                <w:webHidden/>
              </w:rPr>
              <w:t>58</w:t>
            </w:r>
            <w:r>
              <w:rPr>
                <w:noProof/>
                <w:webHidden/>
              </w:rPr>
              <w:fldChar w:fldCharType="end"/>
            </w:r>
          </w:hyperlink>
        </w:p>
        <w:p w14:paraId="1749C571" w14:textId="698D3C47" w:rsidR="009D5A87" w:rsidRDefault="009D5A87">
          <w:pPr>
            <w:pStyle w:val="TM2"/>
            <w:tabs>
              <w:tab w:val="left" w:pos="1860"/>
            </w:tabs>
            <w:rPr>
              <w:rFonts w:asciiTheme="minorHAnsi" w:eastAsiaTheme="minorEastAsia" w:hAnsiTheme="minorHAnsi" w:cstheme="minorBidi"/>
              <w:noProof/>
              <w:kern w:val="2"/>
              <w:sz w:val="24"/>
              <w:szCs w:val="24"/>
              <w:lang w:val="fr-FR" w:eastAsia="fr-FR"/>
              <w14:ligatures w14:val="standardContextual"/>
            </w:rPr>
          </w:pPr>
          <w:hyperlink w:anchor="_Toc241792006" w:history="1">
            <w:r w:rsidRPr="00D72AB4">
              <w:rPr>
                <w:rStyle w:val="Hyperlien"/>
                <w:noProof/>
              </w:rPr>
              <w:t>10.4</w:t>
            </w:r>
            <w:r>
              <w:rPr>
                <w:rFonts w:asciiTheme="minorHAnsi" w:eastAsiaTheme="minorEastAsia" w:hAnsiTheme="minorHAnsi" w:cstheme="minorBidi"/>
                <w:noProof/>
                <w:kern w:val="2"/>
                <w:sz w:val="24"/>
                <w:szCs w:val="24"/>
                <w:lang w:val="fr-FR" w:eastAsia="fr-FR"/>
                <w14:ligatures w14:val="standardContextual"/>
              </w:rPr>
              <w:tab/>
            </w:r>
            <w:r w:rsidRPr="00D72AB4">
              <w:rPr>
                <w:rStyle w:val="Hyperlien"/>
                <w:noProof/>
              </w:rPr>
              <w:t>Représentation graphique</w:t>
            </w:r>
            <w:r>
              <w:rPr>
                <w:noProof/>
                <w:webHidden/>
              </w:rPr>
              <w:tab/>
            </w:r>
            <w:r>
              <w:rPr>
                <w:noProof/>
                <w:webHidden/>
              </w:rPr>
              <w:fldChar w:fldCharType="begin"/>
            </w:r>
            <w:r>
              <w:rPr>
                <w:noProof/>
                <w:webHidden/>
              </w:rPr>
              <w:instrText xml:space="preserve"> PAGEREF _Toc241792006 \h </w:instrText>
            </w:r>
            <w:r>
              <w:rPr>
                <w:noProof/>
                <w:webHidden/>
              </w:rPr>
            </w:r>
            <w:r>
              <w:rPr>
                <w:noProof/>
                <w:webHidden/>
              </w:rPr>
              <w:fldChar w:fldCharType="separate"/>
            </w:r>
            <w:r w:rsidR="00CE67BA">
              <w:rPr>
                <w:noProof/>
                <w:webHidden/>
              </w:rPr>
              <w:t>59</w:t>
            </w:r>
            <w:r>
              <w:rPr>
                <w:noProof/>
                <w:webHidden/>
              </w:rPr>
              <w:fldChar w:fldCharType="end"/>
            </w:r>
          </w:hyperlink>
        </w:p>
        <w:p w14:paraId="445BA084" w14:textId="5A6866A2" w:rsidR="009D5A87" w:rsidRPr="009D5A87" w:rsidRDefault="009D5A87" w:rsidP="009D5A87">
          <w:pPr>
            <w:pStyle w:val="TM1"/>
            <w:rPr>
              <w:rFonts w:asciiTheme="minorHAnsi" w:eastAsiaTheme="minorEastAsia" w:hAnsiTheme="minorHAnsi" w:cstheme="minorBidi"/>
              <w:noProof/>
              <w:kern w:val="2"/>
              <w:sz w:val="24"/>
              <w:szCs w:val="24"/>
              <w:lang w:val="fr-FR" w:eastAsia="fr-FR"/>
              <w14:ligatures w14:val="standardContextual"/>
            </w:rPr>
          </w:pPr>
          <w:hyperlink w:anchor="_Toc241792016" w:history="1">
            <w:r w:rsidRPr="00D72AB4">
              <w:rPr>
                <w:rStyle w:val="Hyperlien"/>
                <w:noProof/>
              </w:rPr>
              <w:t>11.</w:t>
            </w:r>
            <w:r>
              <w:rPr>
                <w:rFonts w:asciiTheme="minorHAnsi" w:eastAsiaTheme="minorEastAsia" w:hAnsiTheme="minorHAnsi" w:cstheme="minorBidi"/>
                <w:noProof/>
                <w:kern w:val="2"/>
                <w:sz w:val="24"/>
                <w:szCs w:val="24"/>
                <w:lang w:val="fr-FR" w:eastAsia="fr-FR"/>
                <w14:ligatures w14:val="standardContextual"/>
              </w:rPr>
              <w:tab/>
            </w:r>
            <w:r w:rsidRPr="00D72AB4">
              <w:rPr>
                <w:rStyle w:val="Hyperlien"/>
                <w:noProof/>
              </w:rPr>
              <w:t>Références pertinentes au projet</w:t>
            </w:r>
            <w:r>
              <w:rPr>
                <w:noProof/>
                <w:webHidden/>
              </w:rPr>
              <w:tab/>
            </w:r>
            <w:r>
              <w:rPr>
                <w:noProof/>
                <w:webHidden/>
              </w:rPr>
              <w:fldChar w:fldCharType="begin"/>
            </w:r>
            <w:r>
              <w:rPr>
                <w:noProof/>
                <w:webHidden/>
              </w:rPr>
              <w:instrText xml:space="preserve"> PAGEREF _Toc241792016 \h </w:instrText>
            </w:r>
            <w:r>
              <w:rPr>
                <w:noProof/>
                <w:webHidden/>
              </w:rPr>
            </w:r>
            <w:r>
              <w:rPr>
                <w:noProof/>
                <w:webHidden/>
              </w:rPr>
              <w:fldChar w:fldCharType="separate"/>
            </w:r>
            <w:r w:rsidR="00CE67BA">
              <w:rPr>
                <w:noProof/>
                <w:webHidden/>
              </w:rPr>
              <w:t>60</w:t>
            </w:r>
            <w:r>
              <w:rPr>
                <w:noProof/>
                <w:webHidden/>
              </w:rPr>
              <w:fldChar w:fldCharType="end"/>
            </w:r>
          </w:hyperlink>
          <w:r>
            <w:rPr>
              <w:b/>
              <w:bCs/>
            </w:rPr>
            <w:fldChar w:fldCharType="end"/>
          </w:r>
        </w:p>
      </w:sdtContent>
    </w:sdt>
    <w:p w14:paraId="7073DCD6" w14:textId="77777777" w:rsidR="00F50D70" w:rsidRDefault="00F50D70" w:rsidP="008E113B">
      <w:pPr>
        <w:pStyle w:val="Sous-titre"/>
        <w:pBdr>
          <w:bottom w:val="nil"/>
        </w:pBdr>
        <w:spacing w:line="360" w:lineRule="auto"/>
        <w:rPr>
          <w:rFonts w:ascii="Aptos" w:hAnsi="Aptos" w:cs="Times"/>
          <w:i w:val="0"/>
          <w:sz w:val="24"/>
          <w:szCs w:val="40"/>
        </w:rPr>
      </w:pPr>
    </w:p>
    <w:p w14:paraId="23F74BB0" w14:textId="77777777" w:rsidR="009D5A87" w:rsidRPr="009D5A87" w:rsidRDefault="009D5A87" w:rsidP="009D5A87">
      <w:pPr>
        <w:pStyle w:val="Corpsdetexte"/>
      </w:pPr>
    </w:p>
    <w:p w14:paraId="27EBF016" w14:textId="77777777" w:rsidR="00F50D70" w:rsidRPr="00BE4F47" w:rsidRDefault="00137D7F" w:rsidP="008E113B">
      <w:pPr>
        <w:pStyle w:val="Titre4"/>
        <w:spacing w:line="360" w:lineRule="auto"/>
        <w:rPr>
          <w:rFonts w:eastAsia="DengXian Light"/>
          <w:color w:val="2F5496"/>
          <w:sz w:val="32"/>
          <w:szCs w:val="32"/>
          <w:lang w:eastAsia="en-US"/>
        </w:rPr>
      </w:pPr>
      <w:bookmarkStart w:id="2" w:name="_Toc241707679"/>
      <w:r w:rsidRPr="00BE4F47">
        <w:rPr>
          <w:lang w:eastAsia="en-US"/>
        </w:rPr>
        <w:t>Résumé exécutif</w:t>
      </w:r>
      <w:bookmarkEnd w:id="2"/>
    </w:p>
    <w:p w14:paraId="216636AA" w14:textId="77777777" w:rsidR="00F50D70" w:rsidRPr="00BE4F47" w:rsidRDefault="00137D7F" w:rsidP="008E113B">
      <w:pPr>
        <w:spacing w:after="130" w:line="360" w:lineRule="auto"/>
        <w:ind w:left="360"/>
        <w:rPr>
          <w:rFonts w:ascii="Aptos" w:hAnsi="Aptos"/>
        </w:rPr>
      </w:pPr>
      <w:bookmarkStart w:id="3" w:name="_Toc241082759"/>
      <w:bookmarkStart w:id="4" w:name="_Toc241669972"/>
      <w:bookmarkStart w:id="5" w:name="_Toc241707680"/>
      <w:bookmarkStart w:id="6" w:name="_Toc241791629"/>
      <w:r w:rsidRPr="00BE4F47">
        <w:rPr>
          <w:rFonts w:ascii="Aptos" w:eastAsia="Calibri" w:hAnsi="Aptos" w:cs="Calibri"/>
          <w:color w:val="1A1A19"/>
          <w:sz w:val="20"/>
          <w:szCs w:val="20"/>
        </w:rPr>
        <w:t>Hydro-Québec, client fictif du scénario de cours, envisage la remise en service de la centrale Gentilly-2. Une telle décision suppose de comprendre le comportement des systèmes de la centrale dans des conditions que l’on ne peut pas provoquer sur une installation réelle sans risque. Le projet répond à ce besoin par un jumeau numérique de surveillance appliqué à une boucle thermohydraulique simplifiée, inspirée du système de refroidissement.</w:t>
      </w:r>
      <w:bookmarkEnd w:id="3"/>
      <w:bookmarkEnd w:id="4"/>
      <w:bookmarkEnd w:id="5"/>
      <w:bookmarkEnd w:id="6"/>
    </w:p>
    <w:p w14:paraId="694BD3D9" w14:textId="77777777" w:rsidR="00F50D70" w:rsidRPr="00BE4F47" w:rsidRDefault="00137D7F" w:rsidP="008E113B">
      <w:pPr>
        <w:spacing w:after="130" w:line="360" w:lineRule="auto"/>
        <w:ind w:left="360"/>
        <w:rPr>
          <w:rFonts w:ascii="Aptos" w:hAnsi="Aptos"/>
        </w:rPr>
      </w:pPr>
      <w:bookmarkStart w:id="7" w:name="_Toc241082760"/>
      <w:bookmarkStart w:id="8" w:name="_Toc241669973"/>
      <w:bookmarkStart w:id="9" w:name="_Toc241707681"/>
      <w:bookmarkStart w:id="10" w:name="_Toc241791630"/>
      <w:r w:rsidRPr="00BE4F47">
        <w:rPr>
          <w:rFonts w:ascii="Aptos" w:eastAsia="Calibri" w:hAnsi="Aptos" w:cs="Calibri"/>
          <w:color w:val="1A1A19"/>
          <w:sz w:val="20"/>
          <w:szCs w:val="20"/>
        </w:rPr>
        <w:t>Le problème à résoudre tient en deux points : étudier des scénarios de défaillance de façon reproductible, et savoir dans quelles conditions les informations produites par un modèle numérique sont assez fiables pour servir d’aide à la décision.</w:t>
      </w:r>
      <w:bookmarkEnd w:id="7"/>
      <w:bookmarkEnd w:id="8"/>
      <w:bookmarkEnd w:id="9"/>
      <w:bookmarkEnd w:id="10"/>
    </w:p>
    <w:p w14:paraId="1D0B1F99" w14:textId="6199C777" w:rsidR="00F50D70" w:rsidRPr="00BE4F47" w:rsidRDefault="00137D7F" w:rsidP="008E113B">
      <w:pPr>
        <w:spacing w:after="130" w:line="360" w:lineRule="auto"/>
        <w:ind w:left="360"/>
        <w:rPr>
          <w:rFonts w:ascii="Aptos" w:hAnsi="Aptos"/>
        </w:rPr>
      </w:pPr>
      <w:bookmarkStart w:id="11" w:name="_Toc241082761"/>
      <w:bookmarkStart w:id="12" w:name="_Toc241669974"/>
      <w:bookmarkStart w:id="13" w:name="_Toc241707682"/>
      <w:bookmarkStart w:id="14" w:name="_Toc241791631"/>
      <w:r w:rsidRPr="00BE4F47">
        <w:rPr>
          <w:rFonts w:ascii="Aptos" w:eastAsia="Calibri" w:hAnsi="Aptos" w:cs="Calibri"/>
          <w:color w:val="1A1A19"/>
          <w:sz w:val="20"/>
          <w:szCs w:val="20"/>
        </w:rPr>
        <w:t xml:space="preserve">L’objectif directeur est de démontrer, sur un prototype vérifié et validé, qu’un jumeau numérique peut détecter une dérive sur trois variables de procédé, exprimer son niveau de confiance, et déclarer explicitement son incertitude, </w:t>
      </w:r>
      <w:proofErr w:type="gramStart"/>
      <w:r w:rsidRPr="00BE4F47">
        <w:rPr>
          <w:rFonts w:ascii="Aptos" w:eastAsia="Calibri" w:hAnsi="Aptos" w:cs="Calibri"/>
          <w:color w:val="1A1A19"/>
          <w:sz w:val="20"/>
          <w:szCs w:val="20"/>
        </w:rPr>
        <w:t>la décision demeurant</w:t>
      </w:r>
      <w:proofErr w:type="gramEnd"/>
      <w:r w:rsidRPr="00BE4F47">
        <w:rPr>
          <w:rFonts w:ascii="Aptos" w:eastAsia="Calibri" w:hAnsi="Aptos" w:cs="Calibri"/>
          <w:color w:val="1A1A19"/>
          <w:sz w:val="20"/>
          <w:szCs w:val="20"/>
        </w:rPr>
        <w:t xml:space="preserve"> celle de l’opérateur.</w:t>
      </w:r>
      <w:bookmarkEnd w:id="11"/>
      <w:bookmarkEnd w:id="12"/>
      <w:bookmarkEnd w:id="13"/>
      <w:bookmarkEnd w:id="14"/>
    </w:p>
    <w:p w14:paraId="4EC7FC69" w14:textId="77777777" w:rsidR="00F50D70" w:rsidRPr="00BE4F47" w:rsidRDefault="00137D7F" w:rsidP="008E113B">
      <w:pPr>
        <w:spacing w:after="130" w:line="360" w:lineRule="auto"/>
        <w:ind w:left="360"/>
        <w:rPr>
          <w:rFonts w:ascii="Aptos" w:hAnsi="Aptos"/>
        </w:rPr>
      </w:pPr>
      <w:bookmarkStart w:id="15" w:name="_Toc241082762"/>
      <w:bookmarkStart w:id="16" w:name="_Toc241669975"/>
      <w:bookmarkStart w:id="17" w:name="_Toc241707683"/>
      <w:bookmarkStart w:id="18" w:name="_Toc241791632"/>
      <w:r w:rsidRPr="00BE4F47">
        <w:rPr>
          <w:rFonts w:ascii="Aptos" w:eastAsia="Calibri" w:hAnsi="Aptos" w:cs="Calibri"/>
          <w:color w:val="1A1A19"/>
          <w:sz w:val="20"/>
          <w:szCs w:val="20"/>
        </w:rPr>
        <w:lastRenderedPageBreak/>
        <w:t>L’impact principal du projet est la protection du public. Les scénarios dangereux sont étudiés sur un modèle plutôt que sur une installation, et le système annonce ses limites au lieu de présenter un état incertain comme normal. Cet impact est détaillé à la section 7.</w:t>
      </w:r>
      <w:bookmarkEnd w:id="15"/>
      <w:bookmarkEnd w:id="16"/>
      <w:bookmarkEnd w:id="17"/>
      <w:bookmarkEnd w:id="18"/>
    </w:p>
    <w:p w14:paraId="692B1B17" w14:textId="77777777" w:rsidR="00F50D70" w:rsidRPr="00BE4F47" w:rsidRDefault="00137D7F" w:rsidP="008E113B">
      <w:pPr>
        <w:spacing w:after="130" w:line="360" w:lineRule="auto"/>
        <w:ind w:left="360"/>
        <w:rPr>
          <w:rFonts w:ascii="Aptos" w:hAnsi="Aptos"/>
        </w:rPr>
      </w:pPr>
      <w:bookmarkStart w:id="19" w:name="_Toc241082763"/>
      <w:bookmarkStart w:id="20" w:name="_Toc241669976"/>
      <w:bookmarkStart w:id="21" w:name="_Toc241707684"/>
      <w:bookmarkStart w:id="22" w:name="_Toc241791633"/>
      <w:r w:rsidRPr="00BE4F47">
        <w:rPr>
          <w:rFonts w:ascii="Aptos" w:eastAsia="Calibri" w:hAnsi="Aptos" w:cs="Calibri"/>
          <w:color w:val="1A1A19"/>
          <w:sz w:val="20"/>
          <w:szCs w:val="20"/>
        </w:rPr>
        <w:t>Le mandat mobilise huit étudiants en génie pour 1 080 heures. Le coût du mandat s’établit à 59 400 $, contingence de 10 % comprise. Le prix porté au bordereau, bénéfice de l’équipe compris, est de 68 310 $. Avec la réserve du propriétaire, l’estimé initial total atteint 71 725,50 $. L’estimation est de classe 5 au sens de l’AACE, employée par analogie, avec la fourchette que cette classe implique.</w:t>
      </w:r>
      <w:bookmarkEnd w:id="19"/>
      <w:bookmarkEnd w:id="20"/>
      <w:bookmarkEnd w:id="21"/>
      <w:bookmarkEnd w:id="22"/>
    </w:p>
    <w:p w14:paraId="35BB1E1E" w14:textId="77777777" w:rsidR="00F50D70" w:rsidRPr="00BE4F47" w:rsidRDefault="00137D7F" w:rsidP="008E113B">
      <w:pPr>
        <w:spacing w:after="130" w:line="360" w:lineRule="auto"/>
        <w:ind w:left="360"/>
        <w:rPr>
          <w:rFonts w:ascii="Aptos" w:hAnsi="Aptos"/>
        </w:rPr>
      </w:pPr>
      <w:bookmarkStart w:id="23" w:name="_Toc241082764"/>
      <w:bookmarkStart w:id="24" w:name="_Toc241669977"/>
      <w:bookmarkStart w:id="25" w:name="_Toc241707685"/>
      <w:bookmarkStart w:id="26" w:name="_Toc241791634"/>
      <w:r w:rsidRPr="00BE4F47">
        <w:rPr>
          <w:rFonts w:ascii="Aptos" w:eastAsia="Calibri" w:hAnsi="Aptos" w:cs="Calibri"/>
          <w:color w:val="1A1A19"/>
          <w:sz w:val="20"/>
          <w:szCs w:val="20"/>
        </w:rPr>
        <w:t>L’équipe formule trois recommandations : accepter le mandat dans le périmètre défini à la section 1 ; conserver un banc d’essai numérique plutôt qu’une boucle physique, un banc physique faisant basculer le projet dans une autre classe de budget ; maintenir les activités de vérification et de validation avant toute réduction de contenu si les ressources deviennent insuffisantes.</w:t>
      </w:r>
      <w:bookmarkEnd w:id="23"/>
      <w:bookmarkEnd w:id="24"/>
      <w:bookmarkEnd w:id="25"/>
      <w:bookmarkEnd w:id="26"/>
    </w:p>
    <w:p w14:paraId="667F39CA" w14:textId="77777777" w:rsidR="00F50D70" w:rsidRPr="00136F18" w:rsidRDefault="00137D7F" w:rsidP="008E113B">
      <w:pPr>
        <w:spacing w:after="130" w:line="360" w:lineRule="auto"/>
        <w:ind w:left="360"/>
        <w:rPr>
          <w:rFonts w:ascii="Aptos" w:hAnsi="Aptos"/>
        </w:rPr>
      </w:pPr>
      <w:bookmarkStart w:id="27" w:name="_Toc241082765"/>
      <w:bookmarkStart w:id="28" w:name="_Toc241669978"/>
      <w:bookmarkStart w:id="29" w:name="_Toc241707686"/>
      <w:bookmarkStart w:id="30" w:name="_Toc241791635"/>
      <w:r w:rsidRPr="00BE4F47">
        <w:rPr>
          <w:rFonts w:ascii="Aptos" w:eastAsia="Calibri" w:hAnsi="Aptos" w:cs="Calibri"/>
          <w:color w:val="1A1A19"/>
          <w:sz w:val="20"/>
          <w:szCs w:val="20"/>
        </w:rPr>
        <w:t>Le projet est jugé faisable dans l’enveloppe de 1 080 heures, à trois conditions : le gel des exigences au jalon J1, le maintien de l’effectif de huit membres, et l’acceptation par le client du domaine de validité annoncé à la section 2.</w:t>
      </w:r>
      <w:bookmarkEnd w:id="27"/>
      <w:bookmarkEnd w:id="28"/>
      <w:bookmarkEnd w:id="29"/>
      <w:bookmarkEnd w:id="30"/>
    </w:p>
    <w:p w14:paraId="39D8F2DE" w14:textId="77777777" w:rsidR="00F50D70" w:rsidRPr="00BE4F47" w:rsidRDefault="00F50D70" w:rsidP="008E113B">
      <w:pPr>
        <w:spacing w:line="360" w:lineRule="auto"/>
        <w:rPr>
          <w:rFonts w:ascii="Aptos" w:eastAsia="Times New Roman" w:hAnsi="Aptos" w:cs="Times New Roman"/>
          <w:b/>
          <w:bCs/>
          <w:kern w:val="2"/>
          <w:sz w:val="24"/>
          <w:szCs w:val="24"/>
          <w:lang w:val="fr-FR" w:eastAsia="en-US"/>
        </w:rPr>
      </w:pPr>
    </w:p>
    <w:p w14:paraId="52EA0B7C" w14:textId="77777777" w:rsidR="00F50D70" w:rsidRPr="00BE4F47" w:rsidRDefault="00137D7F" w:rsidP="008E113B">
      <w:pPr>
        <w:pStyle w:val="Sous-titre"/>
        <w:pBdr>
          <w:bottom w:val="nil"/>
        </w:pBdr>
        <w:spacing w:line="360" w:lineRule="auto"/>
        <w:rPr>
          <w:rFonts w:ascii="Aptos" w:eastAsia="Arial" w:hAnsi="Aptos"/>
          <w:sz w:val="24"/>
        </w:rPr>
      </w:pPr>
      <w:r w:rsidRPr="00BE4F47">
        <w:rPr>
          <w:rFonts w:ascii="Aptos" w:eastAsia="Arial" w:hAnsi="Aptos"/>
          <w:sz w:val="24"/>
        </w:rPr>
        <w:t xml:space="preserve"> </w:t>
      </w:r>
      <w:r w:rsidRPr="00BE4F47">
        <w:rPr>
          <w:rFonts w:ascii="Aptos" w:hAnsi="Aptos"/>
        </w:rPr>
        <w:br w:type="page"/>
      </w:r>
    </w:p>
    <w:p w14:paraId="77C76FE8" w14:textId="77777777" w:rsidR="00F50D70" w:rsidRPr="00BE4F47" w:rsidRDefault="00F50D70" w:rsidP="008E113B">
      <w:pPr>
        <w:spacing w:line="360" w:lineRule="auto"/>
        <w:ind w:left="0"/>
        <w:outlineLvl w:val="9"/>
        <w:rPr>
          <w:rFonts w:ascii="Aptos" w:hAnsi="Aptos"/>
          <w:sz w:val="24"/>
        </w:rPr>
      </w:pPr>
    </w:p>
    <w:p w14:paraId="391D0BA5" w14:textId="77777777" w:rsidR="00F50D70" w:rsidRPr="00BE4F47" w:rsidRDefault="00137D7F" w:rsidP="008E113B">
      <w:pPr>
        <w:pStyle w:val="Titre1"/>
        <w:spacing w:line="360" w:lineRule="auto"/>
        <w:rPr>
          <w:rFonts w:ascii="Aptos" w:hAnsi="Aptos"/>
        </w:rPr>
      </w:pPr>
      <w:bookmarkStart w:id="31" w:name="__RefHeading___Toc240715054"/>
      <w:bookmarkStart w:id="32" w:name="_Toc241707687"/>
      <w:bookmarkStart w:id="33" w:name="_Toc241791636"/>
      <w:bookmarkEnd w:id="31"/>
      <w:r w:rsidRPr="00BE4F47">
        <w:rPr>
          <w:rFonts w:ascii="Aptos" w:hAnsi="Aptos"/>
        </w:rPr>
        <w:t>Analyse des besoins du client et des exigences des différents intervenants</w:t>
      </w:r>
      <w:bookmarkEnd w:id="32"/>
      <w:bookmarkEnd w:id="33"/>
    </w:p>
    <w:p w14:paraId="2A54963B" w14:textId="77777777" w:rsidR="00F50D70" w:rsidRPr="00BE4F47" w:rsidRDefault="00137D7F" w:rsidP="008E113B">
      <w:pPr>
        <w:spacing w:before="200" w:after="130" w:line="360" w:lineRule="auto"/>
        <w:ind w:left="360"/>
        <w:rPr>
          <w:rFonts w:ascii="Aptos" w:hAnsi="Aptos"/>
        </w:rPr>
      </w:pPr>
      <w:bookmarkStart w:id="34" w:name="_Toc241082767"/>
      <w:bookmarkStart w:id="35" w:name="_Toc241669980"/>
      <w:bookmarkStart w:id="36" w:name="_Toc241707688"/>
      <w:bookmarkStart w:id="37" w:name="_Toc241791637"/>
      <w:r w:rsidRPr="00BE4F47">
        <w:rPr>
          <w:rFonts w:ascii="Aptos" w:hAnsi="Aptos"/>
          <w:color w:val="1A1A19"/>
          <w:sz w:val="20"/>
          <w:szCs w:val="20"/>
        </w:rPr>
        <w:t>Cette section établit ce à quoi le système doit répondre, du contexte du client jusqu’aux exigences vérifiables.</w:t>
      </w:r>
      <w:bookmarkEnd w:id="34"/>
      <w:bookmarkEnd w:id="35"/>
      <w:bookmarkEnd w:id="36"/>
      <w:bookmarkEnd w:id="37"/>
    </w:p>
    <w:p w14:paraId="0A140E62" w14:textId="77777777" w:rsidR="00F50D70" w:rsidRPr="00BE4F47" w:rsidRDefault="00137D7F" w:rsidP="008E113B">
      <w:pPr>
        <w:pStyle w:val="Titre2"/>
        <w:spacing w:line="360" w:lineRule="auto"/>
      </w:pPr>
      <w:bookmarkStart w:id="38" w:name="__RefHeading___Toc240715055"/>
      <w:bookmarkStart w:id="39" w:name="_Toc241707689"/>
      <w:bookmarkStart w:id="40" w:name="_Toc241791638"/>
      <w:bookmarkEnd w:id="38"/>
      <w:r w:rsidRPr="00BE4F47">
        <w:t>Contexte et mandat</w:t>
      </w:r>
      <w:bookmarkEnd w:id="39"/>
      <w:bookmarkEnd w:id="40"/>
    </w:p>
    <w:p w14:paraId="3E787AE0" w14:textId="77777777" w:rsidR="00F50D70" w:rsidRPr="00BE4F47" w:rsidRDefault="00137D7F" w:rsidP="008E113B">
      <w:pPr>
        <w:spacing w:after="130" w:line="360" w:lineRule="auto"/>
        <w:ind w:left="360"/>
        <w:rPr>
          <w:rFonts w:ascii="Aptos" w:hAnsi="Aptos"/>
        </w:rPr>
      </w:pPr>
      <w:bookmarkStart w:id="41" w:name="_Toc241669982"/>
      <w:bookmarkStart w:id="42" w:name="_Toc241707690"/>
      <w:bookmarkStart w:id="43" w:name="_Toc241791639"/>
      <w:r w:rsidRPr="00BE4F47">
        <w:rPr>
          <w:rFonts w:ascii="Aptos" w:hAnsi="Aptos"/>
          <w:color w:val="1A1A19"/>
          <w:sz w:val="20"/>
          <w:szCs w:val="20"/>
        </w:rPr>
        <w:t>Le projet repose sur un scénario fictif construit pour le cours. Hydro-Québec y agit comme client fictif et envisage la remise en service de la centrale Gentilly-2. Ni le mandat ni les travaux décrits ici ne correspondent à un projet réel de l’entreprise.</w:t>
      </w:r>
      <w:bookmarkEnd w:id="41"/>
      <w:bookmarkEnd w:id="42"/>
      <w:bookmarkEnd w:id="43"/>
    </w:p>
    <w:p w14:paraId="2F0EC2D6" w14:textId="77777777" w:rsidR="00F50D70" w:rsidRPr="00BE4F47" w:rsidRDefault="00137D7F" w:rsidP="008E113B">
      <w:pPr>
        <w:spacing w:after="130" w:line="360" w:lineRule="auto"/>
        <w:ind w:left="360"/>
        <w:rPr>
          <w:rFonts w:ascii="Aptos" w:hAnsi="Aptos"/>
        </w:rPr>
      </w:pPr>
      <w:bookmarkStart w:id="44" w:name="_Toc241082770"/>
      <w:bookmarkStart w:id="45" w:name="_Toc241669983"/>
      <w:bookmarkStart w:id="46" w:name="_Toc241707691"/>
      <w:bookmarkStart w:id="47" w:name="_Toc241791640"/>
      <w:r w:rsidRPr="00BE4F47">
        <w:rPr>
          <w:rFonts w:ascii="Aptos" w:hAnsi="Aptos"/>
          <w:color w:val="1A1A19"/>
          <w:sz w:val="20"/>
          <w:szCs w:val="20"/>
        </w:rPr>
        <w:t>Après un long arrêt, une remise en service pose des questions sur le comportement des systèmes dans différentes conditions. Certains scénarios de défaillance sont risqués à reproduire sur une installation réelle. Le client a besoin d’un moyen de les étudier sans exposer les équipements, les travailleurs ou le public.</w:t>
      </w:r>
      <w:bookmarkEnd w:id="44"/>
      <w:bookmarkEnd w:id="45"/>
      <w:bookmarkEnd w:id="46"/>
      <w:bookmarkEnd w:id="47"/>
    </w:p>
    <w:p w14:paraId="64554EF3" w14:textId="77777777" w:rsidR="00F50D70" w:rsidRPr="00BE4F47" w:rsidRDefault="00137D7F" w:rsidP="008E113B">
      <w:pPr>
        <w:spacing w:after="130" w:line="360" w:lineRule="auto"/>
        <w:ind w:left="360"/>
        <w:rPr>
          <w:rFonts w:ascii="Aptos" w:hAnsi="Aptos"/>
        </w:rPr>
      </w:pPr>
      <w:bookmarkStart w:id="48" w:name="_Toc241082771"/>
      <w:bookmarkStart w:id="49" w:name="_Toc241669984"/>
      <w:bookmarkStart w:id="50" w:name="_Toc241707692"/>
      <w:bookmarkStart w:id="51" w:name="_Toc241791641"/>
      <w:r w:rsidRPr="00BE4F47">
        <w:rPr>
          <w:rFonts w:ascii="Aptos" w:hAnsi="Aptos"/>
          <w:color w:val="1A1A19"/>
          <w:sz w:val="20"/>
          <w:szCs w:val="20"/>
        </w:rPr>
        <w:t>Le mandat confié à l’équipe porte sur une boucle thermohydraulique simplifiée, inspirée du système de refroidissement. Nous ne reproduirons pas l’ensemble de Gentilly-2. Nous étudierons différents états de fonctionnement à partir de trois paramètres : la température, la pression et le débit.</w:t>
      </w:r>
      <w:bookmarkEnd w:id="48"/>
      <w:bookmarkEnd w:id="49"/>
      <w:bookmarkEnd w:id="50"/>
      <w:bookmarkEnd w:id="51"/>
    </w:p>
    <w:p w14:paraId="44FA64E2" w14:textId="27D13F74" w:rsidR="00F50D70" w:rsidRPr="00BE4F47" w:rsidRDefault="00137D7F" w:rsidP="008E113B">
      <w:pPr>
        <w:spacing w:after="130" w:line="360" w:lineRule="auto"/>
        <w:ind w:left="360"/>
        <w:rPr>
          <w:rFonts w:ascii="Aptos" w:hAnsi="Aptos"/>
        </w:rPr>
      </w:pPr>
      <w:bookmarkStart w:id="52" w:name="_Toc241082773"/>
      <w:bookmarkStart w:id="53" w:name="_Toc241669985"/>
      <w:bookmarkStart w:id="54" w:name="_Toc241707693"/>
      <w:bookmarkStart w:id="55" w:name="_Toc241791642"/>
      <w:r w:rsidRPr="00BE4F47">
        <w:rPr>
          <w:rFonts w:ascii="Aptos" w:hAnsi="Aptos"/>
          <w:color w:val="1A1A19"/>
          <w:sz w:val="20"/>
          <w:szCs w:val="20"/>
        </w:rPr>
        <w:t>Le projet est de complexité moyenne à élevée pour une équipe de premier cycle. Trois facteurs l’expliquent :</w:t>
      </w:r>
      <w:bookmarkEnd w:id="52"/>
      <w:bookmarkEnd w:id="53"/>
      <w:bookmarkEnd w:id="54"/>
      <w:bookmarkEnd w:id="55"/>
    </w:p>
    <w:p w14:paraId="54FD0246" w14:textId="77777777" w:rsidR="00F50D70" w:rsidRPr="00BE4F47" w:rsidRDefault="00137D7F" w:rsidP="008E113B">
      <w:pPr>
        <w:numPr>
          <w:ilvl w:val="0"/>
          <w:numId w:val="20"/>
        </w:numPr>
        <w:spacing w:after="130" w:line="360" w:lineRule="auto"/>
        <w:ind w:left="720"/>
        <w:rPr>
          <w:rFonts w:ascii="Aptos" w:hAnsi="Aptos"/>
          <w:lang w:val="fr-FR"/>
        </w:rPr>
      </w:pPr>
      <w:bookmarkStart w:id="56" w:name="_Toc241669986"/>
      <w:bookmarkStart w:id="57" w:name="_Toc241707694"/>
      <w:bookmarkStart w:id="58" w:name="_Toc241791643"/>
      <w:r w:rsidRPr="00BE4F47">
        <w:rPr>
          <w:rFonts w:ascii="Aptos" w:hAnsi="Aptos"/>
          <w:color w:val="1A1A19"/>
          <w:sz w:val="20"/>
          <w:szCs w:val="20"/>
        </w:rPr>
        <w:t>Le contenu : le prototype demande cinq disciplines, soit la thermohydraulique, le génie logiciel, la statistique, les facteurs humains et la cybersécurité. Aucune n’est optionnelle, et un défaut dans l’une fausse le résultat des autres.</w:t>
      </w:r>
      <w:bookmarkEnd w:id="56"/>
      <w:bookmarkEnd w:id="57"/>
      <w:bookmarkEnd w:id="58"/>
    </w:p>
    <w:p w14:paraId="094D1EE9" w14:textId="77777777" w:rsidR="00F50D70" w:rsidRPr="00BE4F47" w:rsidRDefault="00137D7F" w:rsidP="008E113B">
      <w:pPr>
        <w:numPr>
          <w:ilvl w:val="0"/>
          <w:numId w:val="20"/>
        </w:numPr>
        <w:spacing w:after="130" w:line="360" w:lineRule="auto"/>
        <w:ind w:left="720"/>
        <w:rPr>
          <w:rFonts w:ascii="Aptos" w:hAnsi="Aptos"/>
          <w:lang w:val="fr-FR"/>
        </w:rPr>
      </w:pPr>
      <w:bookmarkStart w:id="59" w:name="_Toc241669987"/>
      <w:bookmarkStart w:id="60" w:name="_Toc241707695"/>
      <w:bookmarkStart w:id="61" w:name="_Toc241791644"/>
      <w:r w:rsidRPr="00BE4F47">
        <w:rPr>
          <w:rFonts w:ascii="Aptos" w:hAnsi="Aptos"/>
          <w:color w:val="1A1A19"/>
          <w:sz w:val="20"/>
          <w:szCs w:val="20"/>
        </w:rPr>
        <w:t>L’organisation : nous sommes huit à travailler sur ce projet, en parallèle de nos autres cours. La coordination demande un effort à part entière.</w:t>
      </w:r>
      <w:bookmarkEnd w:id="59"/>
      <w:bookmarkEnd w:id="60"/>
      <w:bookmarkEnd w:id="61"/>
    </w:p>
    <w:p w14:paraId="6EA77E33" w14:textId="77777777" w:rsidR="00F50D70" w:rsidRPr="00BE4F47" w:rsidRDefault="00137D7F" w:rsidP="008E113B">
      <w:pPr>
        <w:numPr>
          <w:ilvl w:val="0"/>
          <w:numId w:val="20"/>
        </w:numPr>
        <w:spacing w:after="130" w:line="360" w:lineRule="auto"/>
        <w:ind w:left="720"/>
        <w:rPr>
          <w:rFonts w:ascii="Aptos" w:hAnsi="Aptos"/>
          <w:lang w:val="fr-FR"/>
        </w:rPr>
      </w:pPr>
      <w:bookmarkStart w:id="62" w:name="_Toc241669988"/>
      <w:bookmarkStart w:id="63" w:name="_Toc241707696"/>
      <w:bookmarkStart w:id="64" w:name="_Toc241791645"/>
      <w:r w:rsidRPr="00BE4F47">
        <w:rPr>
          <w:rFonts w:ascii="Aptos" w:hAnsi="Aptos"/>
          <w:color w:val="1A1A19"/>
          <w:sz w:val="20"/>
          <w:szCs w:val="20"/>
        </w:rPr>
        <w:t>La validation : faute de banc physique, le jumeau sera comparé à un autre modèle numérique. La démonstration portera donc sur la cohérence entre deux modèles, pas sur une mesure réelle. Nous le signalerons dans nos conclusions.</w:t>
      </w:r>
      <w:bookmarkEnd w:id="62"/>
      <w:bookmarkEnd w:id="63"/>
      <w:bookmarkEnd w:id="64"/>
    </w:p>
    <w:p w14:paraId="2AA15527" w14:textId="77777777" w:rsidR="00F50D70" w:rsidRPr="00BE4F47" w:rsidRDefault="00137D7F" w:rsidP="008E113B">
      <w:pPr>
        <w:spacing w:after="130" w:line="360" w:lineRule="auto"/>
        <w:ind w:left="360"/>
        <w:rPr>
          <w:rFonts w:ascii="Aptos" w:hAnsi="Aptos"/>
        </w:rPr>
      </w:pPr>
      <w:bookmarkStart w:id="65" w:name="_Toc241082774"/>
      <w:bookmarkStart w:id="66" w:name="_Toc241669989"/>
      <w:bookmarkStart w:id="67" w:name="_Toc241707697"/>
      <w:bookmarkStart w:id="68" w:name="_Toc241791646"/>
      <w:r w:rsidRPr="00BE4F47">
        <w:rPr>
          <w:rFonts w:ascii="Aptos" w:hAnsi="Aptos"/>
          <w:color w:val="1A1A19"/>
          <w:sz w:val="20"/>
          <w:szCs w:val="20"/>
        </w:rPr>
        <w:t>Le projet avancera de façon incrémentale. Le découpage en lots de travail est présenté à la section 8, celui en phases et en jalons à la section 10.</w:t>
      </w:r>
      <w:bookmarkEnd w:id="65"/>
      <w:bookmarkEnd w:id="66"/>
      <w:bookmarkEnd w:id="67"/>
      <w:bookmarkEnd w:id="68"/>
    </w:p>
    <w:p w14:paraId="33AE280F" w14:textId="77777777" w:rsidR="00F50D70" w:rsidRPr="00BE4F47" w:rsidRDefault="00137D7F" w:rsidP="008E113B">
      <w:pPr>
        <w:pStyle w:val="Titre2"/>
        <w:spacing w:line="360" w:lineRule="auto"/>
      </w:pPr>
      <w:bookmarkStart w:id="69" w:name="__RefHeading___Toc240715059"/>
      <w:bookmarkStart w:id="70" w:name="_Toc241707698"/>
      <w:bookmarkStart w:id="71" w:name="_Toc241791647"/>
      <w:bookmarkEnd w:id="69"/>
      <w:r w:rsidRPr="00BE4F47">
        <w:t>Parties prenantes</w:t>
      </w:r>
      <w:bookmarkEnd w:id="70"/>
      <w:bookmarkEnd w:id="71"/>
    </w:p>
    <w:p w14:paraId="3B4398BF" w14:textId="77777777" w:rsidR="00F50D70" w:rsidRPr="00BE4F47" w:rsidRDefault="00137D7F" w:rsidP="008E113B">
      <w:pPr>
        <w:spacing w:after="130" w:line="360" w:lineRule="auto"/>
        <w:ind w:left="360"/>
        <w:rPr>
          <w:rFonts w:ascii="Aptos" w:hAnsi="Aptos"/>
        </w:rPr>
      </w:pPr>
      <w:bookmarkStart w:id="72" w:name="_Toc241082777"/>
      <w:bookmarkStart w:id="73" w:name="_Toc241669991"/>
      <w:bookmarkStart w:id="74" w:name="_Toc241707699"/>
      <w:bookmarkStart w:id="75" w:name="_Toc241791648"/>
      <w:r w:rsidRPr="00BE4F47">
        <w:rPr>
          <w:rFonts w:ascii="Aptos" w:hAnsi="Aptos"/>
          <w:color w:val="1A1A19"/>
          <w:sz w:val="20"/>
          <w:szCs w:val="20"/>
        </w:rPr>
        <w:t>Cinq groupes de parties prenantes sont retenus. Chacun porte une attente qui se traduit par une contrainte sur le système. Le tableau 1-1 fait ce lien et renvoie aux exigences de la section 1.7.</w:t>
      </w:r>
      <w:bookmarkEnd w:id="72"/>
      <w:bookmarkEnd w:id="73"/>
      <w:bookmarkEnd w:id="74"/>
      <w:bookmarkEnd w:id="75"/>
    </w:p>
    <w:p w14:paraId="2B47B44D" w14:textId="77777777" w:rsidR="00F50D70" w:rsidRPr="00BE4F47" w:rsidRDefault="00137D7F" w:rsidP="008E113B">
      <w:pPr>
        <w:pStyle w:val="Lgende"/>
        <w:keepNext/>
        <w:spacing w:line="360" w:lineRule="auto"/>
        <w:rPr>
          <w:rFonts w:ascii="Aptos" w:hAnsi="Aptos"/>
        </w:rPr>
      </w:pPr>
      <w:bookmarkStart w:id="76" w:name="_Toc241082778"/>
      <w:bookmarkStart w:id="77" w:name="_Toc241669992"/>
      <w:bookmarkStart w:id="78" w:name="_Toc241707700"/>
      <w:bookmarkStart w:id="79" w:name="_Toc241791649"/>
      <w:r w:rsidRPr="00BE4F47">
        <w:rPr>
          <w:rFonts w:ascii="Aptos" w:hAnsi="Aptos"/>
        </w:rPr>
        <w:lastRenderedPageBreak/>
        <w:t>Tableau 1-1. Parties prenantes, attentes et conséquences pour le système</w:t>
      </w:r>
      <w:bookmarkEnd w:id="76"/>
      <w:bookmarkEnd w:id="77"/>
      <w:bookmarkEnd w:id="78"/>
      <w:bookmarkEnd w:id="79"/>
    </w:p>
    <w:tbl>
      <w:tblPr>
        <w:tblW w:w="8557" w:type="dxa"/>
        <w:tblInd w:w="413" w:type="dxa"/>
        <w:tblLayout w:type="fixed"/>
        <w:tblCellMar>
          <w:top w:w="60" w:type="dxa"/>
          <w:left w:w="90" w:type="dxa"/>
          <w:bottom w:w="60" w:type="dxa"/>
          <w:right w:w="90" w:type="dxa"/>
        </w:tblCellMar>
        <w:tblLook w:val="04A0" w:firstRow="1" w:lastRow="0" w:firstColumn="1" w:lastColumn="0" w:noHBand="0" w:noVBand="1"/>
      </w:tblPr>
      <w:tblGrid>
        <w:gridCol w:w="1737"/>
        <w:gridCol w:w="3017"/>
        <w:gridCol w:w="3803"/>
      </w:tblGrid>
      <w:tr w:rsidR="00F50D70" w:rsidRPr="00BE4F47" w14:paraId="123292EC" w14:textId="77777777" w:rsidTr="0036725C">
        <w:trPr>
          <w:trHeight w:val="227"/>
          <w:tblHeader/>
        </w:trPr>
        <w:tc>
          <w:tcPr>
            <w:tcW w:w="1737"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78DCAA70"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Partie prenante</w:t>
            </w:r>
          </w:p>
        </w:tc>
        <w:tc>
          <w:tcPr>
            <w:tcW w:w="3017"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44837AEE"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Attente principale</w:t>
            </w:r>
          </w:p>
        </w:tc>
        <w:tc>
          <w:tcPr>
            <w:tcW w:w="3803"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030FDA33"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Conséquence pour le système</w:t>
            </w:r>
          </w:p>
        </w:tc>
      </w:tr>
      <w:tr w:rsidR="00F50D70" w:rsidRPr="00BE4F47" w14:paraId="7CF279DB" w14:textId="77777777">
        <w:trPr>
          <w:cantSplit/>
          <w:trHeight w:val="415"/>
        </w:trPr>
        <w:tc>
          <w:tcPr>
            <w:tcW w:w="1737" w:type="dxa"/>
            <w:tcBorders>
              <w:top w:val="single" w:sz="4" w:space="0" w:color="000000"/>
              <w:left w:val="single" w:sz="4" w:space="0" w:color="000000"/>
              <w:bottom w:val="single" w:sz="4" w:space="0" w:color="000000"/>
              <w:right w:val="single" w:sz="4" w:space="0" w:color="000000"/>
            </w:tcBorders>
          </w:tcPr>
          <w:p w14:paraId="393B2AA6"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Hydro-Québec (client fictif)</w:t>
            </w:r>
          </w:p>
        </w:tc>
        <w:tc>
          <w:tcPr>
            <w:tcW w:w="3017" w:type="dxa"/>
            <w:tcBorders>
              <w:top w:val="single" w:sz="4" w:space="0" w:color="000000"/>
              <w:left w:val="single" w:sz="4" w:space="0" w:color="000000"/>
              <w:bottom w:val="single" w:sz="4" w:space="0" w:color="000000"/>
              <w:right w:val="single" w:sz="4" w:space="0" w:color="000000"/>
            </w:tcBorders>
          </w:tcPr>
          <w:p w14:paraId="2DDFF4A7"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Étudier des scénarios de fonctionnement et de défaillance sans les provoquer sur l’installation.</w:t>
            </w:r>
          </w:p>
        </w:tc>
        <w:tc>
          <w:tcPr>
            <w:tcW w:w="3803" w:type="dxa"/>
            <w:tcBorders>
              <w:top w:val="single" w:sz="4" w:space="0" w:color="000000"/>
              <w:left w:val="single" w:sz="4" w:space="0" w:color="000000"/>
              <w:bottom w:val="single" w:sz="4" w:space="0" w:color="000000"/>
              <w:right w:val="single" w:sz="4" w:space="0" w:color="000000"/>
            </w:tcBorders>
          </w:tcPr>
          <w:p w14:paraId="03B9760D"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Le prototype doit rejouer des scénarios de défaillance de façon reproductible (EX-F-02).</w:t>
            </w:r>
          </w:p>
        </w:tc>
      </w:tr>
      <w:tr w:rsidR="00F50D70" w:rsidRPr="00BE4F47" w14:paraId="0AB1884A" w14:textId="77777777">
        <w:trPr>
          <w:cantSplit/>
          <w:trHeight w:val="602"/>
        </w:trPr>
        <w:tc>
          <w:tcPr>
            <w:tcW w:w="1737" w:type="dxa"/>
            <w:tcBorders>
              <w:top w:val="single" w:sz="4" w:space="0" w:color="000000"/>
              <w:left w:val="single" w:sz="4" w:space="0" w:color="000000"/>
              <w:bottom w:val="single" w:sz="4" w:space="0" w:color="000000"/>
              <w:right w:val="single" w:sz="4" w:space="0" w:color="000000"/>
            </w:tcBorders>
          </w:tcPr>
          <w:p w14:paraId="7D39BC0B"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Ingénieurs et opérateurs</w:t>
            </w:r>
          </w:p>
        </w:tc>
        <w:tc>
          <w:tcPr>
            <w:tcW w:w="3017" w:type="dxa"/>
            <w:tcBorders>
              <w:top w:val="single" w:sz="4" w:space="0" w:color="000000"/>
              <w:left w:val="single" w:sz="4" w:space="0" w:color="000000"/>
              <w:bottom w:val="single" w:sz="4" w:space="0" w:color="000000"/>
              <w:right w:val="single" w:sz="4" w:space="0" w:color="000000"/>
            </w:tcBorders>
          </w:tcPr>
          <w:p w14:paraId="2AEFEB02" w14:textId="1E487F4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Comprendre pourquoi le système produit une recommandation</w:t>
            </w:r>
            <w:r w:rsidR="009C0602">
              <w:rPr>
                <w:rFonts w:ascii="Aptos" w:eastAsia="Calibri" w:hAnsi="Aptos" w:cs="Calibri"/>
                <w:color w:val="1A1A19"/>
                <w:sz w:val="16"/>
                <w:szCs w:val="16"/>
              </w:rPr>
              <w:t xml:space="preserve"> </w:t>
            </w:r>
            <w:r w:rsidR="009C0602" w:rsidRPr="009C0602">
              <w:rPr>
                <w:rFonts w:ascii="Aptos" w:eastAsia="Calibri" w:hAnsi="Aptos" w:cs="Calibri"/>
                <w:color w:val="1A1A19"/>
                <w:sz w:val="16"/>
                <w:szCs w:val="16"/>
              </w:rPr>
              <w:t>plutôt que de recevoir seulement un verdict</w:t>
            </w:r>
            <w:r w:rsidR="009C0602">
              <w:rPr>
                <w:rFonts w:ascii="Aptos" w:eastAsia="Calibri" w:hAnsi="Aptos" w:cs="Calibri"/>
                <w:color w:val="1A1A19"/>
                <w:sz w:val="16"/>
                <w:szCs w:val="16"/>
              </w:rPr>
              <w:t>.</w:t>
            </w:r>
          </w:p>
        </w:tc>
        <w:tc>
          <w:tcPr>
            <w:tcW w:w="3803" w:type="dxa"/>
            <w:tcBorders>
              <w:top w:val="single" w:sz="4" w:space="0" w:color="000000"/>
              <w:left w:val="single" w:sz="4" w:space="0" w:color="000000"/>
              <w:bottom w:val="single" w:sz="4" w:space="0" w:color="000000"/>
              <w:right w:val="single" w:sz="4" w:space="0" w:color="000000"/>
            </w:tcBorders>
          </w:tcPr>
          <w:p w14:paraId="51176CB0"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Affichage des variables ayant contribué à la détection (EX-F-05) et du niveau de confiance (EX-F-07).</w:t>
            </w:r>
          </w:p>
        </w:tc>
      </w:tr>
      <w:tr w:rsidR="00F50D70" w:rsidRPr="00BE4F47" w14:paraId="6B28534D" w14:textId="77777777">
        <w:trPr>
          <w:cantSplit/>
          <w:trHeight w:val="425"/>
        </w:trPr>
        <w:tc>
          <w:tcPr>
            <w:tcW w:w="1737" w:type="dxa"/>
            <w:tcBorders>
              <w:top w:val="single" w:sz="4" w:space="0" w:color="000000"/>
              <w:left w:val="single" w:sz="4" w:space="0" w:color="000000"/>
              <w:bottom w:val="single" w:sz="4" w:space="0" w:color="000000"/>
              <w:right w:val="single" w:sz="4" w:space="0" w:color="000000"/>
            </w:tcBorders>
          </w:tcPr>
          <w:p w14:paraId="57C62505"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Responsables de la sûreté</w:t>
            </w:r>
          </w:p>
        </w:tc>
        <w:tc>
          <w:tcPr>
            <w:tcW w:w="3017" w:type="dxa"/>
            <w:tcBorders>
              <w:top w:val="single" w:sz="4" w:space="0" w:color="000000"/>
              <w:left w:val="single" w:sz="4" w:space="0" w:color="000000"/>
              <w:bottom w:val="single" w:sz="4" w:space="0" w:color="000000"/>
              <w:right w:val="single" w:sz="4" w:space="0" w:color="000000"/>
            </w:tcBorders>
          </w:tcPr>
          <w:p w14:paraId="67871C1D"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Connaître les limites du système et les cas où il peut se tromper.</w:t>
            </w:r>
          </w:p>
        </w:tc>
        <w:tc>
          <w:tcPr>
            <w:tcW w:w="3803" w:type="dxa"/>
            <w:tcBorders>
              <w:top w:val="single" w:sz="4" w:space="0" w:color="000000"/>
              <w:left w:val="single" w:sz="4" w:space="0" w:color="000000"/>
              <w:bottom w:val="single" w:sz="4" w:space="0" w:color="000000"/>
              <w:right w:val="single" w:sz="4" w:space="0" w:color="000000"/>
            </w:tcBorders>
          </w:tcPr>
          <w:p w14:paraId="454E6292"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État « incertain » explicite en cas de données manquantes (EX-F-06) ; limites documentées (EX-C-01).</w:t>
            </w:r>
          </w:p>
        </w:tc>
      </w:tr>
      <w:tr w:rsidR="00F50D70" w:rsidRPr="00BE4F47" w14:paraId="5E1CE088" w14:textId="77777777">
        <w:trPr>
          <w:cantSplit/>
          <w:trHeight w:val="415"/>
        </w:trPr>
        <w:tc>
          <w:tcPr>
            <w:tcW w:w="1737" w:type="dxa"/>
            <w:tcBorders>
              <w:top w:val="single" w:sz="4" w:space="0" w:color="000000"/>
              <w:left w:val="single" w:sz="4" w:space="0" w:color="000000"/>
              <w:bottom w:val="single" w:sz="4" w:space="0" w:color="000000"/>
              <w:right w:val="single" w:sz="4" w:space="0" w:color="000000"/>
            </w:tcBorders>
          </w:tcPr>
          <w:p w14:paraId="0510B021"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Autorités réglementaires (CCSN)</w:t>
            </w:r>
          </w:p>
        </w:tc>
        <w:tc>
          <w:tcPr>
            <w:tcW w:w="3017" w:type="dxa"/>
            <w:tcBorders>
              <w:top w:val="single" w:sz="4" w:space="0" w:color="000000"/>
              <w:left w:val="single" w:sz="4" w:space="0" w:color="000000"/>
              <w:bottom w:val="single" w:sz="4" w:space="0" w:color="000000"/>
              <w:right w:val="single" w:sz="4" w:space="0" w:color="000000"/>
            </w:tcBorders>
          </w:tcPr>
          <w:p w14:paraId="6C419EE7"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Traçabilité des données et gestion documentaire.</w:t>
            </w:r>
          </w:p>
        </w:tc>
        <w:tc>
          <w:tcPr>
            <w:tcW w:w="3803" w:type="dxa"/>
            <w:tcBorders>
              <w:top w:val="single" w:sz="4" w:space="0" w:color="000000"/>
              <w:left w:val="single" w:sz="4" w:space="0" w:color="000000"/>
              <w:bottom w:val="single" w:sz="4" w:space="0" w:color="000000"/>
              <w:right w:val="single" w:sz="4" w:space="0" w:color="000000"/>
            </w:tcBorders>
          </w:tcPr>
          <w:p w14:paraId="2C79F79C"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Journalisation horodatée de toute acquisition et de tout changement d’état (EX-F-10).</w:t>
            </w:r>
          </w:p>
        </w:tc>
      </w:tr>
      <w:tr w:rsidR="00F50D70" w:rsidRPr="00BE4F47" w14:paraId="16B4E455" w14:textId="77777777">
        <w:trPr>
          <w:cantSplit/>
          <w:trHeight w:val="602"/>
        </w:trPr>
        <w:tc>
          <w:tcPr>
            <w:tcW w:w="1737" w:type="dxa"/>
            <w:tcBorders>
              <w:top w:val="single" w:sz="4" w:space="0" w:color="000000"/>
              <w:left w:val="single" w:sz="4" w:space="0" w:color="000000"/>
              <w:bottom w:val="single" w:sz="4" w:space="0" w:color="000000"/>
              <w:right w:val="single" w:sz="4" w:space="0" w:color="000000"/>
            </w:tcBorders>
          </w:tcPr>
          <w:p w14:paraId="14DE987A"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Population et communautés</w:t>
            </w:r>
          </w:p>
        </w:tc>
        <w:tc>
          <w:tcPr>
            <w:tcW w:w="3017" w:type="dxa"/>
            <w:tcBorders>
              <w:top w:val="single" w:sz="4" w:space="0" w:color="000000"/>
              <w:left w:val="single" w:sz="4" w:space="0" w:color="000000"/>
              <w:bottom w:val="single" w:sz="4" w:space="0" w:color="000000"/>
              <w:right w:val="single" w:sz="4" w:space="0" w:color="000000"/>
            </w:tcBorders>
          </w:tcPr>
          <w:p w14:paraId="3A8C3658"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Confiance, transparence et responsabilité dans l’usage d’un outil numérique en contexte nucléaire.</w:t>
            </w:r>
          </w:p>
        </w:tc>
        <w:tc>
          <w:tcPr>
            <w:tcW w:w="3803" w:type="dxa"/>
            <w:tcBorders>
              <w:top w:val="single" w:sz="4" w:space="0" w:color="000000"/>
              <w:left w:val="single" w:sz="4" w:space="0" w:color="000000"/>
              <w:bottom w:val="single" w:sz="4" w:space="0" w:color="000000"/>
              <w:right w:val="single" w:sz="4" w:space="0" w:color="000000"/>
            </w:tcBorders>
          </w:tcPr>
          <w:p w14:paraId="300DA663"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La décision finale demeure humaine (EX-F-08) ; les enjeux sont traités au rapport final (EX-C-03).</w:t>
            </w:r>
          </w:p>
        </w:tc>
      </w:tr>
    </w:tbl>
    <w:p w14:paraId="367E46CB" w14:textId="77777777" w:rsidR="00F50D70" w:rsidRPr="00BE4F47" w:rsidRDefault="00137D7F" w:rsidP="008E113B">
      <w:pPr>
        <w:pStyle w:val="Titre2"/>
        <w:spacing w:line="360" w:lineRule="auto"/>
      </w:pPr>
      <w:bookmarkStart w:id="80" w:name="__RefHeading___Toc240715061"/>
      <w:bookmarkStart w:id="81" w:name="_Toc241707701"/>
      <w:bookmarkStart w:id="82" w:name="_Toc241791650"/>
      <w:bookmarkEnd w:id="80"/>
      <w:r w:rsidRPr="00BE4F47">
        <w:t>Besoins et douleurs</w:t>
      </w:r>
      <w:bookmarkEnd w:id="81"/>
      <w:bookmarkEnd w:id="82"/>
    </w:p>
    <w:p w14:paraId="256E9BAF" w14:textId="77777777" w:rsidR="00F50D70" w:rsidRPr="00BE4F47" w:rsidRDefault="00137D7F" w:rsidP="008E113B">
      <w:pPr>
        <w:spacing w:before="200" w:after="130" w:line="360" w:lineRule="auto"/>
        <w:ind w:left="360"/>
        <w:rPr>
          <w:rFonts w:ascii="Aptos" w:hAnsi="Aptos"/>
        </w:rPr>
      </w:pPr>
      <w:bookmarkStart w:id="83" w:name="_Toc241082780"/>
      <w:bookmarkStart w:id="84" w:name="_Toc241669994"/>
      <w:bookmarkStart w:id="85" w:name="_Toc241707702"/>
      <w:bookmarkStart w:id="86" w:name="_Toc241791651"/>
      <w:r w:rsidRPr="00BE4F47">
        <w:rPr>
          <w:rFonts w:ascii="Aptos" w:hAnsi="Aptos"/>
          <w:color w:val="1A1A19"/>
          <w:sz w:val="20"/>
          <w:szCs w:val="20"/>
        </w:rPr>
        <w:t>Le client a besoin de tester des scénarios de fonctionnement et de défaillance sans les provoquer sur l’installation. Il a aussi besoin de savoir dans quelles conditions les résultats du système sont assez fiables pour aider une décision.</w:t>
      </w:r>
      <w:bookmarkEnd w:id="83"/>
      <w:bookmarkEnd w:id="84"/>
      <w:bookmarkEnd w:id="85"/>
      <w:bookmarkEnd w:id="86"/>
    </w:p>
    <w:p w14:paraId="1F575C6C" w14:textId="77777777" w:rsidR="00F50D70" w:rsidRPr="00BE4F47" w:rsidRDefault="00137D7F" w:rsidP="008E113B">
      <w:pPr>
        <w:spacing w:after="130" w:line="360" w:lineRule="auto"/>
        <w:ind w:left="360"/>
        <w:rPr>
          <w:rFonts w:ascii="Aptos" w:hAnsi="Aptos"/>
        </w:rPr>
      </w:pPr>
      <w:bookmarkStart w:id="87" w:name="_Toc241082781"/>
      <w:bookmarkStart w:id="88" w:name="_Toc241669995"/>
      <w:bookmarkStart w:id="89" w:name="_Toc241707703"/>
      <w:bookmarkStart w:id="90" w:name="_Toc241791652"/>
      <w:r w:rsidRPr="00BE4F47">
        <w:rPr>
          <w:rFonts w:ascii="Aptos" w:hAnsi="Aptos"/>
          <w:color w:val="1A1A19"/>
          <w:sz w:val="20"/>
          <w:szCs w:val="20"/>
        </w:rPr>
        <w:t>Les ingénieurs et les opérateurs ne veulent pas seulement un verdict « normal » ou « anormal ». Ils veulent voir les variables qui ont mené à ce verdict, et être avertis quand les données ne permettent pas de conclure. La décision reste la leur, car le système ne commande pas l’installation.</w:t>
      </w:r>
      <w:bookmarkEnd w:id="87"/>
      <w:bookmarkEnd w:id="88"/>
      <w:bookmarkEnd w:id="89"/>
      <w:bookmarkEnd w:id="90"/>
    </w:p>
    <w:p w14:paraId="75815886" w14:textId="77777777" w:rsidR="00F50D70" w:rsidRPr="00BE4F47" w:rsidRDefault="00137D7F" w:rsidP="008E113B">
      <w:pPr>
        <w:spacing w:after="130" w:line="360" w:lineRule="auto"/>
        <w:ind w:left="360"/>
        <w:rPr>
          <w:rFonts w:ascii="Aptos" w:hAnsi="Aptos"/>
        </w:rPr>
      </w:pPr>
      <w:bookmarkStart w:id="91" w:name="_Toc241082782"/>
      <w:bookmarkStart w:id="92" w:name="_Toc241669996"/>
      <w:bookmarkStart w:id="93" w:name="_Toc241707704"/>
      <w:bookmarkStart w:id="94" w:name="_Toc241791653"/>
      <w:r w:rsidRPr="00BE4F47">
        <w:rPr>
          <w:rFonts w:ascii="Aptos" w:hAnsi="Aptos"/>
          <w:color w:val="1A1A19"/>
          <w:sz w:val="20"/>
          <w:szCs w:val="20"/>
        </w:rPr>
        <w:t xml:space="preserve">Du côté de la sûreté, trois situations posent </w:t>
      </w:r>
      <w:proofErr w:type="gramStart"/>
      <w:r w:rsidRPr="00BE4F47">
        <w:rPr>
          <w:rFonts w:ascii="Aptos" w:hAnsi="Aptos"/>
          <w:color w:val="1A1A19"/>
          <w:sz w:val="20"/>
          <w:szCs w:val="20"/>
        </w:rPr>
        <w:t>problème</w:t>
      </w:r>
      <w:proofErr w:type="gramEnd"/>
      <w:r w:rsidRPr="00BE4F47">
        <w:rPr>
          <w:rFonts w:ascii="Aptos" w:hAnsi="Aptos"/>
          <w:color w:val="1A1A19"/>
          <w:sz w:val="20"/>
          <w:szCs w:val="20"/>
        </w:rPr>
        <w:t> : une anomalie réelle non détectée, un capteur qui donne une valeur fausse, et des données absentes au moment où l’opérateur en a besoin. Dans ces cas, le système doit signaler l’incertitude au lieu d’afficher un état normal.</w:t>
      </w:r>
      <w:bookmarkEnd w:id="91"/>
      <w:bookmarkEnd w:id="92"/>
      <w:bookmarkEnd w:id="93"/>
      <w:bookmarkEnd w:id="94"/>
    </w:p>
    <w:p w14:paraId="7E2DFCD8" w14:textId="77777777" w:rsidR="00006655" w:rsidRPr="00BE4F47" w:rsidRDefault="00137D7F" w:rsidP="008E113B">
      <w:pPr>
        <w:spacing w:after="130" w:line="360" w:lineRule="auto"/>
        <w:ind w:left="360"/>
        <w:rPr>
          <w:rFonts w:ascii="Aptos" w:hAnsi="Aptos"/>
        </w:rPr>
      </w:pPr>
      <w:bookmarkStart w:id="95" w:name="_Toc241082783"/>
      <w:bookmarkStart w:id="96" w:name="_Toc241669997"/>
      <w:bookmarkStart w:id="97" w:name="_Toc241707705"/>
      <w:bookmarkStart w:id="98" w:name="_Toc241791654"/>
      <w:r w:rsidRPr="00BE4F47">
        <w:rPr>
          <w:rFonts w:ascii="Aptos" w:hAnsi="Aptos"/>
          <w:color w:val="1A1A19"/>
          <w:sz w:val="20"/>
          <w:szCs w:val="20"/>
        </w:rPr>
        <w:t>La population est aussi concernée. Un outil d’aide à la décision en contexte nucléaire soulève des questions de confiance, de transparence et de responsabilité. Le projet doit donc traiter les limites d’emploi du système, pas seulement ses performances techniques.</w:t>
      </w:r>
      <w:bookmarkStart w:id="99" w:name="__RefHeading___Toc240715066"/>
      <w:bookmarkEnd w:id="95"/>
      <w:bookmarkEnd w:id="96"/>
      <w:bookmarkEnd w:id="97"/>
      <w:bookmarkEnd w:id="98"/>
      <w:bookmarkEnd w:id="99"/>
    </w:p>
    <w:p w14:paraId="7F3D647D" w14:textId="77777777" w:rsidR="00F50D70" w:rsidRPr="00BE4F47" w:rsidRDefault="00137D7F" w:rsidP="008E113B">
      <w:pPr>
        <w:spacing w:after="130" w:line="360" w:lineRule="auto"/>
        <w:ind w:left="360"/>
        <w:rPr>
          <w:rFonts w:ascii="Aptos" w:hAnsi="Aptos"/>
        </w:rPr>
      </w:pPr>
      <w:bookmarkStart w:id="100" w:name="_Toc241082785"/>
      <w:bookmarkStart w:id="101" w:name="_Toc241669998"/>
      <w:bookmarkStart w:id="102" w:name="_Toc241707706"/>
      <w:bookmarkStart w:id="103" w:name="_Toc241791655"/>
      <w:r w:rsidRPr="00BE4F47">
        <w:rPr>
          <w:rFonts w:ascii="Aptos" w:hAnsi="Aptos"/>
          <w:color w:val="1A1A19"/>
          <w:sz w:val="20"/>
          <w:szCs w:val="20"/>
        </w:rPr>
        <w:t>Ces besoins se ramènent à un objectif directeur et à cinq sous-objectifs.</w:t>
      </w:r>
      <w:bookmarkEnd w:id="100"/>
      <w:bookmarkEnd w:id="101"/>
      <w:bookmarkEnd w:id="102"/>
      <w:bookmarkEnd w:id="103"/>
    </w:p>
    <w:p w14:paraId="71450199" w14:textId="77777777" w:rsidR="00F50D70" w:rsidRPr="00BE4F47" w:rsidRDefault="00137D7F" w:rsidP="008E113B">
      <w:pPr>
        <w:spacing w:after="130" w:line="360" w:lineRule="auto"/>
        <w:ind w:left="360"/>
        <w:rPr>
          <w:rFonts w:ascii="Aptos" w:hAnsi="Aptos"/>
        </w:rPr>
      </w:pPr>
      <w:bookmarkStart w:id="104" w:name="_Toc241082786"/>
      <w:bookmarkStart w:id="105" w:name="_Toc241669999"/>
      <w:bookmarkStart w:id="106" w:name="_Toc241707707"/>
      <w:bookmarkStart w:id="107" w:name="_Toc241791656"/>
      <w:r w:rsidRPr="00BE4F47">
        <w:rPr>
          <w:rFonts w:ascii="Aptos" w:hAnsi="Aptos"/>
          <w:b/>
          <w:color w:val="1A1A19"/>
          <w:sz w:val="20"/>
          <w:szCs w:val="20"/>
        </w:rPr>
        <w:t>Objectif directeur : démontrer, sur un prototype vérifié et validé, qu’un jumeau numérique d’une boucle thermohydraulique simplifiée peut détecter une dérive sur la température, la pression et le débit. Le prototype doit aussi exprimer le niveau de confiance de son résultat, et déclarer son incertitude quand les données ne permettent pas de conclure. La décision demeure celle de l’opérateur.</w:t>
      </w:r>
      <w:bookmarkEnd w:id="104"/>
      <w:bookmarkEnd w:id="105"/>
      <w:bookmarkEnd w:id="106"/>
      <w:bookmarkEnd w:id="107"/>
    </w:p>
    <w:p w14:paraId="7F5B43E3" w14:textId="77777777" w:rsidR="00F50D70" w:rsidRPr="00BE4F47" w:rsidRDefault="00137D7F" w:rsidP="008E113B">
      <w:pPr>
        <w:pStyle w:val="Lgende"/>
        <w:keepNext/>
        <w:spacing w:line="360" w:lineRule="auto"/>
        <w:rPr>
          <w:rFonts w:ascii="Aptos" w:hAnsi="Aptos"/>
        </w:rPr>
      </w:pPr>
      <w:bookmarkStart w:id="108" w:name="_Toc241082787"/>
      <w:bookmarkStart w:id="109" w:name="_Toc241670000"/>
      <w:bookmarkStart w:id="110" w:name="_Toc241707708"/>
      <w:bookmarkStart w:id="111" w:name="_Toc241791657"/>
      <w:r w:rsidRPr="00BE4F47">
        <w:rPr>
          <w:rFonts w:ascii="Aptos" w:hAnsi="Aptos"/>
        </w:rPr>
        <w:lastRenderedPageBreak/>
        <w:t>Tableau 1-2. Sous-objectifs du projet et exigences correspondantes</w:t>
      </w:r>
      <w:bookmarkEnd w:id="108"/>
      <w:bookmarkEnd w:id="109"/>
      <w:bookmarkEnd w:id="110"/>
      <w:bookmarkEnd w:id="111"/>
    </w:p>
    <w:tbl>
      <w:tblPr>
        <w:tblW w:w="8557" w:type="dxa"/>
        <w:tblInd w:w="413" w:type="dxa"/>
        <w:tblLayout w:type="fixed"/>
        <w:tblCellMar>
          <w:top w:w="60" w:type="dxa"/>
          <w:left w:w="90" w:type="dxa"/>
          <w:bottom w:w="60" w:type="dxa"/>
          <w:right w:w="90" w:type="dxa"/>
        </w:tblCellMar>
        <w:tblLook w:val="04A0" w:firstRow="1" w:lastRow="0" w:firstColumn="1" w:lastColumn="0" w:noHBand="0" w:noVBand="1"/>
      </w:tblPr>
      <w:tblGrid>
        <w:gridCol w:w="700"/>
        <w:gridCol w:w="4000"/>
        <w:gridCol w:w="2300"/>
        <w:gridCol w:w="1557"/>
      </w:tblGrid>
      <w:tr w:rsidR="00F50D70" w:rsidRPr="00BE4F47" w14:paraId="20DD534F" w14:textId="77777777" w:rsidTr="0036725C">
        <w:trPr>
          <w:trHeight w:val="227"/>
          <w:tblHeader/>
        </w:trPr>
        <w:tc>
          <w:tcPr>
            <w:tcW w:w="70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6B485EA9"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Réf.</w:t>
            </w:r>
          </w:p>
        </w:tc>
        <w:tc>
          <w:tcPr>
            <w:tcW w:w="400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52647BB2"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Sous-objectif</w:t>
            </w:r>
          </w:p>
        </w:tc>
        <w:tc>
          <w:tcPr>
            <w:tcW w:w="230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73EA30B4"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Exigences couvertes</w:t>
            </w:r>
          </w:p>
        </w:tc>
        <w:tc>
          <w:tcPr>
            <w:tcW w:w="1557"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7A5B6FCF"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Lot</w:t>
            </w:r>
          </w:p>
        </w:tc>
      </w:tr>
      <w:tr w:rsidR="00F50D70" w:rsidRPr="00BE4F47" w14:paraId="5FAB8217" w14:textId="77777777">
        <w:trPr>
          <w:cantSplit/>
          <w:trHeight w:val="415"/>
        </w:trPr>
        <w:tc>
          <w:tcPr>
            <w:tcW w:w="700" w:type="dxa"/>
            <w:tcBorders>
              <w:top w:val="single" w:sz="4" w:space="0" w:color="000000"/>
              <w:left w:val="single" w:sz="4" w:space="0" w:color="000000"/>
              <w:bottom w:val="single" w:sz="4" w:space="0" w:color="000000"/>
              <w:right w:val="single" w:sz="4" w:space="0" w:color="000000"/>
            </w:tcBorders>
          </w:tcPr>
          <w:p w14:paraId="65D1C1F5"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SO-1</w:t>
            </w:r>
          </w:p>
        </w:tc>
        <w:tc>
          <w:tcPr>
            <w:tcW w:w="4000" w:type="dxa"/>
            <w:tcBorders>
              <w:top w:val="single" w:sz="4" w:space="0" w:color="000000"/>
              <w:left w:val="single" w:sz="4" w:space="0" w:color="000000"/>
              <w:bottom w:val="single" w:sz="4" w:space="0" w:color="000000"/>
              <w:right w:val="single" w:sz="4" w:space="0" w:color="000000"/>
            </w:tcBorders>
          </w:tcPr>
          <w:p w14:paraId="3B0AC00D"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Disposer d’un modèle de la boucle et d’un modèle de référence indépendant, dont l’écart est quantifié.</w:t>
            </w:r>
          </w:p>
        </w:tc>
        <w:tc>
          <w:tcPr>
            <w:tcW w:w="2300" w:type="dxa"/>
            <w:tcBorders>
              <w:top w:val="single" w:sz="4" w:space="0" w:color="000000"/>
              <w:left w:val="single" w:sz="4" w:space="0" w:color="000000"/>
              <w:bottom w:val="single" w:sz="4" w:space="0" w:color="000000"/>
              <w:right w:val="single" w:sz="4" w:space="0" w:color="000000"/>
            </w:tcBorders>
          </w:tcPr>
          <w:p w14:paraId="267689B7"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EX-F-01, EX-F-07</w:t>
            </w:r>
          </w:p>
        </w:tc>
        <w:tc>
          <w:tcPr>
            <w:tcW w:w="1557" w:type="dxa"/>
            <w:tcBorders>
              <w:top w:val="single" w:sz="4" w:space="0" w:color="000000"/>
              <w:left w:val="single" w:sz="4" w:space="0" w:color="000000"/>
              <w:bottom w:val="single" w:sz="4" w:space="0" w:color="000000"/>
              <w:right w:val="single" w:sz="4" w:space="0" w:color="000000"/>
            </w:tcBorders>
          </w:tcPr>
          <w:p w14:paraId="2C8E06E6"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L4</w:t>
            </w:r>
          </w:p>
        </w:tc>
      </w:tr>
      <w:tr w:rsidR="00F50D70" w:rsidRPr="00BE4F47" w14:paraId="4AB67A24" w14:textId="77777777">
        <w:trPr>
          <w:cantSplit/>
          <w:trHeight w:val="415"/>
        </w:trPr>
        <w:tc>
          <w:tcPr>
            <w:tcW w:w="700" w:type="dxa"/>
            <w:tcBorders>
              <w:top w:val="single" w:sz="4" w:space="0" w:color="000000"/>
              <w:left w:val="single" w:sz="4" w:space="0" w:color="000000"/>
              <w:bottom w:val="single" w:sz="4" w:space="0" w:color="000000"/>
              <w:right w:val="single" w:sz="4" w:space="0" w:color="000000"/>
            </w:tcBorders>
          </w:tcPr>
          <w:p w14:paraId="51AA92B5"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SO-2</w:t>
            </w:r>
          </w:p>
        </w:tc>
        <w:tc>
          <w:tcPr>
            <w:tcW w:w="4000" w:type="dxa"/>
            <w:tcBorders>
              <w:top w:val="single" w:sz="4" w:space="0" w:color="000000"/>
              <w:left w:val="single" w:sz="4" w:space="0" w:color="000000"/>
              <w:bottom w:val="single" w:sz="4" w:space="0" w:color="000000"/>
              <w:right w:val="single" w:sz="4" w:space="0" w:color="000000"/>
            </w:tcBorders>
          </w:tcPr>
          <w:p w14:paraId="17CB083E"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Rejouer des scénarios de fonctionnement et de défaillance de façon reproductible.</w:t>
            </w:r>
          </w:p>
        </w:tc>
        <w:tc>
          <w:tcPr>
            <w:tcW w:w="2300" w:type="dxa"/>
            <w:tcBorders>
              <w:top w:val="single" w:sz="4" w:space="0" w:color="000000"/>
              <w:left w:val="single" w:sz="4" w:space="0" w:color="000000"/>
              <w:bottom w:val="single" w:sz="4" w:space="0" w:color="000000"/>
              <w:right w:val="single" w:sz="4" w:space="0" w:color="000000"/>
            </w:tcBorders>
          </w:tcPr>
          <w:p w14:paraId="6307E7DF"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EX-F-02, EX-F-03</w:t>
            </w:r>
          </w:p>
        </w:tc>
        <w:tc>
          <w:tcPr>
            <w:tcW w:w="1557" w:type="dxa"/>
            <w:tcBorders>
              <w:top w:val="single" w:sz="4" w:space="0" w:color="000000"/>
              <w:left w:val="single" w:sz="4" w:space="0" w:color="000000"/>
              <w:bottom w:val="single" w:sz="4" w:space="0" w:color="000000"/>
              <w:right w:val="single" w:sz="4" w:space="0" w:color="000000"/>
            </w:tcBorders>
          </w:tcPr>
          <w:p w14:paraId="41573C70"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L6</w:t>
            </w:r>
          </w:p>
        </w:tc>
      </w:tr>
      <w:tr w:rsidR="00F50D70" w:rsidRPr="00BE4F47" w14:paraId="3E17EE7C" w14:textId="77777777">
        <w:trPr>
          <w:cantSplit/>
          <w:trHeight w:val="415"/>
        </w:trPr>
        <w:tc>
          <w:tcPr>
            <w:tcW w:w="700" w:type="dxa"/>
            <w:tcBorders>
              <w:top w:val="single" w:sz="4" w:space="0" w:color="000000"/>
              <w:left w:val="single" w:sz="4" w:space="0" w:color="000000"/>
              <w:bottom w:val="single" w:sz="4" w:space="0" w:color="000000"/>
              <w:right w:val="single" w:sz="4" w:space="0" w:color="000000"/>
            </w:tcBorders>
          </w:tcPr>
          <w:p w14:paraId="55788EAB"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SO-3</w:t>
            </w:r>
          </w:p>
        </w:tc>
        <w:tc>
          <w:tcPr>
            <w:tcW w:w="4000" w:type="dxa"/>
            <w:tcBorders>
              <w:top w:val="single" w:sz="4" w:space="0" w:color="000000"/>
              <w:left w:val="single" w:sz="4" w:space="0" w:color="000000"/>
              <w:bottom w:val="single" w:sz="4" w:space="0" w:color="000000"/>
              <w:right w:val="single" w:sz="4" w:space="0" w:color="000000"/>
            </w:tcBorders>
          </w:tcPr>
          <w:p w14:paraId="0D061CED"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Détecter une dérive et quantifier l’incertitude associée au diagnostic.</w:t>
            </w:r>
          </w:p>
        </w:tc>
        <w:tc>
          <w:tcPr>
            <w:tcW w:w="2300" w:type="dxa"/>
            <w:tcBorders>
              <w:top w:val="single" w:sz="4" w:space="0" w:color="000000"/>
              <w:left w:val="single" w:sz="4" w:space="0" w:color="000000"/>
              <w:bottom w:val="single" w:sz="4" w:space="0" w:color="000000"/>
              <w:right w:val="single" w:sz="4" w:space="0" w:color="000000"/>
            </w:tcBorders>
          </w:tcPr>
          <w:p w14:paraId="3E906BAB"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EX-F-04 à EX-F-07, EX-F-11</w:t>
            </w:r>
          </w:p>
        </w:tc>
        <w:tc>
          <w:tcPr>
            <w:tcW w:w="1557" w:type="dxa"/>
            <w:tcBorders>
              <w:top w:val="single" w:sz="4" w:space="0" w:color="000000"/>
              <w:left w:val="single" w:sz="4" w:space="0" w:color="000000"/>
              <w:bottom w:val="single" w:sz="4" w:space="0" w:color="000000"/>
              <w:right w:val="single" w:sz="4" w:space="0" w:color="000000"/>
            </w:tcBorders>
          </w:tcPr>
          <w:p w14:paraId="457F421B"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L7</w:t>
            </w:r>
          </w:p>
        </w:tc>
      </w:tr>
      <w:tr w:rsidR="00F50D70" w:rsidRPr="00BE4F47" w14:paraId="099FA92A" w14:textId="77777777">
        <w:trPr>
          <w:cantSplit/>
          <w:trHeight w:val="415"/>
        </w:trPr>
        <w:tc>
          <w:tcPr>
            <w:tcW w:w="700" w:type="dxa"/>
            <w:tcBorders>
              <w:top w:val="single" w:sz="4" w:space="0" w:color="000000"/>
              <w:left w:val="single" w:sz="4" w:space="0" w:color="000000"/>
              <w:bottom w:val="single" w:sz="4" w:space="0" w:color="000000"/>
              <w:right w:val="single" w:sz="4" w:space="0" w:color="000000"/>
            </w:tcBorders>
          </w:tcPr>
          <w:p w14:paraId="3724DB5F"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SO-4</w:t>
            </w:r>
          </w:p>
        </w:tc>
        <w:tc>
          <w:tcPr>
            <w:tcW w:w="4000" w:type="dxa"/>
            <w:tcBorders>
              <w:top w:val="single" w:sz="4" w:space="0" w:color="000000"/>
              <w:left w:val="single" w:sz="4" w:space="0" w:color="000000"/>
              <w:bottom w:val="single" w:sz="4" w:space="0" w:color="000000"/>
              <w:right w:val="single" w:sz="4" w:space="0" w:color="000000"/>
            </w:tcBorders>
          </w:tcPr>
          <w:p w14:paraId="1C009A90"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Rendre le résultat interprétable par un opérateur, sans jamais commander l’installation.</w:t>
            </w:r>
          </w:p>
        </w:tc>
        <w:tc>
          <w:tcPr>
            <w:tcW w:w="2300" w:type="dxa"/>
            <w:tcBorders>
              <w:top w:val="single" w:sz="4" w:space="0" w:color="000000"/>
              <w:left w:val="single" w:sz="4" w:space="0" w:color="000000"/>
              <w:bottom w:val="single" w:sz="4" w:space="0" w:color="000000"/>
              <w:right w:val="single" w:sz="4" w:space="0" w:color="000000"/>
            </w:tcBorders>
          </w:tcPr>
          <w:p w14:paraId="5E3651FD"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EX-F-05, EX-F-08, EX-F-09, EX-Q-03</w:t>
            </w:r>
          </w:p>
        </w:tc>
        <w:tc>
          <w:tcPr>
            <w:tcW w:w="1557" w:type="dxa"/>
            <w:tcBorders>
              <w:top w:val="single" w:sz="4" w:space="0" w:color="000000"/>
              <w:left w:val="single" w:sz="4" w:space="0" w:color="000000"/>
              <w:bottom w:val="single" w:sz="4" w:space="0" w:color="000000"/>
              <w:right w:val="single" w:sz="4" w:space="0" w:color="000000"/>
            </w:tcBorders>
          </w:tcPr>
          <w:p w14:paraId="64F44248"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L8</w:t>
            </w:r>
          </w:p>
        </w:tc>
      </w:tr>
      <w:tr w:rsidR="00F50D70" w:rsidRPr="00BE4F47" w14:paraId="43FF6F23" w14:textId="77777777">
        <w:trPr>
          <w:cantSplit/>
          <w:trHeight w:val="415"/>
        </w:trPr>
        <w:tc>
          <w:tcPr>
            <w:tcW w:w="700" w:type="dxa"/>
            <w:tcBorders>
              <w:top w:val="single" w:sz="4" w:space="0" w:color="000000"/>
              <w:left w:val="single" w:sz="4" w:space="0" w:color="000000"/>
              <w:bottom w:val="single" w:sz="4" w:space="0" w:color="000000"/>
              <w:right w:val="single" w:sz="4" w:space="0" w:color="000000"/>
            </w:tcBorders>
          </w:tcPr>
          <w:p w14:paraId="4D295E0A"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SO-5</w:t>
            </w:r>
          </w:p>
        </w:tc>
        <w:tc>
          <w:tcPr>
            <w:tcW w:w="4000" w:type="dxa"/>
            <w:tcBorders>
              <w:top w:val="single" w:sz="4" w:space="0" w:color="000000"/>
              <w:left w:val="single" w:sz="4" w:space="0" w:color="000000"/>
              <w:bottom w:val="single" w:sz="4" w:space="0" w:color="000000"/>
              <w:right w:val="single" w:sz="4" w:space="0" w:color="000000"/>
            </w:tcBorders>
          </w:tcPr>
          <w:p w14:paraId="47097ECC"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Assurer la traçabilité et l’intégrité des données et des essais.</w:t>
            </w:r>
          </w:p>
        </w:tc>
        <w:tc>
          <w:tcPr>
            <w:tcW w:w="2300" w:type="dxa"/>
            <w:tcBorders>
              <w:top w:val="single" w:sz="4" w:space="0" w:color="000000"/>
              <w:left w:val="single" w:sz="4" w:space="0" w:color="000000"/>
              <w:bottom w:val="single" w:sz="4" w:space="0" w:color="000000"/>
              <w:right w:val="single" w:sz="4" w:space="0" w:color="000000"/>
            </w:tcBorders>
          </w:tcPr>
          <w:p w14:paraId="525237CB"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EX-F-10, EX-Q-02, EX-Q-04, EX-Q-05</w:t>
            </w:r>
          </w:p>
        </w:tc>
        <w:tc>
          <w:tcPr>
            <w:tcW w:w="1557" w:type="dxa"/>
            <w:tcBorders>
              <w:top w:val="single" w:sz="4" w:space="0" w:color="000000"/>
              <w:left w:val="single" w:sz="4" w:space="0" w:color="000000"/>
              <w:bottom w:val="single" w:sz="4" w:space="0" w:color="000000"/>
              <w:right w:val="single" w:sz="4" w:space="0" w:color="000000"/>
            </w:tcBorders>
          </w:tcPr>
          <w:p w14:paraId="37333EDD"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L5, L9</w:t>
            </w:r>
          </w:p>
        </w:tc>
      </w:tr>
    </w:tbl>
    <w:p w14:paraId="39577D2A" w14:textId="77777777" w:rsidR="00F50D70" w:rsidRPr="00BE4F47" w:rsidRDefault="00137D7F" w:rsidP="008E113B">
      <w:pPr>
        <w:spacing w:before="200" w:after="130" w:line="360" w:lineRule="auto"/>
        <w:ind w:left="360"/>
        <w:rPr>
          <w:rFonts w:ascii="Aptos" w:hAnsi="Aptos"/>
        </w:rPr>
      </w:pPr>
      <w:bookmarkStart w:id="112" w:name="_Toc241082788"/>
      <w:bookmarkStart w:id="113" w:name="_Toc241670001"/>
      <w:bookmarkStart w:id="114" w:name="_Toc241707709"/>
      <w:bookmarkStart w:id="115" w:name="_Toc241791658"/>
      <w:r w:rsidRPr="00BE4F47">
        <w:rPr>
          <w:rFonts w:ascii="Aptos" w:hAnsi="Aptos"/>
          <w:color w:val="1A1A19"/>
          <w:sz w:val="20"/>
          <w:szCs w:val="20"/>
        </w:rPr>
        <w:t>Chaque sous-objectif est rattaché à au moins une exigence vérifiable et à au moins un lot de travail.</w:t>
      </w:r>
      <w:bookmarkEnd w:id="112"/>
      <w:bookmarkEnd w:id="113"/>
      <w:bookmarkEnd w:id="114"/>
      <w:bookmarkEnd w:id="115"/>
    </w:p>
    <w:p w14:paraId="25CF197C" w14:textId="77777777" w:rsidR="00F50D70" w:rsidRPr="00BE4F47" w:rsidRDefault="00137D7F" w:rsidP="008E113B">
      <w:pPr>
        <w:spacing w:after="130" w:line="360" w:lineRule="auto"/>
        <w:ind w:left="360"/>
        <w:rPr>
          <w:rFonts w:ascii="Aptos" w:hAnsi="Aptos"/>
        </w:rPr>
      </w:pPr>
      <w:bookmarkStart w:id="116" w:name="_Toc241082807"/>
      <w:bookmarkStart w:id="117" w:name="_Toc241670002"/>
      <w:bookmarkStart w:id="118" w:name="_Toc241707710"/>
      <w:bookmarkStart w:id="119" w:name="_Toc241791659"/>
      <w:r w:rsidRPr="00BE4F47">
        <w:rPr>
          <w:rFonts w:ascii="Aptos" w:hAnsi="Aptos"/>
          <w:color w:val="1A1A19"/>
          <w:sz w:val="20"/>
          <w:szCs w:val="20"/>
        </w:rPr>
        <w:t>Tous les besoins n’ont pas le même poids. Si l’enveloppe d’heures devient insuffisante, il faudra savoir quoi réduire en premier. C’est le risque RP2 de la section 7. Le tableau 1-3 classe les besoins pour cela : l’urgence dit à quel jalon le besoin doit être couvert, l’importance dit ce qui arrive s’il ne l’est pas.</w:t>
      </w:r>
      <w:bookmarkEnd w:id="116"/>
      <w:bookmarkEnd w:id="117"/>
      <w:bookmarkEnd w:id="118"/>
      <w:bookmarkEnd w:id="119"/>
    </w:p>
    <w:p w14:paraId="15116DDD" w14:textId="77777777" w:rsidR="00F50D70" w:rsidRPr="00BE4F47" w:rsidRDefault="00137D7F" w:rsidP="008E113B">
      <w:pPr>
        <w:pStyle w:val="Lgende"/>
        <w:keepNext/>
        <w:spacing w:line="360" w:lineRule="auto"/>
        <w:rPr>
          <w:rFonts w:ascii="Aptos" w:hAnsi="Aptos"/>
        </w:rPr>
      </w:pPr>
      <w:bookmarkStart w:id="120" w:name="_Toc241082808"/>
      <w:bookmarkStart w:id="121" w:name="_Toc241670003"/>
      <w:bookmarkStart w:id="122" w:name="_Toc241707711"/>
      <w:bookmarkStart w:id="123" w:name="_Toc241791660"/>
      <w:r w:rsidRPr="00BE4F47">
        <w:rPr>
          <w:rFonts w:ascii="Aptos" w:hAnsi="Aptos"/>
        </w:rPr>
        <w:t>Tableau 1-3. Priorisation des besoins par urgence et par importance</w:t>
      </w:r>
      <w:bookmarkEnd w:id="120"/>
      <w:bookmarkEnd w:id="121"/>
      <w:bookmarkEnd w:id="122"/>
      <w:bookmarkEnd w:id="123"/>
    </w:p>
    <w:tbl>
      <w:tblPr>
        <w:tblW w:w="8557" w:type="dxa"/>
        <w:tblInd w:w="413" w:type="dxa"/>
        <w:tblLayout w:type="fixed"/>
        <w:tblCellMar>
          <w:top w:w="60" w:type="dxa"/>
          <w:left w:w="90" w:type="dxa"/>
          <w:bottom w:w="60" w:type="dxa"/>
          <w:right w:w="90" w:type="dxa"/>
        </w:tblCellMar>
        <w:tblLook w:val="04A0" w:firstRow="1" w:lastRow="0" w:firstColumn="1" w:lastColumn="0" w:noHBand="0" w:noVBand="1"/>
      </w:tblPr>
      <w:tblGrid>
        <w:gridCol w:w="700"/>
        <w:gridCol w:w="2600"/>
        <w:gridCol w:w="1000"/>
        <w:gridCol w:w="1150"/>
        <w:gridCol w:w="3107"/>
      </w:tblGrid>
      <w:tr w:rsidR="00F50D70" w:rsidRPr="00BE4F47" w14:paraId="5AE060BA" w14:textId="77777777" w:rsidTr="0036725C">
        <w:trPr>
          <w:trHeight w:val="227"/>
          <w:tblHeader/>
        </w:trPr>
        <w:tc>
          <w:tcPr>
            <w:tcW w:w="70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58B06A29"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Rang</w:t>
            </w:r>
          </w:p>
        </w:tc>
        <w:tc>
          <w:tcPr>
            <w:tcW w:w="260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02E58D8D"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Besoin</w:t>
            </w:r>
          </w:p>
        </w:tc>
        <w:tc>
          <w:tcPr>
            <w:tcW w:w="100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3B7407DB"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Urgence</w:t>
            </w:r>
          </w:p>
        </w:tc>
        <w:tc>
          <w:tcPr>
            <w:tcW w:w="115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6D5E27C9"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Importance</w:t>
            </w:r>
          </w:p>
        </w:tc>
        <w:tc>
          <w:tcPr>
            <w:tcW w:w="3107"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502948F3"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Conséquence si non couvert</w:t>
            </w:r>
          </w:p>
        </w:tc>
      </w:tr>
      <w:tr w:rsidR="00F50D70" w:rsidRPr="00BE4F47" w14:paraId="66263B66" w14:textId="77777777">
        <w:trPr>
          <w:cantSplit/>
          <w:trHeight w:val="415"/>
        </w:trPr>
        <w:tc>
          <w:tcPr>
            <w:tcW w:w="700" w:type="dxa"/>
            <w:tcBorders>
              <w:top w:val="single" w:sz="4" w:space="0" w:color="000000"/>
              <w:left w:val="single" w:sz="4" w:space="0" w:color="000000"/>
              <w:bottom w:val="single" w:sz="4" w:space="0" w:color="000000"/>
              <w:right w:val="single" w:sz="4" w:space="0" w:color="000000"/>
            </w:tcBorders>
          </w:tcPr>
          <w:p w14:paraId="6CEBA03A"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1</w:t>
            </w:r>
          </w:p>
        </w:tc>
        <w:tc>
          <w:tcPr>
            <w:tcW w:w="2600" w:type="dxa"/>
            <w:tcBorders>
              <w:top w:val="single" w:sz="4" w:space="0" w:color="000000"/>
              <w:left w:val="single" w:sz="4" w:space="0" w:color="000000"/>
              <w:bottom w:val="single" w:sz="4" w:space="0" w:color="000000"/>
              <w:right w:val="single" w:sz="4" w:space="0" w:color="000000"/>
            </w:tcBorders>
          </w:tcPr>
          <w:p w14:paraId="266EB70D"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Rejouer des scénarios de défaillance de façon reproductible.</w:t>
            </w:r>
          </w:p>
        </w:tc>
        <w:tc>
          <w:tcPr>
            <w:tcW w:w="1000" w:type="dxa"/>
            <w:tcBorders>
              <w:top w:val="single" w:sz="4" w:space="0" w:color="000000"/>
              <w:left w:val="single" w:sz="4" w:space="0" w:color="000000"/>
              <w:bottom w:val="single" w:sz="4" w:space="0" w:color="000000"/>
              <w:right w:val="single" w:sz="4" w:space="0" w:color="000000"/>
            </w:tcBorders>
          </w:tcPr>
          <w:p w14:paraId="00712972"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J2</w:t>
            </w:r>
          </w:p>
        </w:tc>
        <w:tc>
          <w:tcPr>
            <w:tcW w:w="1150" w:type="dxa"/>
            <w:tcBorders>
              <w:top w:val="single" w:sz="4" w:space="0" w:color="000000"/>
              <w:left w:val="single" w:sz="4" w:space="0" w:color="000000"/>
              <w:bottom w:val="single" w:sz="4" w:space="0" w:color="000000"/>
              <w:right w:val="single" w:sz="4" w:space="0" w:color="000000"/>
            </w:tcBorders>
          </w:tcPr>
          <w:p w14:paraId="104FA4FA"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Critique</w:t>
            </w:r>
          </w:p>
        </w:tc>
        <w:tc>
          <w:tcPr>
            <w:tcW w:w="3107" w:type="dxa"/>
            <w:tcBorders>
              <w:top w:val="single" w:sz="4" w:space="0" w:color="000000"/>
              <w:left w:val="single" w:sz="4" w:space="0" w:color="000000"/>
              <w:bottom w:val="single" w:sz="4" w:space="0" w:color="000000"/>
              <w:right w:val="single" w:sz="4" w:space="0" w:color="000000"/>
            </w:tcBorders>
          </w:tcPr>
          <w:p w14:paraId="5A78C4E4"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Le projet perd son objet. Aucun autre besoin n’a de sens sans celui-là.</w:t>
            </w:r>
          </w:p>
        </w:tc>
      </w:tr>
      <w:tr w:rsidR="00F50D70" w:rsidRPr="00BE4F47" w14:paraId="50B5A500" w14:textId="77777777">
        <w:trPr>
          <w:cantSplit/>
          <w:trHeight w:val="415"/>
        </w:trPr>
        <w:tc>
          <w:tcPr>
            <w:tcW w:w="700" w:type="dxa"/>
            <w:tcBorders>
              <w:top w:val="single" w:sz="4" w:space="0" w:color="000000"/>
              <w:left w:val="single" w:sz="4" w:space="0" w:color="000000"/>
              <w:bottom w:val="single" w:sz="4" w:space="0" w:color="000000"/>
              <w:right w:val="single" w:sz="4" w:space="0" w:color="000000"/>
            </w:tcBorders>
          </w:tcPr>
          <w:p w14:paraId="63C1B509"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2</w:t>
            </w:r>
          </w:p>
        </w:tc>
        <w:tc>
          <w:tcPr>
            <w:tcW w:w="2600" w:type="dxa"/>
            <w:tcBorders>
              <w:top w:val="single" w:sz="4" w:space="0" w:color="000000"/>
              <w:left w:val="single" w:sz="4" w:space="0" w:color="000000"/>
              <w:bottom w:val="single" w:sz="4" w:space="0" w:color="000000"/>
              <w:right w:val="single" w:sz="4" w:space="0" w:color="000000"/>
            </w:tcBorders>
          </w:tcPr>
          <w:p w14:paraId="194AF336"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Signaler l’incertitude plutôt que présenter un état douteux comme normal.</w:t>
            </w:r>
          </w:p>
        </w:tc>
        <w:tc>
          <w:tcPr>
            <w:tcW w:w="1000" w:type="dxa"/>
            <w:tcBorders>
              <w:top w:val="single" w:sz="4" w:space="0" w:color="000000"/>
              <w:left w:val="single" w:sz="4" w:space="0" w:color="000000"/>
              <w:bottom w:val="single" w:sz="4" w:space="0" w:color="000000"/>
              <w:right w:val="single" w:sz="4" w:space="0" w:color="000000"/>
            </w:tcBorders>
          </w:tcPr>
          <w:p w14:paraId="6B612965"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J3</w:t>
            </w:r>
          </w:p>
        </w:tc>
        <w:tc>
          <w:tcPr>
            <w:tcW w:w="1150" w:type="dxa"/>
            <w:tcBorders>
              <w:top w:val="single" w:sz="4" w:space="0" w:color="000000"/>
              <w:left w:val="single" w:sz="4" w:space="0" w:color="000000"/>
              <w:bottom w:val="single" w:sz="4" w:space="0" w:color="000000"/>
              <w:right w:val="single" w:sz="4" w:space="0" w:color="000000"/>
            </w:tcBorders>
          </w:tcPr>
          <w:p w14:paraId="097DEC2D"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Critique</w:t>
            </w:r>
          </w:p>
        </w:tc>
        <w:tc>
          <w:tcPr>
            <w:tcW w:w="3107" w:type="dxa"/>
            <w:tcBorders>
              <w:top w:val="single" w:sz="4" w:space="0" w:color="000000"/>
              <w:left w:val="single" w:sz="4" w:space="0" w:color="000000"/>
              <w:bottom w:val="single" w:sz="4" w:space="0" w:color="000000"/>
              <w:right w:val="single" w:sz="4" w:space="0" w:color="000000"/>
            </w:tcBorders>
          </w:tcPr>
          <w:p w14:paraId="3EDA1DCA"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Le système devient dangereux à utiliser. C’est le cœur de la protection du public.</w:t>
            </w:r>
          </w:p>
        </w:tc>
      </w:tr>
      <w:tr w:rsidR="00F50D70" w:rsidRPr="00BE4F47" w14:paraId="39A5E910" w14:textId="77777777">
        <w:trPr>
          <w:cantSplit/>
          <w:trHeight w:val="415"/>
        </w:trPr>
        <w:tc>
          <w:tcPr>
            <w:tcW w:w="700" w:type="dxa"/>
            <w:tcBorders>
              <w:top w:val="single" w:sz="4" w:space="0" w:color="000000"/>
              <w:left w:val="single" w:sz="4" w:space="0" w:color="000000"/>
              <w:bottom w:val="single" w:sz="4" w:space="0" w:color="000000"/>
              <w:right w:val="single" w:sz="4" w:space="0" w:color="000000"/>
            </w:tcBorders>
          </w:tcPr>
          <w:p w14:paraId="6387C9F0"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3</w:t>
            </w:r>
          </w:p>
        </w:tc>
        <w:tc>
          <w:tcPr>
            <w:tcW w:w="2600" w:type="dxa"/>
            <w:tcBorders>
              <w:top w:val="single" w:sz="4" w:space="0" w:color="000000"/>
              <w:left w:val="single" w:sz="4" w:space="0" w:color="000000"/>
              <w:bottom w:val="single" w:sz="4" w:space="0" w:color="000000"/>
              <w:right w:val="single" w:sz="4" w:space="0" w:color="000000"/>
            </w:tcBorders>
          </w:tcPr>
          <w:p w14:paraId="6B5AED54"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Comparer le comportement observé au comportement attendu.</w:t>
            </w:r>
          </w:p>
        </w:tc>
        <w:tc>
          <w:tcPr>
            <w:tcW w:w="1000" w:type="dxa"/>
            <w:tcBorders>
              <w:top w:val="single" w:sz="4" w:space="0" w:color="000000"/>
              <w:left w:val="single" w:sz="4" w:space="0" w:color="000000"/>
              <w:bottom w:val="single" w:sz="4" w:space="0" w:color="000000"/>
              <w:right w:val="single" w:sz="4" w:space="0" w:color="000000"/>
            </w:tcBorders>
          </w:tcPr>
          <w:p w14:paraId="1A4F93FF"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J2</w:t>
            </w:r>
          </w:p>
        </w:tc>
        <w:tc>
          <w:tcPr>
            <w:tcW w:w="1150" w:type="dxa"/>
            <w:tcBorders>
              <w:top w:val="single" w:sz="4" w:space="0" w:color="000000"/>
              <w:left w:val="single" w:sz="4" w:space="0" w:color="000000"/>
              <w:bottom w:val="single" w:sz="4" w:space="0" w:color="000000"/>
              <w:right w:val="single" w:sz="4" w:space="0" w:color="000000"/>
            </w:tcBorders>
          </w:tcPr>
          <w:p w14:paraId="79ED6770"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Critique</w:t>
            </w:r>
          </w:p>
        </w:tc>
        <w:tc>
          <w:tcPr>
            <w:tcW w:w="3107" w:type="dxa"/>
            <w:tcBorders>
              <w:top w:val="single" w:sz="4" w:space="0" w:color="000000"/>
              <w:left w:val="single" w:sz="4" w:space="0" w:color="000000"/>
              <w:bottom w:val="single" w:sz="4" w:space="0" w:color="000000"/>
              <w:right w:val="single" w:sz="4" w:space="0" w:color="000000"/>
            </w:tcBorders>
          </w:tcPr>
          <w:p w14:paraId="23A630AC"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Aucune détection n’est possible.</w:t>
            </w:r>
          </w:p>
        </w:tc>
      </w:tr>
      <w:tr w:rsidR="00F50D70" w:rsidRPr="00BE4F47" w14:paraId="6AF3BF90" w14:textId="77777777">
        <w:trPr>
          <w:cantSplit/>
          <w:trHeight w:val="415"/>
        </w:trPr>
        <w:tc>
          <w:tcPr>
            <w:tcW w:w="700" w:type="dxa"/>
            <w:tcBorders>
              <w:top w:val="single" w:sz="4" w:space="0" w:color="000000"/>
              <w:left w:val="single" w:sz="4" w:space="0" w:color="000000"/>
              <w:bottom w:val="single" w:sz="4" w:space="0" w:color="000000"/>
              <w:right w:val="single" w:sz="4" w:space="0" w:color="000000"/>
            </w:tcBorders>
          </w:tcPr>
          <w:p w14:paraId="2CEAD598"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4</w:t>
            </w:r>
          </w:p>
        </w:tc>
        <w:tc>
          <w:tcPr>
            <w:tcW w:w="2600" w:type="dxa"/>
            <w:tcBorders>
              <w:top w:val="single" w:sz="4" w:space="0" w:color="000000"/>
              <w:left w:val="single" w:sz="4" w:space="0" w:color="000000"/>
              <w:bottom w:val="single" w:sz="4" w:space="0" w:color="000000"/>
              <w:right w:val="single" w:sz="4" w:space="0" w:color="000000"/>
            </w:tcBorders>
          </w:tcPr>
          <w:p w14:paraId="4810E656"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Expliquer pourquoi le système conclut, en montrant les variables contributrices.</w:t>
            </w:r>
          </w:p>
        </w:tc>
        <w:tc>
          <w:tcPr>
            <w:tcW w:w="1000" w:type="dxa"/>
            <w:tcBorders>
              <w:top w:val="single" w:sz="4" w:space="0" w:color="000000"/>
              <w:left w:val="single" w:sz="4" w:space="0" w:color="000000"/>
              <w:bottom w:val="single" w:sz="4" w:space="0" w:color="000000"/>
              <w:right w:val="single" w:sz="4" w:space="0" w:color="000000"/>
            </w:tcBorders>
          </w:tcPr>
          <w:p w14:paraId="4B613AF9"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J3</w:t>
            </w:r>
          </w:p>
        </w:tc>
        <w:tc>
          <w:tcPr>
            <w:tcW w:w="1150" w:type="dxa"/>
            <w:tcBorders>
              <w:top w:val="single" w:sz="4" w:space="0" w:color="000000"/>
              <w:left w:val="single" w:sz="4" w:space="0" w:color="000000"/>
              <w:bottom w:val="single" w:sz="4" w:space="0" w:color="000000"/>
              <w:right w:val="single" w:sz="4" w:space="0" w:color="000000"/>
            </w:tcBorders>
          </w:tcPr>
          <w:p w14:paraId="6C20321A"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Élevée</w:t>
            </w:r>
          </w:p>
        </w:tc>
        <w:tc>
          <w:tcPr>
            <w:tcW w:w="3107" w:type="dxa"/>
            <w:tcBorders>
              <w:top w:val="single" w:sz="4" w:space="0" w:color="000000"/>
              <w:left w:val="single" w:sz="4" w:space="0" w:color="000000"/>
              <w:bottom w:val="single" w:sz="4" w:space="0" w:color="000000"/>
              <w:right w:val="single" w:sz="4" w:space="0" w:color="000000"/>
            </w:tcBorders>
          </w:tcPr>
          <w:p w14:paraId="2A2F12DF"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L’outil devient une boîte noire. Les opérateurs ne peuvent plus en répondre.</w:t>
            </w:r>
          </w:p>
        </w:tc>
      </w:tr>
      <w:tr w:rsidR="00F50D70" w:rsidRPr="00BE4F47" w14:paraId="5DB0CAA2" w14:textId="77777777">
        <w:trPr>
          <w:cantSplit/>
          <w:trHeight w:val="415"/>
        </w:trPr>
        <w:tc>
          <w:tcPr>
            <w:tcW w:w="700" w:type="dxa"/>
            <w:tcBorders>
              <w:top w:val="single" w:sz="4" w:space="0" w:color="000000"/>
              <w:left w:val="single" w:sz="4" w:space="0" w:color="000000"/>
              <w:bottom w:val="single" w:sz="4" w:space="0" w:color="000000"/>
              <w:right w:val="single" w:sz="4" w:space="0" w:color="000000"/>
            </w:tcBorders>
          </w:tcPr>
          <w:p w14:paraId="2408ED40"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5</w:t>
            </w:r>
          </w:p>
        </w:tc>
        <w:tc>
          <w:tcPr>
            <w:tcW w:w="2600" w:type="dxa"/>
            <w:tcBorders>
              <w:top w:val="single" w:sz="4" w:space="0" w:color="000000"/>
              <w:left w:val="single" w:sz="4" w:space="0" w:color="000000"/>
              <w:bottom w:val="single" w:sz="4" w:space="0" w:color="000000"/>
              <w:right w:val="single" w:sz="4" w:space="0" w:color="000000"/>
            </w:tcBorders>
          </w:tcPr>
          <w:p w14:paraId="0582867F"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Journaliser toute acquisition et tout changement d’état.</w:t>
            </w:r>
          </w:p>
        </w:tc>
        <w:tc>
          <w:tcPr>
            <w:tcW w:w="1000" w:type="dxa"/>
            <w:tcBorders>
              <w:top w:val="single" w:sz="4" w:space="0" w:color="000000"/>
              <w:left w:val="single" w:sz="4" w:space="0" w:color="000000"/>
              <w:bottom w:val="single" w:sz="4" w:space="0" w:color="000000"/>
              <w:right w:val="single" w:sz="4" w:space="0" w:color="000000"/>
            </w:tcBorders>
          </w:tcPr>
          <w:p w14:paraId="7B6E6C3B"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J2</w:t>
            </w:r>
          </w:p>
        </w:tc>
        <w:tc>
          <w:tcPr>
            <w:tcW w:w="1150" w:type="dxa"/>
            <w:tcBorders>
              <w:top w:val="single" w:sz="4" w:space="0" w:color="000000"/>
              <w:left w:val="single" w:sz="4" w:space="0" w:color="000000"/>
              <w:bottom w:val="single" w:sz="4" w:space="0" w:color="000000"/>
              <w:right w:val="single" w:sz="4" w:space="0" w:color="000000"/>
            </w:tcBorders>
          </w:tcPr>
          <w:p w14:paraId="563B192E"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Élevée</w:t>
            </w:r>
          </w:p>
        </w:tc>
        <w:tc>
          <w:tcPr>
            <w:tcW w:w="3107" w:type="dxa"/>
            <w:tcBorders>
              <w:top w:val="single" w:sz="4" w:space="0" w:color="000000"/>
              <w:left w:val="single" w:sz="4" w:space="0" w:color="000000"/>
              <w:bottom w:val="single" w:sz="4" w:space="0" w:color="000000"/>
              <w:right w:val="single" w:sz="4" w:space="0" w:color="000000"/>
            </w:tcBorders>
          </w:tcPr>
          <w:p w14:paraId="3441DC64"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La traçabilité attendue par le cadre réglementaire n’est plus démontrable.</w:t>
            </w:r>
          </w:p>
        </w:tc>
      </w:tr>
      <w:tr w:rsidR="00F50D70" w:rsidRPr="00BE4F47" w14:paraId="6858BFE5" w14:textId="77777777">
        <w:trPr>
          <w:cantSplit/>
          <w:trHeight w:val="415"/>
        </w:trPr>
        <w:tc>
          <w:tcPr>
            <w:tcW w:w="700" w:type="dxa"/>
            <w:tcBorders>
              <w:top w:val="single" w:sz="4" w:space="0" w:color="000000"/>
              <w:left w:val="single" w:sz="4" w:space="0" w:color="000000"/>
              <w:bottom w:val="single" w:sz="4" w:space="0" w:color="000000"/>
              <w:right w:val="single" w:sz="4" w:space="0" w:color="000000"/>
            </w:tcBorders>
          </w:tcPr>
          <w:p w14:paraId="625A8EAD"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6</w:t>
            </w:r>
          </w:p>
        </w:tc>
        <w:tc>
          <w:tcPr>
            <w:tcW w:w="2600" w:type="dxa"/>
            <w:tcBorders>
              <w:top w:val="single" w:sz="4" w:space="0" w:color="000000"/>
              <w:left w:val="single" w:sz="4" w:space="0" w:color="000000"/>
              <w:bottom w:val="single" w:sz="4" w:space="0" w:color="000000"/>
              <w:right w:val="single" w:sz="4" w:space="0" w:color="000000"/>
            </w:tcBorders>
          </w:tcPr>
          <w:p w14:paraId="47207D48"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Documenter le domaine de validité et les limites d’emploi.</w:t>
            </w:r>
          </w:p>
        </w:tc>
        <w:tc>
          <w:tcPr>
            <w:tcW w:w="1000" w:type="dxa"/>
            <w:tcBorders>
              <w:top w:val="single" w:sz="4" w:space="0" w:color="000000"/>
              <w:left w:val="single" w:sz="4" w:space="0" w:color="000000"/>
              <w:bottom w:val="single" w:sz="4" w:space="0" w:color="000000"/>
              <w:right w:val="single" w:sz="4" w:space="0" w:color="000000"/>
            </w:tcBorders>
          </w:tcPr>
          <w:p w14:paraId="4473055A"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J5</w:t>
            </w:r>
          </w:p>
        </w:tc>
        <w:tc>
          <w:tcPr>
            <w:tcW w:w="1150" w:type="dxa"/>
            <w:tcBorders>
              <w:top w:val="single" w:sz="4" w:space="0" w:color="000000"/>
              <w:left w:val="single" w:sz="4" w:space="0" w:color="000000"/>
              <w:bottom w:val="single" w:sz="4" w:space="0" w:color="000000"/>
              <w:right w:val="single" w:sz="4" w:space="0" w:color="000000"/>
            </w:tcBorders>
          </w:tcPr>
          <w:p w14:paraId="0BA13181"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Élevée</w:t>
            </w:r>
          </w:p>
        </w:tc>
        <w:tc>
          <w:tcPr>
            <w:tcW w:w="3107" w:type="dxa"/>
            <w:tcBorders>
              <w:top w:val="single" w:sz="4" w:space="0" w:color="000000"/>
              <w:left w:val="single" w:sz="4" w:space="0" w:color="000000"/>
              <w:bottom w:val="single" w:sz="4" w:space="0" w:color="000000"/>
              <w:right w:val="single" w:sz="4" w:space="0" w:color="000000"/>
            </w:tcBorders>
          </w:tcPr>
          <w:p w14:paraId="41F4D33E"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Le livrable ne peut pas être remis. C’est une obligation professionnelle, pas une option.</w:t>
            </w:r>
          </w:p>
        </w:tc>
      </w:tr>
      <w:tr w:rsidR="00F50D70" w:rsidRPr="00BE4F47" w14:paraId="23EB0697" w14:textId="77777777">
        <w:trPr>
          <w:cantSplit/>
          <w:trHeight w:val="415"/>
        </w:trPr>
        <w:tc>
          <w:tcPr>
            <w:tcW w:w="700" w:type="dxa"/>
            <w:tcBorders>
              <w:top w:val="single" w:sz="4" w:space="0" w:color="000000"/>
              <w:left w:val="single" w:sz="4" w:space="0" w:color="000000"/>
              <w:bottom w:val="single" w:sz="4" w:space="0" w:color="000000"/>
              <w:right w:val="single" w:sz="4" w:space="0" w:color="000000"/>
            </w:tcBorders>
          </w:tcPr>
          <w:p w14:paraId="2FC6B43F"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7</w:t>
            </w:r>
          </w:p>
        </w:tc>
        <w:tc>
          <w:tcPr>
            <w:tcW w:w="2600" w:type="dxa"/>
            <w:tcBorders>
              <w:top w:val="single" w:sz="4" w:space="0" w:color="000000"/>
              <w:left w:val="single" w:sz="4" w:space="0" w:color="000000"/>
              <w:bottom w:val="single" w:sz="4" w:space="0" w:color="000000"/>
              <w:right w:val="single" w:sz="4" w:space="0" w:color="000000"/>
            </w:tcBorders>
          </w:tcPr>
          <w:p w14:paraId="74FD989E"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Quantifier l’incertitude par une méthode statistique établie.</w:t>
            </w:r>
          </w:p>
        </w:tc>
        <w:tc>
          <w:tcPr>
            <w:tcW w:w="1000" w:type="dxa"/>
            <w:tcBorders>
              <w:top w:val="single" w:sz="4" w:space="0" w:color="000000"/>
              <w:left w:val="single" w:sz="4" w:space="0" w:color="000000"/>
              <w:bottom w:val="single" w:sz="4" w:space="0" w:color="000000"/>
              <w:right w:val="single" w:sz="4" w:space="0" w:color="000000"/>
            </w:tcBorders>
          </w:tcPr>
          <w:p w14:paraId="3FD4ED65"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J4</w:t>
            </w:r>
          </w:p>
        </w:tc>
        <w:tc>
          <w:tcPr>
            <w:tcW w:w="1150" w:type="dxa"/>
            <w:tcBorders>
              <w:top w:val="single" w:sz="4" w:space="0" w:color="000000"/>
              <w:left w:val="single" w:sz="4" w:space="0" w:color="000000"/>
              <w:bottom w:val="single" w:sz="4" w:space="0" w:color="000000"/>
              <w:right w:val="single" w:sz="4" w:space="0" w:color="000000"/>
            </w:tcBorders>
          </w:tcPr>
          <w:p w14:paraId="66A4093D"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Moyenne</w:t>
            </w:r>
          </w:p>
        </w:tc>
        <w:tc>
          <w:tcPr>
            <w:tcW w:w="3107" w:type="dxa"/>
            <w:tcBorders>
              <w:top w:val="single" w:sz="4" w:space="0" w:color="000000"/>
              <w:left w:val="single" w:sz="4" w:space="0" w:color="000000"/>
              <w:bottom w:val="single" w:sz="4" w:space="0" w:color="000000"/>
              <w:right w:val="single" w:sz="4" w:space="0" w:color="000000"/>
            </w:tcBorders>
          </w:tcPr>
          <w:p w14:paraId="3E03694A"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Le niveau de confiance devient qualitatif. Le contenu est réductible si nécessaire.</w:t>
            </w:r>
          </w:p>
        </w:tc>
      </w:tr>
      <w:tr w:rsidR="00F50D70" w:rsidRPr="00BE4F47" w14:paraId="462BD81D" w14:textId="77777777">
        <w:trPr>
          <w:cantSplit/>
          <w:trHeight w:val="415"/>
        </w:trPr>
        <w:tc>
          <w:tcPr>
            <w:tcW w:w="700" w:type="dxa"/>
            <w:tcBorders>
              <w:top w:val="single" w:sz="4" w:space="0" w:color="000000"/>
              <w:left w:val="single" w:sz="4" w:space="0" w:color="000000"/>
              <w:bottom w:val="single" w:sz="4" w:space="0" w:color="000000"/>
              <w:right w:val="single" w:sz="4" w:space="0" w:color="000000"/>
            </w:tcBorders>
          </w:tcPr>
          <w:p w14:paraId="0A688602"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8</w:t>
            </w:r>
          </w:p>
        </w:tc>
        <w:tc>
          <w:tcPr>
            <w:tcW w:w="2600" w:type="dxa"/>
            <w:tcBorders>
              <w:top w:val="single" w:sz="4" w:space="0" w:color="000000"/>
              <w:left w:val="single" w:sz="4" w:space="0" w:color="000000"/>
              <w:bottom w:val="single" w:sz="4" w:space="0" w:color="000000"/>
              <w:right w:val="single" w:sz="4" w:space="0" w:color="000000"/>
            </w:tcBorders>
          </w:tcPr>
          <w:p w14:paraId="66E9A236"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Offrir une interface graphique aboutie.</w:t>
            </w:r>
          </w:p>
        </w:tc>
        <w:tc>
          <w:tcPr>
            <w:tcW w:w="1000" w:type="dxa"/>
            <w:tcBorders>
              <w:top w:val="single" w:sz="4" w:space="0" w:color="000000"/>
              <w:left w:val="single" w:sz="4" w:space="0" w:color="000000"/>
              <w:bottom w:val="single" w:sz="4" w:space="0" w:color="000000"/>
              <w:right w:val="single" w:sz="4" w:space="0" w:color="000000"/>
            </w:tcBorders>
          </w:tcPr>
          <w:p w14:paraId="2C00E742"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J4</w:t>
            </w:r>
          </w:p>
        </w:tc>
        <w:tc>
          <w:tcPr>
            <w:tcW w:w="1150" w:type="dxa"/>
            <w:tcBorders>
              <w:top w:val="single" w:sz="4" w:space="0" w:color="000000"/>
              <w:left w:val="single" w:sz="4" w:space="0" w:color="000000"/>
              <w:bottom w:val="single" w:sz="4" w:space="0" w:color="000000"/>
              <w:right w:val="single" w:sz="4" w:space="0" w:color="000000"/>
            </w:tcBorders>
          </w:tcPr>
          <w:p w14:paraId="39B48932"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Moyenne</w:t>
            </w:r>
          </w:p>
        </w:tc>
        <w:tc>
          <w:tcPr>
            <w:tcW w:w="3107" w:type="dxa"/>
            <w:tcBorders>
              <w:top w:val="single" w:sz="4" w:space="0" w:color="000000"/>
              <w:left w:val="single" w:sz="4" w:space="0" w:color="000000"/>
              <w:bottom w:val="single" w:sz="4" w:space="0" w:color="000000"/>
              <w:right w:val="single" w:sz="4" w:space="0" w:color="000000"/>
            </w:tcBorders>
          </w:tcPr>
          <w:p w14:paraId="5E00222C"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Le contenu est réductible. Une présentation sobre suffit à démontrer la fonction.</w:t>
            </w:r>
          </w:p>
        </w:tc>
      </w:tr>
    </w:tbl>
    <w:p w14:paraId="1B0E9A1E" w14:textId="77777777" w:rsidR="00F50D70" w:rsidRPr="00BE4F47" w:rsidRDefault="00137D7F" w:rsidP="008E113B">
      <w:pPr>
        <w:spacing w:before="200" w:after="130" w:line="360" w:lineRule="auto"/>
        <w:ind w:left="360"/>
        <w:rPr>
          <w:rFonts w:ascii="Aptos" w:hAnsi="Aptos"/>
        </w:rPr>
      </w:pPr>
      <w:bookmarkStart w:id="124" w:name="_Toc241082809"/>
      <w:bookmarkStart w:id="125" w:name="_Toc241670004"/>
      <w:bookmarkStart w:id="126" w:name="_Toc241707712"/>
      <w:bookmarkStart w:id="127" w:name="_Toc241791661"/>
      <w:r w:rsidRPr="00BE4F47">
        <w:rPr>
          <w:rFonts w:ascii="Aptos" w:hAnsi="Aptos"/>
          <w:color w:val="1A1A19"/>
          <w:sz w:val="20"/>
          <w:szCs w:val="20"/>
        </w:rPr>
        <w:t>Les rangs 1 à 3 ne sont pas négociables, car ils portent l’objectif directeur. Les rangs 4 à 6 répondent à des obligations professionnelles et réglementaires : ils peuvent être réduits en ampleur, jamais supprimés. Les rangs 7 et 8 forment le contenu ajustable. Cette liste sera arrêtée avec le client au jalon J1.</w:t>
      </w:r>
      <w:bookmarkEnd w:id="124"/>
      <w:bookmarkEnd w:id="125"/>
      <w:bookmarkEnd w:id="126"/>
      <w:bookmarkEnd w:id="127"/>
    </w:p>
    <w:p w14:paraId="257509AC" w14:textId="77777777" w:rsidR="00F50D70" w:rsidRPr="00BE4F47" w:rsidRDefault="00137D7F" w:rsidP="008E113B">
      <w:pPr>
        <w:spacing w:after="130" w:line="360" w:lineRule="auto"/>
        <w:ind w:left="360"/>
        <w:rPr>
          <w:rFonts w:ascii="Aptos" w:hAnsi="Aptos"/>
        </w:rPr>
      </w:pPr>
      <w:bookmarkStart w:id="128" w:name="_Toc241082789"/>
      <w:bookmarkStart w:id="129" w:name="_Toc241670005"/>
      <w:bookmarkStart w:id="130" w:name="_Toc241707713"/>
      <w:bookmarkStart w:id="131" w:name="_Toc241791662"/>
      <w:r w:rsidRPr="00BE4F47">
        <w:rPr>
          <w:rFonts w:ascii="Aptos" w:hAnsi="Aptos"/>
          <w:color w:val="1A1A19"/>
          <w:sz w:val="20"/>
          <w:szCs w:val="20"/>
        </w:rPr>
        <w:lastRenderedPageBreak/>
        <w:t>Ces besoins supposent que le système sache distinguer plusieurs états de fonctionnement.</w:t>
      </w:r>
      <w:bookmarkEnd w:id="128"/>
      <w:bookmarkEnd w:id="129"/>
      <w:bookmarkEnd w:id="130"/>
      <w:bookmarkEnd w:id="131"/>
    </w:p>
    <w:p w14:paraId="62EAF104" w14:textId="77777777" w:rsidR="00927E59" w:rsidRPr="00BE4F47" w:rsidRDefault="00927E59" w:rsidP="008E113B">
      <w:pPr>
        <w:pStyle w:val="Titre2"/>
        <w:spacing w:line="360" w:lineRule="auto"/>
      </w:pPr>
      <w:bookmarkStart w:id="132" w:name="_Toc241707714"/>
      <w:bookmarkStart w:id="133" w:name="_Toc241791663"/>
      <w:r w:rsidRPr="00BE4F47">
        <w:t>Modes de fonctionnement et analyse fonctionnelle</w:t>
      </w:r>
      <w:bookmarkEnd w:id="132"/>
      <w:bookmarkEnd w:id="133"/>
    </w:p>
    <w:p w14:paraId="620084EF" w14:textId="77777777" w:rsidR="00F50D70" w:rsidRPr="00BE4F47" w:rsidRDefault="00137D7F" w:rsidP="008E113B">
      <w:pPr>
        <w:spacing w:after="130" w:line="360" w:lineRule="auto"/>
        <w:ind w:left="360"/>
        <w:rPr>
          <w:rFonts w:ascii="Aptos" w:eastAsia="Calibri" w:hAnsi="Aptos" w:cs="Calibri"/>
          <w:color w:val="1A1A19"/>
          <w:sz w:val="20"/>
          <w:szCs w:val="20"/>
        </w:rPr>
      </w:pPr>
      <w:bookmarkStart w:id="134" w:name="_Toc241082793"/>
      <w:bookmarkStart w:id="135" w:name="_Toc241670007"/>
      <w:bookmarkStart w:id="136" w:name="_Toc241707715"/>
      <w:bookmarkStart w:id="137" w:name="_Toc241791664"/>
      <w:r w:rsidRPr="00BE4F47">
        <w:rPr>
          <w:rFonts w:ascii="Aptos" w:hAnsi="Aptos"/>
          <w:color w:val="1A1A19"/>
          <w:sz w:val="20"/>
          <w:szCs w:val="20"/>
        </w:rPr>
        <w:t>Nous décrivons les états du système au moyen d’un GEMMA, le guide d’étude des modes de marche et d’arrêt. La figure 1-1 en compte onze, répartis en trois familles : les procédures d’arrêt et de remise en route (A1, A2, A5, A6), les procédures de fonctionnement (F1, F2, F4, F6) et les procédures en défaillance (D1, D2, D3). Les cinq états du guide qui ne sont pas repris sont justifiés dans le document de référence du GEMMA. Cette répartition sera confirmée avec le client au jalon J1.</w:t>
      </w:r>
      <w:bookmarkEnd w:id="134"/>
      <w:bookmarkEnd w:id="135"/>
      <w:bookmarkEnd w:id="136"/>
      <w:bookmarkEnd w:id="137"/>
    </w:p>
    <w:p w14:paraId="5EFA862E" w14:textId="77777777" w:rsidR="00F50D70" w:rsidRPr="00BE4F47" w:rsidRDefault="002A1CE1" w:rsidP="008E113B">
      <w:pPr>
        <w:keepNext/>
        <w:spacing w:line="360" w:lineRule="auto"/>
        <w:ind w:left="360"/>
        <w:rPr>
          <w:rFonts w:ascii="Aptos" w:hAnsi="Aptos"/>
        </w:rPr>
      </w:pPr>
      <w:bookmarkStart w:id="138" w:name="_Toc241082791"/>
      <w:bookmarkStart w:id="139" w:name="_Toc241670008"/>
      <w:bookmarkStart w:id="140" w:name="_Toc241707716"/>
      <w:bookmarkStart w:id="141" w:name="_Toc241791665"/>
      <w:r>
        <w:rPr>
          <w:rFonts w:ascii="Aptos" w:hAnsi="Aptos"/>
          <w:noProof/>
        </w:rPr>
        <w:drawing>
          <wp:inline distT="0" distB="0" distL="0" distR="0" wp14:anchorId="5E574FA1" wp14:editId="7E9FA68A">
            <wp:extent cx="5593080" cy="3497580"/>
            <wp:effectExtent l="0" t="0" r="0" b="0"/>
            <wp:docPr id="2"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
                    <pic:cNvPicPr>
                      <a:picLocks noChangeAspect="1" noChangeArrowheads="1"/>
                    </pic:cNvPicPr>
                  </pic:nvPicPr>
                  <pic:blipFill>
                    <a:blip r:embed="rId12" cstate="print">
                      <a:extLst>
                        <a:ext uri="{28A0092B-C50C-407E-A947-70E740481C1C}">
                          <a14:useLocalDpi xmlns:a14="http://schemas.microsoft.com/office/drawing/2010/main" val="0"/>
                        </a:ext>
                      </a:extLst>
                    </a:blip>
                    <a:srcRect l="-2" t="-3" r="-2" b="-3"/>
                    <a:stretch>
                      <a:fillRect/>
                    </a:stretch>
                  </pic:blipFill>
                  <pic:spPr bwMode="auto">
                    <a:xfrm>
                      <a:off x="0" y="0"/>
                      <a:ext cx="5593080" cy="3497580"/>
                    </a:xfrm>
                    <a:prstGeom prst="rect">
                      <a:avLst/>
                    </a:prstGeom>
                    <a:noFill/>
                    <a:ln>
                      <a:noFill/>
                    </a:ln>
                  </pic:spPr>
                </pic:pic>
              </a:graphicData>
            </a:graphic>
          </wp:inline>
        </w:drawing>
      </w:r>
      <w:bookmarkEnd w:id="138"/>
      <w:bookmarkEnd w:id="139"/>
      <w:bookmarkEnd w:id="140"/>
      <w:bookmarkEnd w:id="141"/>
    </w:p>
    <w:p w14:paraId="4BFA7252" w14:textId="77777777" w:rsidR="00F50D70" w:rsidRPr="00BE4F47" w:rsidRDefault="00137D7F" w:rsidP="008E113B">
      <w:pPr>
        <w:pStyle w:val="Lgende"/>
        <w:spacing w:line="360" w:lineRule="auto"/>
        <w:rPr>
          <w:rFonts w:ascii="Aptos" w:hAnsi="Aptos"/>
        </w:rPr>
      </w:pPr>
      <w:bookmarkStart w:id="142" w:name="_Toc241082792"/>
      <w:bookmarkStart w:id="143" w:name="_Toc241670009"/>
      <w:bookmarkStart w:id="144" w:name="_Toc241707717"/>
      <w:bookmarkStart w:id="145" w:name="_Toc241791666"/>
      <w:r w:rsidRPr="00BE4F47">
        <w:rPr>
          <w:rFonts w:ascii="Aptos" w:hAnsi="Aptos"/>
        </w:rPr>
        <w:t>Figure 1-1. Modes de marche et d’arrêt du jumeau numérique de surveillance</w:t>
      </w:r>
      <w:bookmarkEnd w:id="142"/>
      <w:bookmarkEnd w:id="143"/>
      <w:bookmarkEnd w:id="144"/>
      <w:bookmarkEnd w:id="145"/>
    </w:p>
    <w:p w14:paraId="48F8BA29" w14:textId="77777777" w:rsidR="00F50D70" w:rsidRPr="00BE4F47" w:rsidRDefault="00137D7F" w:rsidP="008E113B">
      <w:pPr>
        <w:spacing w:after="130" w:line="360" w:lineRule="auto"/>
        <w:ind w:left="360"/>
        <w:rPr>
          <w:rFonts w:ascii="Aptos" w:hAnsi="Aptos"/>
        </w:rPr>
      </w:pPr>
      <w:bookmarkStart w:id="146" w:name="_Toc241082794"/>
      <w:bookmarkStart w:id="147" w:name="_Toc241670010"/>
      <w:bookmarkStart w:id="148" w:name="_Toc241707718"/>
      <w:bookmarkStart w:id="149" w:name="_Toc241791667"/>
      <w:r w:rsidRPr="00BE4F47">
        <w:rPr>
          <w:rFonts w:ascii="Aptos" w:hAnsi="Aptos"/>
          <w:color w:val="1A1A19"/>
          <w:sz w:val="20"/>
          <w:szCs w:val="20"/>
        </w:rPr>
        <w:t>Trois états demandent une attention particulière pour la suite. F1 est la surveillance normale, où le comportement observé est comparé au comportement attendu. D2 est le diagnostic, atteint dès qu’une dérive est confirmée. D3 est le fonctionnement dégradé, qui demandera une validation humaine. Les exigences EX-F-06 à EX-F-09 traduisent ces trois états en comportements vérifiables.</w:t>
      </w:r>
      <w:bookmarkEnd w:id="146"/>
      <w:bookmarkEnd w:id="147"/>
      <w:bookmarkEnd w:id="148"/>
      <w:bookmarkEnd w:id="149"/>
    </w:p>
    <w:p w14:paraId="77F47038" w14:textId="77777777" w:rsidR="00F50D70" w:rsidRPr="00BE4F47" w:rsidRDefault="00137D7F" w:rsidP="008E113B">
      <w:pPr>
        <w:spacing w:after="130" w:line="360" w:lineRule="auto"/>
        <w:ind w:left="360"/>
        <w:rPr>
          <w:rFonts w:ascii="Aptos" w:hAnsi="Aptos"/>
        </w:rPr>
      </w:pPr>
      <w:bookmarkStart w:id="150" w:name="_Toc241082796"/>
      <w:bookmarkStart w:id="151" w:name="_Toc241670011"/>
      <w:bookmarkStart w:id="152" w:name="_Toc241707719"/>
      <w:bookmarkStart w:id="153" w:name="_Toc241791668"/>
      <w:r w:rsidRPr="00BE4F47">
        <w:rPr>
          <w:rFonts w:ascii="Aptos" w:hAnsi="Aptos"/>
          <w:color w:val="1A1A19"/>
          <w:sz w:val="20"/>
          <w:szCs w:val="20"/>
        </w:rPr>
        <w:t>Une décomposition en six sous-systèmes est proposée pour conduire l’analyse fonctionnelle. Elle suit la testabilité : un sous-système est une frontière où l’on peut mesurer quelque chose, et chaque flux est un point où un essai peut être posé. Ce découpage sert à poser les fonctions attendues. L’architecture réelle du logiciel sera arrêtée à la conception préliminaire, au jalon J2.</w:t>
      </w:r>
      <w:bookmarkEnd w:id="150"/>
      <w:bookmarkEnd w:id="151"/>
      <w:bookmarkEnd w:id="152"/>
      <w:bookmarkEnd w:id="153"/>
    </w:p>
    <w:p w14:paraId="55F8FDFB" w14:textId="77777777" w:rsidR="00F50D70" w:rsidRPr="00BE4F47" w:rsidRDefault="002A1CE1" w:rsidP="008E113B">
      <w:pPr>
        <w:keepNext/>
        <w:spacing w:line="360" w:lineRule="auto"/>
        <w:rPr>
          <w:rFonts w:ascii="Aptos" w:hAnsi="Aptos"/>
        </w:rPr>
      </w:pPr>
      <w:bookmarkStart w:id="154" w:name="_Toc241082798"/>
      <w:bookmarkStart w:id="155" w:name="_Toc241670012"/>
      <w:bookmarkStart w:id="156" w:name="_Toc241707720"/>
      <w:bookmarkStart w:id="157" w:name="_Toc241791669"/>
      <w:r>
        <w:rPr>
          <w:noProof/>
        </w:rPr>
        <w:lastRenderedPageBreak/>
        <w:drawing>
          <wp:anchor distT="0" distB="0" distL="114300" distR="114300" simplePos="0" relativeHeight="251657216" behindDoc="1" locked="0" layoutInCell="1" allowOverlap="1" wp14:anchorId="22AAA29F" wp14:editId="3E8664E1">
            <wp:simplePos x="0" y="0"/>
            <wp:positionH relativeFrom="column">
              <wp:posOffset>184785</wp:posOffset>
            </wp:positionH>
            <wp:positionV relativeFrom="paragraph">
              <wp:posOffset>5080</wp:posOffset>
            </wp:positionV>
            <wp:extent cx="5577840" cy="4451047"/>
            <wp:effectExtent l="0" t="0" r="0" b="0"/>
            <wp:wrapTight wrapText="bothSides">
              <wp:wrapPolygon edited="0">
                <wp:start x="0" y="0"/>
                <wp:lineTo x="0" y="21519"/>
                <wp:lineTo x="21554" y="21519"/>
                <wp:lineTo x="21554" y="0"/>
                <wp:lineTo x="0" y="0"/>
              </wp:wrapPolygon>
            </wp:wrapTight>
            <wp:docPr id="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577840" cy="4451047"/>
                    </a:xfrm>
                    <a:prstGeom prst="rect">
                      <a:avLst/>
                    </a:prstGeom>
                    <a:noFill/>
                  </pic:spPr>
                </pic:pic>
              </a:graphicData>
            </a:graphic>
            <wp14:sizeRelH relativeFrom="page">
              <wp14:pctWidth>0</wp14:pctWidth>
            </wp14:sizeRelH>
            <wp14:sizeRelV relativeFrom="page">
              <wp14:pctHeight>0</wp14:pctHeight>
            </wp14:sizeRelV>
          </wp:anchor>
        </w:drawing>
      </w:r>
      <w:bookmarkEnd w:id="154"/>
      <w:bookmarkEnd w:id="155"/>
      <w:bookmarkEnd w:id="156"/>
      <w:bookmarkEnd w:id="157"/>
    </w:p>
    <w:p w14:paraId="4C347AFF" w14:textId="77777777" w:rsidR="00F50D70" w:rsidRPr="00BE4F47" w:rsidRDefault="00137D7F" w:rsidP="008E113B">
      <w:pPr>
        <w:pStyle w:val="Lgende"/>
        <w:spacing w:line="360" w:lineRule="auto"/>
        <w:rPr>
          <w:rFonts w:ascii="Aptos" w:hAnsi="Aptos"/>
        </w:rPr>
      </w:pPr>
      <w:bookmarkStart w:id="158" w:name="_Toc241082799"/>
      <w:bookmarkStart w:id="159" w:name="_Toc241670013"/>
      <w:bookmarkStart w:id="160" w:name="_Toc241707721"/>
      <w:bookmarkStart w:id="161" w:name="_Toc241791670"/>
      <w:r w:rsidRPr="00BE4F47">
        <w:rPr>
          <w:rFonts w:ascii="Aptos" w:hAnsi="Aptos"/>
        </w:rPr>
        <w:t>Figure 1-2. Décomposition fonctionnelle et flux d’information du prototype</w:t>
      </w:r>
      <w:bookmarkEnd w:id="158"/>
      <w:bookmarkEnd w:id="159"/>
      <w:bookmarkEnd w:id="160"/>
      <w:bookmarkEnd w:id="161"/>
    </w:p>
    <w:p w14:paraId="145F694C" w14:textId="77777777" w:rsidR="00F50D70" w:rsidRPr="00BE4F47" w:rsidRDefault="00137D7F" w:rsidP="008E113B">
      <w:pPr>
        <w:pStyle w:val="Lgende"/>
        <w:keepNext/>
        <w:spacing w:line="360" w:lineRule="auto"/>
        <w:rPr>
          <w:rFonts w:ascii="Aptos" w:hAnsi="Aptos"/>
        </w:rPr>
      </w:pPr>
      <w:bookmarkStart w:id="162" w:name="_Toc241082800"/>
      <w:bookmarkStart w:id="163" w:name="_Toc241670014"/>
      <w:bookmarkStart w:id="164" w:name="_Toc241707722"/>
      <w:bookmarkStart w:id="165" w:name="_Toc241791671"/>
      <w:r w:rsidRPr="00BE4F47">
        <w:rPr>
          <w:rFonts w:ascii="Aptos" w:hAnsi="Aptos"/>
        </w:rPr>
        <w:t>Tableau 1-4. Sous-systèmes, intrants et extrants</w:t>
      </w:r>
      <w:bookmarkEnd w:id="162"/>
      <w:bookmarkEnd w:id="163"/>
      <w:bookmarkEnd w:id="164"/>
      <w:bookmarkEnd w:id="165"/>
    </w:p>
    <w:tbl>
      <w:tblPr>
        <w:tblW w:w="8557" w:type="dxa"/>
        <w:tblInd w:w="413" w:type="dxa"/>
        <w:tblLayout w:type="fixed"/>
        <w:tblCellMar>
          <w:top w:w="60" w:type="dxa"/>
          <w:left w:w="90" w:type="dxa"/>
          <w:bottom w:w="60" w:type="dxa"/>
          <w:right w:w="90" w:type="dxa"/>
        </w:tblCellMar>
        <w:tblLook w:val="04A0" w:firstRow="1" w:lastRow="0" w:firstColumn="1" w:lastColumn="0" w:noHBand="0" w:noVBand="1"/>
      </w:tblPr>
      <w:tblGrid>
        <w:gridCol w:w="650"/>
        <w:gridCol w:w="2300"/>
        <w:gridCol w:w="2300"/>
        <w:gridCol w:w="2400"/>
        <w:gridCol w:w="907"/>
      </w:tblGrid>
      <w:tr w:rsidR="00F50D70" w:rsidRPr="00BE4F47" w14:paraId="4AE9144A" w14:textId="77777777" w:rsidTr="0036725C">
        <w:trPr>
          <w:trHeight w:val="227"/>
          <w:tblHeader/>
        </w:trPr>
        <w:tc>
          <w:tcPr>
            <w:tcW w:w="65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2B57483A"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Réf.</w:t>
            </w:r>
          </w:p>
        </w:tc>
        <w:tc>
          <w:tcPr>
            <w:tcW w:w="230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4E7A94B6"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Fonction principale</w:t>
            </w:r>
          </w:p>
        </w:tc>
        <w:tc>
          <w:tcPr>
            <w:tcW w:w="230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4FA7FA6F"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Intrants</w:t>
            </w:r>
          </w:p>
        </w:tc>
        <w:tc>
          <w:tcPr>
            <w:tcW w:w="240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7A3F58E0"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Extrants</w:t>
            </w:r>
          </w:p>
        </w:tc>
        <w:tc>
          <w:tcPr>
            <w:tcW w:w="907"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6B41806F"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Lot</w:t>
            </w:r>
          </w:p>
        </w:tc>
      </w:tr>
      <w:tr w:rsidR="00F50D70" w:rsidRPr="00BE4F47" w14:paraId="5BC7BCFD" w14:textId="77777777">
        <w:trPr>
          <w:cantSplit/>
          <w:trHeight w:val="415"/>
        </w:trPr>
        <w:tc>
          <w:tcPr>
            <w:tcW w:w="650" w:type="dxa"/>
            <w:tcBorders>
              <w:top w:val="single" w:sz="4" w:space="0" w:color="000000"/>
              <w:left w:val="single" w:sz="4" w:space="0" w:color="000000"/>
              <w:bottom w:val="single" w:sz="4" w:space="0" w:color="000000"/>
              <w:right w:val="single" w:sz="4" w:space="0" w:color="000000"/>
            </w:tcBorders>
          </w:tcPr>
          <w:p w14:paraId="6ABC3F5C"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SS-1</w:t>
            </w:r>
          </w:p>
        </w:tc>
        <w:tc>
          <w:tcPr>
            <w:tcW w:w="2300" w:type="dxa"/>
            <w:tcBorders>
              <w:top w:val="single" w:sz="4" w:space="0" w:color="000000"/>
              <w:left w:val="single" w:sz="4" w:space="0" w:color="000000"/>
              <w:bottom w:val="single" w:sz="4" w:space="0" w:color="000000"/>
              <w:right w:val="single" w:sz="4" w:space="0" w:color="000000"/>
            </w:tcBorders>
          </w:tcPr>
          <w:p w14:paraId="52D79C84"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Simuler le comportement physique de la boucle thermohydraulique, en fonctionnement normal comme en défaillance.</w:t>
            </w:r>
          </w:p>
        </w:tc>
        <w:tc>
          <w:tcPr>
            <w:tcW w:w="2300" w:type="dxa"/>
            <w:tcBorders>
              <w:top w:val="single" w:sz="4" w:space="0" w:color="000000"/>
              <w:left w:val="single" w:sz="4" w:space="0" w:color="000000"/>
              <w:bottom w:val="single" w:sz="4" w:space="0" w:color="000000"/>
              <w:right w:val="single" w:sz="4" w:space="0" w:color="000000"/>
            </w:tcBorders>
          </w:tcPr>
          <w:p w14:paraId="349C439A"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Consignes du scénario, paramètres physiques, ordre d’injection d’une défaillance.</w:t>
            </w:r>
          </w:p>
        </w:tc>
        <w:tc>
          <w:tcPr>
            <w:tcW w:w="2400" w:type="dxa"/>
            <w:tcBorders>
              <w:top w:val="single" w:sz="4" w:space="0" w:color="000000"/>
              <w:left w:val="single" w:sz="4" w:space="0" w:color="000000"/>
              <w:bottom w:val="single" w:sz="4" w:space="0" w:color="000000"/>
              <w:right w:val="single" w:sz="4" w:space="0" w:color="000000"/>
            </w:tcBorders>
          </w:tcPr>
          <w:p w14:paraId="69DA4801"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Grandeurs vraies de température, de pression et de débit, échantillonnées dans le temps.</w:t>
            </w:r>
          </w:p>
        </w:tc>
        <w:tc>
          <w:tcPr>
            <w:tcW w:w="907" w:type="dxa"/>
            <w:tcBorders>
              <w:top w:val="single" w:sz="4" w:space="0" w:color="000000"/>
              <w:left w:val="single" w:sz="4" w:space="0" w:color="000000"/>
              <w:bottom w:val="single" w:sz="4" w:space="0" w:color="000000"/>
              <w:right w:val="single" w:sz="4" w:space="0" w:color="000000"/>
            </w:tcBorders>
          </w:tcPr>
          <w:p w14:paraId="76093F21"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L4</w:t>
            </w:r>
          </w:p>
        </w:tc>
      </w:tr>
      <w:tr w:rsidR="00F50D70" w:rsidRPr="00BE4F47" w14:paraId="02D53838" w14:textId="77777777">
        <w:trPr>
          <w:cantSplit/>
          <w:trHeight w:val="415"/>
        </w:trPr>
        <w:tc>
          <w:tcPr>
            <w:tcW w:w="650" w:type="dxa"/>
            <w:tcBorders>
              <w:top w:val="single" w:sz="4" w:space="0" w:color="000000"/>
              <w:left w:val="single" w:sz="4" w:space="0" w:color="000000"/>
              <w:bottom w:val="single" w:sz="4" w:space="0" w:color="000000"/>
              <w:right w:val="single" w:sz="4" w:space="0" w:color="000000"/>
            </w:tcBorders>
          </w:tcPr>
          <w:p w14:paraId="18AA143F"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SS-2</w:t>
            </w:r>
          </w:p>
        </w:tc>
        <w:tc>
          <w:tcPr>
            <w:tcW w:w="2300" w:type="dxa"/>
            <w:tcBorders>
              <w:top w:val="single" w:sz="4" w:space="0" w:color="000000"/>
              <w:left w:val="single" w:sz="4" w:space="0" w:color="000000"/>
              <w:bottom w:val="single" w:sz="4" w:space="0" w:color="000000"/>
              <w:right w:val="single" w:sz="4" w:space="0" w:color="000000"/>
            </w:tcBorders>
          </w:tcPr>
          <w:p w14:paraId="4FD782A9"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Acquérir les grandeurs, les dégrader de façon réaliste, et qualifier ce qui est acquis.</w:t>
            </w:r>
          </w:p>
        </w:tc>
        <w:tc>
          <w:tcPr>
            <w:tcW w:w="2300" w:type="dxa"/>
            <w:tcBorders>
              <w:top w:val="single" w:sz="4" w:space="0" w:color="000000"/>
              <w:left w:val="single" w:sz="4" w:space="0" w:color="000000"/>
              <w:bottom w:val="single" w:sz="4" w:space="0" w:color="000000"/>
              <w:right w:val="single" w:sz="4" w:space="0" w:color="000000"/>
            </w:tcBorders>
          </w:tcPr>
          <w:p w14:paraId="19BC7C11"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Grandeurs vraies de SS-1, modèles de bruit, de dérive de capteur et de perte de données.</w:t>
            </w:r>
          </w:p>
        </w:tc>
        <w:tc>
          <w:tcPr>
            <w:tcW w:w="2400" w:type="dxa"/>
            <w:tcBorders>
              <w:top w:val="single" w:sz="4" w:space="0" w:color="000000"/>
              <w:left w:val="single" w:sz="4" w:space="0" w:color="000000"/>
              <w:bottom w:val="single" w:sz="4" w:space="0" w:color="000000"/>
              <w:right w:val="single" w:sz="4" w:space="0" w:color="000000"/>
            </w:tcBorders>
          </w:tcPr>
          <w:p w14:paraId="6EF05683"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Mesures horodatées, indice de qualité par mesure, signalement des données manquantes.</w:t>
            </w:r>
          </w:p>
        </w:tc>
        <w:tc>
          <w:tcPr>
            <w:tcW w:w="907" w:type="dxa"/>
            <w:tcBorders>
              <w:top w:val="single" w:sz="4" w:space="0" w:color="000000"/>
              <w:left w:val="single" w:sz="4" w:space="0" w:color="000000"/>
              <w:bottom w:val="single" w:sz="4" w:space="0" w:color="000000"/>
              <w:right w:val="single" w:sz="4" w:space="0" w:color="000000"/>
            </w:tcBorders>
          </w:tcPr>
          <w:p w14:paraId="1533E497"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L6</w:t>
            </w:r>
          </w:p>
        </w:tc>
      </w:tr>
      <w:tr w:rsidR="00F50D70" w:rsidRPr="00BE4F47" w14:paraId="36FD23C1" w14:textId="77777777">
        <w:trPr>
          <w:cantSplit/>
          <w:trHeight w:val="415"/>
        </w:trPr>
        <w:tc>
          <w:tcPr>
            <w:tcW w:w="650" w:type="dxa"/>
            <w:tcBorders>
              <w:top w:val="single" w:sz="4" w:space="0" w:color="000000"/>
              <w:left w:val="single" w:sz="4" w:space="0" w:color="000000"/>
              <w:bottom w:val="single" w:sz="4" w:space="0" w:color="000000"/>
              <w:right w:val="single" w:sz="4" w:space="0" w:color="000000"/>
            </w:tcBorders>
          </w:tcPr>
          <w:p w14:paraId="48DA7B22"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SS-3</w:t>
            </w:r>
          </w:p>
        </w:tc>
        <w:tc>
          <w:tcPr>
            <w:tcW w:w="2300" w:type="dxa"/>
            <w:tcBorders>
              <w:top w:val="single" w:sz="4" w:space="0" w:color="000000"/>
              <w:left w:val="single" w:sz="4" w:space="0" w:color="000000"/>
              <w:bottom w:val="single" w:sz="4" w:space="0" w:color="000000"/>
              <w:right w:val="single" w:sz="4" w:space="0" w:color="000000"/>
            </w:tcBorders>
          </w:tcPr>
          <w:p w14:paraId="00B2A970"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Calculer le comportement attendu et le comparer au comportement observé.</w:t>
            </w:r>
          </w:p>
        </w:tc>
        <w:tc>
          <w:tcPr>
            <w:tcW w:w="2300" w:type="dxa"/>
            <w:tcBorders>
              <w:top w:val="single" w:sz="4" w:space="0" w:color="000000"/>
              <w:left w:val="single" w:sz="4" w:space="0" w:color="000000"/>
              <w:bottom w:val="single" w:sz="4" w:space="0" w:color="000000"/>
              <w:right w:val="single" w:sz="4" w:space="0" w:color="000000"/>
            </w:tcBorders>
          </w:tcPr>
          <w:p w14:paraId="611AEF40"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Mesures horodatées de SS-2, paramètres du modèle de référence.</w:t>
            </w:r>
          </w:p>
        </w:tc>
        <w:tc>
          <w:tcPr>
            <w:tcW w:w="2400" w:type="dxa"/>
            <w:tcBorders>
              <w:top w:val="single" w:sz="4" w:space="0" w:color="000000"/>
              <w:left w:val="single" w:sz="4" w:space="0" w:color="000000"/>
              <w:bottom w:val="single" w:sz="4" w:space="0" w:color="000000"/>
              <w:right w:val="single" w:sz="4" w:space="0" w:color="000000"/>
            </w:tcBorders>
          </w:tcPr>
          <w:p w14:paraId="6159419E"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Comportement attendu, résidus définis comme l’écart entre observé et attendu.</w:t>
            </w:r>
          </w:p>
        </w:tc>
        <w:tc>
          <w:tcPr>
            <w:tcW w:w="907" w:type="dxa"/>
            <w:tcBorders>
              <w:top w:val="single" w:sz="4" w:space="0" w:color="000000"/>
              <w:left w:val="single" w:sz="4" w:space="0" w:color="000000"/>
              <w:bottom w:val="single" w:sz="4" w:space="0" w:color="000000"/>
              <w:right w:val="single" w:sz="4" w:space="0" w:color="000000"/>
            </w:tcBorders>
          </w:tcPr>
          <w:p w14:paraId="383727C3"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L4, L6</w:t>
            </w:r>
          </w:p>
        </w:tc>
      </w:tr>
      <w:tr w:rsidR="00F50D70" w:rsidRPr="00BE4F47" w14:paraId="2605B8CC" w14:textId="77777777">
        <w:trPr>
          <w:cantSplit/>
          <w:trHeight w:val="415"/>
        </w:trPr>
        <w:tc>
          <w:tcPr>
            <w:tcW w:w="650" w:type="dxa"/>
            <w:tcBorders>
              <w:top w:val="single" w:sz="4" w:space="0" w:color="000000"/>
              <w:left w:val="single" w:sz="4" w:space="0" w:color="000000"/>
              <w:bottom w:val="single" w:sz="4" w:space="0" w:color="000000"/>
              <w:right w:val="single" w:sz="4" w:space="0" w:color="000000"/>
            </w:tcBorders>
          </w:tcPr>
          <w:p w14:paraId="28517AA2"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SS-4</w:t>
            </w:r>
          </w:p>
        </w:tc>
        <w:tc>
          <w:tcPr>
            <w:tcW w:w="2300" w:type="dxa"/>
            <w:tcBorders>
              <w:top w:val="single" w:sz="4" w:space="0" w:color="000000"/>
              <w:left w:val="single" w:sz="4" w:space="0" w:color="000000"/>
              <w:bottom w:val="single" w:sz="4" w:space="0" w:color="000000"/>
              <w:right w:val="single" w:sz="4" w:space="0" w:color="000000"/>
            </w:tcBorders>
          </w:tcPr>
          <w:p w14:paraId="58DA5252"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Décider si un résidu traduit une anomalie, et dire avec quelle confiance.</w:t>
            </w:r>
          </w:p>
        </w:tc>
        <w:tc>
          <w:tcPr>
            <w:tcW w:w="2300" w:type="dxa"/>
            <w:tcBorders>
              <w:top w:val="single" w:sz="4" w:space="0" w:color="000000"/>
              <w:left w:val="single" w:sz="4" w:space="0" w:color="000000"/>
              <w:bottom w:val="single" w:sz="4" w:space="0" w:color="000000"/>
              <w:right w:val="single" w:sz="4" w:space="0" w:color="000000"/>
            </w:tcBorders>
          </w:tcPr>
          <w:p w14:paraId="4A94F9D7"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Résidus de SS-3, indice de qualité de SS-2.</w:t>
            </w:r>
          </w:p>
        </w:tc>
        <w:tc>
          <w:tcPr>
            <w:tcW w:w="2400" w:type="dxa"/>
            <w:tcBorders>
              <w:top w:val="single" w:sz="4" w:space="0" w:color="000000"/>
              <w:left w:val="single" w:sz="4" w:space="0" w:color="000000"/>
              <w:bottom w:val="single" w:sz="4" w:space="0" w:color="000000"/>
              <w:right w:val="single" w:sz="4" w:space="0" w:color="000000"/>
            </w:tcBorders>
          </w:tcPr>
          <w:p w14:paraId="50419614"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État estimé parmi normal, dérive, anomalie et incertain ; niveau de confiance ; variables contributrices.</w:t>
            </w:r>
          </w:p>
        </w:tc>
        <w:tc>
          <w:tcPr>
            <w:tcW w:w="907" w:type="dxa"/>
            <w:tcBorders>
              <w:top w:val="single" w:sz="4" w:space="0" w:color="000000"/>
              <w:left w:val="single" w:sz="4" w:space="0" w:color="000000"/>
              <w:bottom w:val="single" w:sz="4" w:space="0" w:color="000000"/>
              <w:right w:val="single" w:sz="4" w:space="0" w:color="000000"/>
            </w:tcBorders>
          </w:tcPr>
          <w:p w14:paraId="7F276975"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L7</w:t>
            </w:r>
          </w:p>
        </w:tc>
      </w:tr>
      <w:tr w:rsidR="00F50D70" w:rsidRPr="00BE4F47" w14:paraId="6AF27FB0" w14:textId="77777777">
        <w:trPr>
          <w:cantSplit/>
          <w:trHeight w:val="415"/>
        </w:trPr>
        <w:tc>
          <w:tcPr>
            <w:tcW w:w="650" w:type="dxa"/>
            <w:tcBorders>
              <w:top w:val="single" w:sz="4" w:space="0" w:color="000000"/>
              <w:left w:val="single" w:sz="4" w:space="0" w:color="000000"/>
              <w:bottom w:val="single" w:sz="4" w:space="0" w:color="000000"/>
              <w:right w:val="single" w:sz="4" w:space="0" w:color="000000"/>
            </w:tcBorders>
          </w:tcPr>
          <w:p w14:paraId="448F375C"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lastRenderedPageBreak/>
              <w:t>SS-5</w:t>
            </w:r>
          </w:p>
        </w:tc>
        <w:tc>
          <w:tcPr>
            <w:tcW w:w="2300" w:type="dxa"/>
            <w:tcBorders>
              <w:top w:val="single" w:sz="4" w:space="0" w:color="000000"/>
              <w:left w:val="single" w:sz="4" w:space="0" w:color="000000"/>
              <w:bottom w:val="single" w:sz="4" w:space="0" w:color="000000"/>
              <w:right w:val="single" w:sz="4" w:space="0" w:color="000000"/>
            </w:tcBorders>
          </w:tcPr>
          <w:p w14:paraId="454BA8AD"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Présenter l’état, la confiance et les contributions à l’opérateur, sans commander l’installation.</w:t>
            </w:r>
          </w:p>
        </w:tc>
        <w:tc>
          <w:tcPr>
            <w:tcW w:w="2300" w:type="dxa"/>
            <w:tcBorders>
              <w:top w:val="single" w:sz="4" w:space="0" w:color="000000"/>
              <w:left w:val="single" w:sz="4" w:space="0" w:color="000000"/>
              <w:bottom w:val="single" w:sz="4" w:space="0" w:color="000000"/>
              <w:right w:val="single" w:sz="4" w:space="0" w:color="000000"/>
            </w:tcBorders>
          </w:tcPr>
          <w:p w14:paraId="0292D00A"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Sortie de SS-4, journal de SS-2.</w:t>
            </w:r>
          </w:p>
        </w:tc>
        <w:tc>
          <w:tcPr>
            <w:tcW w:w="2400" w:type="dxa"/>
            <w:tcBorders>
              <w:top w:val="single" w:sz="4" w:space="0" w:color="000000"/>
              <w:left w:val="single" w:sz="4" w:space="0" w:color="000000"/>
              <w:bottom w:val="single" w:sz="4" w:space="0" w:color="000000"/>
              <w:right w:val="single" w:sz="4" w:space="0" w:color="000000"/>
            </w:tcBorders>
          </w:tcPr>
          <w:p w14:paraId="5543C548"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Affichage, recommandation, mention explicite de l’incertitude, demande de validation humaine.</w:t>
            </w:r>
          </w:p>
        </w:tc>
        <w:tc>
          <w:tcPr>
            <w:tcW w:w="907" w:type="dxa"/>
            <w:tcBorders>
              <w:top w:val="single" w:sz="4" w:space="0" w:color="000000"/>
              <w:left w:val="single" w:sz="4" w:space="0" w:color="000000"/>
              <w:bottom w:val="single" w:sz="4" w:space="0" w:color="000000"/>
              <w:right w:val="single" w:sz="4" w:space="0" w:color="000000"/>
            </w:tcBorders>
          </w:tcPr>
          <w:p w14:paraId="23F43719"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L8</w:t>
            </w:r>
          </w:p>
        </w:tc>
      </w:tr>
      <w:tr w:rsidR="00F50D70" w:rsidRPr="00BE4F47" w14:paraId="52BEA088" w14:textId="77777777">
        <w:trPr>
          <w:cantSplit/>
          <w:trHeight w:val="415"/>
        </w:trPr>
        <w:tc>
          <w:tcPr>
            <w:tcW w:w="650" w:type="dxa"/>
            <w:tcBorders>
              <w:top w:val="single" w:sz="4" w:space="0" w:color="000000"/>
              <w:left w:val="single" w:sz="4" w:space="0" w:color="000000"/>
              <w:bottom w:val="single" w:sz="4" w:space="0" w:color="000000"/>
              <w:right w:val="single" w:sz="4" w:space="0" w:color="000000"/>
            </w:tcBorders>
          </w:tcPr>
          <w:p w14:paraId="74197952"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SS-6</w:t>
            </w:r>
          </w:p>
        </w:tc>
        <w:tc>
          <w:tcPr>
            <w:tcW w:w="2300" w:type="dxa"/>
            <w:tcBorders>
              <w:top w:val="single" w:sz="4" w:space="0" w:color="000000"/>
              <w:left w:val="single" w:sz="4" w:space="0" w:color="000000"/>
              <w:bottom w:val="single" w:sz="4" w:space="0" w:color="000000"/>
              <w:right w:val="single" w:sz="4" w:space="0" w:color="000000"/>
            </w:tcBorders>
          </w:tcPr>
          <w:p w14:paraId="10503EB2"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Journaliser, horodater et protéger l’intégrité de la chaîne, de l’acquisition à l’affichage.</w:t>
            </w:r>
          </w:p>
        </w:tc>
        <w:tc>
          <w:tcPr>
            <w:tcW w:w="2300" w:type="dxa"/>
            <w:tcBorders>
              <w:top w:val="single" w:sz="4" w:space="0" w:color="000000"/>
              <w:left w:val="single" w:sz="4" w:space="0" w:color="000000"/>
              <w:bottom w:val="single" w:sz="4" w:space="0" w:color="000000"/>
              <w:right w:val="single" w:sz="4" w:space="0" w:color="000000"/>
            </w:tcBorders>
          </w:tcPr>
          <w:p w14:paraId="7181E889"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Événements émis par SS-2, SS-3, SS-4 et SS-5.</w:t>
            </w:r>
          </w:p>
        </w:tc>
        <w:tc>
          <w:tcPr>
            <w:tcW w:w="2400" w:type="dxa"/>
            <w:tcBorders>
              <w:top w:val="single" w:sz="4" w:space="0" w:color="000000"/>
              <w:left w:val="single" w:sz="4" w:space="0" w:color="000000"/>
              <w:bottom w:val="single" w:sz="4" w:space="0" w:color="000000"/>
              <w:right w:val="single" w:sz="4" w:space="0" w:color="000000"/>
            </w:tcBorders>
          </w:tcPr>
          <w:p w14:paraId="1FC2C09D"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Journal horodaté et vérifiable, contrôles d’intégrité, cloisonnement des interfaces.</w:t>
            </w:r>
          </w:p>
        </w:tc>
        <w:tc>
          <w:tcPr>
            <w:tcW w:w="907" w:type="dxa"/>
            <w:tcBorders>
              <w:top w:val="single" w:sz="4" w:space="0" w:color="000000"/>
              <w:left w:val="single" w:sz="4" w:space="0" w:color="000000"/>
              <w:bottom w:val="single" w:sz="4" w:space="0" w:color="000000"/>
              <w:right w:val="single" w:sz="4" w:space="0" w:color="000000"/>
            </w:tcBorders>
          </w:tcPr>
          <w:p w14:paraId="0D640FCB"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L5</w:t>
            </w:r>
          </w:p>
        </w:tc>
      </w:tr>
    </w:tbl>
    <w:p w14:paraId="76216DAD" w14:textId="77777777" w:rsidR="00F50D70" w:rsidRPr="00BE4F47" w:rsidRDefault="00137D7F" w:rsidP="008E113B">
      <w:pPr>
        <w:spacing w:before="200" w:after="130" w:line="360" w:lineRule="auto"/>
        <w:ind w:left="360"/>
        <w:rPr>
          <w:rFonts w:ascii="Aptos" w:hAnsi="Aptos"/>
        </w:rPr>
      </w:pPr>
      <w:bookmarkStart w:id="166" w:name="_Toc241082801"/>
      <w:bookmarkStart w:id="167" w:name="_Toc241670015"/>
      <w:bookmarkStart w:id="168" w:name="_Toc241707723"/>
      <w:bookmarkStart w:id="169" w:name="_Toc241791672"/>
      <w:r w:rsidRPr="00BE4F47">
        <w:rPr>
          <w:rFonts w:ascii="Aptos" w:hAnsi="Aptos"/>
          <w:color w:val="1A1A19"/>
          <w:sz w:val="20"/>
          <w:szCs w:val="20"/>
        </w:rPr>
        <w:t>Les six sous-systèmes échangent six flux d’information, notés FL-1 à FL-6 pour les distinguer des états du GEMMA. Chaque flux porte un contenu identifié et un moyen de vérification.</w:t>
      </w:r>
      <w:bookmarkEnd w:id="166"/>
      <w:bookmarkEnd w:id="167"/>
      <w:bookmarkEnd w:id="168"/>
      <w:bookmarkEnd w:id="169"/>
    </w:p>
    <w:p w14:paraId="7B7971BE" w14:textId="77777777" w:rsidR="00F50D70" w:rsidRPr="00BE4F47" w:rsidRDefault="00137D7F" w:rsidP="008E113B">
      <w:pPr>
        <w:pStyle w:val="Lgende"/>
        <w:keepNext/>
        <w:spacing w:line="360" w:lineRule="auto"/>
        <w:rPr>
          <w:rFonts w:ascii="Aptos" w:hAnsi="Aptos"/>
        </w:rPr>
      </w:pPr>
      <w:bookmarkStart w:id="170" w:name="_Toc241082802"/>
      <w:bookmarkStart w:id="171" w:name="_Toc241670016"/>
      <w:bookmarkStart w:id="172" w:name="_Toc241707724"/>
      <w:bookmarkStart w:id="173" w:name="_Toc241791673"/>
      <w:r w:rsidRPr="00BE4F47">
        <w:rPr>
          <w:rFonts w:ascii="Aptos" w:hAnsi="Aptos"/>
        </w:rPr>
        <w:t>Tableau 1-5. Flux d’information entre les sous-systèmes</w:t>
      </w:r>
      <w:bookmarkEnd w:id="170"/>
      <w:bookmarkEnd w:id="171"/>
      <w:bookmarkEnd w:id="172"/>
      <w:bookmarkEnd w:id="173"/>
    </w:p>
    <w:tbl>
      <w:tblPr>
        <w:tblW w:w="8557" w:type="dxa"/>
        <w:tblInd w:w="413" w:type="dxa"/>
        <w:tblLayout w:type="fixed"/>
        <w:tblCellMar>
          <w:top w:w="60" w:type="dxa"/>
          <w:left w:w="90" w:type="dxa"/>
          <w:bottom w:w="60" w:type="dxa"/>
          <w:right w:w="90" w:type="dxa"/>
        </w:tblCellMar>
        <w:tblLook w:val="04A0" w:firstRow="1" w:lastRow="0" w:firstColumn="1" w:lastColumn="0" w:noHBand="0" w:noVBand="1"/>
      </w:tblPr>
      <w:tblGrid>
        <w:gridCol w:w="700"/>
        <w:gridCol w:w="1100"/>
        <w:gridCol w:w="1100"/>
        <w:gridCol w:w="2800"/>
        <w:gridCol w:w="2857"/>
      </w:tblGrid>
      <w:tr w:rsidR="00F50D70" w:rsidRPr="00BE4F47" w14:paraId="37526D3B" w14:textId="77777777" w:rsidTr="0036725C">
        <w:trPr>
          <w:trHeight w:val="227"/>
          <w:tblHeader/>
        </w:trPr>
        <w:tc>
          <w:tcPr>
            <w:tcW w:w="70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7D0D7570"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Flux</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085F4DCA"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De</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4B37FAD9"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Vers</w:t>
            </w:r>
          </w:p>
        </w:tc>
        <w:tc>
          <w:tcPr>
            <w:tcW w:w="280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3D9F4713"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Contenu</w:t>
            </w:r>
          </w:p>
        </w:tc>
        <w:tc>
          <w:tcPr>
            <w:tcW w:w="2857"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2276817D"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Ce qu’il permet de vérifier</w:t>
            </w:r>
          </w:p>
        </w:tc>
      </w:tr>
      <w:tr w:rsidR="00F50D70" w:rsidRPr="00BE4F47" w14:paraId="3B1E868E" w14:textId="77777777">
        <w:trPr>
          <w:cantSplit/>
          <w:trHeight w:val="415"/>
        </w:trPr>
        <w:tc>
          <w:tcPr>
            <w:tcW w:w="700" w:type="dxa"/>
            <w:tcBorders>
              <w:top w:val="single" w:sz="4" w:space="0" w:color="000000"/>
              <w:left w:val="single" w:sz="4" w:space="0" w:color="000000"/>
              <w:bottom w:val="single" w:sz="4" w:space="0" w:color="000000"/>
              <w:right w:val="single" w:sz="4" w:space="0" w:color="000000"/>
            </w:tcBorders>
          </w:tcPr>
          <w:p w14:paraId="70353B96"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FL-1</w:t>
            </w:r>
          </w:p>
        </w:tc>
        <w:tc>
          <w:tcPr>
            <w:tcW w:w="1100" w:type="dxa"/>
            <w:tcBorders>
              <w:top w:val="single" w:sz="4" w:space="0" w:color="000000"/>
              <w:left w:val="single" w:sz="4" w:space="0" w:color="000000"/>
              <w:bottom w:val="single" w:sz="4" w:space="0" w:color="000000"/>
              <w:right w:val="single" w:sz="4" w:space="0" w:color="000000"/>
            </w:tcBorders>
          </w:tcPr>
          <w:p w14:paraId="453BCA73"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Scénario d’essai</w:t>
            </w:r>
          </w:p>
        </w:tc>
        <w:tc>
          <w:tcPr>
            <w:tcW w:w="1100" w:type="dxa"/>
            <w:tcBorders>
              <w:top w:val="single" w:sz="4" w:space="0" w:color="000000"/>
              <w:left w:val="single" w:sz="4" w:space="0" w:color="000000"/>
              <w:bottom w:val="single" w:sz="4" w:space="0" w:color="000000"/>
              <w:right w:val="single" w:sz="4" w:space="0" w:color="000000"/>
            </w:tcBorders>
          </w:tcPr>
          <w:p w14:paraId="21D2796B"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SS-1</w:t>
            </w:r>
          </w:p>
        </w:tc>
        <w:tc>
          <w:tcPr>
            <w:tcW w:w="2800" w:type="dxa"/>
            <w:tcBorders>
              <w:top w:val="single" w:sz="4" w:space="0" w:color="000000"/>
              <w:left w:val="single" w:sz="4" w:space="0" w:color="000000"/>
              <w:bottom w:val="single" w:sz="4" w:space="0" w:color="000000"/>
              <w:right w:val="single" w:sz="4" w:space="0" w:color="000000"/>
            </w:tcBorders>
          </w:tcPr>
          <w:p w14:paraId="2288B6F8"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Consigne de fonctionnement et ordre d’injection de défaillance.</w:t>
            </w:r>
          </w:p>
        </w:tc>
        <w:tc>
          <w:tcPr>
            <w:tcW w:w="2857" w:type="dxa"/>
            <w:tcBorders>
              <w:top w:val="single" w:sz="4" w:space="0" w:color="000000"/>
              <w:left w:val="single" w:sz="4" w:space="0" w:color="000000"/>
              <w:bottom w:val="single" w:sz="4" w:space="0" w:color="000000"/>
              <w:right w:val="single" w:sz="4" w:space="0" w:color="000000"/>
            </w:tcBorders>
          </w:tcPr>
          <w:p w14:paraId="71E00B4D"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Qu’un même scénario produit deux fois la même trajectoire (EX-F-02).</w:t>
            </w:r>
          </w:p>
        </w:tc>
      </w:tr>
      <w:tr w:rsidR="00F50D70" w:rsidRPr="00BE4F47" w14:paraId="7C14221F" w14:textId="77777777">
        <w:trPr>
          <w:cantSplit/>
          <w:trHeight w:val="415"/>
        </w:trPr>
        <w:tc>
          <w:tcPr>
            <w:tcW w:w="700" w:type="dxa"/>
            <w:tcBorders>
              <w:top w:val="single" w:sz="4" w:space="0" w:color="000000"/>
              <w:left w:val="single" w:sz="4" w:space="0" w:color="000000"/>
              <w:bottom w:val="single" w:sz="4" w:space="0" w:color="000000"/>
              <w:right w:val="single" w:sz="4" w:space="0" w:color="000000"/>
            </w:tcBorders>
          </w:tcPr>
          <w:p w14:paraId="1D1CB98C"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FL-2</w:t>
            </w:r>
          </w:p>
        </w:tc>
        <w:tc>
          <w:tcPr>
            <w:tcW w:w="1100" w:type="dxa"/>
            <w:tcBorders>
              <w:top w:val="single" w:sz="4" w:space="0" w:color="000000"/>
              <w:left w:val="single" w:sz="4" w:space="0" w:color="000000"/>
              <w:bottom w:val="single" w:sz="4" w:space="0" w:color="000000"/>
              <w:right w:val="single" w:sz="4" w:space="0" w:color="000000"/>
            </w:tcBorders>
          </w:tcPr>
          <w:p w14:paraId="72070008"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SS-1</w:t>
            </w:r>
          </w:p>
        </w:tc>
        <w:tc>
          <w:tcPr>
            <w:tcW w:w="1100" w:type="dxa"/>
            <w:tcBorders>
              <w:top w:val="single" w:sz="4" w:space="0" w:color="000000"/>
              <w:left w:val="single" w:sz="4" w:space="0" w:color="000000"/>
              <w:bottom w:val="single" w:sz="4" w:space="0" w:color="000000"/>
              <w:right w:val="single" w:sz="4" w:space="0" w:color="000000"/>
            </w:tcBorders>
          </w:tcPr>
          <w:p w14:paraId="11991A63"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SS-2</w:t>
            </w:r>
          </w:p>
        </w:tc>
        <w:tc>
          <w:tcPr>
            <w:tcW w:w="2800" w:type="dxa"/>
            <w:tcBorders>
              <w:top w:val="single" w:sz="4" w:space="0" w:color="000000"/>
              <w:left w:val="single" w:sz="4" w:space="0" w:color="000000"/>
              <w:bottom w:val="single" w:sz="4" w:space="0" w:color="000000"/>
              <w:right w:val="single" w:sz="4" w:space="0" w:color="000000"/>
            </w:tcBorders>
          </w:tcPr>
          <w:p w14:paraId="3995F599"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Grandeurs vraies de température, de pression et de débit.</w:t>
            </w:r>
          </w:p>
        </w:tc>
        <w:tc>
          <w:tcPr>
            <w:tcW w:w="2857" w:type="dxa"/>
            <w:tcBorders>
              <w:top w:val="single" w:sz="4" w:space="0" w:color="000000"/>
              <w:left w:val="single" w:sz="4" w:space="0" w:color="000000"/>
              <w:bottom w:val="single" w:sz="4" w:space="0" w:color="000000"/>
              <w:right w:val="single" w:sz="4" w:space="0" w:color="000000"/>
            </w:tcBorders>
          </w:tcPr>
          <w:p w14:paraId="48FBB9CF"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Que la boucle simulée reste dans son domaine de validité (EX-C-01).</w:t>
            </w:r>
          </w:p>
        </w:tc>
      </w:tr>
      <w:tr w:rsidR="00F50D70" w:rsidRPr="00BE4F47" w14:paraId="6BC1E8FF" w14:textId="77777777">
        <w:trPr>
          <w:cantSplit/>
          <w:trHeight w:val="415"/>
        </w:trPr>
        <w:tc>
          <w:tcPr>
            <w:tcW w:w="700" w:type="dxa"/>
            <w:tcBorders>
              <w:top w:val="single" w:sz="4" w:space="0" w:color="000000"/>
              <w:left w:val="single" w:sz="4" w:space="0" w:color="000000"/>
              <w:bottom w:val="single" w:sz="4" w:space="0" w:color="000000"/>
              <w:right w:val="single" w:sz="4" w:space="0" w:color="000000"/>
            </w:tcBorders>
          </w:tcPr>
          <w:p w14:paraId="2B6DFCFE"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FL-3</w:t>
            </w:r>
          </w:p>
        </w:tc>
        <w:tc>
          <w:tcPr>
            <w:tcW w:w="1100" w:type="dxa"/>
            <w:tcBorders>
              <w:top w:val="single" w:sz="4" w:space="0" w:color="000000"/>
              <w:left w:val="single" w:sz="4" w:space="0" w:color="000000"/>
              <w:bottom w:val="single" w:sz="4" w:space="0" w:color="000000"/>
              <w:right w:val="single" w:sz="4" w:space="0" w:color="000000"/>
            </w:tcBorders>
          </w:tcPr>
          <w:p w14:paraId="358F6E52"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SS-2</w:t>
            </w:r>
          </w:p>
        </w:tc>
        <w:tc>
          <w:tcPr>
            <w:tcW w:w="1100" w:type="dxa"/>
            <w:tcBorders>
              <w:top w:val="single" w:sz="4" w:space="0" w:color="000000"/>
              <w:left w:val="single" w:sz="4" w:space="0" w:color="000000"/>
              <w:bottom w:val="single" w:sz="4" w:space="0" w:color="000000"/>
              <w:right w:val="single" w:sz="4" w:space="0" w:color="000000"/>
            </w:tcBorders>
          </w:tcPr>
          <w:p w14:paraId="5A8815A8"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SS-3</w:t>
            </w:r>
          </w:p>
        </w:tc>
        <w:tc>
          <w:tcPr>
            <w:tcW w:w="2800" w:type="dxa"/>
            <w:tcBorders>
              <w:top w:val="single" w:sz="4" w:space="0" w:color="000000"/>
              <w:left w:val="single" w:sz="4" w:space="0" w:color="000000"/>
              <w:bottom w:val="single" w:sz="4" w:space="0" w:color="000000"/>
              <w:right w:val="single" w:sz="4" w:space="0" w:color="000000"/>
            </w:tcBorders>
          </w:tcPr>
          <w:p w14:paraId="31B3AE04"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Mesures horodatées assorties d’un indice de qualité.</w:t>
            </w:r>
          </w:p>
        </w:tc>
        <w:tc>
          <w:tcPr>
            <w:tcW w:w="2857" w:type="dxa"/>
            <w:tcBorders>
              <w:top w:val="single" w:sz="4" w:space="0" w:color="000000"/>
              <w:left w:val="single" w:sz="4" w:space="0" w:color="000000"/>
              <w:bottom w:val="single" w:sz="4" w:space="0" w:color="000000"/>
              <w:right w:val="single" w:sz="4" w:space="0" w:color="000000"/>
            </w:tcBorders>
          </w:tcPr>
          <w:p w14:paraId="55279D14" w14:textId="20B52F31"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 xml:space="preserve">Que la dégradation appliquée </w:t>
            </w:r>
            <w:proofErr w:type="gramStart"/>
            <w:r w:rsidRPr="00BE4F47">
              <w:rPr>
                <w:rFonts w:ascii="Aptos" w:eastAsia="Calibri" w:hAnsi="Aptos" w:cs="Calibri"/>
                <w:color w:val="1A1A19"/>
                <w:sz w:val="16"/>
                <w:szCs w:val="16"/>
              </w:rPr>
              <w:t>est</w:t>
            </w:r>
            <w:proofErr w:type="gramEnd"/>
            <w:r w:rsidRPr="00BE4F47">
              <w:rPr>
                <w:rFonts w:ascii="Aptos" w:eastAsia="Calibri" w:hAnsi="Aptos" w:cs="Calibri"/>
                <w:color w:val="1A1A19"/>
                <w:sz w:val="16"/>
                <w:szCs w:val="16"/>
              </w:rPr>
              <w:t xml:space="preserve"> celle qui était demandée (EX-F-02).</w:t>
            </w:r>
          </w:p>
        </w:tc>
      </w:tr>
      <w:tr w:rsidR="00F50D70" w:rsidRPr="00BE4F47" w14:paraId="5AC29D9C" w14:textId="77777777">
        <w:trPr>
          <w:cantSplit/>
          <w:trHeight w:val="415"/>
        </w:trPr>
        <w:tc>
          <w:tcPr>
            <w:tcW w:w="700" w:type="dxa"/>
            <w:tcBorders>
              <w:top w:val="single" w:sz="4" w:space="0" w:color="000000"/>
              <w:left w:val="single" w:sz="4" w:space="0" w:color="000000"/>
              <w:bottom w:val="single" w:sz="4" w:space="0" w:color="000000"/>
              <w:right w:val="single" w:sz="4" w:space="0" w:color="000000"/>
            </w:tcBorders>
          </w:tcPr>
          <w:p w14:paraId="09146B96"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FL-4</w:t>
            </w:r>
          </w:p>
        </w:tc>
        <w:tc>
          <w:tcPr>
            <w:tcW w:w="1100" w:type="dxa"/>
            <w:tcBorders>
              <w:top w:val="single" w:sz="4" w:space="0" w:color="000000"/>
              <w:left w:val="single" w:sz="4" w:space="0" w:color="000000"/>
              <w:bottom w:val="single" w:sz="4" w:space="0" w:color="000000"/>
              <w:right w:val="single" w:sz="4" w:space="0" w:color="000000"/>
            </w:tcBorders>
          </w:tcPr>
          <w:p w14:paraId="6F701129"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SS-3</w:t>
            </w:r>
          </w:p>
        </w:tc>
        <w:tc>
          <w:tcPr>
            <w:tcW w:w="1100" w:type="dxa"/>
            <w:tcBorders>
              <w:top w:val="single" w:sz="4" w:space="0" w:color="000000"/>
              <w:left w:val="single" w:sz="4" w:space="0" w:color="000000"/>
              <w:bottom w:val="single" w:sz="4" w:space="0" w:color="000000"/>
              <w:right w:val="single" w:sz="4" w:space="0" w:color="000000"/>
            </w:tcBorders>
          </w:tcPr>
          <w:p w14:paraId="394F5086"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SS-4</w:t>
            </w:r>
          </w:p>
        </w:tc>
        <w:tc>
          <w:tcPr>
            <w:tcW w:w="2800" w:type="dxa"/>
            <w:tcBorders>
              <w:top w:val="single" w:sz="4" w:space="0" w:color="000000"/>
              <w:left w:val="single" w:sz="4" w:space="0" w:color="000000"/>
              <w:bottom w:val="single" w:sz="4" w:space="0" w:color="000000"/>
              <w:right w:val="single" w:sz="4" w:space="0" w:color="000000"/>
            </w:tcBorders>
          </w:tcPr>
          <w:p w14:paraId="32D0FD9F"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Résidus entre comportement observé et comportement attendu.</w:t>
            </w:r>
          </w:p>
        </w:tc>
        <w:tc>
          <w:tcPr>
            <w:tcW w:w="2857" w:type="dxa"/>
            <w:tcBorders>
              <w:top w:val="single" w:sz="4" w:space="0" w:color="000000"/>
              <w:left w:val="single" w:sz="4" w:space="0" w:color="000000"/>
              <w:bottom w:val="single" w:sz="4" w:space="0" w:color="000000"/>
              <w:right w:val="single" w:sz="4" w:space="0" w:color="000000"/>
            </w:tcBorders>
          </w:tcPr>
          <w:p w14:paraId="169E878B"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Que l’écart entre les deux modèles reste sous le seuil retenu (EX-F-07).</w:t>
            </w:r>
          </w:p>
        </w:tc>
      </w:tr>
      <w:tr w:rsidR="00F50D70" w:rsidRPr="00BE4F47" w14:paraId="1EB00297" w14:textId="77777777">
        <w:trPr>
          <w:cantSplit/>
          <w:trHeight w:val="415"/>
        </w:trPr>
        <w:tc>
          <w:tcPr>
            <w:tcW w:w="700" w:type="dxa"/>
            <w:tcBorders>
              <w:top w:val="single" w:sz="4" w:space="0" w:color="000000"/>
              <w:left w:val="single" w:sz="4" w:space="0" w:color="000000"/>
              <w:bottom w:val="single" w:sz="4" w:space="0" w:color="000000"/>
              <w:right w:val="single" w:sz="4" w:space="0" w:color="000000"/>
            </w:tcBorders>
          </w:tcPr>
          <w:p w14:paraId="772559C3"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FL-5</w:t>
            </w:r>
          </w:p>
        </w:tc>
        <w:tc>
          <w:tcPr>
            <w:tcW w:w="1100" w:type="dxa"/>
            <w:tcBorders>
              <w:top w:val="single" w:sz="4" w:space="0" w:color="000000"/>
              <w:left w:val="single" w:sz="4" w:space="0" w:color="000000"/>
              <w:bottom w:val="single" w:sz="4" w:space="0" w:color="000000"/>
              <w:right w:val="single" w:sz="4" w:space="0" w:color="000000"/>
            </w:tcBorders>
          </w:tcPr>
          <w:p w14:paraId="6EF183D9"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SS-4</w:t>
            </w:r>
          </w:p>
        </w:tc>
        <w:tc>
          <w:tcPr>
            <w:tcW w:w="1100" w:type="dxa"/>
            <w:tcBorders>
              <w:top w:val="single" w:sz="4" w:space="0" w:color="000000"/>
              <w:left w:val="single" w:sz="4" w:space="0" w:color="000000"/>
              <w:bottom w:val="single" w:sz="4" w:space="0" w:color="000000"/>
              <w:right w:val="single" w:sz="4" w:space="0" w:color="000000"/>
            </w:tcBorders>
          </w:tcPr>
          <w:p w14:paraId="425C1F55"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SS-5</w:t>
            </w:r>
          </w:p>
        </w:tc>
        <w:tc>
          <w:tcPr>
            <w:tcW w:w="2800" w:type="dxa"/>
            <w:tcBorders>
              <w:top w:val="single" w:sz="4" w:space="0" w:color="000000"/>
              <w:left w:val="single" w:sz="4" w:space="0" w:color="000000"/>
              <w:bottom w:val="single" w:sz="4" w:space="0" w:color="000000"/>
              <w:right w:val="single" w:sz="4" w:space="0" w:color="000000"/>
            </w:tcBorders>
          </w:tcPr>
          <w:p w14:paraId="632AD153"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État estimé, niveau de confiance, variables contributrices.</w:t>
            </w:r>
          </w:p>
        </w:tc>
        <w:tc>
          <w:tcPr>
            <w:tcW w:w="2857" w:type="dxa"/>
            <w:tcBorders>
              <w:top w:val="single" w:sz="4" w:space="0" w:color="000000"/>
              <w:left w:val="single" w:sz="4" w:space="0" w:color="000000"/>
              <w:bottom w:val="single" w:sz="4" w:space="0" w:color="000000"/>
              <w:right w:val="single" w:sz="4" w:space="0" w:color="000000"/>
            </w:tcBorders>
          </w:tcPr>
          <w:p w14:paraId="7CAD47FF"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Que l’état « incertain » apparaît bien quand les données manquent (EX-F-06).</w:t>
            </w:r>
          </w:p>
        </w:tc>
      </w:tr>
      <w:tr w:rsidR="00F50D70" w:rsidRPr="00BE4F47" w14:paraId="0C6AAAB2" w14:textId="77777777">
        <w:trPr>
          <w:cantSplit/>
          <w:trHeight w:val="415"/>
        </w:trPr>
        <w:tc>
          <w:tcPr>
            <w:tcW w:w="700" w:type="dxa"/>
            <w:tcBorders>
              <w:top w:val="single" w:sz="4" w:space="0" w:color="000000"/>
              <w:left w:val="single" w:sz="4" w:space="0" w:color="000000"/>
              <w:bottom w:val="single" w:sz="4" w:space="0" w:color="000000"/>
              <w:right w:val="single" w:sz="4" w:space="0" w:color="000000"/>
            </w:tcBorders>
          </w:tcPr>
          <w:p w14:paraId="6160258F"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FL-6</w:t>
            </w:r>
          </w:p>
        </w:tc>
        <w:tc>
          <w:tcPr>
            <w:tcW w:w="1100" w:type="dxa"/>
            <w:tcBorders>
              <w:top w:val="single" w:sz="4" w:space="0" w:color="000000"/>
              <w:left w:val="single" w:sz="4" w:space="0" w:color="000000"/>
              <w:bottom w:val="single" w:sz="4" w:space="0" w:color="000000"/>
              <w:right w:val="single" w:sz="4" w:space="0" w:color="000000"/>
            </w:tcBorders>
          </w:tcPr>
          <w:p w14:paraId="408DBC76"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SS-5</w:t>
            </w:r>
          </w:p>
        </w:tc>
        <w:tc>
          <w:tcPr>
            <w:tcW w:w="1100" w:type="dxa"/>
            <w:tcBorders>
              <w:top w:val="single" w:sz="4" w:space="0" w:color="000000"/>
              <w:left w:val="single" w:sz="4" w:space="0" w:color="000000"/>
              <w:bottom w:val="single" w:sz="4" w:space="0" w:color="000000"/>
              <w:right w:val="single" w:sz="4" w:space="0" w:color="000000"/>
            </w:tcBorders>
          </w:tcPr>
          <w:p w14:paraId="1883C8B8"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Opérateur</w:t>
            </w:r>
          </w:p>
        </w:tc>
        <w:tc>
          <w:tcPr>
            <w:tcW w:w="2800" w:type="dxa"/>
            <w:tcBorders>
              <w:top w:val="single" w:sz="4" w:space="0" w:color="000000"/>
              <w:left w:val="single" w:sz="4" w:space="0" w:color="000000"/>
              <w:bottom w:val="single" w:sz="4" w:space="0" w:color="000000"/>
              <w:right w:val="single" w:sz="4" w:space="0" w:color="000000"/>
            </w:tcBorders>
          </w:tcPr>
          <w:p w14:paraId="12B80A1F"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Affichage, recommandation, demande de validation.</w:t>
            </w:r>
          </w:p>
        </w:tc>
        <w:tc>
          <w:tcPr>
            <w:tcW w:w="2857" w:type="dxa"/>
            <w:tcBorders>
              <w:top w:val="single" w:sz="4" w:space="0" w:color="000000"/>
              <w:left w:val="single" w:sz="4" w:space="0" w:color="000000"/>
              <w:bottom w:val="single" w:sz="4" w:space="0" w:color="000000"/>
              <w:right w:val="single" w:sz="4" w:space="0" w:color="000000"/>
            </w:tcBorders>
          </w:tcPr>
          <w:p w14:paraId="3969017B"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Qu’aucune commande n’est émise vers l’installation (EX-F-08).</w:t>
            </w:r>
          </w:p>
        </w:tc>
      </w:tr>
    </w:tbl>
    <w:p w14:paraId="73232E6D" w14:textId="77777777" w:rsidR="00F50D70" w:rsidRPr="00BE4F47" w:rsidRDefault="00137D7F" w:rsidP="008E113B">
      <w:pPr>
        <w:spacing w:before="200" w:after="130" w:line="360" w:lineRule="auto"/>
        <w:ind w:left="360"/>
        <w:rPr>
          <w:rFonts w:ascii="Aptos" w:hAnsi="Aptos"/>
        </w:rPr>
      </w:pPr>
      <w:bookmarkStart w:id="174" w:name="_Toc241082803"/>
      <w:bookmarkStart w:id="175" w:name="_Toc241670017"/>
      <w:bookmarkStart w:id="176" w:name="_Toc241707725"/>
      <w:bookmarkStart w:id="177" w:name="_Toc241791674"/>
      <w:r w:rsidRPr="00BE4F47">
        <w:rPr>
          <w:rFonts w:ascii="Aptos" w:hAnsi="Aptos"/>
          <w:color w:val="1A1A19"/>
          <w:sz w:val="20"/>
          <w:szCs w:val="20"/>
        </w:rPr>
        <w:t>SS-6 n’est pas un maillon de la chaîne, il l’accompagne de bout en bout. Il répond à l’exigence de journalisation EX-F-10 et au corpus de cybersécurité de la section 6. La chaîne s’arrête à SS-5 et aucun flux ne repart vers la boucle, ce qui traduit l’exclusion de toute commande automatique.</w:t>
      </w:r>
      <w:bookmarkEnd w:id="174"/>
      <w:bookmarkEnd w:id="175"/>
      <w:bookmarkEnd w:id="176"/>
      <w:bookmarkEnd w:id="177"/>
    </w:p>
    <w:p w14:paraId="7E96C55B" w14:textId="77777777" w:rsidR="00F50D70" w:rsidRDefault="00137D7F" w:rsidP="008E113B">
      <w:pPr>
        <w:pStyle w:val="Titre2"/>
        <w:spacing w:line="360" w:lineRule="auto"/>
      </w:pPr>
      <w:bookmarkStart w:id="178" w:name="__RefHeading___Toc240715072"/>
      <w:bookmarkStart w:id="179" w:name="_Toc241707726"/>
      <w:bookmarkStart w:id="180" w:name="_Toc241791675"/>
      <w:bookmarkEnd w:id="178"/>
      <w:r w:rsidRPr="00BE4F47">
        <w:t>Périmètre inclus/exclus</w:t>
      </w:r>
      <w:bookmarkEnd w:id="179"/>
      <w:bookmarkEnd w:id="180"/>
    </w:p>
    <w:p w14:paraId="6C116FF9" w14:textId="77777777" w:rsidR="00F50D70" w:rsidRPr="00BE4F47" w:rsidRDefault="00137D7F" w:rsidP="008E113B">
      <w:pPr>
        <w:spacing w:after="130" w:line="360" w:lineRule="auto"/>
        <w:ind w:left="360"/>
        <w:rPr>
          <w:rFonts w:ascii="Aptos" w:hAnsi="Aptos"/>
        </w:rPr>
      </w:pPr>
      <w:bookmarkStart w:id="181" w:name="_Toc241082810"/>
      <w:bookmarkStart w:id="182" w:name="_Toc241670019"/>
      <w:bookmarkStart w:id="183" w:name="_Toc241707727"/>
      <w:bookmarkStart w:id="184" w:name="_Toc241791676"/>
      <w:r w:rsidRPr="00BE4F47">
        <w:rPr>
          <w:rFonts w:ascii="Aptos" w:hAnsi="Aptos"/>
          <w:color w:val="1A1A19"/>
          <w:sz w:val="20"/>
          <w:szCs w:val="20"/>
        </w:rPr>
        <w:t>Le projet porte sur un prototype de jumeau numérique appliqué à une boucle thermohydraulique simplifiée, dans le contexte fictif décrit en 1.1. Le prototype est entièrement simulé.</w:t>
      </w:r>
      <w:bookmarkEnd w:id="181"/>
      <w:bookmarkEnd w:id="182"/>
      <w:bookmarkEnd w:id="183"/>
      <w:bookmarkEnd w:id="184"/>
    </w:p>
    <w:p w14:paraId="791E274C" w14:textId="77777777" w:rsidR="00136F18" w:rsidRPr="00BE4F47" w:rsidRDefault="00136F18" w:rsidP="008E113B">
      <w:pPr>
        <w:spacing w:after="130" w:line="360" w:lineRule="auto"/>
        <w:ind w:left="360"/>
        <w:rPr>
          <w:rFonts w:ascii="Aptos" w:eastAsia="Calibri" w:hAnsi="Aptos" w:cs="Calibri"/>
          <w:color w:val="1A1A19"/>
          <w:sz w:val="20"/>
          <w:szCs w:val="20"/>
        </w:rPr>
      </w:pPr>
      <w:bookmarkStart w:id="185" w:name="_Toc241082805"/>
      <w:bookmarkStart w:id="186" w:name="_Toc241670020"/>
      <w:bookmarkStart w:id="187" w:name="_Toc241707728"/>
      <w:bookmarkStart w:id="188" w:name="_Toc241791677"/>
      <w:r w:rsidRPr="00BE4F47">
        <w:rPr>
          <w:rFonts w:ascii="Aptos" w:hAnsi="Aptos"/>
          <w:color w:val="1A1A19"/>
          <w:sz w:val="20"/>
          <w:szCs w:val="20"/>
        </w:rPr>
        <w:t>Sont exclus : la modélisation complète de la centrale, le raccordement à une installation nucléaire réelle, la connexion à des équipements réels, et toute forme de commande automatique. Ces exclusions sont reprises par l’exigence de périmètre EX-C-02 et par les exclusions de livrables en 2.4.</w:t>
      </w:r>
      <w:bookmarkEnd w:id="185"/>
      <w:bookmarkEnd w:id="186"/>
      <w:bookmarkEnd w:id="187"/>
      <w:bookmarkEnd w:id="188"/>
    </w:p>
    <w:p w14:paraId="7B837813" w14:textId="77777777" w:rsidR="00F50D70" w:rsidRPr="005E5B35" w:rsidRDefault="00137D7F" w:rsidP="008E113B">
      <w:pPr>
        <w:pStyle w:val="Titre2"/>
        <w:spacing w:line="360" w:lineRule="auto"/>
      </w:pPr>
      <w:bookmarkStart w:id="189" w:name="__RefHeading___Toc240715075"/>
      <w:bookmarkStart w:id="190" w:name="_Toc241707729"/>
      <w:bookmarkStart w:id="191" w:name="_Toc241791678"/>
      <w:r w:rsidRPr="00136F18">
        <w:t>Hypothèses</w:t>
      </w:r>
      <w:bookmarkEnd w:id="189"/>
      <w:bookmarkEnd w:id="190"/>
      <w:bookmarkEnd w:id="191"/>
    </w:p>
    <w:p w14:paraId="7DA25920" w14:textId="77777777" w:rsidR="00F50D70" w:rsidRPr="00BE4F47" w:rsidRDefault="00137D7F" w:rsidP="008E113B">
      <w:pPr>
        <w:spacing w:after="130" w:line="360" w:lineRule="auto"/>
        <w:ind w:left="360"/>
        <w:rPr>
          <w:rFonts w:ascii="Aptos" w:hAnsi="Aptos"/>
        </w:rPr>
      </w:pPr>
      <w:bookmarkStart w:id="192" w:name="_Toc241082812"/>
      <w:bookmarkStart w:id="193" w:name="_Toc241670022"/>
      <w:bookmarkStart w:id="194" w:name="_Toc241707730"/>
      <w:bookmarkStart w:id="195" w:name="_Toc241791679"/>
      <w:r w:rsidRPr="00BE4F47">
        <w:rPr>
          <w:rFonts w:ascii="Aptos" w:hAnsi="Aptos"/>
          <w:color w:val="1A1A19"/>
          <w:sz w:val="20"/>
          <w:szCs w:val="20"/>
        </w:rPr>
        <w:t xml:space="preserve">L’analyse des besoins repose sur quatre hypothèses, inscrites au registre de la section 8.2 avec leur effet si elles sont infirmées : l’absence de données d’exploitation réelles de Gentilly-2 (H-03), l’accès aux normes par abonnement institutionnel (H-07), le fait que la température, la pression et </w:t>
      </w:r>
      <w:r w:rsidRPr="00BE4F47">
        <w:rPr>
          <w:rFonts w:ascii="Aptos" w:hAnsi="Aptos"/>
          <w:color w:val="1A1A19"/>
          <w:sz w:val="20"/>
          <w:szCs w:val="20"/>
        </w:rPr>
        <w:lastRenderedPageBreak/>
        <w:t>le débit suffisent à caractériser les défaillances visées (H-09), et le fait que les seuils de dérive peuvent être fixés à partir du modèle de référence (H-10).</w:t>
      </w:r>
      <w:bookmarkEnd w:id="192"/>
      <w:bookmarkEnd w:id="193"/>
      <w:bookmarkEnd w:id="194"/>
      <w:bookmarkEnd w:id="195"/>
    </w:p>
    <w:p w14:paraId="22DB103F" w14:textId="77777777" w:rsidR="00F50D70" w:rsidRPr="00136F18" w:rsidRDefault="00137D7F" w:rsidP="008E113B">
      <w:pPr>
        <w:pStyle w:val="Titre2"/>
        <w:spacing w:line="360" w:lineRule="auto"/>
      </w:pPr>
      <w:bookmarkStart w:id="196" w:name="__RefHeading___Toc240715077"/>
      <w:bookmarkStart w:id="197" w:name="_Toc241707731"/>
      <w:bookmarkStart w:id="198" w:name="_Toc241791680"/>
      <w:bookmarkEnd w:id="196"/>
      <w:r w:rsidRPr="00136F18">
        <w:t>Registre des exigences</w:t>
      </w:r>
      <w:bookmarkEnd w:id="197"/>
      <w:bookmarkEnd w:id="198"/>
    </w:p>
    <w:p w14:paraId="4527A91A" w14:textId="77777777" w:rsidR="00F50D70" w:rsidRPr="005E5B35" w:rsidRDefault="00137D7F" w:rsidP="008E113B">
      <w:pPr>
        <w:pStyle w:val="Titre3"/>
        <w:numPr>
          <w:ilvl w:val="2"/>
          <w:numId w:val="1"/>
        </w:numPr>
        <w:suppressAutoHyphens w:val="0"/>
        <w:spacing w:line="360" w:lineRule="auto"/>
        <w:rPr>
          <w:lang w:eastAsia="fr-FR"/>
        </w:rPr>
      </w:pPr>
      <w:bookmarkStart w:id="199" w:name="__RefHeading___Toc240715094"/>
      <w:bookmarkStart w:id="200" w:name="_Toc241707732"/>
      <w:bookmarkStart w:id="201" w:name="_Toc241791681"/>
      <w:r w:rsidRPr="00B36301">
        <w:rPr>
          <w:lang w:eastAsia="fr-FR"/>
        </w:rPr>
        <w:t>Méthodes et convention de rédaction</w:t>
      </w:r>
      <w:bookmarkEnd w:id="199"/>
      <w:bookmarkEnd w:id="200"/>
      <w:bookmarkEnd w:id="201"/>
    </w:p>
    <w:p w14:paraId="1D8F2171" w14:textId="77777777" w:rsidR="00F50D70" w:rsidRPr="00BE4F47" w:rsidRDefault="00137D7F" w:rsidP="008E113B">
      <w:pPr>
        <w:spacing w:after="130" w:line="360" w:lineRule="auto"/>
        <w:ind w:left="992"/>
        <w:rPr>
          <w:rFonts w:ascii="Aptos" w:hAnsi="Aptos"/>
        </w:rPr>
      </w:pPr>
      <w:bookmarkStart w:id="202" w:name="_Toc241082832"/>
      <w:bookmarkStart w:id="203" w:name="_Toc241670025"/>
      <w:bookmarkStart w:id="204" w:name="_Toc241707733"/>
      <w:bookmarkStart w:id="205" w:name="_Toc241791682"/>
      <w:r w:rsidRPr="00BE4F47">
        <w:rPr>
          <w:rFonts w:ascii="Aptos" w:hAnsi="Aptos"/>
          <w:color w:val="1A1A19"/>
          <w:sz w:val="20"/>
          <w:szCs w:val="20"/>
        </w:rPr>
        <w:t xml:space="preserve">Une exigence n’est exploitable que si l’on peut écrire un essai qui réussit </w:t>
      </w:r>
      <w:proofErr w:type="gramStart"/>
      <w:r w:rsidRPr="00BE4F47">
        <w:rPr>
          <w:rFonts w:ascii="Aptos" w:hAnsi="Aptos"/>
          <w:color w:val="1A1A19"/>
          <w:sz w:val="20"/>
          <w:szCs w:val="20"/>
        </w:rPr>
        <w:t>ou</w:t>
      </w:r>
      <w:proofErr w:type="gramEnd"/>
      <w:r w:rsidRPr="00BE4F47">
        <w:rPr>
          <w:rFonts w:ascii="Aptos" w:hAnsi="Aptos"/>
          <w:color w:val="1A1A19"/>
          <w:sz w:val="20"/>
          <w:szCs w:val="20"/>
        </w:rPr>
        <w:t xml:space="preserve"> qui échoue. Toutes les exigences ci-dessous suivent trois règles : un verbe d’action observable, une condition de déclenchement quand elle s’applique, et un moyen de vérification nommé. Les formulations d’intention comme « prendre en compte » ou « considérer » ont été écartées, car aucun essai ne peut les contredire.</w:t>
      </w:r>
      <w:bookmarkEnd w:id="202"/>
      <w:bookmarkEnd w:id="203"/>
      <w:bookmarkEnd w:id="204"/>
      <w:bookmarkEnd w:id="205"/>
    </w:p>
    <w:p w14:paraId="17029B1C" w14:textId="77777777" w:rsidR="00F50D70" w:rsidRPr="00BE4F47" w:rsidRDefault="00137D7F" w:rsidP="008E113B">
      <w:pPr>
        <w:spacing w:after="130" w:line="360" w:lineRule="auto"/>
        <w:ind w:left="992"/>
        <w:rPr>
          <w:rFonts w:ascii="Aptos" w:hAnsi="Aptos"/>
        </w:rPr>
      </w:pPr>
      <w:bookmarkStart w:id="206" w:name="_Toc241082833"/>
      <w:bookmarkStart w:id="207" w:name="_Toc241670026"/>
      <w:bookmarkStart w:id="208" w:name="_Toc241707734"/>
      <w:bookmarkStart w:id="209" w:name="_Toc241791683"/>
      <w:r w:rsidRPr="00BE4F47">
        <w:rPr>
          <w:rFonts w:ascii="Aptos" w:hAnsi="Aptos"/>
          <w:color w:val="1A1A19"/>
          <w:sz w:val="20"/>
          <w:szCs w:val="20"/>
        </w:rPr>
        <w:t>Les caractéristiques de qualité employées en 1.7.3 viennent d’ISO/IEC 25010, que la section 6 retient comme source des critères d’acceptation du prototype. La rédaction suit ISO/IEC/IEEE 29148:2018 [1], norme d’ingénierie des exigences.</w:t>
      </w:r>
      <w:bookmarkEnd w:id="206"/>
      <w:bookmarkEnd w:id="207"/>
      <w:bookmarkEnd w:id="208"/>
      <w:bookmarkEnd w:id="209"/>
    </w:p>
    <w:p w14:paraId="5A053758" w14:textId="77777777" w:rsidR="00F50D70" w:rsidRPr="00BE4F47" w:rsidRDefault="00137D7F" w:rsidP="008E113B">
      <w:pPr>
        <w:spacing w:after="130" w:line="360" w:lineRule="auto"/>
        <w:ind w:left="992"/>
        <w:rPr>
          <w:rFonts w:ascii="Aptos" w:eastAsia="Calibri" w:hAnsi="Aptos" w:cs="Calibri"/>
          <w:color w:val="1A1A19"/>
          <w:sz w:val="20"/>
          <w:szCs w:val="20"/>
        </w:rPr>
      </w:pPr>
      <w:bookmarkStart w:id="210" w:name="_Toc241082834"/>
      <w:bookmarkStart w:id="211" w:name="_Toc241670027"/>
      <w:bookmarkStart w:id="212" w:name="_Toc241707735"/>
      <w:bookmarkStart w:id="213" w:name="_Toc241791684"/>
      <w:r w:rsidRPr="00BE4F47">
        <w:rPr>
          <w:rFonts w:ascii="Aptos" w:hAnsi="Aptos"/>
          <w:color w:val="1A1A19"/>
          <w:sz w:val="20"/>
          <w:szCs w:val="20"/>
        </w:rPr>
        <w:t>Les valeurs notées N, T, D, F, K, M, S, X et Y sont des paramètres laissés ouverts à ce stade. Elles seront fixées par l’analyse de risques et les premiers essais, puis consignées au jalon J2. Aucun seuil numérique n’est posé arbitrairement.</w:t>
      </w:r>
      <w:bookmarkEnd w:id="210"/>
      <w:bookmarkEnd w:id="211"/>
      <w:bookmarkEnd w:id="212"/>
      <w:bookmarkEnd w:id="213"/>
    </w:p>
    <w:p w14:paraId="15291153" w14:textId="77777777" w:rsidR="00F50D70" w:rsidRDefault="00137D7F" w:rsidP="008E113B">
      <w:pPr>
        <w:spacing w:after="130" w:line="360" w:lineRule="auto"/>
        <w:ind w:left="992"/>
        <w:rPr>
          <w:rFonts w:ascii="Aptos" w:eastAsia="Calibri" w:hAnsi="Aptos" w:cs="Calibri"/>
          <w:color w:val="1A1A19"/>
          <w:sz w:val="20"/>
          <w:szCs w:val="20"/>
        </w:rPr>
      </w:pPr>
      <w:bookmarkStart w:id="214" w:name="_Toc241082835"/>
      <w:bookmarkStart w:id="215" w:name="_Toc241670028"/>
      <w:bookmarkStart w:id="216" w:name="_Toc241707736"/>
      <w:bookmarkStart w:id="217" w:name="_Toc241791685"/>
      <w:r w:rsidRPr="00BE4F47">
        <w:rPr>
          <w:rFonts w:ascii="Aptos" w:hAnsi="Aptos"/>
          <w:color w:val="1A1A19"/>
          <w:sz w:val="20"/>
          <w:szCs w:val="20"/>
        </w:rPr>
        <w:t>Conventions de numérotation : EX-F pour les exigences fonctionnelles, EX-Q pour les exigences de qualité, EX-C pour les exigences de périmètre et de contrainte. La colonne « GEMMA » renvoie aux états de la figure 1-1. La colonne « Lot » renvoie aux neuf lots de travail définis à la section 8.</w:t>
      </w:r>
      <w:bookmarkEnd w:id="214"/>
      <w:bookmarkEnd w:id="215"/>
      <w:bookmarkEnd w:id="216"/>
      <w:bookmarkEnd w:id="217"/>
    </w:p>
    <w:p w14:paraId="6FF19E1F" w14:textId="77777777" w:rsidR="00F50D70" w:rsidRPr="00BE4F47" w:rsidRDefault="00137D7F" w:rsidP="008E113B">
      <w:pPr>
        <w:pStyle w:val="Titre3"/>
        <w:numPr>
          <w:ilvl w:val="2"/>
          <w:numId w:val="1"/>
        </w:numPr>
        <w:suppressAutoHyphens w:val="0"/>
        <w:spacing w:line="360" w:lineRule="auto"/>
        <w:rPr>
          <w:lang w:eastAsia="fr-FR"/>
        </w:rPr>
      </w:pPr>
      <w:bookmarkStart w:id="218" w:name="__RefHeading___Toc240715099"/>
      <w:bookmarkStart w:id="219" w:name="_Toc241707737"/>
      <w:bookmarkStart w:id="220" w:name="_Toc241791686"/>
      <w:bookmarkEnd w:id="218"/>
      <w:r w:rsidRPr="00BE4F47">
        <w:t>Exigences fonctionnelles</w:t>
      </w:r>
      <w:bookmarkEnd w:id="219"/>
      <w:bookmarkEnd w:id="220"/>
    </w:p>
    <w:p w14:paraId="234BF92F" w14:textId="77777777" w:rsidR="00F50D70" w:rsidRPr="00BE4F47" w:rsidRDefault="00137D7F" w:rsidP="008E113B">
      <w:pPr>
        <w:pStyle w:val="Lgende"/>
        <w:keepNext/>
        <w:spacing w:line="360" w:lineRule="auto"/>
        <w:rPr>
          <w:rFonts w:ascii="Aptos" w:hAnsi="Aptos"/>
        </w:rPr>
      </w:pPr>
      <w:bookmarkStart w:id="221" w:name="_Toc241082836"/>
      <w:bookmarkStart w:id="222" w:name="_Toc241670030"/>
      <w:bookmarkStart w:id="223" w:name="_Toc241707738"/>
      <w:bookmarkStart w:id="224" w:name="_Toc241791687"/>
      <w:r w:rsidRPr="00BE4F47">
        <w:rPr>
          <w:rFonts w:ascii="Aptos" w:hAnsi="Aptos"/>
        </w:rPr>
        <w:t>Tableau 1-6. Registre des exigences fonctionnelles</w:t>
      </w:r>
      <w:bookmarkEnd w:id="221"/>
      <w:bookmarkEnd w:id="222"/>
      <w:bookmarkEnd w:id="223"/>
      <w:bookmarkEnd w:id="224"/>
    </w:p>
    <w:tbl>
      <w:tblPr>
        <w:tblW w:w="8557" w:type="dxa"/>
        <w:tblInd w:w="413" w:type="dxa"/>
        <w:tblLayout w:type="fixed"/>
        <w:tblCellMar>
          <w:top w:w="60" w:type="dxa"/>
          <w:left w:w="90" w:type="dxa"/>
          <w:bottom w:w="60" w:type="dxa"/>
          <w:right w:w="90" w:type="dxa"/>
        </w:tblCellMar>
        <w:tblLook w:val="04A0" w:firstRow="1" w:lastRow="0" w:firstColumn="1" w:lastColumn="0" w:noHBand="0" w:noVBand="1"/>
      </w:tblPr>
      <w:tblGrid>
        <w:gridCol w:w="1000"/>
        <w:gridCol w:w="2240"/>
        <w:gridCol w:w="1000"/>
        <w:gridCol w:w="940"/>
        <w:gridCol w:w="620"/>
        <w:gridCol w:w="2757"/>
      </w:tblGrid>
      <w:tr w:rsidR="00F50D70" w:rsidRPr="00BE4F47" w14:paraId="74A71649" w14:textId="77777777" w:rsidTr="0036725C">
        <w:trPr>
          <w:trHeight w:val="218"/>
          <w:tblHeader/>
        </w:trPr>
        <w:tc>
          <w:tcPr>
            <w:tcW w:w="100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34A34589"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ID</w:t>
            </w:r>
          </w:p>
        </w:tc>
        <w:tc>
          <w:tcPr>
            <w:tcW w:w="224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76AF5ADA"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Exigence</w:t>
            </w:r>
          </w:p>
        </w:tc>
        <w:tc>
          <w:tcPr>
            <w:tcW w:w="100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403D6557"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Source</w:t>
            </w:r>
          </w:p>
        </w:tc>
        <w:tc>
          <w:tcPr>
            <w:tcW w:w="94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0E659619"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GEMMA</w:t>
            </w:r>
          </w:p>
        </w:tc>
        <w:tc>
          <w:tcPr>
            <w:tcW w:w="62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6A3BE83D"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Lot</w:t>
            </w:r>
          </w:p>
        </w:tc>
        <w:tc>
          <w:tcPr>
            <w:tcW w:w="2757"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17495DFB"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Moyen de vérification</w:t>
            </w:r>
          </w:p>
        </w:tc>
      </w:tr>
      <w:tr w:rsidR="00F50D70" w:rsidRPr="00BE4F47" w14:paraId="78B54CA2" w14:textId="77777777">
        <w:trPr>
          <w:trHeight w:val="713"/>
        </w:trPr>
        <w:tc>
          <w:tcPr>
            <w:tcW w:w="1000" w:type="dxa"/>
            <w:tcBorders>
              <w:top w:val="single" w:sz="4" w:space="0" w:color="000000"/>
              <w:left w:val="single" w:sz="4" w:space="0" w:color="000000"/>
              <w:bottom w:val="single" w:sz="4" w:space="0" w:color="000000"/>
              <w:right w:val="single" w:sz="4" w:space="0" w:color="000000"/>
            </w:tcBorders>
          </w:tcPr>
          <w:p w14:paraId="490EDFE3"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EX-F-01</w:t>
            </w:r>
          </w:p>
        </w:tc>
        <w:tc>
          <w:tcPr>
            <w:tcW w:w="2240" w:type="dxa"/>
            <w:tcBorders>
              <w:top w:val="single" w:sz="4" w:space="0" w:color="000000"/>
              <w:left w:val="single" w:sz="4" w:space="0" w:color="000000"/>
              <w:bottom w:val="single" w:sz="4" w:space="0" w:color="000000"/>
              <w:right w:val="single" w:sz="4" w:space="0" w:color="000000"/>
            </w:tcBorders>
          </w:tcPr>
          <w:p w14:paraId="5AAFDA8F"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Le prototype simule une boucle thermohydraulique simplifiée et produit, à chaque cycle d’acquisition, une valeur de température, de pression et de débit.</w:t>
            </w:r>
          </w:p>
        </w:tc>
        <w:tc>
          <w:tcPr>
            <w:tcW w:w="1000" w:type="dxa"/>
            <w:tcBorders>
              <w:top w:val="single" w:sz="4" w:space="0" w:color="000000"/>
              <w:left w:val="single" w:sz="4" w:space="0" w:color="000000"/>
              <w:bottom w:val="single" w:sz="4" w:space="0" w:color="000000"/>
              <w:right w:val="single" w:sz="4" w:space="0" w:color="000000"/>
            </w:tcBorders>
          </w:tcPr>
          <w:p w14:paraId="27608AA6"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Hydro-Québec</w:t>
            </w:r>
          </w:p>
        </w:tc>
        <w:tc>
          <w:tcPr>
            <w:tcW w:w="940" w:type="dxa"/>
            <w:tcBorders>
              <w:top w:val="single" w:sz="4" w:space="0" w:color="000000"/>
              <w:left w:val="single" w:sz="4" w:space="0" w:color="000000"/>
              <w:bottom w:val="single" w:sz="4" w:space="0" w:color="000000"/>
              <w:right w:val="single" w:sz="4" w:space="0" w:color="000000"/>
            </w:tcBorders>
          </w:tcPr>
          <w:p w14:paraId="3DB3CEF5"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F1</w:t>
            </w:r>
          </w:p>
        </w:tc>
        <w:tc>
          <w:tcPr>
            <w:tcW w:w="620" w:type="dxa"/>
            <w:tcBorders>
              <w:top w:val="single" w:sz="4" w:space="0" w:color="000000"/>
              <w:left w:val="single" w:sz="4" w:space="0" w:color="000000"/>
              <w:bottom w:val="single" w:sz="4" w:space="0" w:color="000000"/>
              <w:right w:val="single" w:sz="4" w:space="0" w:color="000000"/>
            </w:tcBorders>
          </w:tcPr>
          <w:p w14:paraId="36175FE0"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L6</w:t>
            </w:r>
          </w:p>
        </w:tc>
        <w:tc>
          <w:tcPr>
            <w:tcW w:w="2757" w:type="dxa"/>
            <w:tcBorders>
              <w:top w:val="single" w:sz="4" w:space="0" w:color="000000"/>
              <w:left w:val="single" w:sz="4" w:space="0" w:color="000000"/>
              <w:bottom w:val="single" w:sz="4" w:space="0" w:color="000000"/>
              <w:right w:val="single" w:sz="4" w:space="0" w:color="000000"/>
            </w:tcBorders>
          </w:tcPr>
          <w:p w14:paraId="39C5EA2B"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Essai de fonctionnement normal : 100 cycles consécutifs sans valeur manquante.</w:t>
            </w:r>
          </w:p>
        </w:tc>
      </w:tr>
      <w:tr w:rsidR="00F50D70" w:rsidRPr="00BE4F47" w14:paraId="6370C6D6" w14:textId="77777777">
        <w:trPr>
          <w:trHeight w:val="875"/>
        </w:trPr>
        <w:tc>
          <w:tcPr>
            <w:tcW w:w="1000" w:type="dxa"/>
            <w:tcBorders>
              <w:top w:val="single" w:sz="4" w:space="0" w:color="000000"/>
              <w:left w:val="single" w:sz="4" w:space="0" w:color="000000"/>
              <w:bottom w:val="single" w:sz="4" w:space="0" w:color="000000"/>
              <w:right w:val="single" w:sz="4" w:space="0" w:color="000000"/>
            </w:tcBorders>
          </w:tcPr>
          <w:p w14:paraId="5E49DAF6"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EX-F-02</w:t>
            </w:r>
          </w:p>
        </w:tc>
        <w:tc>
          <w:tcPr>
            <w:tcW w:w="2240" w:type="dxa"/>
            <w:tcBorders>
              <w:top w:val="single" w:sz="4" w:space="0" w:color="000000"/>
              <w:left w:val="single" w:sz="4" w:space="0" w:color="000000"/>
              <w:bottom w:val="single" w:sz="4" w:space="0" w:color="000000"/>
              <w:right w:val="single" w:sz="4" w:space="0" w:color="000000"/>
            </w:tcBorders>
          </w:tcPr>
          <w:p w14:paraId="5261EFCD"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Le prototype permet d’exécuter des scénarios prédéfinis et reproductibles couvrant au minimum le fonctionnement normal, la dérive lente d’un capteur, la perte de communication et la valeur hors plage.</w:t>
            </w:r>
          </w:p>
        </w:tc>
        <w:tc>
          <w:tcPr>
            <w:tcW w:w="1000" w:type="dxa"/>
            <w:tcBorders>
              <w:top w:val="single" w:sz="4" w:space="0" w:color="000000"/>
              <w:left w:val="single" w:sz="4" w:space="0" w:color="000000"/>
              <w:bottom w:val="single" w:sz="4" w:space="0" w:color="000000"/>
              <w:right w:val="single" w:sz="4" w:space="0" w:color="000000"/>
            </w:tcBorders>
          </w:tcPr>
          <w:p w14:paraId="12395C8C"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Hydro-Québec</w:t>
            </w:r>
          </w:p>
        </w:tc>
        <w:tc>
          <w:tcPr>
            <w:tcW w:w="940" w:type="dxa"/>
            <w:tcBorders>
              <w:top w:val="single" w:sz="4" w:space="0" w:color="000000"/>
              <w:left w:val="single" w:sz="4" w:space="0" w:color="000000"/>
              <w:bottom w:val="single" w:sz="4" w:space="0" w:color="000000"/>
              <w:right w:val="single" w:sz="4" w:space="0" w:color="000000"/>
            </w:tcBorders>
          </w:tcPr>
          <w:p w14:paraId="3DA02EDE"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F1, F6, D2</w:t>
            </w:r>
          </w:p>
        </w:tc>
        <w:tc>
          <w:tcPr>
            <w:tcW w:w="620" w:type="dxa"/>
            <w:tcBorders>
              <w:top w:val="single" w:sz="4" w:space="0" w:color="000000"/>
              <w:left w:val="single" w:sz="4" w:space="0" w:color="000000"/>
              <w:bottom w:val="single" w:sz="4" w:space="0" w:color="000000"/>
              <w:right w:val="single" w:sz="4" w:space="0" w:color="000000"/>
            </w:tcBorders>
          </w:tcPr>
          <w:p w14:paraId="4532C37B"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L9</w:t>
            </w:r>
          </w:p>
        </w:tc>
        <w:tc>
          <w:tcPr>
            <w:tcW w:w="2757" w:type="dxa"/>
            <w:tcBorders>
              <w:top w:val="single" w:sz="4" w:space="0" w:color="000000"/>
              <w:left w:val="single" w:sz="4" w:space="0" w:color="000000"/>
              <w:bottom w:val="single" w:sz="4" w:space="0" w:color="000000"/>
              <w:right w:val="single" w:sz="4" w:space="0" w:color="000000"/>
            </w:tcBorders>
          </w:tcPr>
          <w:p w14:paraId="47820E70"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Campagne d’essais : un essai documenté par scénario, rejouable à l’identique.</w:t>
            </w:r>
          </w:p>
        </w:tc>
      </w:tr>
      <w:tr w:rsidR="00F50D70" w:rsidRPr="00BE4F47" w14:paraId="2E52FDCB" w14:textId="77777777">
        <w:trPr>
          <w:trHeight w:val="543"/>
        </w:trPr>
        <w:tc>
          <w:tcPr>
            <w:tcW w:w="1000" w:type="dxa"/>
            <w:tcBorders>
              <w:top w:val="single" w:sz="4" w:space="0" w:color="000000"/>
              <w:left w:val="single" w:sz="4" w:space="0" w:color="000000"/>
              <w:bottom w:val="single" w:sz="4" w:space="0" w:color="000000"/>
              <w:right w:val="single" w:sz="4" w:space="0" w:color="000000"/>
            </w:tcBorders>
          </w:tcPr>
          <w:p w14:paraId="7888EC03"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EX-F-03</w:t>
            </w:r>
          </w:p>
        </w:tc>
        <w:tc>
          <w:tcPr>
            <w:tcW w:w="2240" w:type="dxa"/>
            <w:tcBorders>
              <w:top w:val="single" w:sz="4" w:space="0" w:color="000000"/>
              <w:left w:val="single" w:sz="4" w:space="0" w:color="000000"/>
              <w:bottom w:val="single" w:sz="4" w:space="0" w:color="000000"/>
              <w:right w:val="single" w:sz="4" w:space="0" w:color="000000"/>
            </w:tcBorders>
          </w:tcPr>
          <w:p w14:paraId="37D31AFD"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À chaque cycle, le prototype compare la valeur observée à la valeur attendue par le modèle et calcule l’écart correspondant.</w:t>
            </w:r>
          </w:p>
        </w:tc>
        <w:tc>
          <w:tcPr>
            <w:tcW w:w="1000" w:type="dxa"/>
            <w:tcBorders>
              <w:top w:val="single" w:sz="4" w:space="0" w:color="000000"/>
              <w:left w:val="single" w:sz="4" w:space="0" w:color="000000"/>
              <w:bottom w:val="single" w:sz="4" w:space="0" w:color="000000"/>
              <w:right w:val="single" w:sz="4" w:space="0" w:color="000000"/>
            </w:tcBorders>
          </w:tcPr>
          <w:p w14:paraId="38BF24F7"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Hydro-Québec</w:t>
            </w:r>
          </w:p>
        </w:tc>
        <w:tc>
          <w:tcPr>
            <w:tcW w:w="940" w:type="dxa"/>
            <w:tcBorders>
              <w:top w:val="single" w:sz="4" w:space="0" w:color="000000"/>
              <w:left w:val="single" w:sz="4" w:space="0" w:color="000000"/>
              <w:bottom w:val="single" w:sz="4" w:space="0" w:color="000000"/>
              <w:right w:val="single" w:sz="4" w:space="0" w:color="000000"/>
            </w:tcBorders>
          </w:tcPr>
          <w:p w14:paraId="17F9F565"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F1</w:t>
            </w:r>
          </w:p>
        </w:tc>
        <w:tc>
          <w:tcPr>
            <w:tcW w:w="620" w:type="dxa"/>
            <w:tcBorders>
              <w:top w:val="single" w:sz="4" w:space="0" w:color="000000"/>
              <w:left w:val="single" w:sz="4" w:space="0" w:color="000000"/>
              <w:bottom w:val="single" w:sz="4" w:space="0" w:color="000000"/>
              <w:right w:val="single" w:sz="4" w:space="0" w:color="000000"/>
            </w:tcBorders>
          </w:tcPr>
          <w:p w14:paraId="6B47D91D"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L6, L7</w:t>
            </w:r>
          </w:p>
        </w:tc>
        <w:tc>
          <w:tcPr>
            <w:tcW w:w="2757" w:type="dxa"/>
            <w:tcBorders>
              <w:top w:val="single" w:sz="4" w:space="0" w:color="000000"/>
              <w:left w:val="single" w:sz="4" w:space="0" w:color="000000"/>
              <w:bottom w:val="single" w:sz="4" w:space="0" w:color="000000"/>
              <w:right w:val="single" w:sz="4" w:space="0" w:color="000000"/>
            </w:tcBorders>
          </w:tcPr>
          <w:p w14:paraId="3E611AEE"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Essai unitaire sur jeu de données connu, écart attendu calculé à la main.</w:t>
            </w:r>
          </w:p>
        </w:tc>
      </w:tr>
      <w:tr w:rsidR="00F50D70" w:rsidRPr="00BE4F47" w14:paraId="7CA61AEB" w14:textId="77777777">
        <w:trPr>
          <w:trHeight w:val="543"/>
        </w:trPr>
        <w:tc>
          <w:tcPr>
            <w:tcW w:w="1000" w:type="dxa"/>
            <w:tcBorders>
              <w:top w:val="single" w:sz="4" w:space="0" w:color="000000"/>
              <w:left w:val="single" w:sz="4" w:space="0" w:color="000000"/>
              <w:bottom w:val="single" w:sz="4" w:space="0" w:color="000000"/>
              <w:right w:val="single" w:sz="4" w:space="0" w:color="000000"/>
            </w:tcBorders>
          </w:tcPr>
          <w:p w14:paraId="40DF2CB6"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lastRenderedPageBreak/>
              <w:t>EX-F-04</w:t>
            </w:r>
          </w:p>
        </w:tc>
        <w:tc>
          <w:tcPr>
            <w:tcW w:w="2240" w:type="dxa"/>
            <w:tcBorders>
              <w:top w:val="single" w:sz="4" w:space="0" w:color="000000"/>
              <w:left w:val="single" w:sz="4" w:space="0" w:color="000000"/>
              <w:bottom w:val="single" w:sz="4" w:space="0" w:color="000000"/>
              <w:right w:val="single" w:sz="4" w:space="0" w:color="000000"/>
            </w:tcBorders>
          </w:tcPr>
          <w:p w14:paraId="4CC32566"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L’interface affiche en permanence les trois variables surveillées, leur écart au modèle et l’horodatage de la dernière acquisition valide.</w:t>
            </w:r>
          </w:p>
        </w:tc>
        <w:tc>
          <w:tcPr>
            <w:tcW w:w="1000" w:type="dxa"/>
            <w:tcBorders>
              <w:top w:val="single" w:sz="4" w:space="0" w:color="000000"/>
              <w:left w:val="single" w:sz="4" w:space="0" w:color="000000"/>
              <w:bottom w:val="single" w:sz="4" w:space="0" w:color="000000"/>
              <w:right w:val="single" w:sz="4" w:space="0" w:color="000000"/>
            </w:tcBorders>
          </w:tcPr>
          <w:p w14:paraId="757E8761"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Ingénieurs et opérateurs</w:t>
            </w:r>
          </w:p>
        </w:tc>
        <w:tc>
          <w:tcPr>
            <w:tcW w:w="940" w:type="dxa"/>
            <w:tcBorders>
              <w:top w:val="single" w:sz="4" w:space="0" w:color="000000"/>
              <w:left w:val="single" w:sz="4" w:space="0" w:color="000000"/>
              <w:bottom w:val="single" w:sz="4" w:space="0" w:color="000000"/>
              <w:right w:val="single" w:sz="4" w:space="0" w:color="000000"/>
            </w:tcBorders>
          </w:tcPr>
          <w:p w14:paraId="121C7F77"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F1</w:t>
            </w:r>
          </w:p>
        </w:tc>
        <w:tc>
          <w:tcPr>
            <w:tcW w:w="620" w:type="dxa"/>
            <w:tcBorders>
              <w:top w:val="single" w:sz="4" w:space="0" w:color="000000"/>
              <w:left w:val="single" w:sz="4" w:space="0" w:color="000000"/>
              <w:bottom w:val="single" w:sz="4" w:space="0" w:color="000000"/>
              <w:right w:val="single" w:sz="4" w:space="0" w:color="000000"/>
            </w:tcBorders>
          </w:tcPr>
          <w:p w14:paraId="6A52A902"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L8</w:t>
            </w:r>
          </w:p>
        </w:tc>
        <w:tc>
          <w:tcPr>
            <w:tcW w:w="2757" w:type="dxa"/>
            <w:tcBorders>
              <w:top w:val="single" w:sz="4" w:space="0" w:color="000000"/>
              <w:left w:val="single" w:sz="4" w:space="0" w:color="000000"/>
              <w:bottom w:val="single" w:sz="4" w:space="0" w:color="000000"/>
              <w:right w:val="single" w:sz="4" w:space="0" w:color="000000"/>
            </w:tcBorders>
          </w:tcPr>
          <w:p w14:paraId="002A9516"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Inspection de l’interface en fonctionnement, liste de contrôle des éléments affichés.</w:t>
            </w:r>
          </w:p>
        </w:tc>
      </w:tr>
      <w:tr w:rsidR="00F50D70" w:rsidRPr="00BE4F47" w14:paraId="54067ADE" w14:textId="77777777">
        <w:trPr>
          <w:trHeight w:val="549"/>
        </w:trPr>
        <w:tc>
          <w:tcPr>
            <w:tcW w:w="1000" w:type="dxa"/>
            <w:tcBorders>
              <w:top w:val="single" w:sz="4" w:space="0" w:color="000000"/>
              <w:left w:val="single" w:sz="4" w:space="0" w:color="000000"/>
              <w:bottom w:val="single" w:sz="4" w:space="0" w:color="000000"/>
              <w:right w:val="single" w:sz="4" w:space="0" w:color="000000"/>
            </w:tcBorders>
          </w:tcPr>
          <w:p w14:paraId="0B63B6D7"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EX-F-05</w:t>
            </w:r>
          </w:p>
        </w:tc>
        <w:tc>
          <w:tcPr>
            <w:tcW w:w="2240" w:type="dxa"/>
            <w:tcBorders>
              <w:top w:val="single" w:sz="4" w:space="0" w:color="000000"/>
              <w:left w:val="single" w:sz="4" w:space="0" w:color="000000"/>
              <w:bottom w:val="single" w:sz="4" w:space="0" w:color="000000"/>
              <w:right w:val="single" w:sz="4" w:space="0" w:color="000000"/>
            </w:tcBorders>
          </w:tcPr>
          <w:p w14:paraId="0B6A1593"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Lorsqu’une anomalie est signalée, l’interface affiche les variables ayant contribué à la détection.</w:t>
            </w:r>
          </w:p>
        </w:tc>
        <w:tc>
          <w:tcPr>
            <w:tcW w:w="1000" w:type="dxa"/>
            <w:tcBorders>
              <w:top w:val="single" w:sz="4" w:space="0" w:color="000000"/>
              <w:left w:val="single" w:sz="4" w:space="0" w:color="000000"/>
              <w:bottom w:val="single" w:sz="4" w:space="0" w:color="000000"/>
              <w:right w:val="single" w:sz="4" w:space="0" w:color="000000"/>
            </w:tcBorders>
          </w:tcPr>
          <w:p w14:paraId="7FCA561B"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Ingénieurs et opérateurs</w:t>
            </w:r>
          </w:p>
        </w:tc>
        <w:tc>
          <w:tcPr>
            <w:tcW w:w="940" w:type="dxa"/>
            <w:tcBorders>
              <w:top w:val="single" w:sz="4" w:space="0" w:color="000000"/>
              <w:left w:val="single" w:sz="4" w:space="0" w:color="000000"/>
              <w:bottom w:val="single" w:sz="4" w:space="0" w:color="000000"/>
              <w:right w:val="single" w:sz="4" w:space="0" w:color="000000"/>
            </w:tcBorders>
          </w:tcPr>
          <w:p w14:paraId="1056425F"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D2</w:t>
            </w:r>
          </w:p>
        </w:tc>
        <w:tc>
          <w:tcPr>
            <w:tcW w:w="620" w:type="dxa"/>
            <w:tcBorders>
              <w:top w:val="single" w:sz="4" w:space="0" w:color="000000"/>
              <w:left w:val="single" w:sz="4" w:space="0" w:color="000000"/>
              <w:bottom w:val="single" w:sz="4" w:space="0" w:color="000000"/>
              <w:right w:val="single" w:sz="4" w:space="0" w:color="000000"/>
            </w:tcBorders>
          </w:tcPr>
          <w:p w14:paraId="583CF407"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L8</w:t>
            </w:r>
          </w:p>
        </w:tc>
        <w:tc>
          <w:tcPr>
            <w:tcW w:w="2757" w:type="dxa"/>
            <w:tcBorders>
              <w:top w:val="single" w:sz="4" w:space="0" w:color="000000"/>
              <w:left w:val="single" w:sz="4" w:space="0" w:color="000000"/>
              <w:bottom w:val="single" w:sz="4" w:space="0" w:color="000000"/>
              <w:right w:val="single" w:sz="4" w:space="0" w:color="000000"/>
            </w:tcBorders>
          </w:tcPr>
          <w:p w14:paraId="356A8F41"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Essai d’injection d’anomalie : les variables affichées correspondent à celles injectées.</w:t>
            </w:r>
          </w:p>
        </w:tc>
      </w:tr>
      <w:tr w:rsidR="00F50D70" w:rsidRPr="00BE4F47" w14:paraId="02BD3ED0" w14:textId="77777777">
        <w:trPr>
          <w:trHeight w:val="875"/>
        </w:trPr>
        <w:tc>
          <w:tcPr>
            <w:tcW w:w="1000" w:type="dxa"/>
            <w:tcBorders>
              <w:top w:val="single" w:sz="4" w:space="0" w:color="000000"/>
              <w:left w:val="single" w:sz="4" w:space="0" w:color="000000"/>
              <w:bottom w:val="single" w:sz="4" w:space="0" w:color="000000"/>
              <w:right w:val="single" w:sz="4" w:space="0" w:color="000000"/>
            </w:tcBorders>
          </w:tcPr>
          <w:p w14:paraId="17A470B7"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EX-F-06</w:t>
            </w:r>
          </w:p>
        </w:tc>
        <w:tc>
          <w:tcPr>
            <w:tcW w:w="2240" w:type="dxa"/>
            <w:tcBorders>
              <w:top w:val="single" w:sz="4" w:space="0" w:color="000000"/>
              <w:left w:val="single" w:sz="4" w:space="0" w:color="000000"/>
              <w:bottom w:val="single" w:sz="4" w:space="0" w:color="000000"/>
              <w:right w:val="single" w:sz="4" w:space="0" w:color="000000"/>
            </w:tcBorders>
          </w:tcPr>
          <w:p w14:paraId="1A84DCB2"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Lorsqu’au moins une des trois variables est indisponible ou hors de sa plage de validité pendant plus de N cycles, le diagnostic est suspendu : l’interface affiche l’état « incertain », n’affiche aucune estimation d’état et le reste jusqu’au retour de données valides.</w:t>
            </w:r>
          </w:p>
        </w:tc>
        <w:tc>
          <w:tcPr>
            <w:tcW w:w="1000" w:type="dxa"/>
            <w:tcBorders>
              <w:top w:val="single" w:sz="4" w:space="0" w:color="000000"/>
              <w:left w:val="single" w:sz="4" w:space="0" w:color="000000"/>
              <w:bottom w:val="single" w:sz="4" w:space="0" w:color="000000"/>
              <w:right w:val="single" w:sz="4" w:space="0" w:color="000000"/>
            </w:tcBorders>
          </w:tcPr>
          <w:p w14:paraId="761365B0"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Sûreté</w:t>
            </w:r>
          </w:p>
        </w:tc>
        <w:tc>
          <w:tcPr>
            <w:tcW w:w="940" w:type="dxa"/>
            <w:tcBorders>
              <w:top w:val="single" w:sz="4" w:space="0" w:color="000000"/>
              <w:left w:val="single" w:sz="4" w:space="0" w:color="000000"/>
              <w:bottom w:val="single" w:sz="4" w:space="0" w:color="000000"/>
              <w:right w:val="single" w:sz="4" w:space="0" w:color="000000"/>
            </w:tcBorders>
          </w:tcPr>
          <w:p w14:paraId="613106A6"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D2</w:t>
            </w:r>
          </w:p>
        </w:tc>
        <w:tc>
          <w:tcPr>
            <w:tcW w:w="620" w:type="dxa"/>
            <w:tcBorders>
              <w:top w:val="single" w:sz="4" w:space="0" w:color="000000"/>
              <w:left w:val="single" w:sz="4" w:space="0" w:color="000000"/>
              <w:bottom w:val="single" w:sz="4" w:space="0" w:color="000000"/>
              <w:right w:val="single" w:sz="4" w:space="0" w:color="000000"/>
            </w:tcBorders>
          </w:tcPr>
          <w:p w14:paraId="30D8F5EF"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L7, L8</w:t>
            </w:r>
          </w:p>
        </w:tc>
        <w:tc>
          <w:tcPr>
            <w:tcW w:w="2757" w:type="dxa"/>
            <w:tcBorders>
              <w:top w:val="single" w:sz="4" w:space="0" w:color="000000"/>
              <w:left w:val="single" w:sz="4" w:space="0" w:color="000000"/>
              <w:bottom w:val="single" w:sz="4" w:space="0" w:color="000000"/>
              <w:right w:val="single" w:sz="4" w:space="0" w:color="000000"/>
            </w:tcBorders>
          </w:tcPr>
          <w:p w14:paraId="0E5F8D52"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Essai de perte de capteur et essai de valeur hors plage.</w:t>
            </w:r>
          </w:p>
        </w:tc>
      </w:tr>
      <w:tr w:rsidR="00F50D70" w:rsidRPr="00BE4F47" w14:paraId="5D11E4A6" w14:textId="77777777">
        <w:trPr>
          <w:trHeight w:val="543"/>
        </w:trPr>
        <w:tc>
          <w:tcPr>
            <w:tcW w:w="1000" w:type="dxa"/>
            <w:tcBorders>
              <w:top w:val="single" w:sz="4" w:space="0" w:color="000000"/>
              <w:left w:val="single" w:sz="4" w:space="0" w:color="000000"/>
              <w:bottom w:val="single" w:sz="4" w:space="0" w:color="000000"/>
              <w:right w:val="single" w:sz="4" w:space="0" w:color="000000"/>
            </w:tcBorders>
          </w:tcPr>
          <w:p w14:paraId="311F51A2"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EX-F-07</w:t>
            </w:r>
          </w:p>
        </w:tc>
        <w:tc>
          <w:tcPr>
            <w:tcW w:w="2240" w:type="dxa"/>
            <w:tcBorders>
              <w:top w:val="single" w:sz="4" w:space="0" w:color="000000"/>
              <w:left w:val="single" w:sz="4" w:space="0" w:color="000000"/>
              <w:bottom w:val="single" w:sz="4" w:space="0" w:color="000000"/>
              <w:right w:val="single" w:sz="4" w:space="0" w:color="000000"/>
            </w:tcBorders>
          </w:tcPr>
          <w:p w14:paraId="198B83CE"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Toute estimation d’état produite par le prototype est accompagnée d’un niveau de confiance ou d’un intervalle d’incertitude.</w:t>
            </w:r>
          </w:p>
        </w:tc>
        <w:tc>
          <w:tcPr>
            <w:tcW w:w="1000" w:type="dxa"/>
            <w:tcBorders>
              <w:top w:val="single" w:sz="4" w:space="0" w:color="000000"/>
              <w:left w:val="single" w:sz="4" w:space="0" w:color="000000"/>
              <w:bottom w:val="single" w:sz="4" w:space="0" w:color="000000"/>
              <w:right w:val="single" w:sz="4" w:space="0" w:color="000000"/>
            </w:tcBorders>
          </w:tcPr>
          <w:p w14:paraId="184C390D"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Sûreté</w:t>
            </w:r>
          </w:p>
        </w:tc>
        <w:tc>
          <w:tcPr>
            <w:tcW w:w="940" w:type="dxa"/>
            <w:tcBorders>
              <w:top w:val="single" w:sz="4" w:space="0" w:color="000000"/>
              <w:left w:val="single" w:sz="4" w:space="0" w:color="000000"/>
              <w:bottom w:val="single" w:sz="4" w:space="0" w:color="000000"/>
              <w:right w:val="single" w:sz="4" w:space="0" w:color="000000"/>
            </w:tcBorders>
          </w:tcPr>
          <w:p w14:paraId="3F355894"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F1, D3</w:t>
            </w:r>
          </w:p>
        </w:tc>
        <w:tc>
          <w:tcPr>
            <w:tcW w:w="620" w:type="dxa"/>
            <w:tcBorders>
              <w:top w:val="single" w:sz="4" w:space="0" w:color="000000"/>
              <w:left w:val="single" w:sz="4" w:space="0" w:color="000000"/>
              <w:bottom w:val="single" w:sz="4" w:space="0" w:color="000000"/>
              <w:right w:val="single" w:sz="4" w:space="0" w:color="000000"/>
            </w:tcBorders>
          </w:tcPr>
          <w:p w14:paraId="7C93E9B9"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L7</w:t>
            </w:r>
          </w:p>
        </w:tc>
        <w:tc>
          <w:tcPr>
            <w:tcW w:w="2757" w:type="dxa"/>
            <w:tcBorders>
              <w:top w:val="single" w:sz="4" w:space="0" w:color="000000"/>
              <w:left w:val="single" w:sz="4" w:space="0" w:color="000000"/>
              <w:bottom w:val="single" w:sz="4" w:space="0" w:color="000000"/>
              <w:right w:val="single" w:sz="4" w:space="0" w:color="000000"/>
            </w:tcBorders>
          </w:tcPr>
          <w:p w14:paraId="517A54BE"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Essai de comparaison : l’écart affiché est rapporté à l’incertitude de validation (ASME V&amp;V 20).</w:t>
            </w:r>
          </w:p>
        </w:tc>
      </w:tr>
      <w:tr w:rsidR="00F50D70" w:rsidRPr="00BE4F47" w14:paraId="44794A63" w14:textId="77777777">
        <w:trPr>
          <w:trHeight w:val="713"/>
        </w:trPr>
        <w:tc>
          <w:tcPr>
            <w:tcW w:w="1000" w:type="dxa"/>
            <w:tcBorders>
              <w:top w:val="single" w:sz="4" w:space="0" w:color="000000"/>
              <w:left w:val="single" w:sz="4" w:space="0" w:color="000000"/>
              <w:bottom w:val="single" w:sz="4" w:space="0" w:color="000000"/>
              <w:right w:val="single" w:sz="4" w:space="0" w:color="000000"/>
            </w:tcBorders>
          </w:tcPr>
          <w:p w14:paraId="127D962A"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EX-F-08</w:t>
            </w:r>
          </w:p>
        </w:tc>
        <w:tc>
          <w:tcPr>
            <w:tcW w:w="2240" w:type="dxa"/>
            <w:tcBorders>
              <w:top w:val="single" w:sz="4" w:space="0" w:color="000000"/>
              <w:left w:val="single" w:sz="4" w:space="0" w:color="000000"/>
              <w:bottom w:val="single" w:sz="4" w:space="0" w:color="000000"/>
              <w:right w:val="single" w:sz="4" w:space="0" w:color="000000"/>
            </w:tcBorders>
          </w:tcPr>
          <w:p w14:paraId="76F68546"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Le prototype n’émet aucune commande vers un équipement. Toute action proposée est une recommandation nécessitant une validation de l’opérateur.</w:t>
            </w:r>
          </w:p>
        </w:tc>
        <w:tc>
          <w:tcPr>
            <w:tcW w:w="1000" w:type="dxa"/>
            <w:tcBorders>
              <w:top w:val="single" w:sz="4" w:space="0" w:color="000000"/>
              <w:left w:val="single" w:sz="4" w:space="0" w:color="000000"/>
              <w:bottom w:val="single" w:sz="4" w:space="0" w:color="000000"/>
              <w:right w:val="single" w:sz="4" w:space="0" w:color="000000"/>
            </w:tcBorders>
          </w:tcPr>
          <w:p w14:paraId="6A63BB39"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Opérateurs et sûreté</w:t>
            </w:r>
          </w:p>
        </w:tc>
        <w:tc>
          <w:tcPr>
            <w:tcW w:w="940" w:type="dxa"/>
            <w:tcBorders>
              <w:top w:val="single" w:sz="4" w:space="0" w:color="000000"/>
              <w:left w:val="single" w:sz="4" w:space="0" w:color="000000"/>
              <w:bottom w:val="single" w:sz="4" w:space="0" w:color="000000"/>
              <w:right w:val="single" w:sz="4" w:space="0" w:color="000000"/>
            </w:tcBorders>
          </w:tcPr>
          <w:p w14:paraId="0F127006"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D3</w:t>
            </w:r>
          </w:p>
        </w:tc>
        <w:tc>
          <w:tcPr>
            <w:tcW w:w="620" w:type="dxa"/>
            <w:tcBorders>
              <w:top w:val="single" w:sz="4" w:space="0" w:color="000000"/>
              <w:left w:val="single" w:sz="4" w:space="0" w:color="000000"/>
              <w:bottom w:val="single" w:sz="4" w:space="0" w:color="000000"/>
              <w:right w:val="single" w:sz="4" w:space="0" w:color="000000"/>
            </w:tcBorders>
          </w:tcPr>
          <w:p w14:paraId="51604263"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L6, L8</w:t>
            </w:r>
          </w:p>
        </w:tc>
        <w:tc>
          <w:tcPr>
            <w:tcW w:w="2757" w:type="dxa"/>
            <w:tcBorders>
              <w:top w:val="single" w:sz="4" w:space="0" w:color="000000"/>
              <w:left w:val="single" w:sz="4" w:space="0" w:color="000000"/>
              <w:bottom w:val="single" w:sz="4" w:space="0" w:color="000000"/>
              <w:right w:val="single" w:sz="4" w:space="0" w:color="000000"/>
            </w:tcBorders>
          </w:tcPr>
          <w:p w14:paraId="74DFB03F"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Revue de code et inspection des interfaces de sortie : aucune écriture vers un actionneur.</w:t>
            </w:r>
          </w:p>
        </w:tc>
      </w:tr>
      <w:tr w:rsidR="00F50D70" w:rsidRPr="00BE4F47" w14:paraId="5D0F4054" w14:textId="77777777">
        <w:trPr>
          <w:trHeight w:val="543"/>
        </w:trPr>
        <w:tc>
          <w:tcPr>
            <w:tcW w:w="1000" w:type="dxa"/>
            <w:tcBorders>
              <w:top w:val="single" w:sz="4" w:space="0" w:color="000000"/>
              <w:left w:val="single" w:sz="4" w:space="0" w:color="000000"/>
              <w:bottom w:val="single" w:sz="4" w:space="0" w:color="000000"/>
              <w:right w:val="single" w:sz="4" w:space="0" w:color="000000"/>
            </w:tcBorders>
          </w:tcPr>
          <w:p w14:paraId="7C278836"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EX-F-09</w:t>
            </w:r>
          </w:p>
        </w:tc>
        <w:tc>
          <w:tcPr>
            <w:tcW w:w="2240" w:type="dxa"/>
            <w:tcBorders>
              <w:top w:val="single" w:sz="4" w:space="0" w:color="000000"/>
              <w:left w:val="single" w:sz="4" w:space="0" w:color="000000"/>
              <w:bottom w:val="single" w:sz="4" w:space="0" w:color="000000"/>
              <w:right w:val="single" w:sz="4" w:space="0" w:color="000000"/>
            </w:tcBorders>
          </w:tcPr>
          <w:p w14:paraId="13A16E11"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Le passage en fonctionnement dégradé exige une confirmation explicite de l’opérateur et est journalisé avec son horodatage.</w:t>
            </w:r>
          </w:p>
        </w:tc>
        <w:tc>
          <w:tcPr>
            <w:tcW w:w="1000" w:type="dxa"/>
            <w:tcBorders>
              <w:top w:val="single" w:sz="4" w:space="0" w:color="000000"/>
              <w:left w:val="single" w:sz="4" w:space="0" w:color="000000"/>
              <w:bottom w:val="single" w:sz="4" w:space="0" w:color="000000"/>
              <w:right w:val="single" w:sz="4" w:space="0" w:color="000000"/>
            </w:tcBorders>
          </w:tcPr>
          <w:p w14:paraId="33082BC3"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Sûreté</w:t>
            </w:r>
          </w:p>
        </w:tc>
        <w:tc>
          <w:tcPr>
            <w:tcW w:w="940" w:type="dxa"/>
            <w:tcBorders>
              <w:top w:val="single" w:sz="4" w:space="0" w:color="000000"/>
              <w:left w:val="single" w:sz="4" w:space="0" w:color="000000"/>
              <w:bottom w:val="single" w:sz="4" w:space="0" w:color="000000"/>
              <w:right w:val="single" w:sz="4" w:space="0" w:color="000000"/>
            </w:tcBorders>
          </w:tcPr>
          <w:p w14:paraId="5B83AA69"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D3</w:t>
            </w:r>
          </w:p>
        </w:tc>
        <w:tc>
          <w:tcPr>
            <w:tcW w:w="620" w:type="dxa"/>
            <w:tcBorders>
              <w:top w:val="single" w:sz="4" w:space="0" w:color="000000"/>
              <w:left w:val="single" w:sz="4" w:space="0" w:color="000000"/>
              <w:bottom w:val="single" w:sz="4" w:space="0" w:color="000000"/>
              <w:right w:val="single" w:sz="4" w:space="0" w:color="000000"/>
            </w:tcBorders>
          </w:tcPr>
          <w:p w14:paraId="652D5E6D"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L6</w:t>
            </w:r>
          </w:p>
        </w:tc>
        <w:tc>
          <w:tcPr>
            <w:tcW w:w="2757" w:type="dxa"/>
            <w:tcBorders>
              <w:top w:val="single" w:sz="4" w:space="0" w:color="000000"/>
              <w:left w:val="single" w:sz="4" w:space="0" w:color="000000"/>
              <w:bottom w:val="single" w:sz="4" w:space="0" w:color="000000"/>
              <w:right w:val="single" w:sz="4" w:space="0" w:color="000000"/>
            </w:tcBorders>
          </w:tcPr>
          <w:p w14:paraId="188C6519"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Essai de bascule : vérification de la présence de l’entrée au journal.</w:t>
            </w:r>
          </w:p>
        </w:tc>
      </w:tr>
      <w:tr w:rsidR="00F50D70" w:rsidRPr="00BE4F47" w14:paraId="5C71057F" w14:textId="77777777">
        <w:trPr>
          <w:trHeight w:val="549"/>
        </w:trPr>
        <w:tc>
          <w:tcPr>
            <w:tcW w:w="1000" w:type="dxa"/>
            <w:tcBorders>
              <w:top w:val="single" w:sz="4" w:space="0" w:color="000000"/>
              <w:left w:val="single" w:sz="4" w:space="0" w:color="000000"/>
              <w:bottom w:val="single" w:sz="4" w:space="0" w:color="000000"/>
              <w:right w:val="single" w:sz="4" w:space="0" w:color="000000"/>
            </w:tcBorders>
          </w:tcPr>
          <w:p w14:paraId="2D23C4F6"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EX-F-10</w:t>
            </w:r>
          </w:p>
        </w:tc>
        <w:tc>
          <w:tcPr>
            <w:tcW w:w="2240" w:type="dxa"/>
            <w:tcBorders>
              <w:top w:val="single" w:sz="4" w:space="0" w:color="000000"/>
              <w:left w:val="single" w:sz="4" w:space="0" w:color="000000"/>
              <w:bottom w:val="single" w:sz="4" w:space="0" w:color="000000"/>
              <w:right w:val="single" w:sz="4" w:space="0" w:color="000000"/>
            </w:tcBorders>
          </w:tcPr>
          <w:p w14:paraId="5047E12A"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Le prototype journalise chaque acquisition, chaque détection d’anomalie et chaque changement d’état, avec horodatage.</w:t>
            </w:r>
          </w:p>
        </w:tc>
        <w:tc>
          <w:tcPr>
            <w:tcW w:w="1000" w:type="dxa"/>
            <w:tcBorders>
              <w:top w:val="single" w:sz="4" w:space="0" w:color="000000"/>
              <w:left w:val="single" w:sz="4" w:space="0" w:color="000000"/>
              <w:bottom w:val="single" w:sz="4" w:space="0" w:color="000000"/>
              <w:right w:val="single" w:sz="4" w:space="0" w:color="000000"/>
            </w:tcBorders>
          </w:tcPr>
          <w:p w14:paraId="7095F341"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CCSN, REGDOC-2.1.1</w:t>
            </w:r>
          </w:p>
        </w:tc>
        <w:tc>
          <w:tcPr>
            <w:tcW w:w="940" w:type="dxa"/>
            <w:tcBorders>
              <w:top w:val="single" w:sz="4" w:space="0" w:color="000000"/>
              <w:left w:val="single" w:sz="4" w:space="0" w:color="000000"/>
              <w:bottom w:val="single" w:sz="4" w:space="0" w:color="000000"/>
              <w:right w:val="single" w:sz="4" w:space="0" w:color="000000"/>
            </w:tcBorders>
          </w:tcPr>
          <w:p w14:paraId="43A1ED23"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A1, F1, D1, D2, D3</w:t>
            </w:r>
          </w:p>
        </w:tc>
        <w:tc>
          <w:tcPr>
            <w:tcW w:w="620" w:type="dxa"/>
            <w:tcBorders>
              <w:top w:val="single" w:sz="4" w:space="0" w:color="000000"/>
              <w:left w:val="single" w:sz="4" w:space="0" w:color="000000"/>
              <w:bottom w:val="single" w:sz="4" w:space="0" w:color="000000"/>
              <w:right w:val="single" w:sz="4" w:space="0" w:color="000000"/>
            </w:tcBorders>
          </w:tcPr>
          <w:p w14:paraId="3613408A"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L6</w:t>
            </w:r>
          </w:p>
        </w:tc>
        <w:tc>
          <w:tcPr>
            <w:tcW w:w="2757" w:type="dxa"/>
            <w:tcBorders>
              <w:top w:val="single" w:sz="4" w:space="0" w:color="000000"/>
              <w:left w:val="single" w:sz="4" w:space="0" w:color="000000"/>
              <w:bottom w:val="single" w:sz="4" w:space="0" w:color="000000"/>
              <w:right w:val="single" w:sz="4" w:space="0" w:color="000000"/>
            </w:tcBorders>
          </w:tcPr>
          <w:p w14:paraId="1B9FCC65"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Inspection du journal après une campagne complète : aucun changement d’état absent.</w:t>
            </w:r>
          </w:p>
        </w:tc>
      </w:tr>
      <w:tr w:rsidR="00F50D70" w:rsidRPr="00BE4F47" w14:paraId="4B30FE21" w14:textId="77777777">
        <w:trPr>
          <w:trHeight w:val="549"/>
        </w:trPr>
        <w:tc>
          <w:tcPr>
            <w:tcW w:w="1000" w:type="dxa"/>
            <w:tcBorders>
              <w:top w:val="single" w:sz="4" w:space="0" w:color="000000"/>
              <w:left w:val="single" w:sz="4" w:space="0" w:color="000000"/>
              <w:bottom w:val="single" w:sz="4" w:space="0" w:color="000000"/>
              <w:right w:val="single" w:sz="4" w:space="0" w:color="000000"/>
            </w:tcBorders>
          </w:tcPr>
          <w:p w14:paraId="18F96EAB"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EX-F-11</w:t>
            </w:r>
          </w:p>
        </w:tc>
        <w:tc>
          <w:tcPr>
            <w:tcW w:w="2240" w:type="dxa"/>
            <w:tcBorders>
              <w:top w:val="single" w:sz="4" w:space="0" w:color="000000"/>
              <w:left w:val="single" w:sz="4" w:space="0" w:color="000000"/>
              <w:bottom w:val="single" w:sz="4" w:space="0" w:color="000000"/>
              <w:right w:val="single" w:sz="4" w:space="0" w:color="000000"/>
            </w:tcBorders>
          </w:tcPr>
          <w:p w14:paraId="341759DB"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Pour chaque scénario de défaillance d’EX-F-02, le prototype signale l’anomalie en moins de K cycles, avec au plus F fausses alarmes sur M essais en fonctionnement normal.</w:t>
            </w:r>
          </w:p>
        </w:tc>
        <w:tc>
          <w:tcPr>
            <w:tcW w:w="1000" w:type="dxa"/>
            <w:tcBorders>
              <w:top w:val="single" w:sz="4" w:space="0" w:color="000000"/>
              <w:left w:val="single" w:sz="4" w:space="0" w:color="000000"/>
              <w:bottom w:val="single" w:sz="4" w:space="0" w:color="000000"/>
              <w:right w:val="single" w:sz="4" w:space="0" w:color="000000"/>
            </w:tcBorders>
          </w:tcPr>
          <w:p w14:paraId="7EDF0830"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Hydro-Québec, sûreté</w:t>
            </w:r>
          </w:p>
        </w:tc>
        <w:tc>
          <w:tcPr>
            <w:tcW w:w="940" w:type="dxa"/>
            <w:tcBorders>
              <w:top w:val="single" w:sz="4" w:space="0" w:color="000000"/>
              <w:left w:val="single" w:sz="4" w:space="0" w:color="000000"/>
              <w:bottom w:val="single" w:sz="4" w:space="0" w:color="000000"/>
              <w:right w:val="single" w:sz="4" w:space="0" w:color="000000"/>
            </w:tcBorders>
          </w:tcPr>
          <w:p w14:paraId="4D4A0D47"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F1, D2</w:t>
            </w:r>
          </w:p>
        </w:tc>
        <w:tc>
          <w:tcPr>
            <w:tcW w:w="620" w:type="dxa"/>
            <w:tcBorders>
              <w:top w:val="single" w:sz="4" w:space="0" w:color="000000"/>
              <w:left w:val="single" w:sz="4" w:space="0" w:color="000000"/>
              <w:bottom w:val="single" w:sz="4" w:space="0" w:color="000000"/>
              <w:right w:val="single" w:sz="4" w:space="0" w:color="000000"/>
            </w:tcBorders>
          </w:tcPr>
          <w:p w14:paraId="2CEC2FBD"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L7, L9</w:t>
            </w:r>
          </w:p>
        </w:tc>
        <w:tc>
          <w:tcPr>
            <w:tcW w:w="2757" w:type="dxa"/>
            <w:tcBorders>
              <w:top w:val="single" w:sz="4" w:space="0" w:color="000000"/>
              <w:left w:val="single" w:sz="4" w:space="0" w:color="000000"/>
              <w:bottom w:val="single" w:sz="4" w:space="0" w:color="000000"/>
              <w:right w:val="single" w:sz="4" w:space="0" w:color="000000"/>
            </w:tcBorders>
          </w:tcPr>
          <w:p w14:paraId="7BF0426B"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Campagne d’essais : un essai par scénario, plus une série en fonctionnement normal pour le taux de fausses alarmes.</w:t>
            </w:r>
          </w:p>
        </w:tc>
      </w:tr>
    </w:tbl>
    <w:p w14:paraId="52349E0D" w14:textId="77777777" w:rsidR="00F50D70" w:rsidRPr="00BE4F47" w:rsidRDefault="00137D7F" w:rsidP="008E113B">
      <w:pPr>
        <w:pStyle w:val="Titre3"/>
        <w:numPr>
          <w:ilvl w:val="2"/>
          <w:numId w:val="1"/>
        </w:numPr>
        <w:suppressAutoHyphens w:val="0"/>
        <w:spacing w:line="360" w:lineRule="auto"/>
        <w:rPr>
          <w:lang w:eastAsia="fr-FR"/>
        </w:rPr>
      </w:pPr>
      <w:bookmarkStart w:id="225" w:name="__RefHeading___Toc240715100"/>
      <w:bookmarkStart w:id="226" w:name="_Toc241707739"/>
      <w:bookmarkStart w:id="227" w:name="_Toc241791688"/>
      <w:bookmarkEnd w:id="225"/>
      <w:r w:rsidRPr="00BE4F47">
        <w:t>Exigences de qualité</w:t>
      </w:r>
      <w:bookmarkEnd w:id="226"/>
      <w:bookmarkEnd w:id="227"/>
    </w:p>
    <w:p w14:paraId="6A6CB134" w14:textId="77777777" w:rsidR="00F50D70" w:rsidRPr="00BE4F47" w:rsidRDefault="00137D7F" w:rsidP="008E113B">
      <w:pPr>
        <w:spacing w:before="200" w:after="130" w:line="360" w:lineRule="auto"/>
        <w:ind w:left="992"/>
        <w:rPr>
          <w:rFonts w:ascii="Aptos" w:hAnsi="Aptos"/>
        </w:rPr>
      </w:pPr>
      <w:bookmarkStart w:id="228" w:name="_Toc241082837"/>
      <w:bookmarkStart w:id="229" w:name="_Toc241670032"/>
      <w:bookmarkStart w:id="230" w:name="_Toc241707740"/>
      <w:bookmarkStart w:id="231" w:name="_Toc241791689"/>
      <w:r w:rsidRPr="00BE4F47">
        <w:rPr>
          <w:rFonts w:ascii="Aptos" w:hAnsi="Aptos"/>
          <w:color w:val="1A1A19"/>
          <w:sz w:val="20"/>
          <w:szCs w:val="20"/>
        </w:rPr>
        <w:t>Les cinq exigences ci-dessous sont celles que le prototype peut réellement démontrer dans les limites du mandat. Trois viennent d’ISO/IEC 25010, une d’ISO 9241-210 pour l’utilisabilité, et une reprend le principe d’intégrité des données d’IEC 62645 sans invoquer un article de cette norme. Les caractéristiques non retenues, comme la portabilité, le sont parce qu’aucun essai du projet ne les mettrait à l’épreuve.</w:t>
      </w:r>
      <w:bookmarkEnd w:id="228"/>
      <w:bookmarkEnd w:id="229"/>
      <w:bookmarkEnd w:id="230"/>
      <w:bookmarkEnd w:id="231"/>
    </w:p>
    <w:p w14:paraId="617148AB" w14:textId="77777777" w:rsidR="00F50D70" w:rsidRPr="00BE4F47" w:rsidRDefault="00137D7F" w:rsidP="008E113B">
      <w:pPr>
        <w:pStyle w:val="Lgende"/>
        <w:keepNext/>
        <w:spacing w:line="360" w:lineRule="auto"/>
        <w:rPr>
          <w:rFonts w:ascii="Aptos" w:hAnsi="Aptos"/>
        </w:rPr>
      </w:pPr>
      <w:bookmarkStart w:id="232" w:name="_Toc241082838"/>
      <w:bookmarkStart w:id="233" w:name="_Toc241670033"/>
      <w:bookmarkStart w:id="234" w:name="_Toc241707741"/>
      <w:bookmarkStart w:id="235" w:name="_Toc241791690"/>
      <w:r w:rsidRPr="00BE4F47">
        <w:rPr>
          <w:rFonts w:ascii="Aptos" w:hAnsi="Aptos"/>
        </w:rPr>
        <w:lastRenderedPageBreak/>
        <w:t>Tableau 1-7. Registre des exigences de qualité</w:t>
      </w:r>
      <w:bookmarkEnd w:id="232"/>
      <w:bookmarkEnd w:id="233"/>
      <w:bookmarkEnd w:id="234"/>
      <w:bookmarkEnd w:id="235"/>
    </w:p>
    <w:tbl>
      <w:tblPr>
        <w:tblW w:w="8557" w:type="dxa"/>
        <w:tblInd w:w="413" w:type="dxa"/>
        <w:tblLayout w:type="fixed"/>
        <w:tblCellMar>
          <w:top w:w="60" w:type="dxa"/>
          <w:left w:w="90" w:type="dxa"/>
          <w:bottom w:w="60" w:type="dxa"/>
          <w:right w:w="90" w:type="dxa"/>
        </w:tblCellMar>
        <w:tblLook w:val="04A0" w:firstRow="1" w:lastRow="0" w:firstColumn="1" w:lastColumn="0" w:noHBand="0" w:noVBand="1"/>
      </w:tblPr>
      <w:tblGrid>
        <w:gridCol w:w="1000"/>
        <w:gridCol w:w="2240"/>
        <w:gridCol w:w="1000"/>
        <w:gridCol w:w="940"/>
        <w:gridCol w:w="620"/>
        <w:gridCol w:w="2757"/>
      </w:tblGrid>
      <w:tr w:rsidR="00F50D70" w:rsidRPr="00BE4F47" w14:paraId="3493775D" w14:textId="77777777" w:rsidTr="0036725C">
        <w:trPr>
          <w:trHeight w:val="221"/>
          <w:tblHeader/>
        </w:trPr>
        <w:tc>
          <w:tcPr>
            <w:tcW w:w="100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51FDC015"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ID</w:t>
            </w:r>
          </w:p>
        </w:tc>
        <w:tc>
          <w:tcPr>
            <w:tcW w:w="224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0EBEB80E"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Exigence</w:t>
            </w:r>
          </w:p>
        </w:tc>
        <w:tc>
          <w:tcPr>
            <w:tcW w:w="100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45A79D12"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Source</w:t>
            </w:r>
          </w:p>
        </w:tc>
        <w:tc>
          <w:tcPr>
            <w:tcW w:w="94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4A4186EB"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GEMMA</w:t>
            </w:r>
          </w:p>
        </w:tc>
        <w:tc>
          <w:tcPr>
            <w:tcW w:w="62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4EE1B4DF"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Lot</w:t>
            </w:r>
          </w:p>
        </w:tc>
        <w:tc>
          <w:tcPr>
            <w:tcW w:w="2757"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43E49E23"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Moyen de vérification</w:t>
            </w:r>
          </w:p>
        </w:tc>
      </w:tr>
      <w:tr w:rsidR="00F50D70" w:rsidRPr="00BE4F47" w14:paraId="0D368871" w14:textId="77777777">
        <w:trPr>
          <w:trHeight w:val="394"/>
        </w:trPr>
        <w:tc>
          <w:tcPr>
            <w:tcW w:w="1000" w:type="dxa"/>
            <w:tcBorders>
              <w:top w:val="single" w:sz="4" w:space="0" w:color="000000"/>
              <w:left w:val="single" w:sz="4" w:space="0" w:color="000000"/>
              <w:bottom w:val="single" w:sz="4" w:space="0" w:color="000000"/>
              <w:right w:val="single" w:sz="4" w:space="0" w:color="000000"/>
            </w:tcBorders>
          </w:tcPr>
          <w:p w14:paraId="1856EBAD"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EX-Q-01</w:t>
            </w:r>
          </w:p>
        </w:tc>
        <w:tc>
          <w:tcPr>
            <w:tcW w:w="2240" w:type="dxa"/>
            <w:tcBorders>
              <w:top w:val="single" w:sz="4" w:space="0" w:color="000000"/>
              <w:left w:val="single" w:sz="4" w:space="0" w:color="000000"/>
              <w:bottom w:val="single" w:sz="4" w:space="0" w:color="000000"/>
              <w:right w:val="single" w:sz="4" w:space="0" w:color="000000"/>
            </w:tcBorders>
          </w:tcPr>
          <w:p w14:paraId="599C0ADC"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Le cycle complet d’acquisition, de comparaison et d’affichage s’exécute en moins de T secondes.</w:t>
            </w:r>
          </w:p>
        </w:tc>
        <w:tc>
          <w:tcPr>
            <w:tcW w:w="1000" w:type="dxa"/>
            <w:tcBorders>
              <w:top w:val="single" w:sz="4" w:space="0" w:color="000000"/>
              <w:left w:val="single" w:sz="4" w:space="0" w:color="000000"/>
              <w:bottom w:val="single" w:sz="4" w:space="0" w:color="000000"/>
              <w:right w:val="single" w:sz="4" w:space="0" w:color="000000"/>
            </w:tcBorders>
          </w:tcPr>
          <w:p w14:paraId="525990E8"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ISO/IEC 25010, performance</w:t>
            </w:r>
          </w:p>
        </w:tc>
        <w:tc>
          <w:tcPr>
            <w:tcW w:w="940" w:type="dxa"/>
            <w:tcBorders>
              <w:top w:val="single" w:sz="4" w:space="0" w:color="000000"/>
              <w:left w:val="single" w:sz="4" w:space="0" w:color="000000"/>
              <w:bottom w:val="single" w:sz="4" w:space="0" w:color="000000"/>
              <w:right w:val="single" w:sz="4" w:space="0" w:color="000000"/>
            </w:tcBorders>
          </w:tcPr>
          <w:p w14:paraId="5118FF34"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F1</w:t>
            </w:r>
          </w:p>
        </w:tc>
        <w:tc>
          <w:tcPr>
            <w:tcW w:w="620" w:type="dxa"/>
            <w:tcBorders>
              <w:top w:val="single" w:sz="4" w:space="0" w:color="000000"/>
              <w:left w:val="single" w:sz="4" w:space="0" w:color="000000"/>
              <w:bottom w:val="single" w:sz="4" w:space="0" w:color="000000"/>
              <w:right w:val="single" w:sz="4" w:space="0" w:color="000000"/>
            </w:tcBorders>
          </w:tcPr>
          <w:p w14:paraId="47034F72"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L9</w:t>
            </w:r>
          </w:p>
        </w:tc>
        <w:tc>
          <w:tcPr>
            <w:tcW w:w="2757" w:type="dxa"/>
            <w:tcBorders>
              <w:top w:val="single" w:sz="4" w:space="0" w:color="000000"/>
              <w:left w:val="single" w:sz="4" w:space="0" w:color="000000"/>
              <w:bottom w:val="single" w:sz="4" w:space="0" w:color="000000"/>
              <w:right w:val="single" w:sz="4" w:space="0" w:color="000000"/>
            </w:tcBorders>
          </w:tcPr>
          <w:p w14:paraId="650BB548"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Mesure du temps de cycle sur 100 cycles consécutifs ; valeur maximale relevée.</w:t>
            </w:r>
          </w:p>
        </w:tc>
      </w:tr>
      <w:tr w:rsidR="00F50D70" w:rsidRPr="00BE4F47" w14:paraId="3B901F16" w14:textId="77777777">
        <w:trPr>
          <w:trHeight w:val="551"/>
        </w:trPr>
        <w:tc>
          <w:tcPr>
            <w:tcW w:w="1000" w:type="dxa"/>
            <w:tcBorders>
              <w:top w:val="single" w:sz="4" w:space="0" w:color="000000"/>
              <w:left w:val="single" w:sz="4" w:space="0" w:color="000000"/>
              <w:bottom w:val="single" w:sz="4" w:space="0" w:color="000000"/>
              <w:right w:val="single" w:sz="4" w:space="0" w:color="000000"/>
            </w:tcBorders>
          </w:tcPr>
          <w:p w14:paraId="001CFF24"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EX-Q-02</w:t>
            </w:r>
          </w:p>
        </w:tc>
        <w:tc>
          <w:tcPr>
            <w:tcW w:w="2240" w:type="dxa"/>
            <w:tcBorders>
              <w:top w:val="single" w:sz="4" w:space="0" w:color="000000"/>
              <w:left w:val="single" w:sz="4" w:space="0" w:color="000000"/>
              <w:bottom w:val="single" w:sz="4" w:space="0" w:color="000000"/>
              <w:right w:val="single" w:sz="4" w:space="0" w:color="000000"/>
            </w:tcBorders>
          </w:tcPr>
          <w:p w14:paraId="7374C25F"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Le prototype fonctionne sans interruption pendant une campagne d’essais de D minutes, sans perte d’entrée au journal.</w:t>
            </w:r>
          </w:p>
        </w:tc>
        <w:tc>
          <w:tcPr>
            <w:tcW w:w="1000" w:type="dxa"/>
            <w:tcBorders>
              <w:top w:val="single" w:sz="4" w:space="0" w:color="000000"/>
              <w:left w:val="single" w:sz="4" w:space="0" w:color="000000"/>
              <w:bottom w:val="single" w:sz="4" w:space="0" w:color="000000"/>
              <w:right w:val="single" w:sz="4" w:space="0" w:color="000000"/>
            </w:tcBorders>
          </w:tcPr>
          <w:p w14:paraId="61519C7D"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ISO/IEC 25010, fiabilité</w:t>
            </w:r>
          </w:p>
        </w:tc>
        <w:tc>
          <w:tcPr>
            <w:tcW w:w="940" w:type="dxa"/>
            <w:tcBorders>
              <w:top w:val="single" w:sz="4" w:space="0" w:color="000000"/>
              <w:left w:val="single" w:sz="4" w:space="0" w:color="000000"/>
              <w:bottom w:val="single" w:sz="4" w:space="0" w:color="000000"/>
              <w:right w:val="single" w:sz="4" w:space="0" w:color="000000"/>
            </w:tcBorders>
          </w:tcPr>
          <w:p w14:paraId="12ED57E1"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F1</w:t>
            </w:r>
          </w:p>
        </w:tc>
        <w:tc>
          <w:tcPr>
            <w:tcW w:w="620" w:type="dxa"/>
            <w:tcBorders>
              <w:top w:val="single" w:sz="4" w:space="0" w:color="000000"/>
              <w:left w:val="single" w:sz="4" w:space="0" w:color="000000"/>
              <w:bottom w:val="single" w:sz="4" w:space="0" w:color="000000"/>
              <w:right w:val="single" w:sz="4" w:space="0" w:color="000000"/>
            </w:tcBorders>
          </w:tcPr>
          <w:p w14:paraId="36511EDE"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L9</w:t>
            </w:r>
          </w:p>
        </w:tc>
        <w:tc>
          <w:tcPr>
            <w:tcW w:w="2757" w:type="dxa"/>
            <w:tcBorders>
              <w:top w:val="single" w:sz="4" w:space="0" w:color="000000"/>
              <w:left w:val="single" w:sz="4" w:space="0" w:color="000000"/>
              <w:bottom w:val="single" w:sz="4" w:space="0" w:color="000000"/>
              <w:right w:val="single" w:sz="4" w:space="0" w:color="000000"/>
            </w:tcBorders>
          </w:tcPr>
          <w:p w14:paraId="6119F31A"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Essai d’endurance ; comparaison du nombre de cycles au nombre d’entrées journalisées.</w:t>
            </w:r>
          </w:p>
        </w:tc>
      </w:tr>
      <w:tr w:rsidR="00F50D70" w:rsidRPr="00BE4F47" w14:paraId="1175CDF2" w14:textId="77777777">
        <w:trPr>
          <w:trHeight w:val="724"/>
        </w:trPr>
        <w:tc>
          <w:tcPr>
            <w:tcW w:w="1000" w:type="dxa"/>
            <w:tcBorders>
              <w:top w:val="single" w:sz="4" w:space="0" w:color="000000"/>
              <w:left w:val="single" w:sz="4" w:space="0" w:color="000000"/>
              <w:bottom w:val="single" w:sz="4" w:space="0" w:color="000000"/>
              <w:right w:val="single" w:sz="4" w:space="0" w:color="000000"/>
            </w:tcBorders>
          </w:tcPr>
          <w:p w14:paraId="23056563"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EX-Q-03</w:t>
            </w:r>
          </w:p>
        </w:tc>
        <w:tc>
          <w:tcPr>
            <w:tcW w:w="2240" w:type="dxa"/>
            <w:tcBorders>
              <w:top w:val="single" w:sz="4" w:space="0" w:color="000000"/>
              <w:left w:val="single" w:sz="4" w:space="0" w:color="000000"/>
              <w:bottom w:val="single" w:sz="4" w:space="0" w:color="000000"/>
              <w:right w:val="single" w:sz="4" w:space="0" w:color="000000"/>
            </w:tcBorders>
          </w:tcPr>
          <w:p w14:paraId="210F4B00"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Une personne n’ayant pas participé au développement de l’interface identifie correctement l’état affiché (normal, anomalie, incertain) en moins de S secondes, dans au moins X essais sur Y.</w:t>
            </w:r>
          </w:p>
        </w:tc>
        <w:tc>
          <w:tcPr>
            <w:tcW w:w="1000" w:type="dxa"/>
            <w:tcBorders>
              <w:top w:val="single" w:sz="4" w:space="0" w:color="000000"/>
              <w:left w:val="single" w:sz="4" w:space="0" w:color="000000"/>
              <w:bottom w:val="single" w:sz="4" w:space="0" w:color="000000"/>
              <w:right w:val="single" w:sz="4" w:space="0" w:color="000000"/>
            </w:tcBorders>
          </w:tcPr>
          <w:p w14:paraId="62BD1624"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ISO 9241-210, utilisabilité</w:t>
            </w:r>
          </w:p>
        </w:tc>
        <w:tc>
          <w:tcPr>
            <w:tcW w:w="940" w:type="dxa"/>
            <w:tcBorders>
              <w:top w:val="single" w:sz="4" w:space="0" w:color="000000"/>
              <w:left w:val="single" w:sz="4" w:space="0" w:color="000000"/>
              <w:bottom w:val="single" w:sz="4" w:space="0" w:color="000000"/>
              <w:right w:val="single" w:sz="4" w:space="0" w:color="000000"/>
            </w:tcBorders>
          </w:tcPr>
          <w:p w14:paraId="0B074670"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F1, D2, D3</w:t>
            </w:r>
          </w:p>
        </w:tc>
        <w:tc>
          <w:tcPr>
            <w:tcW w:w="620" w:type="dxa"/>
            <w:tcBorders>
              <w:top w:val="single" w:sz="4" w:space="0" w:color="000000"/>
              <w:left w:val="single" w:sz="4" w:space="0" w:color="000000"/>
              <w:bottom w:val="single" w:sz="4" w:space="0" w:color="000000"/>
              <w:right w:val="single" w:sz="4" w:space="0" w:color="000000"/>
            </w:tcBorders>
          </w:tcPr>
          <w:p w14:paraId="3125E49F"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L8, L9</w:t>
            </w:r>
          </w:p>
        </w:tc>
        <w:tc>
          <w:tcPr>
            <w:tcW w:w="2757" w:type="dxa"/>
            <w:tcBorders>
              <w:top w:val="single" w:sz="4" w:space="0" w:color="000000"/>
              <w:left w:val="single" w:sz="4" w:space="0" w:color="000000"/>
              <w:bottom w:val="single" w:sz="4" w:space="0" w:color="000000"/>
              <w:right w:val="single" w:sz="4" w:space="0" w:color="000000"/>
            </w:tcBorders>
          </w:tcPr>
          <w:p w14:paraId="15C06881"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Essai d’utilisabilité avec une personne n’ayant pas participé au développement de l’interface.</w:t>
            </w:r>
          </w:p>
        </w:tc>
      </w:tr>
      <w:tr w:rsidR="00F50D70" w:rsidRPr="00BE4F47" w14:paraId="6310575F" w14:textId="77777777">
        <w:trPr>
          <w:trHeight w:val="715"/>
        </w:trPr>
        <w:tc>
          <w:tcPr>
            <w:tcW w:w="1000" w:type="dxa"/>
            <w:tcBorders>
              <w:top w:val="single" w:sz="4" w:space="0" w:color="000000"/>
              <w:left w:val="single" w:sz="4" w:space="0" w:color="000000"/>
              <w:bottom w:val="single" w:sz="4" w:space="0" w:color="000000"/>
              <w:right w:val="single" w:sz="4" w:space="0" w:color="000000"/>
            </w:tcBorders>
          </w:tcPr>
          <w:p w14:paraId="6F6A6F6A"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EX-Q-04</w:t>
            </w:r>
          </w:p>
        </w:tc>
        <w:tc>
          <w:tcPr>
            <w:tcW w:w="2240" w:type="dxa"/>
            <w:tcBorders>
              <w:top w:val="single" w:sz="4" w:space="0" w:color="000000"/>
              <w:left w:val="single" w:sz="4" w:space="0" w:color="000000"/>
              <w:bottom w:val="single" w:sz="4" w:space="0" w:color="000000"/>
              <w:right w:val="single" w:sz="4" w:space="0" w:color="000000"/>
            </w:tcBorders>
          </w:tcPr>
          <w:p w14:paraId="61411FAE"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Toute donnée d’acquisition non conforme au format attendu ou hors des plages admissibles est rejetée, journalisée comme telle, et n’est pas propagée au modèle. La détection d’une donnée bien formée mais fausse relève de la chaîne de détection (EX-F-03), non de ce contrôle.</w:t>
            </w:r>
          </w:p>
        </w:tc>
        <w:tc>
          <w:tcPr>
            <w:tcW w:w="1000" w:type="dxa"/>
            <w:tcBorders>
              <w:top w:val="single" w:sz="4" w:space="0" w:color="000000"/>
              <w:left w:val="single" w:sz="4" w:space="0" w:color="000000"/>
              <w:bottom w:val="single" w:sz="4" w:space="0" w:color="000000"/>
              <w:right w:val="single" w:sz="4" w:space="0" w:color="000000"/>
            </w:tcBorders>
          </w:tcPr>
          <w:p w14:paraId="1A693EE3"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Principe d’intégrité, IEC 62645</w:t>
            </w:r>
          </w:p>
        </w:tc>
        <w:tc>
          <w:tcPr>
            <w:tcW w:w="940" w:type="dxa"/>
            <w:tcBorders>
              <w:top w:val="single" w:sz="4" w:space="0" w:color="000000"/>
              <w:left w:val="single" w:sz="4" w:space="0" w:color="000000"/>
              <w:bottom w:val="single" w:sz="4" w:space="0" w:color="000000"/>
              <w:right w:val="single" w:sz="4" w:space="0" w:color="000000"/>
            </w:tcBorders>
          </w:tcPr>
          <w:p w14:paraId="529E5ACA"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F2, D2</w:t>
            </w:r>
          </w:p>
        </w:tc>
        <w:tc>
          <w:tcPr>
            <w:tcW w:w="620" w:type="dxa"/>
            <w:tcBorders>
              <w:top w:val="single" w:sz="4" w:space="0" w:color="000000"/>
              <w:left w:val="single" w:sz="4" w:space="0" w:color="000000"/>
              <w:bottom w:val="single" w:sz="4" w:space="0" w:color="000000"/>
              <w:right w:val="single" w:sz="4" w:space="0" w:color="000000"/>
            </w:tcBorders>
          </w:tcPr>
          <w:p w14:paraId="200DC66F"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L5, L9</w:t>
            </w:r>
          </w:p>
        </w:tc>
        <w:tc>
          <w:tcPr>
            <w:tcW w:w="2757" w:type="dxa"/>
            <w:tcBorders>
              <w:top w:val="single" w:sz="4" w:space="0" w:color="000000"/>
              <w:left w:val="single" w:sz="4" w:space="0" w:color="000000"/>
              <w:bottom w:val="single" w:sz="4" w:space="0" w:color="000000"/>
              <w:right w:val="single" w:sz="4" w:space="0" w:color="000000"/>
            </w:tcBorders>
          </w:tcPr>
          <w:p w14:paraId="4B825C00"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Essai d’injection de donnée malformée : vérification de l’absence de propagation.</w:t>
            </w:r>
          </w:p>
        </w:tc>
      </w:tr>
      <w:tr w:rsidR="00F50D70" w:rsidRPr="00BE4F47" w14:paraId="76A7510C" w14:textId="77777777">
        <w:trPr>
          <w:trHeight w:val="559"/>
        </w:trPr>
        <w:tc>
          <w:tcPr>
            <w:tcW w:w="1000" w:type="dxa"/>
            <w:tcBorders>
              <w:top w:val="single" w:sz="4" w:space="0" w:color="000000"/>
              <w:left w:val="single" w:sz="4" w:space="0" w:color="000000"/>
              <w:bottom w:val="single" w:sz="4" w:space="0" w:color="000000"/>
              <w:right w:val="single" w:sz="4" w:space="0" w:color="000000"/>
            </w:tcBorders>
          </w:tcPr>
          <w:p w14:paraId="04F4BC85"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EX-Q-05</w:t>
            </w:r>
          </w:p>
        </w:tc>
        <w:tc>
          <w:tcPr>
            <w:tcW w:w="2240" w:type="dxa"/>
            <w:tcBorders>
              <w:top w:val="single" w:sz="4" w:space="0" w:color="000000"/>
              <w:left w:val="single" w:sz="4" w:space="0" w:color="000000"/>
              <w:bottom w:val="single" w:sz="4" w:space="0" w:color="000000"/>
              <w:right w:val="single" w:sz="4" w:space="0" w:color="000000"/>
            </w:tcBorders>
          </w:tcPr>
          <w:p w14:paraId="3BF0E819"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Chaque module dispose d’essais unitaires, et le taux de couverture des fonctions de détection est mesuré et consigné.</w:t>
            </w:r>
          </w:p>
        </w:tc>
        <w:tc>
          <w:tcPr>
            <w:tcW w:w="1000" w:type="dxa"/>
            <w:tcBorders>
              <w:top w:val="single" w:sz="4" w:space="0" w:color="000000"/>
              <w:left w:val="single" w:sz="4" w:space="0" w:color="000000"/>
              <w:bottom w:val="single" w:sz="4" w:space="0" w:color="000000"/>
              <w:right w:val="single" w:sz="4" w:space="0" w:color="000000"/>
            </w:tcBorders>
          </w:tcPr>
          <w:p w14:paraId="2404E040"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ISO/IEC 25010, maintenabilité</w:t>
            </w:r>
          </w:p>
        </w:tc>
        <w:tc>
          <w:tcPr>
            <w:tcW w:w="940" w:type="dxa"/>
            <w:tcBorders>
              <w:top w:val="single" w:sz="4" w:space="0" w:color="000000"/>
              <w:left w:val="single" w:sz="4" w:space="0" w:color="000000"/>
              <w:bottom w:val="single" w:sz="4" w:space="0" w:color="000000"/>
              <w:right w:val="single" w:sz="4" w:space="0" w:color="000000"/>
            </w:tcBorders>
          </w:tcPr>
          <w:p w14:paraId="6A1BB091"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s.o.</w:t>
            </w:r>
          </w:p>
        </w:tc>
        <w:tc>
          <w:tcPr>
            <w:tcW w:w="620" w:type="dxa"/>
            <w:tcBorders>
              <w:top w:val="single" w:sz="4" w:space="0" w:color="000000"/>
              <w:left w:val="single" w:sz="4" w:space="0" w:color="000000"/>
              <w:bottom w:val="single" w:sz="4" w:space="0" w:color="000000"/>
              <w:right w:val="single" w:sz="4" w:space="0" w:color="000000"/>
            </w:tcBorders>
          </w:tcPr>
          <w:p w14:paraId="4351A928"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L9</w:t>
            </w:r>
          </w:p>
        </w:tc>
        <w:tc>
          <w:tcPr>
            <w:tcW w:w="2757" w:type="dxa"/>
            <w:tcBorders>
              <w:top w:val="single" w:sz="4" w:space="0" w:color="000000"/>
              <w:left w:val="single" w:sz="4" w:space="0" w:color="000000"/>
              <w:bottom w:val="single" w:sz="4" w:space="0" w:color="000000"/>
              <w:right w:val="single" w:sz="4" w:space="0" w:color="000000"/>
            </w:tcBorders>
          </w:tcPr>
          <w:p w14:paraId="2ED32E63"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Rapport de couverture joint aux résultats d’essais.</w:t>
            </w:r>
          </w:p>
        </w:tc>
      </w:tr>
    </w:tbl>
    <w:p w14:paraId="3DEDFDFA" w14:textId="77777777" w:rsidR="00F50D70" w:rsidRPr="00BE4F47" w:rsidRDefault="00137D7F" w:rsidP="008E113B">
      <w:pPr>
        <w:pStyle w:val="Titre3"/>
        <w:numPr>
          <w:ilvl w:val="2"/>
          <w:numId w:val="1"/>
        </w:numPr>
        <w:suppressAutoHyphens w:val="0"/>
        <w:spacing w:line="360" w:lineRule="auto"/>
        <w:rPr>
          <w:lang w:eastAsia="fr-FR"/>
        </w:rPr>
      </w:pPr>
      <w:bookmarkStart w:id="236" w:name="__RefHeading___Toc240715102"/>
      <w:bookmarkStart w:id="237" w:name="_Toc241707742"/>
      <w:bookmarkStart w:id="238" w:name="_Toc241791691"/>
      <w:bookmarkEnd w:id="236"/>
      <w:r w:rsidRPr="00BE4F47">
        <w:t>Exigences de périmètre et de contrainte</w:t>
      </w:r>
      <w:bookmarkEnd w:id="237"/>
      <w:bookmarkEnd w:id="238"/>
    </w:p>
    <w:p w14:paraId="6E354053" w14:textId="77777777" w:rsidR="00F50D70" w:rsidRPr="00BE4F47" w:rsidRDefault="00137D7F" w:rsidP="008E113B">
      <w:pPr>
        <w:spacing w:before="200" w:after="130" w:line="360" w:lineRule="auto"/>
        <w:ind w:left="992"/>
        <w:rPr>
          <w:rFonts w:ascii="Aptos" w:hAnsi="Aptos"/>
        </w:rPr>
      </w:pPr>
      <w:bookmarkStart w:id="239" w:name="_Toc241082839"/>
      <w:bookmarkStart w:id="240" w:name="_Toc241670035"/>
      <w:bookmarkStart w:id="241" w:name="_Toc241707743"/>
      <w:bookmarkStart w:id="242" w:name="_Toc241791692"/>
      <w:r w:rsidRPr="00BE4F47">
        <w:rPr>
          <w:rFonts w:ascii="Aptos" w:hAnsi="Aptos"/>
          <w:color w:val="1A1A19"/>
          <w:sz w:val="20"/>
          <w:szCs w:val="20"/>
        </w:rPr>
        <w:t>Les trois exigences ci-dessous portent sur des engagements documentaires plutôt que sur des comportements du système. Elles se vérifient par la présence et le contenu d’une section du rapport final.</w:t>
      </w:r>
      <w:bookmarkEnd w:id="239"/>
      <w:bookmarkEnd w:id="240"/>
      <w:bookmarkEnd w:id="241"/>
      <w:bookmarkEnd w:id="242"/>
    </w:p>
    <w:p w14:paraId="0BF1AE8F" w14:textId="77777777" w:rsidR="00F50D70" w:rsidRPr="00BE4F47" w:rsidRDefault="00137D7F" w:rsidP="008E113B">
      <w:pPr>
        <w:pStyle w:val="Lgende"/>
        <w:keepNext/>
        <w:spacing w:line="360" w:lineRule="auto"/>
        <w:rPr>
          <w:rFonts w:ascii="Aptos" w:hAnsi="Aptos"/>
        </w:rPr>
      </w:pPr>
      <w:bookmarkStart w:id="243" w:name="_Toc241082840"/>
      <w:bookmarkStart w:id="244" w:name="_Toc241670036"/>
      <w:bookmarkStart w:id="245" w:name="_Toc241707744"/>
      <w:bookmarkStart w:id="246" w:name="_Toc241791693"/>
      <w:r w:rsidRPr="00BE4F47">
        <w:rPr>
          <w:rFonts w:ascii="Aptos" w:hAnsi="Aptos"/>
        </w:rPr>
        <w:t>Tableau 1-8. Exigences de périmètre et de contrainte</w:t>
      </w:r>
      <w:bookmarkEnd w:id="243"/>
      <w:bookmarkEnd w:id="244"/>
      <w:bookmarkEnd w:id="245"/>
      <w:bookmarkEnd w:id="246"/>
    </w:p>
    <w:tbl>
      <w:tblPr>
        <w:tblW w:w="8557" w:type="dxa"/>
        <w:tblInd w:w="413" w:type="dxa"/>
        <w:tblLayout w:type="fixed"/>
        <w:tblCellMar>
          <w:top w:w="60" w:type="dxa"/>
          <w:left w:w="90" w:type="dxa"/>
          <w:bottom w:w="60" w:type="dxa"/>
          <w:right w:w="90" w:type="dxa"/>
        </w:tblCellMar>
        <w:tblLook w:val="04A0" w:firstRow="1" w:lastRow="0" w:firstColumn="1" w:lastColumn="0" w:noHBand="0" w:noVBand="1"/>
      </w:tblPr>
      <w:tblGrid>
        <w:gridCol w:w="1000"/>
        <w:gridCol w:w="2240"/>
        <w:gridCol w:w="1000"/>
        <w:gridCol w:w="940"/>
        <w:gridCol w:w="620"/>
        <w:gridCol w:w="2757"/>
      </w:tblGrid>
      <w:tr w:rsidR="00F50D70" w:rsidRPr="00BE4F47" w14:paraId="1C4C43E0" w14:textId="77777777" w:rsidTr="0036725C">
        <w:trPr>
          <w:trHeight w:val="246"/>
          <w:tblHeader/>
        </w:trPr>
        <w:tc>
          <w:tcPr>
            <w:tcW w:w="100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51C267E9"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ID</w:t>
            </w:r>
          </w:p>
        </w:tc>
        <w:tc>
          <w:tcPr>
            <w:tcW w:w="224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2A1925D2"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Exigence</w:t>
            </w:r>
          </w:p>
        </w:tc>
        <w:tc>
          <w:tcPr>
            <w:tcW w:w="100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21CCAA67"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Source</w:t>
            </w:r>
          </w:p>
        </w:tc>
        <w:tc>
          <w:tcPr>
            <w:tcW w:w="94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43B20556"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GEMMA</w:t>
            </w:r>
          </w:p>
        </w:tc>
        <w:tc>
          <w:tcPr>
            <w:tcW w:w="62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1F839EDE"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Lot</w:t>
            </w:r>
          </w:p>
        </w:tc>
        <w:tc>
          <w:tcPr>
            <w:tcW w:w="2757"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17727056"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Moyen de vérification</w:t>
            </w:r>
          </w:p>
        </w:tc>
      </w:tr>
      <w:tr w:rsidR="00F50D70" w:rsidRPr="00BE4F47" w14:paraId="65B1176B" w14:textId="77777777">
        <w:trPr>
          <w:trHeight w:val="621"/>
        </w:trPr>
        <w:tc>
          <w:tcPr>
            <w:tcW w:w="1000" w:type="dxa"/>
            <w:tcBorders>
              <w:top w:val="single" w:sz="4" w:space="0" w:color="000000"/>
              <w:left w:val="single" w:sz="4" w:space="0" w:color="000000"/>
              <w:bottom w:val="single" w:sz="4" w:space="0" w:color="000000"/>
              <w:right w:val="single" w:sz="4" w:space="0" w:color="000000"/>
            </w:tcBorders>
          </w:tcPr>
          <w:p w14:paraId="34D4976E"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EX-C-01</w:t>
            </w:r>
          </w:p>
        </w:tc>
        <w:tc>
          <w:tcPr>
            <w:tcW w:w="2240" w:type="dxa"/>
            <w:tcBorders>
              <w:top w:val="single" w:sz="4" w:space="0" w:color="000000"/>
              <w:left w:val="single" w:sz="4" w:space="0" w:color="000000"/>
              <w:bottom w:val="single" w:sz="4" w:space="0" w:color="000000"/>
              <w:right w:val="single" w:sz="4" w:space="0" w:color="000000"/>
            </w:tcBorders>
          </w:tcPr>
          <w:p w14:paraId="5AC2337F"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Le rapport final documente le domaine d’application du prototype et les limites au-delà desquelles ses résultats ne sont pas valides.</w:t>
            </w:r>
          </w:p>
        </w:tc>
        <w:tc>
          <w:tcPr>
            <w:tcW w:w="1000" w:type="dxa"/>
            <w:tcBorders>
              <w:top w:val="single" w:sz="4" w:space="0" w:color="000000"/>
              <w:left w:val="single" w:sz="4" w:space="0" w:color="000000"/>
              <w:bottom w:val="single" w:sz="4" w:space="0" w:color="000000"/>
              <w:right w:val="single" w:sz="4" w:space="0" w:color="000000"/>
            </w:tcBorders>
          </w:tcPr>
          <w:p w14:paraId="673E757D"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Hydro-Québec, sûreté</w:t>
            </w:r>
          </w:p>
        </w:tc>
        <w:tc>
          <w:tcPr>
            <w:tcW w:w="940" w:type="dxa"/>
            <w:tcBorders>
              <w:top w:val="single" w:sz="4" w:space="0" w:color="000000"/>
              <w:left w:val="single" w:sz="4" w:space="0" w:color="000000"/>
              <w:bottom w:val="single" w:sz="4" w:space="0" w:color="000000"/>
              <w:right w:val="single" w:sz="4" w:space="0" w:color="000000"/>
            </w:tcBorders>
          </w:tcPr>
          <w:p w14:paraId="622E1AE5"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s.o.</w:t>
            </w:r>
          </w:p>
        </w:tc>
        <w:tc>
          <w:tcPr>
            <w:tcW w:w="620" w:type="dxa"/>
            <w:tcBorders>
              <w:top w:val="single" w:sz="4" w:space="0" w:color="000000"/>
              <w:left w:val="single" w:sz="4" w:space="0" w:color="000000"/>
              <w:bottom w:val="single" w:sz="4" w:space="0" w:color="000000"/>
              <w:right w:val="single" w:sz="4" w:space="0" w:color="000000"/>
            </w:tcBorders>
          </w:tcPr>
          <w:p w14:paraId="1DCA9EE8"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L1, L9</w:t>
            </w:r>
          </w:p>
        </w:tc>
        <w:tc>
          <w:tcPr>
            <w:tcW w:w="2757" w:type="dxa"/>
            <w:tcBorders>
              <w:top w:val="single" w:sz="4" w:space="0" w:color="000000"/>
              <w:left w:val="single" w:sz="4" w:space="0" w:color="000000"/>
              <w:bottom w:val="single" w:sz="4" w:space="0" w:color="000000"/>
              <w:right w:val="single" w:sz="4" w:space="0" w:color="000000"/>
            </w:tcBorders>
          </w:tcPr>
          <w:p w14:paraId="013EEA59"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Revue du rapport final au jalon J5 : présence de la section et cohérence avec les résultats d’essais.</w:t>
            </w:r>
          </w:p>
        </w:tc>
      </w:tr>
      <w:tr w:rsidR="00F50D70" w:rsidRPr="00BE4F47" w14:paraId="58A7B296" w14:textId="77777777">
        <w:trPr>
          <w:trHeight w:val="612"/>
        </w:trPr>
        <w:tc>
          <w:tcPr>
            <w:tcW w:w="1000" w:type="dxa"/>
            <w:tcBorders>
              <w:top w:val="single" w:sz="4" w:space="0" w:color="000000"/>
              <w:left w:val="single" w:sz="4" w:space="0" w:color="000000"/>
              <w:bottom w:val="single" w:sz="4" w:space="0" w:color="000000"/>
              <w:right w:val="single" w:sz="4" w:space="0" w:color="000000"/>
            </w:tcBorders>
          </w:tcPr>
          <w:p w14:paraId="55DC61D3"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EX-C-02</w:t>
            </w:r>
          </w:p>
        </w:tc>
        <w:tc>
          <w:tcPr>
            <w:tcW w:w="2240" w:type="dxa"/>
            <w:tcBorders>
              <w:top w:val="single" w:sz="4" w:space="0" w:color="000000"/>
              <w:left w:val="single" w:sz="4" w:space="0" w:color="000000"/>
              <w:bottom w:val="single" w:sz="4" w:space="0" w:color="000000"/>
              <w:right w:val="single" w:sz="4" w:space="0" w:color="000000"/>
            </w:tcBorders>
          </w:tcPr>
          <w:p w14:paraId="02A1CDEC"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Le prototype demeure un livrable académique entièrement simulé, non destiné au raccordement à une installation nucléaire réelle.</w:t>
            </w:r>
          </w:p>
        </w:tc>
        <w:tc>
          <w:tcPr>
            <w:tcW w:w="1000" w:type="dxa"/>
            <w:tcBorders>
              <w:top w:val="single" w:sz="4" w:space="0" w:color="000000"/>
              <w:left w:val="single" w:sz="4" w:space="0" w:color="000000"/>
              <w:bottom w:val="single" w:sz="4" w:space="0" w:color="000000"/>
              <w:right w:val="single" w:sz="4" w:space="0" w:color="000000"/>
            </w:tcBorders>
          </w:tcPr>
          <w:p w14:paraId="14658A4A"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Périmètre du projet</w:t>
            </w:r>
          </w:p>
        </w:tc>
        <w:tc>
          <w:tcPr>
            <w:tcW w:w="940" w:type="dxa"/>
            <w:tcBorders>
              <w:top w:val="single" w:sz="4" w:space="0" w:color="000000"/>
              <w:left w:val="single" w:sz="4" w:space="0" w:color="000000"/>
              <w:bottom w:val="single" w:sz="4" w:space="0" w:color="000000"/>
              <w:right w:val="single" w:sz="4" w:space="0" w:color="000000"/>
            </w:tcBorders>
          </w:tcPr>
          <w:p w14:paraId="1676EB2A"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s.o.</w:t>
            </w:r>
          </w:p>
        </w:tc>
        <w:tc>
          <w:tcPr>
            <w:tcW w:w="620" w:type="dxa"/>
            <w:tcBorders>
              <w:top w:val="single" w:sz="4" w:space="0" w:color="000000"/>
              <w:left w:val="single" w:sz="4" w:space="0" w:color="000000"/>
              <w:bottom w:val="single" w:sz="4" w:space="0" w:color="000000"/>
              <w:right w:val="single" w:sz="4" w:space="0" w:color="000000"/>
            </w:tcBorders>
          </w:tcPr>
          <w:p w14:paraId="6B28702A"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L1</w:t>
            </w:r>
          </w:p>
        </w:tc>
        <w:tc>
          <w:tcPr>
            <w:tcW w:w="2757" w:type="dxa"/>
            <w:tcBorders>
              <w:top w:val="single" w:sz="4" w:space="0" w:color="000000"/>
              <w:left w:val="single" w:sz="4" w:space="0" w:color="000000"/>
              <w:bottom w:val="single" w:sz="4" w:space="0" w:color="000000"/>
              <w:right w:val="single" w:sz="4" w:space="0" w:color="000000"/>
            </w:tcBorders>
          </w:tcPr>
          <w:p w14:paraId="0963E729"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Revue de conformité au périmètre à chaque jalon.</w:t>
            </w:r>
          </w:p>
        </w:tc>
      </w:tr>
      <w:tr w:rsidR="00F50D70" w:rsidRPr="00BE4F47" w14:paraId="1DC6366D" w14:textId="77777777">
        <w:trPr>
          <w:trHeight w:val="804"/>
        </w:trPr>
        <w:tc>
          <w:tcPr>
            <w:tcW w:w="1000" w:type="dxa"/>
            <w:tcBorders>
              <w:top w:val="single" w:sz="4" w:space="0" w:color="000000"/>
              <w:left w:val="single" w:sz="4" w:space="0" w:color="000000"/>
              <w:bottom w:val="single" w:sz="4" w:space="0" w:color="000000"/>
              <w:right w:val="single" w:sz="4" w:space="0" w:color="000000"/>
            </w:tcBorders>
          </w:tcPr>
          <w:p w14:paraId="347B0227"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lastRenderedPageBreak/>
              <w:t>EX-C-03</w:t>
            </w:r>
          </w:p>
        </w:tc>
        <w:tc>
          <w:tcPr>
            <w:tcW w:w="2240" w:type="dxa"/>
            <w:tcBorders>
              <w:top w:val="single" w:sz="4" w:space="0" w:color="000000"/>
              <w:left w:val="single" w:sz="4" w:space="0" w:color="000000"/>
              <w:bottom w:val="single" w:sz="4" w:space="0" w:color="000000"/>
              <w:right w:val="single" w:sz="4" w:space="0" w:color="000000"/>
            </w:tcBorders>
          </w:tcPr>
          <w:p w14:paraId="6E0E6DF4"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Le rapport final traite explicitement les enjeux de confiance, de transparence et de responsabilité soulevés par l’usage d’un outil d’aide à la décision en contexte nucléaire.</w:t>
            </w:r>
          </w:p>
        </w:tc>
        <w:tc>
          <w:tcPr>
            <w:tcW w:w="1000" w:type="dxa"/>
            <w:tcBorders>
              <w:top w:val="single" w:sz="4" w:space="0" w:color="000000"/>
              <w:left w:val="single" w:sz="4" w:space="0" w:color="000000"/>
              <w:bottom w:val="single" w:sz="4" w:space="0" w:color="000000"/>
              <w:right w:val="single" w:sz="4" w:space="0" w:color="000000"/>
            </w:tcBorders>
          </w:tcPr>
          <w:p w14:paraId="3A9D1709"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Parties prenantes</w:t>
            </w:r>
          </w:p>
        </w:tc>
        <w:tc>
          <w:tcPr>
            <w:tcW w:w="940" w:type="dxa"/>
            <w:tcBorders>
              <w:top w:val="single" w:sz="4" w:space="0" w:color="000000"/>
              <w:left w:val="single" w:sz="4" w:space="0" w:color="000000"/>
              <w:bottom w:val="single" w:sz="4" w:space="0" w:color="000000"/>
              <w:right w:val="single" w:sz="4" w:space="0" w:color="000000"/>
            </w:tcBorders>
          </w:tcPr>
          <w:p w14:paraId="3789959A"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s.o.</w:t>
            </w:r>
          </w:p>
        </w:tc>
        <w:tc>
          <w:tcPr>
            <w:tcW w:w="620" w:type="dxa"/>
            <w:tcBorders>
              <w:top w:val="single" w:sz="4" w:space="0" w:color="000000"/>
              <w:left w:val="single" w:sz="4" w:space="0" w:color="000000"/>
              <w:bottom w:val="single" w:sz="4" w:space="0" w:color="000000"/>
              <w:right w:val="single" w:sz="4" w:space="0" w:color="000000"/>
            </w:tcBorders>
          </w:tcPr>
          <w:p w14:paraId="343D0CEA"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L1</w:t>
            </w:r>
          </w:p>
        </w:tc>
        <w:tc>
          <w:tcPr>
            <w:tcW w:w="2757" w:type="dxa"/>
            <w:tcBorders>
              <w:top w:val="single" w:sz="4" w:space="0" w:color="000000"/>
              <w:left w:val="single" w:sz="4" w:space="0" w:color="000000"/>
              <w:bottom w:val="single" w:sz="4" w:space="0" w:color="000000"/>
              <w:right w:val="single" w:sz="4" w:space="0" w:color="000000"/>
            </w:tcBorders>
          </w:tcPr>
          <w:p w14:paraId="252529ED"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Présence et contenu de la section « Impacts du projet et gestion des risques ».</w:t>
            </w:r>
          </w:p>
        </w:tc>
      </w:tr>
    </w:tbl>
    <w:p w14:paraId="145FB86E" w14:textId="77777777" w:rsidR="00F50D70" w:rsidRPr="00136F18" w:rsidRDefault="00137D7F" w:rsidP="008E113B">
      <w:pPr>
        <w:pStyle w:val="Titre1"/>
        <w:spacing w:line="360" w:lineRule="auto"/>
      </w:pPr>
      <w:bookmarkStart w:id="247" w:name="__RefHeading___Toc240715104"/>
      <w:bookmarkStart w:id="248" w:name="_Toc241707745"/>
      <w:bookmarkStart w:id="249" w:name="_Toc241791694"/>
      <w:r w:rsidRPr="00136F18">
        <w:t>Description des livrables du projet</w:t>
      </w:r>
      <w:bookmarkEnd w:id="247"/>
      <w:bookmarkEnd w:id="248"/>
      <w:bookmarkEnd w:id="249"/>
    </w:p>
    <w:p w14:paraId="37330604" w14:textId="77777777" w:rsidR="00F50D70" w:rsidRPr="00BE4F47" w:rsidRDefault="00137D7F" w:rsidP="008E113B">
      <w:pPr>
        <w:spacing w:before="200" w:after="130" w:line="360" w:lineRule="auto"/>
        <w:ind w:left="360"/>
        <w:rPr>
          <w:rFonts w:ascii="Aptos" w:hAnsi="Aptos"/>
        </w:rPr>
      </w:pPr>
      <w:bookmarkStart w:id="250" w:name="_Toc241082842"/>
      <w:bookmarkStart w:id="251" w:name="_Toc241670038"/>
      <w:bookmarkStart w:id="252" w:name="_Toc241707746"/>
      <w:bookmarkStart w:id="253" w:name="_Toc241791695"/>
      <w:r w:rsidRPr="00BE4F47">
        <w:rPr>
          <w:rFonts w:ascii="Aptos" w:hAnsi="Aptos"/>
          <w:color w:val="1A1A19"/>
          <w:sz w:val="20"/>
          <w:szCs w:val="20"/>
        </w:rPr>
        <w:t>La section 1 a établi ce que le système doit faire. Celle-ci dit ce que nous remettons au client.</w:t>
      </w:r>
      <w:bookmarkEnd w:id="250"/>
      <w:bookmarkEnd w:id="251"/>
      <w:bookmarkEnd w:id="252"/>
      <w:bookmarkEnd w:id="253"/>
    </w:p>
    <w:p w14:paraId="3B7A87D1" w14:textId="77777777" w:rsidR="00F50D70" w:rsidRPr="00136F18" w:rsidRDefault="00137D7F" w:rsidP="008E113B">
      <w:pPr>
        <w:pStyle w:val="Titre2"/>
        <w:spacing w:line="360" w:lineRule="auto"/>
      </w:pPr>
      <w:bookmarkStart w:id="254" w:name="__RefHeading___Toc240715105"/>
      <w:bookmarkStart w:id="255" w:name="_Toc241707747"/>
      <w:bookmarkStart w:id="256" w:name="_Toc241791696"/>
      <w:bookmarkEnd w:id="254"/>
      <w:r w:rsidRPr="00136F18">
        <w:t>Livrables techniques</w:t>
      </w:r>
      <w:bookmarkEnd w:id="255"/>
      <w:bookmarkEnd w:id="256"/>
    </w:p>
    <w:p w14:paraId="66B937E3" w14:textId="77777777" w:rsidR="00F50D70" w:rsidRPr="00BE4F47" w:rsidRDefault="00137D7F" w:rsidP="008E113B">
      <w:pPr>
        <w:spacing w:after="130" w:line="360" w:lineRule="auto"/>
        <w:ind w:left="360"/>
        <w:rPr>
          <w:rFonts w:ascii="Aptos" w:hAnsi="Aptos"/>
        </w:rPr>
      </w:pPr>
      <w:bookmarkStart w:id="257" w:name="_Toc241082844"/>
      <w:bookmarkStart w:id="258" w:name="_Toc241670040"/>
      <w:bookmarkStart w:id="259" w:name="_Toc241707748"/>
      <w:bookmarkStart w:id="260" w:name="_Toc241791697"/>
      <w:r w:rsidRPr="00BE4F47">
        <w:rPr>
          <w:rFonts w:ascii="Aptos" w:hAnsi="Aptos"/>
          <w:color w:val="1A1A19"/>
          <w:sz w:val="20"/>
          <w:szCs w:val="20"/>
        </w:rPr>
        <w:t>Les livrables techniques sont au nombre de six :</w:t>
      </w:r>
      <w:bookmarkEnd w:id="257"/>
      <w:bookmarkEnd w:id="258"/>
      <w:bookmarkEnd w:id="259"/>
      <w:bookmarkEnd w:id="260"/>
    </w:p>
    <w:p w14:paraId="6AA1ECEF" w14:textId="77777777" w:rsidR="00F50D70" w:rsidRPr="00BE4F47" w:rsidRDefault="00137D7F" w:rsidP="008E113B">
      <w:pPr>
        <w:numPr>
          <w:ilvl w:val="0"/>
          <w:numId w:val="20"/>
        </w:numPr>
        <w:spacing w:after="130" w:line="360" w:lineRule="auto"/>
        <w:ind w:left="720"/>
        <w:rPr>
          <w:rFonts w:ascii="Aptos" w:hAnsi="Aptos"/>
        </w:rPr>
      </w:pPr>
      <w:bookmarkStart w:id="261" w:name="_Toc241082845"/>
      <w:bookmarkStart w:id="262" w:name="_Toc241670041"/>
      <w:bookmarkStart w:id="263" w:name="_Toc241707749"/>
      <w:bookmarkStart w:id="264" w:name="_Toc241791698"/>
      <w:proofErr w:type="gramStart"/>
      <w:r w:rsidRPr="00BE4F47">
        <w:rPr>
          <w:rFonts w:ascii="Aptos" w:hAnsi="Aptos"/>
          <w:color w:val="1A1A19"/>
          <w:sz w:val="20"/>
          <w:szCs w:val="20"/>
        </w:rPr>
        <w:t>le</w:t>
      </w:r>
      <w:proofErr w:type="gramEnd"/>
      <w:r w:rsidRPr="00BE4F47">
        <w:rPr>
          <w:rFonts w:ascii="Aptos" w:hAnsi="Aptos"/>
          <w:color w:val="1A1A19"/>
          <w:sz w:val="20"/>
          <w:szCs w:val="20"/>
        </w:rPr>
        <w:t xml:space="preserve"> prototype du jumeau numérique (L01) et l’interface d’aide à la décision (L02) forment le produit remis.</w:t>
      </w:r>
      <w:bookmarkEnd w:id="261"/>
      <w:bookmarkEnd w:id="262"/>
      <w:bookmarkEnd w:id="263"/>
      <w:bookmarkEnd w:id="264"/>
    </w:p>
    <w:p w14:paraId="610B751F" w14:textId="77777777" w:rsidR="00F50D70" w:rsidRPr="00BE4F47" w:rsidRDefault="00137D7F" w:rsidP="008E113B">
      <w:pPr>
        <w:numPr>
          <w:ilvl w:val="0"/>
          <w:numId w:val="20"/>
        </w:numPr>
        <w:spacing w:after="130" w:line="360" w:lineRule="auto"/>
        <w:ind w:left="720"/>
        <w:rPr>
          <w:rFonts w:ascii="Aptos" w:hAnsi="Aptos"/>
        </w:rPr>
      </w:pPr>
      <w:bookmarkStart w:id="265" w:name="_Toc241082846"/>
      <w:bookmarkStart w:id="266" w:name="_Toc241670042"/>
      <w:bookmarkStart w:id="267" w:name="_Toc241707750"/>
      <w:bookmarkStart w:id="268" w:name="_Toc241791699"/>
      <w:proofErr w:type="gramStart"/>
      <w:r w:rsidRPr="00BE4F47">
        <w:rPr>
          <w:rFonts w:ascii="Aptos" w:hAnsi="Aptos"/>
          <w:color w:val="1A1A19"/>
          <w:sz w:val="20"/>
          <w:szCs w:val="20"/>
        </w:rPr>
        <w:t>le</w:t>
      </w:r>
      <w:proofErr w:type="gramEnd"/>
      <w:r w:rsidRPr="00BE4F47">
        <w:rPr>
          <w:rFonts w:ascii="Aptos" w:hAnsi="Aptos"/>
          <w:color w:val="1A1A19"/>
          <w:sz w:val="20"/>
          <w:szCs w:val="20"/>
        </w:rPr>
        <w:t xml:space="preserve"> registre des exigences (L03), le GEMMA (L04) et le plan de vérification et de validation (L05) énoncent ce que le prototype doit faire et comment on le vérifie.</w:t>
      </w:r>
      <w:bookmarkEnd w:id="265"/>
      <w:bookmarkEnd w:id="266"/>
      <w:bookmarkEnd w:id="267"/>
      <w:bookmarkEnd w:id="268"/>
    </w:p>
    <w:p w14:paraId="0F992079" w14:textId="77777777" w:rsidR="00F50D70" w:rsidRPr="00CE67BA" w:rsidRDefault="00137D7F" w:rsidP="008E113B">
      <w:pPr>
        <w:numPr>
          <w:ilvl w:val="0"/>
          <w:numId w:val="20"/>
        </w:numPr>
        <w:spacing w:after="130" w:line="360" w:lineRule="auto"/>
        <w:ind w:left="720"/>
        <w:rPr>
          <w:rFonts w:ascii="Aptos" w:hAnsi="Aptos"/>
          <w:color w:val="1A1A19"/>
          <w:sz w:val="20"/>
          <w:szCs w:val="20"/>
        </w:rPr>
      </w:pPr>
      <w:bookmarkStart w:id="269" w:name="_Toc241082847"/>
      <w:bookmarkStart w:id="270" w:name="_Toc241670043"/>
      <w:bookmarkStart w:id="271" w:name="_Toc241707751"/>
      <w:bookmarkStart w:id="272" w:name="_Toc241791700"/>
      <w:proofErr w:type="gramStart"/>
      <w:r w:rsidRPr="00BE4F47">
        <w:rPr>
          <w:rFonts w:ascii="Aptos" w:hAnsi="Aptos"/>
          <w:color w:val="1A1A19"/>
          <w:sz w:val="20"/>
          <w:szCs w:val="20"/>
        </w:rPr>
        <w:t>les</w:t>
      </w:r>
      <w:proofErr w:type="gramEnd"/>
      <w:r w:rsidRPr="00BE4F47">
        <w:rPr>
          <w:rFonts w:ascii="Aptos" w:hAnsi="Aptos"/>
          <w:color w:val="1A1A19"/>
          <w:sz w:val="20"/>
          <w:szCs w:val="20"/>
        </w:rPr>
        <w:t xml:space="preserve"> résultats de la campagne d’essais (L06) établissent ce qu’il fait réellement.</w:t>
      </w:r>
      <w:bookmarkEnd w:id="269"/>
      <w:bookmarkEnd w:id="270"/>
      <w:bookmarkEnd w:id="271"/>
      <w:bookmarkEnd w:id="272"/>
    </w:p>
    <w:p w14:paraId="3641840E" w14:textId="77777777" w:rsidR="00F50D70" w:rsidRPr="00136F18" w:rsidRDefault="00137D7F" w:rsidP="008E113B">
      <w:pPr>
        <w:pStyle w:val="Titre2"/>
        <w:spacing w:line="360" w:lineRule="auto"/>
      </w:pPr>
      <w:bookmarkStart w:id="273" w:name="__RefHeading___Toc240715110"/>
      <w:bookmarkStart w:id="274" w:name="_Toc241707752"/>
      <w:bookmarkStart w:id="275" w:name="_Toc241791701"/>
      <w:bookmarkEnd w:id="273"/>
      <w:r w:rsidRPr="00136F18">
        <w:t>Livrables de gestion</w:t>
      </w:r>
      <w:bookmarkEnd w:id="274"/>
      <w:bookmarkEnd w:id="275"/>
    </w:p>
    <w:p w14:paraId="0A73E3B5" w14:textId="77777777" w:rsidR="00F50D70" w:rsidRPr="00BE4F47" w:rsidRDefault="00137D7F" w:rsidP="008E113B">
      <w:pPr>
        <w:spacing w:after="130" w:line="360" w:lineRule="auto"/>
        <w:ind w:left="360"/>
        <w:rPr>
          <w:rFonts w:ascii="Aptos" w:hAnsi="Aptos"/>
        </w:rPr>
      </w:pPr>
      <w:bookmarkStart w:id="276" w:name="_Toc241082849"/>
      <w:bookmarkStart w:id="277" w:name="_Toc241670045"/>
      <w:bookmarkStart w:id="278" w:name="_Toc241707753"/>
      <w:bookmarkStart w:id="279" w:name="_Toc241791702"/>
      <w:r w:rsidRPr="00BE4F47">
        <w:rPr>
          <w:rFonts w:ascii="Aptos" w:hAnsi="Aptos"/>
          <w:color w:val="1A1A19"/>
          <w:sz w:val="20"/>
          <w:szCs w:val="20"/>
        </w:rPr>
        <w:t>Les livrables de gestion sont le plan de projet et ses mises à jour, le rapport final et la présentation orale.</w:t>
      </w:r>
      <w:bookmarkEnd w:id="276"/>
      <w:bookmarkEnd w:id="277"/>
      <w:bookmarkEnd w:id="278"/>
      <w:bookmarkEnd w:id="279"/>
    </w:p>
    <w:p w14:paraId="1AF354CC" w14:textId="77777777" w:rsidR="00F50D70" w:rsidRPr="00BE4F47" w:rsidRDefault="00137D7F" w:rsidP="008E113B">
      <w:pPr>
        <w:spacing w:after="130" w:line="360" w:lineRule="auto"/>
        <w:ind w:left="360"/>
        <w:rPr>
          <w:rFonts w:ascii="Aptos" w:eastAsia="Calibri" w:hAnsi="Aptos" w:cs="Calibri"/>
          <w:color w:val="1A1A19"/>
          <w:sz w:val="20"/>
          <w:szCs w:val="20"/>
        </w:rPr>
      </w:pPr>
      <w:bookmarkStart w:id="280" w:name="_Toc241082850"/>
      <w:bookmarkStart w:id="281" w:name="_Toc241670046"/>
      <w:bookmarkStart w:id="282" w:name="_Toc241707754"/>
      <w:bookmarkStart w:id="283" w:name="_Toc241791703"/>
      <w:r w:rsidRPr="00BE4F47">
        <w:rPr>
          <w:rFonts w:ascii="Aptos" w:hAnsi="Aptos"/>
          <w:color w:val="1A1A19"/>
          <w:sz w:val="20"/>
          <w:szCs w:val="20"/>
        </w:rPr>
        <w:t>Le rapport final portera la recommandation d’ingénierie, avec nos conclusions et les limites du mandat, comme l’exige EX-C-01.</w:t>
      </w:r>
      <w:bookmarkEnd w:id="280"/>
      <w:bookmarkEnd w:id="281"/>
      <w:bookmarkEnd w:id="282"/>
      <w:bookmarkEnd w:id="283"/>
    </w:p>
    <w:p w14:paraId="0408D8E0" w14:textId="77777777" w:rsidR="00F50D70" w:rsidRPr="00136F18" w:rsidRDefault="00137D7F" w:rsidP="008E113B">
      <w:pPr>
        <w:pStyle w:val="Titre2"/>
        <w:spacing w:line="360" w:lineRule="auto"/>
      </w:pPr>
      <w:bookmarkStart w:id="284" w:name="__RefHeading___Toc240715113"/>
      <w:bookmarkStart w:id="285" w:name="_Toc241707755"/>
      <w:bookmarkStart w:id="286" w:name="_Toc241791704"/>
      <w:bookmarkEnd w:id="284"/>
      <w:r w:rsidRPr="00136F18">
        <w:t>Tableau des livrables</w:t>
      </w:r>
      <w:bookmarkEnd w:id="285"/>
      <w:bookmarkEnd w:id="286"/>
    </w:p>
    <w:p w14:paraId="6274B6C8" w14:textId="77777777" w:rsidR="00F50D70" w:rsidRDefault="00137D7F" w:rsidP="008E113B">
      <w:pPr>
        <w:spacing w:after="130" w:line="360" w:lineRule="auto"/>
        <w:ind w:left="360"/>
        <w:rPr>
          <w:rFonts w:ascii="Aptos" w:eastAsia="Calibri" w:hAnsi="Aptos" w:cs="Calibri"/>
          <w:color w:val="1A1A19"/>
          <w:sz w:val="20"/>
          <w:szCs w:val="20"/>
        </w:rPr>
      </w:pPr>
      <w:bookmarkStart w:id="287" w:name="_Toc241082852"/>
      <w:bookmarkStart w:id="288" w:name="_Toc241670048"/>
      <w:bookmarkStart w:id="289" w:name="_Toc241707756"/>
      <w:bookmarkStart w:id="290" w:name="_Toc241791705"/>
      <w:r w:rsidRPr="00BE4F47">
        <w:rPr>
          <w:rFonts w:ascii="Aptos" w:hAnsi="Aptos"/>
          <w:color w:val="1A1A19"/>
          <w:sz w:val="20"/>
          <w:szCs w:val="20"/>
        </w:rPr>
        <w:t>Le tableau 2-1 donne, pour chaque livrable, son critère d’acceptation et le jalon auquel il est attendu.</w:t>
      </w:r>
      <w:bookmarkEnd w:id="287"/>
      <w:bookmarkEnd w:id="288"/>
      <w:bookmarkEnd w:id="289"/>
      <w:bookmarkEnd w:id="290"/>
    </w:p>
    <w:p w14:paraId="2904A4C4" w14:textId="77777777" w:rsidR="00F50D70" w:rsidRPr="00BE4F47" w:rsidRDefault="00137D7F" w:rsidP="008E113B">
      <w:pPr>
        <w:pStyle w:val="Lgende"/>
        <w:keepNext/>
        <w:spacing w:line="360" w:lineRule="auto"/>
        <w:rPr>
          <w:rFonts w:ascii="Aptos" w:hAnsi="Aptos"/>
        </w:rPr>
      </w:pPr>
      <w:bookmarkStart w:id="291" w:name="_Toc241082853"/>
      <w:bookmarkStart w:id="292" w:name="_Toc241670049"/>
      <w:bookmarkStart w:id="293" w:name="_Toc241707757"/>
      <w:bookmarkStart w:id="294" w:name="_Toc241791706"/>
      <w:r w:rsidRPr="00BE4F47">
        <w:rPr>
          <w:rFonts w:ascii="Aptos" w:hAnsi="Aptos"/>
        </w:rPr>
        <w:t>Tableau 2-1. Livrables, critères d’acceptation et jalons de remise</w:t>
      </w:r>
      <w:bookmarkEnd w:id="291"/>
      <w:bookmarkEnd w:id="292"/>
      <w:bookmarkEnd w:id="293"/>
      <w:bookmarkEnd w:id="294"/>
    </w:p>
    <w:tbl>
      <w:tblPr>
        <w:tblW w:w="8557" w:type="dxa"/>
        <w:tblInd w:w="413" w:type="dxa"/>
        <w:tblLayout w:type="fixed"/>
        <w:tblCellMar>
          <w:top w:w="60" w:type="dxa"/>
          <w:left w:w="90" w:type="dxa"/>
          <w:bottom w:w="60" w:type="dxa"/>
          <w:right w:w="90" w:type="dxa"/>
        </w:tblCellMar>
        <w:tblLook w:val="04A0" w:firstRow="1" w:lastRow="0" w:firstColumn="1" w:lastColumn="0" w:noHBand="0" w:noVBand="1"/>
      </w:tblPr>
      <w:tblGrid>
        <w:gridCol w:w="540"/>
        <w:gridCol w:w="1650"/>
        <w:gridCol w:w="1100"/>
        <w:gridCol w:w="2600"/>
        <w:gridCol w:w="850"/>
        <w:gridCol w:w="1817"/>
      </w:tblGrid>
      <w:tr w:rsidR="00F50D70" w:rsidRPr="00BE4F47" w14:paraId="73B20FAF" w14:textId="77777777" w:rsidTr="0036725C">
        <w:trPr>
          <w:trHeight w:val="248"/>
          <w:tblHeader/>
        </w:trPr>
        <w:tc>
          <w:tcPr>
            <w:tcW w:w="54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3231ACD3"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ID</w:t>
            </w:r>
          </w:p>
        </w:tc>
        <w:tc>
          <w:tcPr>
            <w:tcW w:w="165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36BFE847"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Livrable</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7B3ECC86"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Type</w:t>
            </w:r>
          </w:p>
        </w:tc>
        <w:tc>
          <w:tcPr>
            <w:tcW w:w="260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33391DA0"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Critère d’acceptation</w:t>
            </w:r>
          </w:p>
        </w:tc>
        <w:tc>
          <w:tcPr>
            <w:tcW w:w="85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31326129"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Jalon</w:t>
            </w:r>
          </w:p>
        </w:tc>
        <w:tc>
          <w:tcPr>
            <w:tcW w:w="1817"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74C63A28"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Responsable</w:t>
            </w:r>
          </w:p>
        </w:tc>
      </w:tr>
      <w:tr w:rsidR="00F50D70" w:rsidRPr="00BE4F47" w14:paraId="6D551F0A" w14:textId="77777777">
        <w:trPr>
          <w:trHeight w:val="440"/>
        </w:trPr>
        <w:tc>
          <w:tcPr>
            <w:tcW w:w="540" w:type="dxa"/>
            <w:tcBorders>
              <w:top w:val="single" w:sz="4" w:space="0" w:color="000000"/>
              <w:left w:val="single" w:sz="4" w:space="0" w:color="000000"/>
              <w:bottom w:val="single" w:sz="4" w:space="0" w:color="000000"/>
              <w:right w:val="single" w:sz="4" w:space="0" w:color="000000"/>
            </w:tcBorders>
          </w:tcPr>
          <w:p w14:paraId="11108FDB"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L01</w:t>
            </w:r>
          </w:p>
        </w:tc>
        <w:tc>
          <w:tcPr>
            <w:tcW w:w="1650" w:type="dxa"/>
            <w:tcBorders>
              <w:top w:val="single" w:sz="4" w:space="0" w:color="000000"/>
              <w:left w:val="single" w:sz="4" w:space="0" w:color="000000"/>
              <w:bottom w:val="single" w:sz="4" w:space="0" w:color="000000"/>
              <w:right w:val="single" w:sz="4" w:space="0" w:color="000000"/>
            </w:tcBorders>
          </w:tcPr>
          <w:p w14:paraId="436B91F6"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Prototype du jumeau numérique</w:t>
            </w:r>
          </w:p>
        </w:tc>
        <w:tc>
          <w:tcPr>
            <w:tcW w:w="1100" w:type="dxa"/>
            <w:tcBorders>
              <w:top w:val="single" w:sz="4" w:space="0" w:color="000000"/>
              <w:left w:val="single" w:sz="4" w:space="0" w:color="000000"/>
              <w:bottom w:val="single" w:sz="4" w:space="0" w:color="000000"/>
              <w:right w:val="single" w:sz="4" w:space="0" w:color="000000"/>
            </w:tcBorders>
          </w:tcPr>
          <w:p w14:paraId="10CB5633"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Technique</w:t>
            </w:r>
          </w:p>
        </w:tc>
        <w:tc>
          <w:tcPr>
            <w:tcW w:w="2600" w:type="dxa"/>
            <w:tcBorders>
              <w:top w:val="single" w:sz="4" w:space="0" w:color="000000"/>
              <w:left w:val="single" w:sz="4" w:space="0" w:color="000000"/>
              <w:bottom w:val="single" w:sz="4" w:space="0" w:color="000000"/>
              <w:right w:val="single" w:sz="4" w:space="0" w:color="000000"/>
            </w:tcBorders>
          </w:tcPr>
          <w:p w14:paraId="63B68F1C"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EX-F-01 à EX-F-03 et EX-F-10 démontrées par essai, résultats consignés. Modèle de référence indépendant disponible et son écart au modèle de la boucle quantifié.</w:t>
            </w:r>
          </w:p>
        </w:tc>
        <w:tc>
          <w:tcPr>
            <w:tcW w:w="850" w:type="dxa"/>
            <w:tcBorders>
              <w:top w:val="single" w:sz="4" w:space="0" w:color="000000"/>
              <w:left w:val="single" w:sz="4" w:space="0" w:color="000000"/>
              <w:bottom w:val="single" w:sz="4" w:space="0" w:color="000000"/>
              <w:right w:val="single" w:sz="4" w:space="0" w:color="000000"/>
            </w:tcBorders>
          </w:tcPr>
          <w:p w14:paraId="6D9D01EE"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J3</w:t>
            </w:r>
          </w:p>
        </w:tc>
        <w:tc>
          <w:tcPr>
            <w:tcW w:w="1817" w:type="dxa"/>
            <w:tcBorders>
              <w:top w:val="single" w:sz="4" w:space="0" w:color="000000"/>
              <w:left w:val="single" w:sz="4" w:space="0" w:color="000000"/>
              <w:bottom w:val="single" w:sz="4" w:space="0" w:color="000000"/>
              <w:right w:val="single" w:sz="4" w:space="0" w:color="000000"/>
            </w:tcBorders>
          </w:tcPr>
          <w:p w14:paraId="3B6002B8" w14:textId="53709908" w:rsidR="00F50D70" w:rsidRPr="00BE4F47" w:rsidRDefault="005E5B35" w:rsidP="008E113B">
            <w:pPr>
              <w:spacing w:before="20" w:after="20"/>
              <w:ind w:left="0"/>
              <w:jc w:val="left"/>
              <w:outlineLvl w:val="9"/>
              <w:rPr>
                <w:rFonts w:ascii="Aptos" w:eastAsia="Calibri" w:hAnsi="Aptos" w:cs="Calibri"/>
                <w:color w:val="1A1A19"/>
                <w:sz w:val="20"/>
                <w:szCs w:val="20"/>
              </w:rPr>
            </w:pPr>
            <w:r>
              <w:rPr>
                <w:rFonts w:ascii="Aptos" w:eastAsia="Calibri" w:hAnsi="Aptos" w:cs="Calibri"/>
                <w:color w:val="1A1A19"/>
                <w:sz w:val="16"/>
                <w:szCs w:val="16"/>
              </w:rPr>
              <w:t xml:space="preserve"> </w:t>
            </w:r>
            <w:r w:rsidR="002F3B50">
              <w:rPr>
                <w:rFonts w:ascii="Aptos" w:eastAsia="Calibri" w:hAnsi="Aptos" w:cs="Calibri"/>
                <w:color w:val="1A1A19"/>
                <w:sz w:val="16"/>
                <w:szCs w:val="16"/>
              </w:rPr>
              <w:t xml:space="preserve">Toute l’équipe </w:t>
            </w:r>
          </w:p>
        </w:tc>
      </w:tr>
      <w:tr w:rsidR="00F50D70" w:rsidRPr="00BE4F47" w14:paraId="15BE4BFA" w14:textId="77777777">
        <w:trPr>
          <w:trHeight w:val="431"/>
        </w:trPr>
        <w:tc>
          <w:tcPr>
            <w:tcW w:w="540" w:type="dxa"/>
            <w:tcBorders>
              <w:top w:val="single" w:sz="4" w:space="0" w:color="000000"/>
              <w:left w:val="single" w:sz="4" w:space="0" w:color="000000"/>
              <w:bottom w:val="single" w:sz="4" w:space="0" w:color="000000"/>
              <w:right w:val="single" w:sz="4" w:space="0" w:color="000000"/>
            </w:tcBorders>
          </w:tcPr>
          <w:p w14:paraId="7594A66F"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L02</w:t>
            </w:r>
          </w:p>
        </w:tc>
        <w:tc>
          <w:tcPr>
            <w:tcW w:w="1650" w:type="dxa"/>
            <w:tcBorders>
              <w:top w:val="single" w:sz="4" w:space="0" w:color="000000"/>
              <w:left w:val="single" w:sz="4" w:space="0" w:color="000000"/>
              <w:bottom w:val="single" w:sz="4" w:space="0" w:color="000000"/>
              <w:right w:val="single" w:sz="4" w:space="0" w:color="000000"/>
            </w:tcBorders>
          </w:tcPr>
          <w:p w14:paraId="62C1EE6D"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Interface d’aide à la décision</w:t>
            </w:r>
          </w:p>
        </w:tc>
        <w:tc>
          <w:tcPr>
            <w:tcW w:w="1100" w:type="dxa"/>
            <w:tcBorders>
              <w:top w:val="single" w:sz="4" w:space="0" w:color="000000"/>
              <w:left w:val="single" w:sz="4" w:space="0" w:color="000000"/>
              <w:bottom w:val="single" w:sz="4" w:space="0" w:color="000000"/>
              <w:right w:val="single" w:sz="4" w:space="0" w:color="000000"/>
            </w:tcBorders>
          </w:tcPr>
          <w:p w14:paraId="44E4C069"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Technique</w:t>
            </w:r>
          </w:p>
        </w:tc>
        <w:tc>
          <w:tcPr>
            <w:tcW w:w="2600" w:type="dxa"/>
            <w:tcBorders>
              <w:top w:val="single" w:sz="4" w:space="0" w:color="000000"/>
              <w:left w:val="single" w:sz="4" w:space="0" w:color="000000"/>
              <w:bottom w:val="single" w:sz="4" w:space="0" w:color="000000"/>
              <w:right w:val="single" w:sz="4" w:space="0" w:color="000000"/>
            </w:tcBorders>
          </w:tcPr>
          <w:p w14:paraId="16B65CCE"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EX-F-04 à EX-F-09 et EX-Q-03 démontrées ; liste de contrôle d’affichage remplie.</w:t>
            </w:r>
          </w:p>
        </w:tc>
        <w:tc>
          <w:tcPr>
            <w:tcW w:w="850" w:type="dxa"/>
            <w:tcBorders>
              <w:top w:val="single" w:sz="4" w:space="0" w:color="000000"/>
              <w:left w:val="single" w:sz="4" w:space="0" w:color="000000"/>
              <w:bottom w:val="single" w:sz="4" w:space="0" w:color="000000"/>
              <w:right w:val="single" w:sz="4" w:space="0" w:color="000000"/>
            </w:tcBorders>
          </w:tcPr>
          <w:p w14:paraId="6D130A73"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J3</w:t>
            </w:r>
          </w:p>
        </w:tc>
        <w:tc>
          <w:tcPr>
            <w:tcW w:w="1817" w:type="dxa"/>
            <w:tcBorders>
              <w:top w:val="single" w:sz="4" w:space="0" w:color="000000"/>
              <w:left w:val="single" w:sz="4" w:space="0" w:color="000000"/>
              <w:bottom w:val="single" w:sz="4" w:space="0" w:color="000000"/>
              <w:right w:val="single" w:sz="4" w:space="0" w:color="000000"/>
            </w:tcBorders>
          </w:tcPr>
          <w:p w14:paraId="0E84BFC9" w14:textId="0E910B17" w:rsidR="00F50D70" w:rsidRPr="00BE4F47" w:rsidRDefault="002F3B50" w:rsidP="008E113B">
            <w:pPr>
              <w:spacing w:before="20" w:after="20"/>
              <w:ind w:left="0"/>
              <w:jc w:val="left"/>
              <w:outlineLvl w:val="9"/>
              <w:rPr>
                <w:rFonts w:ascii="Aptos" w:eastAsia="Calibri" w:hAnsi="Aptos" w:cs="Calibri"/>
                <w:color w:val="1A1A19"/>
                <w:sz w:val="20"/>
                <w:szCs w:val="20"/>
              </w:rPr>
            </w:pPr>
            <w:r>
              <w:rPr>
                <w:rFonts w:ascii="Aptos" w:eastAsia="Calibri" w:hAnsi="Aptos" w:cs="Calibri"/>
                <w:color w:val="1A1A19"/>
                <w:sz w:val="16"/>
                <w:szCs w:val="16"/>
              </w:rPr>
              <w:t>Toute l’équipe</w:t>
            </w:r>
          </w:p>
        </w:tc>
      </w:tr>
      <w:tr w:rsidR="00F50D70" w:rsidRPr="00BE4F47" w14:paraId="61EB66C1" w14:textId="77777777">
        <w:trPr>
          <w:trHeight w:val="431"/>
        </w:trPr>
        <w:tc>
          <w:tcPr>
            <w:tcW w:w="540" w:type="dxa"/>
            <w:tcBorders>
              <w:top w:val="single" w:sz="4" w:space="0" w:color="000000"/>
              <w:left w:val="single" w:sz="4" w:space="0" w:color="000000"/>
              <w:bottom w:val="single" w:sz="4" w:space="0" w:color="000000"/>
              <w:right w:val="single" w:sz="4" w:space="0" w:color="000000"/>
            </w:tcBorders>
          </w:tcPr>
          <w:p w14:paraId="40757403"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L03</w:t>
            </w:r>
          </w:p>
        </w:tc>
        <w:tc>
          <w:tcPr>
            <w:tcW w:w="1650" w:type="dxa"/>
            <w:tcBorders>
              <w:top w:val="single" w:sz="4" w:space="0" w:color="000000"/>
              <w:left w:val="single" w:sz="4" w:space="0" w:color="000000"/>
              <w:bottom w:val="single" w:sz="4" w:space="0" w:color="000000"/>
              <w:right w:val="single" w:sz="4" w:space="0" w:color="000000"/>
            </w:tcBorders>
          </w:tcPr>
          <w:p w14:paraId="74F067C9"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Registre des exigences</w:t>
            </w:r>
          </w:p>
        </w:tc>
        <w:tc>
          <w:tcPr>
            <w:tcW w:w="1100" w:type="dxa"/>
            <w:tcBorders>
              <w:top w:val="single" w:sz="4" w:space="0" w:color="000000"/>
              <w:left w:val="single" w:sz="4" w:space="0" w:color="000000"/>
              <w:bottom w:val="single" w:sz="4" w:space="0" w:color="000000"/>
              <w:right w:val="single" w:sz="4" w:space="0" w:color="000000"/>
            </w:tcBorders>
          </w:tcPr>
          <w:p w14:paraId="45CA7BE9"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Technique</w:t>
            </w:r>
          </w:p>
        </w:tc>
        <w:tc>
          <w:tcPr>
            <w:tcW w:w="2600" w:type="dxa"/>
            <w:tcBorders>
              <w:top w:val="single" w:sz="4" w:space="0" w:color="000000"/>
              <w:left w:val="single" w:sz="4" w:space="0" w:color="000000"/>
              <w:bottom w:val="single" w:sz="4" w:space="0" w:color="000000"/>
              <w:right w:val="single" w:sz="4" w:space="0" w:color="000000"/>
            </w:tcBorders>
          </w:tcPr>
          <w:p w14:paraId="04007716"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Chaque exigence porte un moyen de vérification, un état GEMMA et un lot.</w:t>
            </w:r>
          </w:p>
        </w:tc>
        <w:tc>
          <w:tcPr>
            <w:tcW w:w="850" w:type="dxa"/>
            <w:tcBorders>
              <w:top w:val="single" w:sz="4" w:space="0" w:color="000000"/>
              <w:left w:val="single" w:sz="4" w:space="0" w:color="000000"/>
              <w:bottom w:val="single" w:sz="4" w:space="0" w:color="000000"/>
              <w:right w:val="single" w:sz="4" w:space="0" w:color="000000"/>
            </w:tcBorders>
          </w:tcPr>
          <w:p w14:paraId="20E52783"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J1</w:t>
            </w:r>
          </w:p>
        </w:tc>
        <w:tc>
          <w:tcPr>
            <w:tcW w:w="1817" w:type="dxa"/>
            <w:tcBorders>
              <w:top w:val="single" w:sz="4" w:space="0" w:color="000000"/>
              <w:left w:val="single" w:sz="4" w:space="0" w:color="000000"/>
              <w:bottom w:val="single" w:sz="4" w:space="0" w:color="000000"/>
              <w:right w:val="single" w:sz="4" w:space="0" w:color="000000"/>
            </w:tcBorders>
          </w:tcPr>
          <w:p w14:paraId="12299FFD" w14:textId="1D3F1155" w:rsidR="00F50D70" w:rsidRPr="00BE4F47" w:rsidRDefault="000D4376" w:rsidP="008E113B">
            <w:pPr>
              <w:spacing w:before="20" w:after="20"/>
              <w:ind w:left="0"/>
              <w:jc w:val="left"/>
              <w:outlineLvl w:val="9"/>
              <w:rPr>
                <w:rFonts w:ascii="Aptos" w:eastAsia="Calibri" w:hAnsi="Aptos" w:cs="Calibri"/>
                <w:color w:val="1A1A19"/>
                <w:sz w:val="20"/>
                <w:szCs w:val="20"/>
              </w:rPr>
            </w:pPr>
            <w:r>
              <w:rPr>
                <w:rFonts w:ascii="Aptos" w:eastAsia="Calibri" w:hAnsi="Aptos" w:cs="Calibri"/>
                <w:color w:val="1A1A19"/>
                <w:sz w:val="20"/>
                <w:szCs w:val="20"/>
              </w:rPr>
              <w:t>Ibrahima Diallo</w:t>
            </w:r>
          </w:p>
        </w:tc>
      </w:tr>
      <w:tr w:rsidR="00F50D70" w:rsidRPr="00BE4F47" w14:paraId="00FE5D33" w14:textId="77777777">
        <w:trPr>
          <w:trHeight w:val="440"/>
        </w:trPr>
        <w:tc>
          <w:tcPr>
            <w:tcW w:w="540" w:type="dxa"/>
            <w:tcBorders>
              <w:top w:val="single" w:sz="4" w:space="0" w:color="000000"/>
              <w:left w:val="single" w:sz="4" w:space="0" w:color="000000"/>
              <w:bottom w:val="single" w:sz="4" w:space="0" w:color="000000"/>
              <w:right w:val="single" w:sz="4" w:space="0" w:color="000000"/>
            </w:tcBorders>
          </w:tcPr>
          <w:p w14:paraId="1ED1DCA5"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lastRenderedPageBreak/>
              <w:t>L04</w:t>
            </w:r>
          </w:p>
        </w:tc>
        <w:tc>
          <w:tcPr>
            <w:tcW w:w="1650" w:type="dxa"/>
            <w:tcBorders>
              <w:top w:val="single" w:sz="4" w:space="0" w:color="000000"/>
              <w:left w:val="single" w:sz="4" w:space="0" w:color="000000"/>
              <w:bottom w:val="single" w:sz="4" w:space="0" w:color="000000"/>
              <w:right w:val="single" w:sz="4" w:space="0" w:color="000000"/>
            </w:tcBorders>
          </w:tcPr>
          <w:p w14:paraId="740A7A4F"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GEMMA</w:t>
            </w:r>
          </w:p>
        </w:tc>
        <w:tc>
          <w:tcPr>
            <w:tcW w:w="1100" w:type="dxa"/>
            <w:tcBorders>
              <w:top w:val="single" w:sz="4" w:space="0" w:color="000000"/>
              <w:left w:val="single" w:sz="4" w:space="0" w:color="000000"/>
              <w:bottom w:val="single" w:sz="4" w:space="0" w:color="000000"/>
              <w:right w:val="single" w:sz="4" w:space="0" w:color="000000"/>
            </w:tcBorders>
          </w:tcPr>
          <w:p w14:paraId="510316C5"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Technique</w:t>
            </w:r>
          </w:p>
        </w:tc>
        <w:tc>
          <w:tcPr>
            <w:tcW w:w="2600" w:type="dxa"/>
            <w:tcBorders>
              <w:top w:val="single" w:sz="4" w:space="0" w:color="000000"/>
              <w:left w:val="single" w:sz="4" w:space="0" w:color="000000"/>
              <w:bottom w:val="single" w:sz="4" w:space="0" w:color="000000"/>
              <w:right w:val="single" w:sz="4" w:space="0" w:color="000000"/>
            </w:tcBorders>
          </w:tcPr>
          <w:p w14:paraId="7E8D56F5"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Cohérence vérifiée : aucun état sans sortie, aucune transition sans condition.</w:t>
            </w:r>
          </w:p>
        </w:tc>
        <w:tc>
          <w:tcPr>
            <w:tcW w:w="850" w:type="dxa"/>
            <w:tcBorders>
              <w:top w:val="single" w:sz="4" w:space="0" w:color="000000"/>
              <w:left w:val="single" w:sz="4" w:space="0" w:color="000000"/>
              <w:bottom w:val="single" w:sz="4" w:space="0" w:color="000000"/>
              <w:right w:val="single" w:sz="4" w:space="0" w:color="000000"/>
            </w:tcBorders>
          </w:tcPr>
          <w:p w14:paraId="0F4DFB94"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J1</w:t>
            </w:r>
          </w:p>
        </w:tc>
        <w:tc>
          <w:tcPr>
            <w:tcW w:w="1817" w:type="dxa"/>
            <w:tcBorders>
              <w:top w:val="single" w:sz="4" w:space="0" w:color="000000"/>
              <w:left w:val="single" w:sz="4" w:space="0" w:color="000000"/>
              <w:bottom w:val="single" w:sz="4" w:space="0" w:color="000000"/>
              <w:right w:val="single" w:sz="4" w:space="0" w:color="000000"/>
            </w:tcBorders>
          </w:tcPr>
          <w:p w14:paraId="3DB918EF" w14:textId="442F6E4C" w:rsidR="00F50D70" w:rsidRPr="00BE4F47" w:rsidRDefault="000D4376"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20"/>
                <w:szCs w:val="20"/>
              </w:rPr>
              <w:t>Aboubacar Sidiki Yansané</w:t>
            </w:r>
          </w:p>
        </w:tc>
      </w:tr>
      <w:tr w:rsidR="00F50D70" w:rsidRPr="00BE4F47" w14:paraId="7B2FA450" w14:textId="77777777">
        <w:trPr>
          <w:trHeight w:val="431"/>
        </w:trPr>
        <w:tc>
          <w:tcPr>
            <w:tcW w:w="540" w:type="dxa"/>
            <w:tcBorders>
              <w:top w:val="single" w:sz="4" w:space="0" w:color="000000"/>
              <w:left w:val="single" w:sz="4" w:space="0" w:color="000000"/>
              <w:bottom w:val="single" w:sz="4" w:space="0" w:color="000000"/>
              <w:right w:val="single" w:sz="4" w:space="0" w:color="000000"/>
            </w:tcBorders>
          </w:tcPr>
          <w:p w14:paraId="394A0EDF"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L05</w:t>
            </w:r>
          </w:p>
        </w:tc>
        <w:tc>
          <w:tcPr>
            <w:tcW w:w="1650" w:type="dxa"/>
            <w:tcBorders>
              <w:top w:val="single" w:sz="4" w:space="0" w:color="000000"/>
              <w:left w:val="single" w:sz="4" w:space="0" w:color="000000"/>
              <w:bottom w:val="single" w:sz="4" w:space="0" w:color="000000"/>
              <w:right w:val="single" w:sz="4" w:space="0" w:color="000000"/>
            </w:tcBorders>
          </w:tcPr>
          <w:p w14:paraId="69295455"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Plan de vérification et de validation</w:t>
            </w:r>
          </w:p>
        </w:tc>
        <w:tc>
          <w:tcPr>
            <w:tcW w:w="1100" w:type="dxa"/>
            <w:tcBorders>
              <w:top w:val="single" w:sz="4" w:space="0" w:color="000000"/>
              <w:left w:val="single" w:sz="4" w:space="0" w:color="000000"/>
              <w:bottom w:val="single" w:sz="4" w:space="0" w:color="000000"/>
              <w:right w:val="single" w:sz="4" w:space="0" w:color="000000"/>
            </w:tcBorders>
          </w:tcPr>
          <w:p w14:paraId="71952594"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Technique</w:t>
            </w:r>
          </w:p>
        </w:tc>
        <w:tc>
          <w:tcPr>
            <w:tcW w:w="2600" w:type="dxa"/>
            <w:tcBorders>
              <w:top w:val="single" w:sz="4" w:space="0" w:color="000000"/>
              <w:left w:val="single" w:sz="4" w:space="0" w:color="000000"/>
              <w:bottom w:val="single" w:sz="4" w:space="0" w:color="000000"/>
              <w:right w:val="single" w:sz="4" w:space="0" w:color="000000"/>
            </w:tcBorders>
          </w:tcPr>
          <w:p w14:paraId="01CFA3C4"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Contenu conforme à celui exigé par IEEE 1012 ; degré d’indépendance précisé ; architecture retenue et modèle de référence décrits.</w:t>
            </w:r>
          </w:p>
        </w:tc>
        <w:tc>
          <w:tcPr>
            <w:tcW w:w="850" w:type="dxa"/>
            <w:tcBorders>
              <w:top w:val="single" w:sz="4" w:space="0" w:color="000000"/>
              <w:left w:val="single" w:sz="4" w:space="0" w:color="000000"/>
              <w:bottom w:val="single" w:sz="4" w:space="0" w:color="000000"/>
              <w:right w:val="single" w:sz="4" w:space="0" w:color="000000"/>
            </w:tcBorders>
          </w:tcPr>
          <w:p w14:paraId="15CA5991"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J2</w:t>
            </w:r>
          </w:p>
        </w:tc>
        <w:tc>
          <w:tcPr>
            <w:tcW w:w="1817" w:type="dxa"/>
            <w:tcBorders>
              <w:top w:val="single" w:sz="4" w:space="0" w:color="000000"/>
              <w:left w:val="single" w:sz="4" w:space="0" w:color="000000"/>
              <w:bottom w:val="single" w:sz="4" w:space="0" w:color="000000"/>
              <w:right w:val="single" w:sz="4" w:space="0" w:color="000000"/>
            </w:tcBorders>
          </w:tcPr>
          <w:p w14:paraId="0EDACE79" w14:textId="547D64B1" w:rsidR="00F50D70" w:rsidRPr="00BE4F47" w:rsidRDefault="000D4376" w:rsidP="008E113B">
            <w:pPr>
              <w:spacing w:before="20" w:after="20"/>
              <w:ind w:left="0"/>
              <w:jc w:val="left"/>
              <w:outlineLvl w:val="9"/>
              <w:rPr>
                <w:rFonts w:ascii="Aptos" w:eastAsia="Calibri" w:hAnsi="Aptos" w:cs="Calibri"/>
                <w:color w:val="1A1A19"/>
                <w:sz w:val="20"/>
                <w:szCs w:val="20"/>
              </w:rPr>
            </w:pPr>
            <w:r>
              <w:rPr>
                <w:rFonts w:ascii="Aptos" w:eastAsia="Calibri" w:hAnsi="Aptos" w:cs="Calibri"/>
                <w:color w:val="1A1A19"/>
                <w:sz w:val="20"/>
                <w:szCs w:val="20"/>
              </w:rPr>
              <w:t xml:space="preserve"> Toute l’équipe</w:t>
            </w:r>
          </w:p>
        </w:tc>
      </w:tr>
      <w:tr w:rsidR="00F50D70" w:rsidRPr="00BE4F47" w14:paraId="1D766D18" w14:textId="77777777">
        <w:trPr>
          <w:trHeight w:val="431"/>
        </w:trPr>
        <w:tc>
          <w:tcPr>
            <w:tcW w:w="540" w:type="dxa"/>
            <w:tcBorders>
              <w:top w:val="single" w:sz="4" w:space="0" w:color="000000"/>
              <w:left w:val="single" w:sz="4" w:space="0" w:color="000000"/>
              <w:bottom w:val="single" w:sz="4" w:space="0" w:color="000000"/>
              <w:right w:val="single" w:sz="4" w:space="0" w:color="000000"/>
            </w:tcBorders>
          </w:tcPr>
          <w:p w14:paraId="6DBF7F48"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L06</w:t>
            </w:r>
          </w:p>
        </w:tc>
        <w:tc>
          <w:tcPr>
            <w:tcW w:w="1650" w:type="dxa"/>
            <w:tcBorders>
              <w:top w:val="single" w:sz="4" w:space="0" w:color="000000"/>
              <w:left w:val="single" w:sz="4" w:space="0" w:color="000000"/>
              <w:bottom w:val="single" w:sz="4" w:space="0" w:color="000000"/>
              <w:right w:val="single" w:sz="4" w:space="0" w:color="000000"/>
            </w:tcBorders>
          </w:tcPr>
          <w:p w14:paraId="6682CE7C"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Campagne d’essais et résultats</w:t>
            </w:r>
          </w:p>
        </w:tc>
        <w:tc>
          <w:tcPr>
            <w:tcW w:w="1100" w:type="dxa"/>
            <w:tcBorders>
              <w:top w:val="single" w:sz="4" w:space="0" w:color="000000"/>
              <w:left w:val="single" w:sz="4" w:space="0" w:color="000000"/>
              <w:bottom w:val="single" w:sz="4" w:space="0" w:color="000000"/>
              <w:right w:val="single" w:sz="4" w:space="0" w:color="000000"/>
            </w:tcBorders>
          </w:tcPr>
          <w:p w14:paraId="43386973"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Technique</w:t>
            </w:r>
          </w:p>
        </w:tc>
        <w:tc>
          <w:tcPr>
            <w:tcW w:w="2600" w:type="dxa"/>
            <w:tcBorders>
              <w:top w:val="single" w:sz="4" w:space="0" w:color="000000"/>
              <w:left w:val="single" w:sz="4" w:space="0" w:color="000000"/>
              <w:bottom w:val="single" w:sz="4" w:space="0" w:color="000000"/>
              <w:right w:val="single" w:sz="4" w:space="0" w:color="000000"/>
            </w:tcBorders>
          </w:tcPr>
          <w:p w14:paraId="66324B06"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Un résultat consigné pour chaque exigence vérifiable du registre, avec la conclusion de validation associée.</w:t>
            </w:r>
          </w:p>
        </w:tc>
        <w:tc>
          <w:tcPr>
            <w:tcW w:w="850" w:type="dxa"/>
            <w:tcBorders>
              <w:top w:val="single" w:sz="4" w:space="0" w:color="000000"/>
              <w:left w:val="single" w:sz="4" w:space="0" w:color="000000"/>
              <w:bottom w:val="single" w:sz="4" w:space="0" w:color="000000"/>
              <w:right w:val="single" w:sz="4" w:space="0" w:color="000000"/>
            </w:tcBorders>
          </w:tcPr>
          <w:p w14:paraId="327514C0"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J4</w:t>
            </w:r>
          </w:p>
        </w:tc>
        <w:tc>
          <w:tcPr>
            <w:tcW w:w="1817" w:type="dxa"/>
            <w:tcBorders>
              <w:top w:val="single" w:sz="4" w:space="0" w:color="000000"/>
              <w:left w:val="single" w:sz="4" w:space="0" w:color="000000"/>
              <w:bottom w:val="single" w:sz="4" w:space="0" w:color="000000"/>
              <w:right w:val="single" w:sz="4" w:space="0" w:color="000000"/>
            </w:tcBorders>
          </w:tcPr>
          <w:p w14:paraId="50A9CEFC" w14:textId="6C1DFCBD" w:rsidR="00F50D70" w:rsidRPr="00BE4F47" w:rsidRDefault="000D4376" w:rsidP="008E113B">
            <w:pPr>
              <w:spacing w:before="20" w:after="20"/>
              <w:ind w:left="0"/>
              <w:jc w:val="left"/>
              <w:outlineLvl w:val="9"/>
              <w:rPr>
                <w:rFonts w:ascii="Aptos" w:eastAsia="Calibri" w:hAnsi="Aptos" w:cs="Calibri"/>
                <w:color w:val="1A1A19"/>
                <w:sz w:val="20"/>
                <w:szCs w:val="20"/>
              </w:rPr>
            </w:pPr>
            <w:r>
              <w:rPr>
                <w:rFonts w:ascii="Aptos" w:eastAsia="Calibri" w:hAnsi="Aptos" w:cs="Calibri"/>
                <w:color w:val="1A1A19"/>
                <w:sz w:val="20"/>
                <w:szCs w:val="20"/>
              </w:rPr>
              <w:t>Toute l’équipe</w:t>
            </w:r>
          </w:p>
        </w:tc>
      </w:tr>
      <w:tr w:rsidR="00F50D70" w:rsidRPr="00BE4F47" w14:paraId="3D9E7410" w14:textId="77777777">
        <w:trPr>
          <w:trHeight w:val="808"/>
        </w:trPr>
        <w:tc>
          <w:tcPr>
            <w:tcW w:w="540" w:type="dxa"/>
            <w:tcBorders>
              <w:top w:val="single" w:sz="4" w:space="0" w:color="000000"/>
              <w:left w:val="single" w:sz="4" w:space="0" w:color="000000"/>
              <w:bottom w:val="single" w:sz="4" w:space="0" w:color="000000"/>
              <w:right w:val="single" w:sz="4" w:space="0" w:color="000000"/>
            </w:tcBorders>
          </w:tcPr>
          <w:p w14:paraId="6343F980"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L07</w:t>
            </w:r>
          </w:p>
        </w:tc>
        <w:tc>
          <w:tcPr>
            <w:tcW w:w="1650" w:type="dxa"/>
            <w:tcBorders>
              <w:top w:val="single" w:sz="4" w:space="0" w:color="000000"/>
              <w:left w:val="single" w:sz="4" w:space="0" w:color="000000"/>
              <w:bottom w:val="single" w:sz="4" w:space="0" w:color="000000"/>
              <w:right w:val="single" w:sz="4" w:space="0" w:color="000000"/>
            </w:tcBorders>
          </w:tcPr>
          <w:p w14:paraId="41C77DCA"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Plan de projet et documents de suivi</w:t>
            </w:r>
          </w:p>
        </w:tc>
        <w:tc>
          <w:tcPr>
            <w:tcW w:w="1100" w:type="dxa"/>
            <w:tcBorders>
              <w:top w:val="single" w:sz="4" w:space="0" w:color="000000"/>
              <w:left w:val="single" w:sz="4" w:space="0" w:color="000000"/>
              <w:bottom w:val="single" w:sz="4" w:space="0" w:color="000000"/>
              <w:right w:val="single" w:sz="4" w:space="0" w:color="000000"/>
            </w:tcBorders>
          </w:tcPr>
          <w:p w14:paraId="1D318381"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Gestion</w:t>
            </w:r>
          </w:p>
        </w:tc>
        <w:tc>
          <w:tcPr>
            <w:tcW w:w="2600" w:type="dxa"/>
            <w:tcBorders>
              <w:top w:val="single" w:sz="4" w:space="0" w:color="000000"/>
              <w:left w:val="single" w:sz="4" w:space="0" w:color="000000"/>
              <w:bottom w:val="single" w:sz="4" w:space="0" w:color="000000"/>
              <w:right w:val="single" w:sz="4" w:space="0" w:color="000000"/>
            </w:tcBorders>
          </w:tcPr>
          <w:p w14:paraId="0F8EAC88"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Sections complétées, fusionnées et références consolidées ; structure de découpage du projet incluse.</w:t>
            </w:r>
          </w:p>
        </w:tc>
        <w:tc>
          <w:tcPr>
            <w:tcW w:w="850" w:type="dxa"/>
            <w:tcBorders>
              <w:top w:val="single" w:sz="4" w:space="0" w:color="000000"/>
              <w:left w:val="single" w:sz="4" w:space="0" w:color="000000"/>
              <w:bottom w:val="single" w:sz="4" w:space="0" w:color="000000"/>
              <w:right w:val="single" w:sz="4" w:space="0" w:color="000000"/>
            </w:tcBorders>
          </w:tcPr>
          <w:p w14:paraId="6F7D8783"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J0, puis à chaque jalon</w:t>
            </w:r>
          </w:p>
        </w:tc>
        <w:tc>
          <w:tcPr>
            <w:tcW w:w="1817" w:type="dxa"/>
            <w:tcBorders>
              <w:top w:val="single" w:sz="4" w:space="0" w:color="000000"/>
              <w:left w:val="single" w:sz="4" w:space="0" w:color="000000"/>
              <w:bottom w:val="single" w:sz="4" w:space="0" w:color="000000"/>
              <w:right w:val="single" w:sz="4" w:space="0" w:color="000000"/>
            </w:tcBorders>
          </w:tcPr>
          <w:p w14:paraId="3DC4AFF1" w14:textId="77777777" w:rsidR="00F50D70" w:rsidRPr="00BE4F47" w:rsidRDefault="005E5B35" w:rsidP="008E113B">
            <w:pPr>
              <w:spacing w:before="20" w:after="20"/>
              <w:ind w:left="0"/>
              <w:jc w:val="left"/>
              <w:outlineLvl w:val="9"/>
              <w:rPr>
                <w:rFonts w:ascii="Aptos" w:eastAsia="Calibri" w:hAnsi="Aptos" w:cs="Calibri"/>
                <w:color w:val="1A1A19"/>
                <w:sz w:val="20"/>
                <w:szCs w:val="20"/>
              </w:rPr>
            </w:pPr>
            <w:r>
              <w:rPr>
                <w:rFonts w:ascii="Aptos" w:eastAsia="Calibri" w:hAnsi="Aptos" w:cs="Calibri"/>
                <w:color w:val="1A1A19"/>
                <w:sz w:val="16"/>
                <w:szCs w:val="16"/>
              </w:rPr>
              <w:t>Christian et toute l’équipe</w:t>
            </w:r>
          </w:p>
        </w:tc>
      </w:tr>
      <w:tr w:rsidR="00F50D70" w:rsidRPr="00BE4F47" w14:paraId="1EEB46C7" w14:textId="77777777">
        <w:trPr>
          <w:trHeight w:val="431"/>
        </w:trPr>
        <w:tc>
          <w:tcPr>
            <w:tcW w:w="540" w:type="dxa"/>
            <w:tcBorders>
              <w:top w:val="single" w:sz="4" w:space="0" w:color="000000"/>
              <w:left w:val="single" w:sz="4" w:space="0" w:color="000000"/>
              <w:bottom w:val="single" w:sz="4" w:space="0" w:color="000000"/>
              <w:right w:val="single" w:sz="4" w:space="0" w:color="000000"/>
            </w:tcBorders>
          </w:tcPr>
          <w:p w14:paraId="02D7568B"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L08</w:t>
            </w:r>
          </w:p>
        </w:tc>
        <w:tc>
          <w:tcPr>
            <w:tcW w:w="1650" w:type="dxa"/>
            <w:tcBorders>
              <w:top w:val="single" w:sz="4" w:space="0" w:color="000000"/>
              <w:left w:val="single" w:sz="4" w:space="0" w:color="000000"/>
              <w:bottom w:val="single" w:sz="4" w:space="0" w:color="000000"/>
              <w:right w:val="single" w:sz="4" w:space="0" w:color="000000"/>
            </w:tcBorders>
          </w:tcPr>
          <w:p w14:paraId="1A1FC5F9"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Rapport final et recommandation d’ingénierie</w:t>
            </w:r>
          </w:p>
        </w:tc>
        <w:tc>
          <w:tcPr>
            <w:tcW w:w="1100" w:type="dxa"/>
            <w:tcBorders>
              <w:top w:val="single" w:sz="4" w:space="0" w:color="000000"/>
              <w:left w:val="single" w:sz="4" w:space="0" w:color="000000"/>
              <w:bottom w:val="single" w:sz="4" w:space="0" w:color="000000"/>
              <w:right w:val="single" w:sz="4" w:space="0" w:color="000000"/>
            </w:tcBorders>
          </w:tcPr>
          <w:p w14:paraId="4FFAB321"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Gestion</w:t>
            </w:r>
          </w:p>
        </w:tc>
        <w:tc>
          <w:tcPr>
            <w:tcW w:w="2600" w:type="dxa"/>
            <w:tcBorders>
              <w:top w:val="single" w:sz="4" w:space="0" w:color="000000"/>
              <w:left w:val="single" w:sz="4" w:space="0" w:color="000000"/>
              <w:bottom w:val="single" w:sz="4" w:space="0" w:color="000000"/>
              <w:right w:val="single" w:sz="4" w:space="0" w:color="000000"/>
            </w:tcBorders>
          </w:tcPr>
          <w:p w14:paraId="5FB6E961"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Limites documentées (EX-C-01) et enjeux traités (EX-C-03).</w:t>
            </w:r>
          </w:p>
        </w:tc>
        <w:tc>
          <w:tcPr>
            <w:tcW w:w="850" w:type="dxa"/>
            <w:tcBorders>
              <w:top w:val="single" w:sz="4" w:space="0" w:color="000000"/>
              <w:left w:val="single" w:sz="4" w:space="0" w:color="000000"/>
              <w:bottom w:val="single" w:sz="4" w:space="0" w:color="000000"/>
              <w:right w:val="single" w:sz="4" w:space="0" w:color="000000"/>
            </w:tcBorders>
          </w:tcPr>
          <w:p w14:paraId="072419C4"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J5</w:t>
            </w:r>
          </w:p>
        </w:tc>
        <w:tc>
          <w:tcPr>
            <w:tcW w:w="1817" w:type="dxa"/>
            <w:tcBorders>
              <w:top w:val="single" w:sz="4" w:space="0" w:color="000000"/>
              <w:left w:val="single" w:sz="4" w:space="0" w:color="000000"/>
              <w:bottom w:val="single" w:sz="4" w:space="0" w:color="000000"/>
              <w:right w:val="single" w:sz="4" w:space="0" w:color="000000"/>
            </w:tcBorders>
          </w:tcPr>
          <w:p w14:paraId="0EFD1A6B" w14:textId="4EFF765D" w:rsidR="00F50D70" w:rsidRPr="00BE4F47" w:rsidRDefault="000D4376" w:rsidP="008E113B">
            <w:pPr>
              <w:spacing w:before="20" w:after="20"/>
              <w:ind w:left="0"/>
              <w:jc w:val="left"/>
              <w:outlineLvl w:val="9"/>
              <w:rPr>
                <w:rFonts w:ascii="Aptos" w:eastAsia="Calibri" w:hAnsi="Aptos" w:cs="Calibri"/>
                <w:color w:val="1A1A19"/>
                <w:sz w:val="20"/>
                <w:szCs w:val="20"/>
              </w:rPr>
            </w:pPr>
            <w:r>
              <w:rPr>
                <w:rFonts w:ascii="Aptos" w:eastAsia="Calibri" w:hAnsi="Aptos" w:cs="Calibri"/>
                <w:color w:val="1A1A19"/>
                <w:sz w:val="20"/>
                <w:szCs w:val="20"/>
              </w:rPr>
              <w:t>Toute l’équipe</w:t>
            </w:r>
          </w:p>
        </w:tc>
      </w:tr>
      <w:tr w:rsidR="00F50D70" w:rsidRPr="00BE4F47" w14:paraId="0097471F" w14:textId="77777777">
        <w:trPr>
          <w:trHeight w:val="431"/>
        </w:trPr>
        <w:tc>
          <w:tcPr>
            <w:tcW w:w="540" w:type="dxa"/>
            <w:tcBorders>
              <w:top w:val="single" w:sz="4" w:space="0" w:color="000000"/>
              <w:left w:val="single" w:sz="4" w:space="0" w:color="000000"/>
              <w:bottom w:val="single" w:sz="4" w:space="0" w:color="000000"/>
              <w:right w:val="single" w:sz="4" w:space="0" w:color="000000"/>
            </w:tcBorders>
          </w:tcPr>
          <w:p w14:paraId="4306F3D8"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L09</w:t>
            </w:r>
          </w:p>
        </w:tc>
        <w:tc>
          <w:tcPr>
            <w:tcW w:w="1650" w:type="dxa"/>
            <w:tcBorders>
              <w:top w:val="single" w:sz="4" w:space="0" w:color="000000"/>
              <w:left w:val="single" w:sz="4" w:space="0" w:color="000000"/>
              <w:bottom w:val="single" w:sz="4" w:space="0" w:color="000000"/>
              <w:right w:val="single" w:sz="4" w:space="0" w:color="000000"/>
            </w:tcBorders>
          </w:tcPr>
          <w:p w14:paraId="7CC57E1B"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Présentation orale</w:t>
            </w:r>
          </w:p>
        </w:tc>
        <w:tc>
          <w:tcPr>
            <w:tcW w:w="1100" w:type="dxa"/>
            <w:tcBorders>
              <w:top w:val="single" w:sz="4" w:space="0" w:color="000000"/>
              <w:left w:val="single" w:sz="4" w:space="0" w:color="000000"/>
              <w:bottom w:val="single" w:sz="4" w:space="0" w:color="000000"/>
              <w:right w:val="single" w:sz="4" w:space="0" w:color="000000"/>
            </w:tcBorders>
          </w:tcPr>
          <w:p w14:paraId="3F83CD71"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Gestion</w:t>
            </w:r>
          </w:p>
        </w:tc>
        <w:tc>
          <w:tcPr>
            <w:tcW w:w="2600" w:type="dxa"/>
            <w:tcBorders>
              <w:top w:val="single" w:sz="4" w:space="0" w:color="000000"/>
              <w:left w:val="single" w:sz="4" w:space="0" w:color="000000"/>
              <w:bottom w:val="single" w:sz="4" w:space="0" w:color="000000"/>
              <w:right w:val="single" w:sz="4" w:space="0" w:color="000000"/>
            </w:tcBorders>
          </w:tcPr>
          <w:p w14:paraId="3E6D36CD"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Présentation répétée au moins une fois devant l’équipe complète.</w:t>
            </w:r>
          </w:p>
        </w:tc>
        <w:tc>
          <w:tcPr>
            <w:tcW w:w="850" w:type="dxa"/>
            <w:tcBorders>
              <w:top w:val="single" w:sz="4" w:space="0" w:color="000000"/>
              <w:left w:val="single" w:sz="4" w:space="0" w:color="000000"/>
              <w:bottom w:val="single" w:sz="4" w:space="0" w:color="000000"/>
              <w:right w:val="single" w:sz="4" w:space="0" w:color="000000"/>
            </w:tcBorders>
          </w:tcPr>
          <w:p w14:paraId="7EDC2CA3"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J5</w:t>
            </w:r>
          </w:p>
        </w:tc>
        <w:tc>
          <w:tcPr>
            <w:tcW w:w="1817" w:type="dxa"/>
            <w:tcBorders>
              <w:top w:val="single" w:sz="4" w:space="0" w:color="000000"/>
              <w:left w:val="single" w:sz="4" w:space="0" w:color="000000"/>
              <w:bottom w:val="single" w:sz="4" w:space="0" w:color="000000"/>
              <w:right w:val="single" w:sz="4" w:space="0" w:color="000000"/>
            </w:tcBorders>
          </w:tcPr>
          <w:p w14:paraId="5FA96512" w14:textId="6B302D82" w:rsidR="00F50D70" w:rsidRPr="00BE4F47" w:rsidRDefault="000D4376" w:rsidP="008E113B">
            <w:pPr>
              <w:spacing w:before="20" w:after="20"/>
              <w:ind w:left="0"/>
              <w:jc w:val="left"/>
              <w:outlineLvl w:val="9"/>
              <w:rPr>
                <w:rFonts w:ascii="Aptos" w:eastAsia="Calibri" w:hAnsi="Aptos" w:cs="Calibri"/>
                <w:color w:val="1A1A19"/>
                <w:sz w:val="20"/>
                <w:szCs w:val="20"/>
              </w:rPr>
            </w:pPr>
            <w:r>
              <w:rPr>
                <w:rFonts w:ascii="Aptos" w:eastAsia="Calibri" w:hAnsi="Aptos" w:cs="Calibri"/>
                <w:color w:val="1A1A19"/>
                <w:sz w:val="20"/>
                <w:szCs w:val="20"/>
              </w:rPr>
              <w:t>Toute l’équipe</w:t>
            </w:r>
          </w:p>
        </w:tc>
      </w:tr>
    </w:tbl>
    <w:p w14:paraId="250520D3" w14:textId="77777777" w:rsidR="00F50D70" w:rsidRPr="00BE4F47" w:rsidRDefault="00137D7F" w:rsidP="008E113B">
      <w:pPr>
        <w:pStyle w:val="Titre2"/>
        <w:spacing w:line="360" w:lineRule="auto"/>
      </w:pPr>
      <w:bookmarkStart w:id="295" w:name="_Toc241707758"/>
      <w:bookmarkStart w:id="296" w:name="_Toc241791707"/>
      <w:r w:rsidRPr="00BE4F47">
        <w:t>Domaine de validité et exclusions</w:t>
      </w:r>
      <w:bookmarkEnd w:id="295"/>
      <w:bookmarkEnd w:id="296"/>
    </w:p>
    <w:p w14:paraId="50C8FC51" w14:textId="77777777" w:rsidR="00F50D70" w:rsidRPr="00BE4F47" w:rsidRDefault="00137D7F" w:rsidP="008E113B">
      <w:pPr>
        <w:spacing w:before="200" w:after="130" w:line="360" w:lineRule="auto"/>
        <w:ind w:left="360"/>
        <w:rPr>
          <w:rFonts w:ascii="Aptos" w:hAnsi="Aptos"/>
        </w:rPr>
      </w:pPr>
      <w:bookmarkStart w:id="297" w:name="_Toc241082855"/>
      <w:bookmarkStart w:id="298" w:name="_Toc241670051"/>
      <w:bookmarkStart w:id="299" w:name="_Toc241707759"/>
      <w:bookmarkStart w:id="300" w:name="_Toc241791708"/>
      <w:r w:rsidRPr="00BE4F47">
        <w:rPr>
          <w:rFonts w:ascii="Aptos" w:hAnsi="Aptos"/>
          <w:color w:val="1A1A19"/>
          <w:sz w:val="20"/>
          <w:szCs w:val="20"/>
        </w:rPr>
        <w:t>Le tableau 2-2 précise dans quelles conditions les livrables sont valides. Hors de ce domaine, les résultats du prototype ne doivent pas être employés.</w:t>
      </w:r>
      <w:bookmarkEnd w:id="297"/>
      <w:bookmarkEnd w:id="298"/>
      <w:bookmarkEnd w:id="299"/>
      <w:bookmarkEnd w:id="300"/>
    </w:p>
    <w:p w14:paraId="49849C12" w14:textId="77777777" w:rsidR="00F50D70" w:rsidRPr="00BE4F47" w:rsidRDefault="00137D7F" w:rsidP="008E113B">
      <w:pPr>
        <w:pStyle w:val="Lgende"/>
        <w:keepNext/>
        <w:spacing w:line="360" w:lineRule="auto"/>
        <w:rPr>
          <w:rFonts w:ascii="Aptos" w:hAnsi="Aptos"/>
        </w:rPr>
      </w:pPr>
      <w:bookmarkStart w:id="301" w:name="_Toc241082856"/>
      <w:bookmarkStart w:id="302" w:name="_Toc241670052"/>
      <w:bookmarkStart w:id="303" w:name="_Toc241707760"/>
      <w:bookmarkStart w:id="304" w:name="_Toc241791709"/>
      <w:r w:rsidRPr="00BE4F47">
        <w:rPr>
          <w:rFonts w:ascii="Aptos" w:hAnsi="Aptos"/>
        </w:rPr>
        <w:t>Tableau 2-2. Domaine de validité des livrables</w:t>
      </w:r>
      <w:bookmarkEnd w:id="301"/>
      <w:bookmarkEnd w:id="302"/>
      <w:bookmarkEnd w:id="303"/>
      <w:bookmarkEnd w:id="304"/>
    </w:p>
    <w:tbl>
      <w:tblPr>
        <w:tblW w:w="8557" w:type="dxa"/>
        <w:tblInd w:w="413" w:type="dxa"/>
        <w:tblLayout w:type="fixed"/>
        <w:tblCellMar>
          <w:top w:w="60" w:type="dxa"/>
          <w:left w:w="90" w:type="dxa"/>
          <w:bottom w:w="60" w:type="dxa"/>
          <w:right w:w="90" w:type="dxa"/>
        </w:tblCellMar>
        <w:tblLook w:val="04A0" w:firstRow="1" w:lastRow="0" w:firstColumn="1" w:lastColumn="0" w:noHBand="0" w:noVBand="1"/>
      </w:tblPr>
      <w:tblGrid>
        <w:gridCol w:w="1700"/>
        <w:gridCol w:w="4200"/>
        <w:gridCol w:w="2657"/>
      </w:tblGrid>
      <w:tr w:rsidR="00F50D70" w:rsidRPr="00BE4F47" w14:paraId="22F5E4D5" w14:textId="77777777" w:rsidTr="0036725C">
        <w:trPr>
          <w:trHeight w:val="227"/>
          <w:tblHeader/>
        </w:trPr>
        <w:tc>
          <w:tcPr>
            <w:tcW w:w="170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7F6446E9"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Dimension</w:t>
            </w:r>
          </w:p>
        </w:tc>
        <w:tc>
          <w:tcPr>
            <w:tcW w:w="420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450159D2"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Domaine dans lequel les livrables sont valides</w:t>
            </w:r>
          </w:p>
        </w:tc>
        <w:tc>
          <w:tcPr>
            <w:tcW w:w="2657"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5FDFACD2"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Hors domaine</w:t>
            </w:r>
          </w:p>
        </w:tc>
      </w:tr>
      <w:tr w:rsidR="00F50D70" w:rsidRPr="00BE4F47" w14:paraId="55EFC772" w14:textId="77777777">
        <w:trPr>
          <w:cantSplit/>
          <w:trHeight w:val="415"/>
        </w:trPr>
        <w:tc>
          <w:tcPr>
            <w:tcW w:w="1700" w:type="dxa"/>
            <w:tcBorders>
              <w:top w:val="single" w:sz="4" w:space="0" w:color="000000"/>
              <w:left w:val="single" w:sz="4" w:space="0" w:color="000000"/>
              <w:bottom w:val="single" w:sz="4" w:space="0" w:color="000000"/>
              <w:right w:val="single" w:sz="4" w:space="0" w:color="000000"/>
            </w:tcBorders>
          </w:tcPr>
          <w:p w14:paraId="4E589279"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Système représenté</w:t>
            </w:r>
          </w:p>
        </w:tc>
        <w:tc>
          <w:tcPr>
            <w:tcW w:w="4200" w:type="dxa"/>
            <w:tcBorders>
              <w:top w:val="single" w:sz="4" w:space="0" w:color="000000"/>
              <w:left w:val="single" w:sz="4" w:space="0" w:color="000000"/>
              <w:bottom w:val="single" w:sz="4" w:space="0" w:color="000000"/>
              <w:right w:val="single" w:sz="4" w:space="0" w:color="000000"/>
            </w:tcBorders>
          </w:tcPr>
          <w:p w14:paraId="36F816A8"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Boucle thermohydraulique simplifiée, en circuit fermé, monophasique, inspirée d’un système de refroidissement.</w:t>
            </w:r>
          </w:p>
        </w:tc>
        <w:tc>
          <w:tcPr>
            <w:tcW w:w="2657" w:type="dxa"/>
            <w:tcBorders>
              <w:top w:val="single" w:sz="4" w:space="0" w:color="000000"/>
              <w:left w:val="single" w:sz="4" w:space="0" w:color="000000"/>
              <w:bottom w:val="single" w:sz="4" w:space="0" w:color="000000"/>
              <w:right w:val="single" w:sz="4" w:space="0" w:color="000000"/>
            </w:tcBorders>
          </w:tcPr>
          <w:p w14:paraId="6689F7AE"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Écoulement diphasique, circuit ouvert, géométrie complète d’une centrale.</w:t>
            </w:r>
          </w:p>
        </w:tc>
      </w:tr>
      <w:tr w:rsidR="00F50D70" w:rsidRPr="00BE4F47" w14:paraId="4EFA3BEB" w14:textId="77777777">
        <w:trPr>
          <w:cantSplit/>
          <w:trHeight w:val="415"/>
        </w:trPr>
        <w:tc>
          <w:tcPr>
            <w:tcW w:w="1700" w:type="dxa"/>
            <w:tcBorders>
              <w:top w:val="single" w:sz="4" w:space="0" w:color="000000"/>
              <w:left w:val="single" w:sz="4" w:space="0" w:color="000000"/>
              <w:bottom w:val="single" w:sz="4" w:space="0" w:color="000000"/>
              <w:right w:val="single" w:sz="4" w:space="0" w:color="000000"/>
            </w:tcBorders>
          </w:tcPr>
          <w:p w14:paraId="6AC33634"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Modélisation</w:t>
            </w:r>
          </w:p>
        </w:tc>
        <w:tc>
          <w:tcPr>
            <w:tcW w:w="4200" w:type="dxa"/>
            <w:tcBorders>
              <w:top w:val="single" w:sz="4" w:space="0" w:color="000000"/>
              <w:left w:val="single" w:sz="4" w:space="0" w:color="000000"/>
              <w:bottom w:val="single" w:sz="4" w:space="0" w:color="000000"/>
              <w:right w:val="single" w:sz="4" w:space="0" w:color="000000"/>
            </w:tcBorders>
          </w:tcPr>
          <w:p w14:paraId="5E036844"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Approche 0D et 1D à paramètres concentrés.</w:t>
            </w:r>
          </w:p>
        </w:tc>
        <w:tc>
          <w:tcPr>
            <w:tcW w:w="2657" w:type="dxa"/>
            <w:tcBorders>
              <w:top w:val="single" w:sz="4" w:space="0" w:color="000000"/>
              <w:left w:val="single" w:sz="4" w:space="0" w:color="000000"/>
              <w:bottom w:val="single" w:sz="4" w:space="0" w:color="000000"/>
              <w:right w:val="single" w:sz="4" w:space="0" w:color="000000"/>
            </w:tcBorders>
          </w:tcPr>
          <w:p w14:paraId="43C3F0D0" w14:textId="4866B323"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 xml:space="preserve">Champs tridimensionnels, mécanique </w:t>
            </w:r>
            <w:proofErr w:type="gramStart"/>
            <w:r w:rsidRPr="00BE4F47">
              <w:rPr>
                <w:rFonts w:ascii="Aptos" w:eastAsia="Calibri" w:hAnsi="Aptos" w:cs="Calibri"/>
                <w:color w:val="1A1A19"/>
                <w:sz w:val="16"/>
                <w:szCs w:val="16"/>
              </w:rPr>
              <w:t>des fluides numérique</w:t>
            </w:r>
            <w:proofErr w:type="gramEnd"/>
            <w:r w:rsidRPr="00BE4F47">
              <w:rPr>
                <w:rFonts w:ascii="Aptos" w:eastAsia="Calibri" w:hAnsi="Aptos" w:cs="Calibri"/>
                <w:color w:val="1A1A19"/>
                <w:sz w:val="16"/>
                <w:szCs w:val="16"/>
              </w:rPr>
              <w:t xml:space="preserve"> détaillée.</w:t>
            </w:r>
          </w:p>
        </w:tc>
      </w:tr>
      <w:tr w:rsidR="00F50D70" w:rsidRPr="00BE4F47" w14:paraId="0F1F89E5" w14:textId="77777777">
        <w:trPr>
          <w:cantSplit/>
          <w:trHeight w:val="415"/>
        </w:trPr>
        <w:tc>
          <w:tcPr>
            <w:tcW w:w="1700" w:type="dxa"/>
            <w:tcBorders>
              <w:top w:val="single" w:sz="4" w:space="0" w:color="000000"/>
              <w:left w:val="single" w:sz="4" w:space="0" w:color="000000"/>
              <w:bottom w:val="single" w:sz="4" w:space="0" w:color="000000"/>
              <w:right w:val="single" w:sz="4" w:space="0" w:color="000000"/>
            </w:tcBorders>
          </w:tcPr>
          <w:p w14:paraId="70D996D6"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Variables suivies</w:t>
            </w:r>
          </w:p>
        </w:tc>
        <w:tc>
          <w:tcPr>
            <w:tcW w:w="4200" w:type="dxa"/>
            <w:tcBorders>
              <w:top w:val="single" w:sz="4" w:space="0" w:color="000000"/>
              <w:left w:val="single" w:sz="4" w:space="0" w:color="000000"/>
              <w:bottom w:val="single" w:sz="4" w:space="0" w:color="000000"/>
              <w:right w:val="single" w:sz="4" w:space="0" w:color="000000"/>
            </w:tcBorders>
          </w:tcPr>
          <w:p w14:paraId="667C823B"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Température, pression et débit.</w:t>
            </w:r>
          </w:p>
        </w:tc>
        <w:tc>
          <w:tcPr>
            <w:tcW w:w="2657" w:type="dxa"/>
            <w:tcBorders>
              <w:top w:val="single" w:sz="4" w:space="0" w:color="000000"/>
              <w:left w:val="single" w:sz="4" w:space="0" w:color="000000"/>
              <w:bottom w:val="single" w:sz="4" w:space="0" w:color="000000"/>
              <w:right w:val="single" w:sz="4" w:space="0" w:color="000000"/>
            </w:tcBorders>
          </w:tcPr>
          <w:p w14:paraId="519D0040"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Toute autre grandeur, notamment la radioactivité et les grandeurs neutroniques.</w:t>
            </w:r>
          </w:p>
        </w:tc>
      </w:tr>
      <w:tr w:rsidR="00F50D70" w:rsidRPr="00BE4F47" w14:paraId="07D65A9E" w14:textId="77777777">
        <w:trPr>
          <w:cantSplit/>
          <w:trHeight w:val="415"/>
        </w:trPr>
        <w:tc>
          <w:tcPr>
            <w:tcW w:w="1700" w:type="dxa"/>
            <w:tcBorders>
              <w:top w:val="single" w:sz="4" w:space="0" w:color="000000"/>
              <w:left w:val="single" w:sz="4" w:space="0" w:color="000000"/>
              <w:bottom w:val="single" w:sz="4" w:space="0" w:color="000000"/>
              <w:right w:val="single" w:sz="4" w:space="0" w:color="000000"/>
            </w:tcBorders>
          </w:tcPr>
          <w:p w14:paraId="47F9C638"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Données</w:t>
            </w:r>
          </w:p>
        </w:tc>
        <w:tc>
          <w:tcPr>
            <w:tcW w:w="4200" w:type="dxa"/>
            <w:tcBorders>
              <w:top w:val="single" w:sz="4" w:space="0" w:color="000000"/>
              <w:left w:val="single" w:sz="4" w:space="0" w:color="000000"/>
              <w:bottom w:val="single" w:sz="4" w:space="0" w:color="000000"/>
              <w:right w:val="single" w:sz="4" w:space="0" w:color="000000"/>
            </w:tcBorders>
          </w:tcPr>
          <w:p w14:paraId="54363CBE"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Données synthétiques produites par le modèle, puis bruitées et dégradées de façon contrôlée.</w:t>
            </w:r>
          </w:p>
        </w:tc>
        <w:tc>
          <w:tcPr>
            <w:tcW w:w="2657" w:type="dxa"/>
            <w:tcBorders>
              <w:top w:val="single" w:sz="4" w:space="0" w:color="000000"/>
              <w:left w:val="single" w:sz="4" w:space="0" w:color="000000"/>
              <w:bottom w:val="single" w:sz="4" w:space="0" w:color="000000"/>
              <w:right w:val="single" w:sz="4" w:space="0" w:color="000000"/>
            </w:tcBorders>
          </w:tcPr>
          <w:p w14:paraId="3FC51C2A"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Données d’exploitation d’une installation réelle.</w:t>
            </w:r>
          </w:p>
        </w:tc>
      </w:tr>
      <w:tr w:rsidR="00F50D70" w:rsidRPr="00BE4F47" w14:paraId="12586AF9" w14:textId="77777777">
        <w:trPr>
          <w:cantSplit/>
          <w:trHeight w:val="415"/>
        </w:trPr>
        <w:tc>
          <w:tcPr>
            <w:tcW w:w="1700" w:type="dxa"/>
            <w:tcBorders>
              <w:top w:val="single" w:sz="4" w:space="0" w:color="000000"/>
              <w:left w:val="single" w:sz="4" w:space="0" w:color="000000"/>
              <w:bottom w:val="single" w:sz="4" w:space="0" w:color="000000"/>
              <w:right w:val="single" w:sz="4" w:space="0" w:color="000000"/>
            </w:tcBorders>
          </w:tcPr>
          <w:p w14:paraId="455F0D54"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Référence de comparaison</w:t>
            </w:r>
          </w:p>
        </w:tc>
        <w:tc>
          <w:tcPr>
            <w:tcW w:w="4200" w:type="dxa"/>
            <w:tcBorders>
              <w:top w:val="single" w:sz="4" w:space="0" w:color="000000"/>
              <w:left w:val="single" w:sz="4" w:space="0" w:color="000000"/>
              <w:bottom w:val="single" w:sz="4" w:space="0" w:color="000000"/>
              <w:right w:val="single" w:sz="4" w:space="0" w:color="000000"/>
            </w:tcBorders>
          </w:tcPr>
          <w:p w14:paraId="6A8F369D"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Second modèle numérique de fidélité supérieure, développé indépendamment.</w:t>
            </w:r>
          </w:p>
        </w:tc>
        <w:tc>
          <w:tcPr>
            <w:tcW w:w="2657" w:type="dxa"/>
            <w:tcBorders>
              <w:top w:val="single" w:sz="4" w:space="0" w:color="000000"/>
              <w:left w:val="single" w:sz="4" w:space="0" w:color="000000"/>
              <w:bottom w:val="single" w:sz="4" w:space="0" w:color="000000"/>
              <w:right w:val="single" w:sz="4" w:space="0" w:color="000000"/>
            </w:tcBorders>
          </w:tcPr>
          <w:p w14:paraId="132F22D8"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Banc d’essai physique instrumenté.</w:t>
            </w:r>
          </w:p>
        </w:tc>
      </w:tr>
      <w:tr w:rsidR="00F50D70" w:rsidRPr="00BE4F47" w14:paraId="7F07DD78" w14:textId="77777777">
        <w:trPr>
          <w:cantSplit/>
          <w:trHeight w:val="415"/>
        </w:trPr>
        <w:tc>
          <w:tcPr>
            <w:tcW w:w="1700" w:type="dxa"/>
            <w:tcBorders>
              <w:top w:val="single" w:sz="4" w:space="0" w:color="000000"/>
              <w:left w:val="single" w:sz="4" w:space="0" w:color="000000"/>
              <w:bottom w:val="single" w:sz="4" w:space="0" w:color="000000"/>
              <w:right w:val="single" w:sz="4" w:space="0" w:color="000000"/>
            </w:tcBorders>
          </w:tcPr>
          <w:p w14:paraId="650C9644"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Emploi</w:t>
            </w:r>
          </w:p>
        </w:tc>
        <w:tc>
          <w:tcPr>
            <w:tcW w:w="4200" w:type="dxa"/>
            <w:tcBorders>
              <w:top w:val="single" w:sz="4" w:space="0" w:color="000000"/>
              <w:left w:val="single" w:sz="4" w:space="0" w:color="000000"/>
              <w:bottom w:val="single" w:sz="4" w:space="0" w:color="000000"/>
              <w:right w:val="single" w:sz="4" w:space="0" w:color="000000"/>
            </w:tcBorders>
          </w:tcPr>
          <w:p w14:paraId="2EED974E" w14:textId="123F6A95"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Aide à la décision, avec validation humaine obligatoire.</w:t>
            </w:r>
          </w:p>
        </w:tc>
        <w:tc>
          <w:tcPr>
            <w:tcW w:w="2657" w:type="dxa"/>
            <w:tcBorders>
              <w:top w:val="single" w:sz="4" w:space="0" w:color="000000"/>
              <w:left w:val="single" w:sz="4" w:space="0" w:color="000000"/>
              <w:bottom w:val="single" w:sz="4" w:space="0" w:color="000000"/>
              <w:right w:val="single" w:sz="4" w:space="0" w:color="000000"/>
            </w:tcBorders>
          </w:tcPr>
          <w:p w14:paraId="6BD254B0"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Conduite en temps réel, commande automatique, raccordement à un équipement réel.</w:t>
            </w:r>
          </w:p>
        </w:tc>
      </w:tr>
      <w:tr w:rsidR="00F50D70" w:rsidRPr="00BE4F47" w14:paraId="2007167E" w14:textId="77777777">
        <w:trPr>
          <w:cantSplit/>
          <w:trHeight w:val="415"/>
        </w:trPr>
        <w:tc>
          <w:tcPr>
            <w:tcW w:w="1700" w:type="dxa"/>
            <w:tcBorders>
              <w:top w:val="single" w:sz="4" w:space="0" w:color="000000"/>
              <w:left w:val="single" w:sz="4" w:space="0" w:color="000000"/>
              <w:bottom w:val="single" w:sz="4" w:space="0" w:color="000000"/>
              <w:right w:val="single" w:sz="4" w:space="0" w:color="000000"/>
            </w:tcBorders>
          </w:tcPr>
          <w:p w14:paraId="6BC83668"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Scénarios couverts</w:t>
            </w:r>
          </w:p>
        </w:tc>
        <w:tc>
          <w:tcPr>
            <w:tcW w:w="4200" w:type="dxa"/>
            <w:tcBorders>
              <w:top w:val="single" w:sz="4" w:space="0" w:color="000000"/>
              <w:left w:val="single" w:sz="4" w:space="0" w:color="000000"/>
              <w:bottom w:val="single" w:sz="4" w:space="0" w:color="000000"/>
              <w:right w:val="single" w:sz="4" w:space="0" w:color="000000"/>
            </w:tcBorders>
          </w:tcPr>
          <w:p w14:paraId="7ADC30AF"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Les scénarios listés à l’exigence EX-F-02, plus les cas de données manquantes.</w:t>
            </w:r>
          </w:p>
        </w:tc>
        <w:tc>
          <w:tcPr>
            <w:tcW w:w="2657" w:type="dxa"/>
            <w:tcBorders>
              <w:top w:val="single" w:sz="4" w:space="0" w:color="000000"/>
              <w:left w:val="single" w:sz="4" w:space="0" w:color="000000"/>
              <w:bottom w:val="single" w:sz="4" w:space="0" w:color="000000"/>
              <w:right w:val="single" w:sz="4" w:space="0" w:color="000000"/>
            </w:tcBorders>
          </w:tcPr>
          <w:p w14:paraId="6C44A1FB"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Tout scénario non listé, en particulier les transitoires accidentels.</w:t>
            </w:r>
          </w:p>
        </w:tc>
      </w:tr>
    </w:tbl>
    <w:p w14:paraId="4AF6A070" w14:textId="77777777" w:rsidR="00F50D70" w:rsidRPr="00BE4F47" w:rsidRDefault="00137D7F" w:rsidP="008E113B">
      <w:pPr>
        <w:spacing w:before="200" w:after="130" w:line="360" w:lineRule="auto"/>
        <w:ind w:left="360"/>
        <w:rPr>
          <w:rFonts w:ascii="Aptos" w:hAnsi="Aptos"/>
        </w:rPr>
      </w:pPr>
      <w:bookmarkStart w:id="305" w:name="_Toc241082857"/>
      <w:bookmarkStart w:id="306" w:name="_Toc241670053"/>
      <w:bookmarkStart w:id="307" w:name="_Toc241707761"/>
      <w:bookmarkStart w:id="308" w:name="_Toc241791710"/>
      <w:r w:rsidRPr="00BE4F47">
        <w:rPr>
          <w:rFonts w:ascii="Aptos" w:hAnsi="Aptos"/>
          <w:color w:val="1A1A19"/>
          <w:sz w:val="20"/>
          <w:szCs w:val="20"/>
        </w:rPr>
        <w:t>Ce domaine est repris dans la recommandation d’ingénierie du livrable L08 et conditionne l’acceptation de l’ensemble. Il répond à l’exigence EX-C-01 et au risque RT4.</w:t>
      </w:r>
      <w:bookmarkEnd w:id="305"/>
      <w:bookmarkEnd w:id="306"/>
      <w:bookmarkEnd w:id="307"/>
      <w:bookmarkEnd w:id="308"/>
    </w:p>
    <w:p w14:paraId="294D36E2" w14:textId="77777777" w:rsidR="00F50D70" w:rsidRPr="00BE4F47" w:rsidRDefault="00137D7F" w:rsidP="008E113B">
      <w:pPr>
        <w:spacing w:after="130" w:line="360" w:lineRule="auto"/>
        <w:ind w:left="360"/>
        <w:rPr>
          <w:rFonts w:ascii="Aptos" w:hAnsi="Aptos"/>
        </w:rPr>
      </w:pPr>
      <w:bookmarkStart w:id="309" w:name="_Toc241082859"/>
      <w:bookmarkStart w:id="310" w:name="_Toc241670054"/>
      <w:bookmarkStart w:id="311" w:name="_Toc241707762"/>
      <w:bookmarkStart w:id="312" w:name="_Toc241791711"/>
      <w:r w:rsidRPr="00BE4F47">
        <w:rPr>
          <w:rFonts w:ascii="Aptos" w:hAnsi="Aptos"/>
          <w:color w:val="1A1A19"/>
          <w:sz w:val="20"/>
          <w:szCs w:val="20"/>
        </w:rPr>
        <w:lastRenderedPageBreak/>
        <w:t>Les exclusions de livrables sont celles du périmètre défini en 1.5, reprises par l’exigence de périmètre EX-C-02.</w:t>
      </w:r>
      <w:bookmarkEnd w:id="309"/>
      <w:bookmarkEnd w:id="310"/>
      <w:bookmarkEnd w:id="311"/>
      <w:bookmarkEnd w:id="312"/>
    </w:p>
    <w:p w14:paraId="123F3F9D" w14:textId="77777777" w:rsidR="00F50D70" w:rsidRPr="00136F18" w:rsidRDefault="00137D7F" w:rsidP="008E113B">
      <w:pPr>
        <w:pStyle w:val="Titre1"/>
        <w:spacing w:line="360" w:lineRule="auto"/>
      </w:pPr>
      <w:bookmarkStart w:id="313" w:name="__RefHeading___Toc240715117"/>
      <w:bookmarkStart w:id="314" w:name="_Toc241707763"/>
      <w:bookmarkStart w:id="315" w:name="_Toc241791712"/>
      <w:r w:rsidRPr="00136F18">
        <w:t>Description de l’équipe</w:t>
      </w:r>
      <w:bookmarkEnd w:id="313"/>
      <w:bookmarkEnd w:id="314"/>
      <w:bookmarkEnd w:id="315"/>
    </w:p>
    <w:p w14:paraId="1F7836C4" w14:textId="77777777" w:rsidR="00F50D70" w:rsidRPr="00BE4F47" w:rsidRDefault="005E5B35" w:rsidP="008E113B">
      <w:pPr>
        <w:spacing w:after="130" w:line="360" w:lineRule="auto"/>
        <w:ind w:left="360"/>
        <w:rPr>
          <w:rFonts w:ascii="Aptos" w:hAnsi="Aptos"/>
        </w:rPr>
      </w:pPr>
      <w:bookmarkStart w:id="316" w:name="_Toc241082861"/>
      <w:bookmarkStart w:id="317" w:name="_Toc241670056"/>
      <w:bookmarkStart w:id="318" w:name="_Toc241707764"/>
      <w:bookmarkStart w:id="319" w:name="_Toc241791713"/>
      <w:r w:rsidRPr="005E5B35">
        <w:rPr>
          <w:rFonts w:ascii="Aptos" w:hAnsi="Aptos"/>
          <w:color w:val="1A1A19"/>
          <w:sz w:val="20"/>
          <w:szCs w:val="20"/>
        </w:rPr>
        <w:t>Le travail est réparti entre les huit membres de l’équipe. Chacun prend en charge un volet du plan selon ses points forts.</w:t>
      </w:r>
      <w:bookmarkEnd w:id="316"/>
      <w:bookmarkEnd w:id="317"/>
      <w:bookmarkEnd w:id="318"/>
      <w:bookmarkEnd w:id="319"/>
    </w:p>
    <w:p w14:paraId="61D9B0AD" w14:textId="77777777" w:rsidR="00F50D70" w:rsidRDefault="00137D7F" w:rsidP="008E113B">
      <w:pPr>
        <w:pStyle w:val="Titre2"/>
        <w:numPr>
          <w:ilvl w:val="0"/>
          <w:numId w:val="13"/>
        </w:numPr>
        <w:spacing w:line="360" w:lineRule="auto"/>
      </w:pPr>
      <w:bookmarkStart w:id="320" w:name="__RefHeading___Toc240715118"/>
      <w:bookmarkStart w:id="321" w:name="_Toc241707765"/>
      <w:bookmarkStart w:id="322" w:name="_Toc241791714"/>
      <w:bookmarkEnd w:id="320"/>
      <w:r w:rsidRPr="00BE4F47">
        <w:t>Composition de l’équipe</w:t>
      </w:r>
      <w:r w:rsidR="005E5B35">
        <w:t xml:space="preserve"> et d</w:t>
      </w:r>
      <w:r w:rsidR="005E5B35" w:rsidRPr="005E5B35">
        <w:t>escription des compétences de chaque membre</w:t>
      </w:r>
      <w:bookmarkEnd w:id="321"/>
      <w:bookmarkEnd w:id="322"/>
    </w:p>
    <w:p w14:paraId="5369BCA4" w14:textId="77777777" w:rsidR="00F50D70" w:rsidRPr="00BE4F47" w:rsidRDefault="00137D7F" w:rsidP="008E113B">
      <w:pPr>
        <w:spacing w:after="130" w:line="360" w:lineRule="auto"/>
        <w:ind w:left="360"/>
        <w:rPr>
          <w:rFonts w:ascii="Aptos" w:hAnsi="Aptos"/>
        </w:rPr>
      </w:pPr>
      <w:bookmarkStart w:id="323" w:name="_Toc241670058"/>
      <w:bookmarkStart w:id="324" w:name="_Toc241707766"/>
      <w:bookmarkStart w:id="325" w:name="_Toc241791715"/>
      <w:r w:rsidRPr="00BE4F47">
        <w:rPr>
          <w:rFonts w:ascii="Aptos" w:hAnsi="Aptos"/>
          <w:color w:val="1A1A19"/>
          <w:sz w:val="20"/>
          <w:szCs w:val="20"/>
        </w:rPr>
        <w:t>Les huit membres sont étudiants en génie informatique en troisième année. Le tableau 3-1 donne le volet dont chacun a la charge et les compétences qu’il y apporte.</w:t>
      </w:r>
      <w:bookmarkEnd w:id="323"/>
      <w:bookmarkEnd w:id="324"/>
      <w:bookmarkEnd w:id="325"/>
    </w:p>
    <w:p w14:paraId="1A76C0EA" w14:textId="77777777" w:rsidR="00F50D70" w:rsidRPr="00BE4F47" w:rsidRDefault="00137D7F" w:rsidP="008E113B">
      <w:pPr>
        <w:pStyle w:val="Lgende"/>
        <w:keepNext/>
        <w:spacing w:after="130" w:line="360" w:lineRule="auto"/>
        <w:ind w:left="360"/>
        <w:rPr>
          <w:rFonts w:ascii="Aptos" w:hAnsi="Aptos"/>
        </w:rPr>
      </w:pPr>
      <w:bookmarkStart w:id="326" w:name="_Toc241670059"/>
      <w:bookmarkStart w:id="327" w:name="_Toc241707767"/>
      <w:bookmarkStart w:id="328" w:name="_Toc241791716"/>
      <w:r w:rsidRPr="00BE4F47">
        <w:rPr>
          <w:rFonts w:ascii="Aptos" w:hAnsi="Aptos"/>
          <w:color w:val="1A1A19"/>
          <w:sz w:val="20"/>
          <w:szCs w:val="20"/>
        </w:rPr>
        <w:t>Tableau 3-1. Composition de l’équipe, volets pris en charge et compétences</w:t>
      </w:r>
      <w:bookmarkEnd w:id="326"/>
      <w:bookmarkEnd w:id="327"/>
      <w:bookmarkEnd w:id="328"/>
    </w:p>
    <w:tbl>
      <w:tblPr>
        <w:tblW w:w="8557" w:type="dxa"/>
        <w:tblInd w:w="413" w:type="dxa"/>
        <w:tblLayout w:type="fixed"/>
        <w:tblCellMar>
          <w:top w:w="60" w:type="dxa"/>
          <w:left w:w="90" w:type="dxa"/>
          <w:bottom w:w="60" w:type="dxa"/>
          <w:right w:w="90" w:type="dxa"/>
        </w:tblCellMar>
        <w:tblLook w:val="04A0" w:firstRow="1" w:lastRow="0" w:firstColumn="1" w:lastColumn="0" w:noHBand="0" w:noVBand="1"/>
      </w:tblPr>
      <w:tblGrid>
        <w:gridCol w:w="1900"/>
        <w:gridCol w:w="2600"/>
        <w:gridCol w:w="4057"/>
      </w:tblGrid>
      <w:tr w:rsidR="00F50D70" w:rsidRPr="00BE4F47" w14:paraId="018FDCF5" w14:textId="77777777" w:rsidTr="0036725C">
        <w:trPr>
          <w:trHeight w:val="227"/>
          <w:tblHeader/>
        </w:trPr>
        <w:tc>
          <w:tcPr>
            <w:tcW w:w="190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58D3829C"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Membre</w:t>
            </w:r>
          </w:p>
        </w:tc>
        <w:tc>
          <w:tcPr>
            <w:tcW w:w="260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45467DF4"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Volet pris en charge</w:t>
            </w:r>
          </w:p>
        </w:tc>
        <w:tc>
          <w:tcPr>
            <w:tcW w:w="4057"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3C5AC6F8"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Compétences mobilisées</w:t>
            </w:r>
          </w:p>
        </w:tc>
      </w:tr>
      <w:tr w:rsidR="00F50D70" w:rsidRPr="00BE4F47" w14:paraId="305DA89D" w14:textId="77777777">
        <w:trPr>
          <w:cantSplit/>
          <w:trHeight w:val="415"/>
        </w:trPr>
        <w:tc>
          <w:tcPr>
            <w:tcW w:w="1900" w:type="dxa"/>
            <w:tcBorders>
              <w:top w:val="single" w:sz="4" w:space="0" w:color="000000"/>
              <w:left w:val="single" w:sz="4" w:space="0" w:color="000000"/>
              <w:bottom w:val="single" w:sz="4" w:space="0" w:color="000000"/>
              <w:right w:val="single" w:sz="4" w:space="0" w:color="000000"/>
            </w:tcBorders>
          </w:tcPr>
          <w:p w14:paraId="071C53B6"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Christian Kévin Sawadogo</w:t>
            </w:r>
          </w:p>
        </w:tc>
        <w:tc>
          <w:tcPr>
            <w:tcW w:w="2600" w:type="dxa"/>
            <w:tcBorders>
              <w:top w:val="single" w:sz="4" w:space="0" w:color="000000"/>
              <w:left w:val="single" w:sz="4" w:space="0" w:color="000000"/>
              <w:bottom w:val="single" w:sz="4" w:space="0" w:color="000000"/>
              <w:right w:val="single" w:sz="4" w:space="0" w:color="000000"/>
            </w:tcBorders>
          </w:tcPr>
          <w:p w14:paraId="64C42324"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Coordination générale, ressources, échéancier, contrôle des versions et références</w:t>
            </w:r>
          </w:p>
        </w:tc>
        <w:tc>
          <w:tcPr>
            <w:tcW w:w="4057" w:type="dxa"/>
            <w:tcBorders>
              <w:top w:val="single" w:sz="4" w:space="0" w:color="000000"/>
              <w:left w:val="single" w:sz="4" w:space="0" w:color="000000"/>
              <w:bottom w:val="single" w:sz="4" w:space="0" w:color="000000"/>
              <w:right w:val="single" w:sz="4" w:space="0" w:color="000000"/>
            </w:tcBorders>
          </w:tcPr>
          <w:p w14:paraId="5384FFFE"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Coordination et animation d’équipe, planification des calendriers, estimation des ressources, outils de versionnement, recherche et validation des références</w:t>
            </w:r>
          </w:p>
        </w:tc>
      </w:tr>
      <w:tr w:rsidR="00F50D70" w:rsidRPr="00BE4F47" w14:paraId="2B2FEECC" w14:textId="77777777">
        <w:trPr>
          <w:cantSplit/>
          <w:trHeight w:val="415"/>
        </w:trPr>
        <w:tc>
          <w:tcPr>
            <w:tcW w:w="1900" w:type="dxa"/>
            <w:tcBorders>
              <w:top w:val="single" w:sz="4" w:space="0" w:color="000000"/>
              <w:left w:val="single" w:sz="4" w:space="0" w:color="000000"/>
              <w:bottom w:val="single" w:sz="4" w:space="0" w:color="000000"/>
              <w:right w:val="single" w:sz="4" w:space="0" w:color="000000"/>
            </w:tcBorders>
          </w:tcPr>
          <w:p w14:paraId="141A53BF"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Abdramane Dramé</w:t>
            </w:r>
          </w:p>
        </w:tc>
        <w:tc>
          <w:tcPr>
            <w:tcW w:w="2600" w:type="dxa"/>
            <w:tcBorders>
              <w:top w:val="single" w:sz="4" w:space="0" w:color="000000"/>
              <w:left w:val="single" w:sz="4" w:space="0" w:color="000000"/>
              <w:bottom w:val="single" w:sz="4" w:space="0" w:color="000000"/>
              <w:right w:val="single" w:sz="4" w:space="0" w:color="000000"/>
            </w:tcBorders>
          </w:tcPr>
          <w:p w14:paraId="510B8F84"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Description de l’équipe et co-rédaction de l’état de l’art</w:t>
            </w:r>
          </w:p>
        </w:tc>
        <w:tc>
          <w:tcPr>
            <w:tcW w:w="4057" w:type="dxa"/>
            <w:tcBorders>
              <w:top w:val="single" w:sz="4" w:space="0" w:color="000000"/>
              <w:left w:val="single" w:sz="4" w:space="0" w:color="000000"/>
              <w:bottom w:val="single" w:sz="4" w:space="0" w:color="000000"/>
              <w:right w:val="single" w:sz="4" w:space="0" w:color="000000"/>
            </w:tcBorders>
          </w:tcPr>
          <w:p w14:paraId="438D9F95"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Rédaction technique, analyse documentaire, esprit de synthèse, structuration des rôles</w:t>
            </w:r>
          </w:p>
        </w:tc>
      </w:tr>
      <w:tr w:rsidR="00F50D70" w:rsidRPr="00BE4F47" w14:paraId="47336B77" w14:textId="77777777">
        <w:trPr>
          <w:cantSplit/>
          <w:trHeight w:val="415"/>
        </w:trPr>
        <w:tc>
          <w:tcPr>
            <w:tcW w:w="1900" w:type="dxa"/>
            <w:tcBorders>
              <w:top w:val="single" w:sz="4" w:space="0" w:color="000000"/>
              <w:left w:val="single" w:sz="4" w:space="0" w:color="000000"/>
              <w:bottom w:val="single" w:sz="4" w:space="0" w:color="000000"/>
              <w:right w:val="single" w:sz="4" w:space="0" w:color="000000"/>
            </w:tcBorders>
          </w:tcPr>
          <w:p w14:paraId="68E8CF84"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Ibrahima Diallo</w:t>
            </w:r>
          </w:p>
        </w:tc>
        <w:tc>
          <w:tcPr>
            <w:tcW w:w="2600" w:type="dxa"/>
            <w:tcBorders>
              <w:top w:val="single" w:sz="4" w:space="0" w:color="000000"/>
              <w:left w:val="single" w:sz="4" w:space="0" w:color="000000"/>
              <w:bottom w:val="single" w:sz="4" w:space="0" w:color="000000"/>
              <w:right w:val="single" w:sz="4" w:space="0" w:color="000000"/>
            </w:tcBorders>
          </w:tcPr>
          <w:p w14:paraId="466DD8C3"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Cadrage des besoins et définition des livrables</w:t>
            </w:r>
          </w:p>
        </w:tc>
        <w:tc>
          <w:tcPr>
            <w:tcW w:w="4057" w:type="dxa"/>
            <w:tcBorders>
              <w:top w:val="single" w:sz="4" w:space="0" w:color="000000"/>
              <w:left w:val="single" w:sz="4" w:space="0" w:color="000000"/>
              <w:bottom w:val="single" w:sz="4" w:space="0" w:color="000000"/>
              <w:right w:val="single" w:sz="4" w:space="0" w:color="000000"/>
            </w:tcBorders>
          </w:tcPr>
          <w:p w14:paraId="7F219A8F"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Écoute et analyse des exigences, formalisation des besoins fonctionnels, rigueur dans la spécification des résultats attendus</w:t>
            </w:r>
          </w:p>
        </w:tc>
      </w:tr>
      <w:tr w:rsidR="00F50D70" w:rsidRPr="00BE4F47" w14:paraId="1CCD28AA" w14:textId="77777777">
        <w:trPr>
          <w:cantSplit/>
          <w:trHeight w:val="415"/>
        </w:trPr>
        <w:tc>
          <w:tcPr>
            <w:tcW w:w="1900" w:type="dxa"/>
            <w:tcBorders>
              <w:top w:val="single" w:sz="4" w:space="0" w:color="000000"/>
              <w:left w:val="single" w:sz="4" w:space="0" w:color="000000"/>
              <w:bottom w:val="single" w:sz="4" w:space="0" w:color="000000"/>
              <w:right w:val="single" w:sz="4" w:space="0" w:color="000000"/>
            </w:tcBorders>
          </w:tcPr>
          <w:p w14:paraId="1AAE9677"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Rayane Arèmou Akorede Alimi</w:t>
            </w:r>
          </w:p>
        </w:tc>
        <w:tc>
          <w:tcPr>
            <w:tcW w:w="2600" w:type="dxa"/>
            <w:tcBorders>
              <w:top w:val="single" w:sz="4" w:space="0" w:color="000000"/>
              <w:left w:val="single" w:sz="4" w:space="0" w:color="000000"/>
              <w:bottom w:val="single" w:sz="4" w:space="0" w:color="000000"/>
              <w:right w:val="single" w:sz="4" w:space="0" w:color="000000"/>
            </w:tcBorders>
          </w:tcPr>
          <w:p w14:paraId="36CF0BBA"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Recherche et veille technologique pour l’état de l’art, références</w:t>
            </w:r>
          </w:p>
        </w:tc>
        <w:tc>
          <w:tcPr>
            <w:tcW w:w="4057" w:type="dxa"/>
            <w:tcBorders>
              <w:top w:val="single" w:sz="4" w:space="0" w:color="000000"/>
              <w:left w:val="single" w:sz="4" w:space="0" w:color="000000"/>
              <w:bottom w:val="single" w:sz="4" w:space="0" w:color="000000"/>
              <w:right w:val="single" w:sz="4" w:space="0" w:color="000000"/>
            </w:tcBorders>
          </w:tcPr>
          <w:p w14:paraId="4001B6C3"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Recherche bibliographique, analyse comparative des solutions existantes, esprit critique</w:t>
            </w:r>
          </w:p>
        </w:tc>
      </w:tr>
      <w:tr w:rsidR="00F50D70" w:rsidRPr="00BE4F47" w14:paraId="29F50A46" w14:textId="77777777">
        <w:trPr>
          <w:cantSplit/>
          <w:trHeight w:val="415"/>
        </w:trPr>
        <w:tc>
          <w:tcPr>
            <w:tcW w:w="1900" w:type="dxa"/>
            <w:tcBorders>
              <w:top w:val="single" w:sz="4" w:space="0" w:color="000000"/>
              <w:left w:val="single" w:sz="4" w:space="0" w:color="000000"/>
              <w:bottom w:val="single" w:sz="4" w:space="0" w:color="000000"/>
              <w:right w:val="single" w:sz="4" w:space="0" w:color="000000"/>
            </w:tcBorders>
          </w:tcPr>
          <w:p w14:paraId="059DC2B9"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Abdoul Raouf Kabré</w:t>
            </w:r>
          </w:p>
        </w:tc>
        <w:tc>
          <w:tcPr>
            <w:tcW w:w="2600" w:type="dxa"/>
            <w:tcBorders>
              <w:top w:val="single" w:sz="4" w:space="0" w:color="000000"/>
              <w:left w:val="single" w:sz="4" w:space="0" w:color="000000"/>
              <w:bottom w:val="single" w:sz="4" w:space="0" w:color="000000"/>
              <w:right w:val="single" w:sz="4" w:space="0" w:color="000000"/>
            </w:tcBorders>
          </w:tcPr>
          <w:p w14:paraId="1043F931"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Normes, codes et standards</w:t>
            </w:r>
          </w:p>
        </w:tc>
        <w:tc>
          <w:tcPr>
            <w:tcW w:w="4057" w:type="dxa"/>
            <w:tcBorders>
              <w:top w:val="single" w:sz="4" w:space="0" w:color="000000"/>
              <w:left w:val="single" w:sz="4" w:space="0" w:color="000000"/>
              <w:bottom w:val="single" w:sz="4" w:space="0" w:color="000000"/>
              <w:right w:val="single" w:sz="4" w:space="0" w:color="000000"/>
            </w:tcBorders>
          </w:tcPr>
          <w:p w14:paraId="1ABB994E"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Recherche et interprétation des normes industrielles, analyse des critères de conformité, contrôle de la qualité</w:t>
            </w:r>
          </w:p>
        </w:tc>
      </w:tr>
      <w:tr w:rsidR="00F50D70" w:rsidRPr="00BE4F47" w14:paraId="7BD3257C" w14:textId="77777777">
        <w:trPr>
          <w:cantSplit/>
          <w:trHeight w:val="415"/>
        </w:trPr>
        <w:tc>
          <w:tcPr>
            <w:tcW w:w="1900" w:type="dxa"/>
            <w:tcBorders>
              <w:top w:val="single" w:sz="4" w:space="0" w:color="000000"/>
              <w:left w:val="single" w:sz="4" w:space="0" w:color="000000"/>
              <w:bottom w:val="single" w:sz="4" w:space="0" w:color="000000"/>
              <w:right w:val="single" w:sz="4" w:space="0" w:color="000000"/>
            </w:tcBorders>
          </w:tcPr>
          <w:p w14:paraId="3897D71A"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Djasra Wilson Thoroum</w:t>
            </w:r>
          </w:p>
        </w:tc>
        <w:tc>
          <w:tcPr>
            <w:tcW w:w="2600" w:type="dxa"/>
            <w:tcBorders>
              <w:top w:val="single" w:sz="4" w:space="0" w:color="000000"/>
              <w:left w:val="single" w:sz="4" w:space="0" w:color="000000"/>
              <w:bottom w:val="single" w:sz="4" w:space="0" w:color="000000"/>
              <w:right w:val="single" w:sz="4" w:space="0" w:color="000000"/>
            </w:tcBorders>
          </w:tcPr>
          <w:p w14:paraId="3423D8B6"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Estimation préliminaire des coûts et budget</w:t>
            </w:r>
          </w:p>
        </w:tc>
        <w:tc>
          <w:tcPr>
            <w:tcW w:w="4057" w:type="dxa"/>
            <w:tcBorders>
              <w:top w:val="single" w:sz="4" w:space="0" w:color="000000"/>
              <w:left w:val="single" w:sz="4" w:space="0" w:color="000000"/>
              <w:bottom w:val="single" w:sz="4" w:space="0" w:color="000000"/>
              <w:right w:val="single" w:sz="4" w:space="0" w:color="000000"/>
            </w:tcBorders>
          </w:tcPr>
          <w:p w14:paraId="5E3D96E8"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Chiffrage financier, calcul prévisionnel des coûts, rigueur budgétaire, analyse de viabilité économique</w:t>
            </w:r>
          </w:p>
        </w:tc>
      </w:tr>
      <w:tr w:rsidR="00F50D70" w:rsidRPr="00BE4F47" w14:paraId="4E312FE4" w14:textId="77777777">
        <w:trPr>
          <w:cantSplit/>
          <w:trHeight w:val="415"/>
        </w:trPr>
        <w:tc>
          <w:tcPr>
            <w:tcW w:w="1900" w:type="dxa"/>
            <w:tcBorders>
              <w:top w:val="single" w:sz="4" w:space="0" w:color="000000"/>
              <w:left w:val="single" w:sz="4" w:space="0" w:color="000000"/>
              <w:bottom w:val="single" w:sz="4" w:space="0" w:color="000000"/>
              <w:right w:val="single" w:sz="4" w:space="0" w:color="000000"/>
            </w:tcBorders>
          </w:tcPr>
          <w:p w14:paraId="6E51F2C4"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Aboubacar Sidiki Yansané</w:t>
            </w:r>
          </w:p>
        </w:tc>
        <w:tc>
          <w:tcPr>
            <w:tcW w:w="2600" w:type="dxa"/>
            <w:tcBorders>
              <w:top w:val="single" w:sz="4" w:space="0" w:color="000000"/>
              <w:left w:val="single" w:sz="4" w:space="0" w:color="000000"/>
              <w:bottom w:val="single" w:sz="4" w:space="0" w:color="000000"/>
              <w:right w:val="single" w:sz="4" w:space="0" w:color="000000"/>
            </w:tcBorders>
          </w:tcPr>
          <w:p w14:paraId="58DB389F"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Impacts, gestion des risques et modélisation conceptuelle</w:t>
            </w:r>
          </w:p>
        </w:tc>
        <w:tc>
          <w:tcPr>
            <w:tcW w:w="4057" w:type="dxa"/>
            <w:tcBorders>
              <w:top w:val="single" w:sz="4" w:space="0" w:color="000000"/>
              <w:left w:val="single" w:sz="4" w:space="0" w:color="000000"/>
              <w:bottom w:val="single" w:sz="4" w:space="0" w:color="000000"/>
              <w:right w:val="single" w:sz="4" w:space="0" w:color="000000"/>
            </w:tcBorders>
          </w:tcPr>
          <w:p w14:paraId="6D18097F"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Évaluation d’impacts, identification des risques, plans d’atténuation, modélisation UML</w:t>
            </w:r>
          </w:p>
        </w:tc>
      </w:tr>
      <w:tr w:rsidR="00F50D70" w:rsidRPr="00BE4F47" w14:paraId="24C0741E" w14:textId="77777777">
        <w:trPr>
          <w:cantSplit/>
          <w:trHeight w:val="415"/>
        </w:trPr>
        <w:tc>
          <w:tcPr>
            <w:tcW w:w="1900" w:type="dxa"/>
            <w:tcBorders>
              <w:top w:val="single" w:sz="4" w:space="0" w:color="000000"/>
              <w:left w:val="single" w:sz="4" w:space="0" w:color="000000"/>
              <w:bottom w:val="single" w:sz="4" w:space="0" w:color="000000"/>
              <w:right w:val="single" w:sz="4" w:space="0" w:color="000000"/>
            </w:tcBorders>
          </w:tcPr>
          <w:p w14:paraId="50072740"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Jérémie Arno Tchawo Soppewe</w:t>
            </w:r>
          </w:p>
        </w:tc>
        <w:tc>
          <w:tcPr>
            <w:tcW w:w="2600" w:type="dxa"/>
            <w:tcBorders>
              <w:top w:val="single" w:sz="4" w:space="0" w:color="000000"/>
              <w:left w:val="single" w:sz="4" w:space="0" w:color="000000"/>
              <w:bottom w:val="single" w:sz="4" w:space="0" w:color="000000"/>
              <w:right w:val="single" w:sz="4" w:space="0" w:color="000000"/>
            </w:tcBorders>
          </w:tcPr>
          <w:p w14:paraId="3D79B1E5"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Modélisation visuelle de l’échéancier et du calendrier</w:t>
            </w:r>
          </w:p>
        </w:tc>
        <w:tc>
          <w:tcPr>
            <w:tcW w:w="4057" w:type="dxa"/>
            <w:tcBorders>
              <w:top w:val="single" w:sz="4" w:space="0" w:color="000000"/>
              <w:left w:val="single" w:sz="4" w:space="0" w:color="000000"/>
              <w:bottom w:val="single" w:sz="4" w:space="0" w:color="000000"/>
              <w:right w:val="single" w:sz="4" w:space="0" w:color="000000"/>
            </w:tcBorders>
          </w:tcPr>
          <w:p w14:paraId="00AA6A66" w14:textId="29868E6D"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Outils de planification dont GanttProject, ordonnancement des activités, synthèse</w:t>
            </w:r>
          </w:p>
        </w:tc>
      </w:tr>
    </w:tbl>
    <w:p w14:paraId="53460E67" w14:textId="77777777" w:rsidR="00F50D70" w:rsidRPr="00BE4F47" w:rsidRDefault="00137D7F" w:rsidP="008E113B">
      <w:pPr>
        <w:pStyle w:val="Titre2"/>
        <w:numPr>
          <w:ilvl w:val="0"/>
          <w:numId w:val="13"/>
        </w:numPr>
        <w:spacing w:line="360" w:lineRule="auto"/>
      </w:pPr>
      <w:bookmarkStart w:id="329" w:name="__RefHeading___Toc240715119"/>
      <w:bookmarkStart w:id="330" w:name="_Toc241707768"/>
      <w:bookmarkStart w:id="331" w:name="_Toc241791717"/>
      <w:r w:rsidRPr="00BE4F47">
        <w:t>Rôles et responsabilités</w:t>
      </w:r>
      <w:bookmarkEnd w:id="329"/>
      <w:bookmarkEnd w:id="330"/>
      <w:bookmarkEnd w:id="331"/>
    </w:p>
    <w:p w14:paraId="34FFE7D6" w14:textId="2746DAD6" w:rsidR="00F50D70" w:rsidRPr="00BE4F47" w:rsidRDefault="00137D7F" w:rsidP="008E113B">
      <w:pPr>
        <w:spacing w:before="200" w:after="130" w:line="360" w:lineRule="auto"/>
        <w:ind w:left="360"/>
        <w:rPr>
          <w:rFonts w:ascii="Aptos" w:hAnsi="Aptos"/>
        </w:rPr>
      </w:pPr>
      <w:bookmarkStart w:id="332" w:name="_Toc241082880"/>
      <w:bookmarkStart w:id="333" w:name="_Toc241670061"/>
      <w:bookmarkStart w:id="334" w:name="_Toc241707769"/>
      <w:bookmarkStart w:id="335" w:name="_Toc241791718"/>
      <w:r w:rsidRPr="00BE4F47">
        <w:rPr>
          <w:rFonts w:ascii="Aptos" w:hAnsi="Aptos"/>
          <w:color w:val="1A1A19"/>
          <w:sz w:val="20"/>
          <w:szCs w:val="20"/>
        </w:rPr>
        <w:t>L</w:t>
      </w:r>
      <w:r w:rsidR="00397AD8">
        <w:rPr>
          <w:rFonts w:ascii="Aptos" w:hAnsi="Aptos"/>
          <w:color w:val="1A1A19"/>
          <w:sz w:val="20"/>
          <w:szCs w:val="20"/>
        </w:rPr>
        <w:t>a</w:t>
      </w:r>
      <w:r w:rsidRPr="00BE4F47">
        <w:rPr>
          <w:rFonts w:ascii="Aptos" w:hAnsi="Aptos"/>
          <w:color w:val="1A1A19"/>
          <w:sz w:val="20"/>
          <w:szCs w:val="20"/>
        </w:rPr>
        <w:t xml:space="preserve"> RACI</w:t>
      </w:r>
      <w:r w:rsidR="00397AD8">
        <w:rPr>
          <w:rFonts w:ascii="Aptos" w:hAnsi="Aptos"/>
          <w:color w:val="1A1A19"/>
          <w:sz w:val="20"/>
          <w:szCs w:val="20"/>
        </w:rPr>
        <w:t xml:space="preserve"> </w:t>
      </w:r>
      <w:r w:rsidR="00397AD8" w:rsidRPr="00BE4F47">
        <w:rPr>
          <w:rFonts w:ascii="Aptos" w:hAnsi="Aptos"/>
          <w:color w:val="1A1A19"/>
          <w:sz w:val="20"/>
          <w:szCs w:val="20"/>
        </w:rPr>
        <w:t>3-2</w:t>
      </w:r>
      <w:r w:rsidRPr="00BE4F47">
        <w:rPr>
          <w:rFonts w:ascii="Aptos" w:hAnsi="Aptos"/>
          <w:color w:val="1A1A19"/>
          <w:sz w:val="20"/>
          <w:szCs w:val="20"/>
        </w:rPr>
        <w:t xml:space="preserve"> indique, pour chaque tâche du plan, qui la produit, qui l’approuve et qui est consulté. Les membres qui ne figurent dans aucune de ces trois colonnes sont informés du résultat.</w:t>
      </w:r>
      <w:bookmarkEnd w:id="332"/>
      <w:bookmarkEnd w:id="333"/>
      <w:bookmarkEnd w:id="334"/>
      <w:bookmarkEnd w:id="335"/>
    </w:p>
    <w:p w14:paraId="586DD77B" w14:textId="77777777" w:rsidR="00F50D70" w:rsidRPr="00BE4F47" w:rsidRDefault="00137D7F" w:rsidP="008E113B">
      <w:pPr>
        <w:spacing w:after="130" w:line="360" w:lineRule="auto"/>
        <w:ind w:left="360"/>
        <w:rPr>
          <w:rFonts w:ascii="Aptos" w:hAnsi="Aptos"/>
        </w:rPr>
      </w:pPr>
      <w:bookmarkStart w:id="336" w:name="_Toc241082881"/>
      <w:bookmarkStart w:id="337" w:name="_Toc241670062"/>
      <w:bookmarkStart w:id="338" w:name="_Toc241707770"/>
      <w:bookmarkStart w:id="339" w:name="_Toc241791719"/>
      <w:r w:rsidRPr="00BE4F47">
        <w:rPr>
          <w:rFonts w:ascii="Aptos" w:hAnsi="Aptos"/>
          <w:color w:val="1A1A19"/>
          <w:sz w:val="20"/>
          <w:szCs w:val="20"/>
        </w:rPr>
        <w:t>Une tâche n’a qu’un seul responsable et qu’un seul approbateur, et ce n’est jamais la même personne. Le responsable produit, l’approbateur accepte. C’est la même logique que la relecture croisée de la section 4.</w:t>
      </w:r>
      <w:bookmarkEnd w:id="336"/>
      <w:bookmarkEnd w:id="337"/>
      <w:bookmarkEnd w:id="338"/>
      <w:bookmarkEnd w:id="339"/>
    </w:p>
    <w:p w14:paraId="06336B0F" w14:textId="3037F516" w:rsidR="00F50D70" w:rsidRDefault="00397AD8" w:rsidP="008E113B">
      <w:pPr>
        <w:pStyle w:val="Lgende"/>
        <w:keepNext/>
        <w:spacing w:after="130" w:line="360" w:lineRule="auto"/>
        <w:ind w:left="360"/>
        <w:rPr>
          <w:rFonts w:ascii="Aptos" w:hAnsi="Aptos"/>
          <w:color w:val="1A1A19"/>
          <w:sz w:val="20"/>
          <w:szCs w:val="20"/>
        </w:rPr>
      </w:pPr>
      <w:bookmarkStart w:id="340" w:name="_Toc241082769"/>
      <w:bookmarkStart w:id="341" w:name="_Toc241670063"/>
      <w:bookmarkStart w:id="342" w:name="_Toc241707771"/>
      <w:bookmarkStart w:id="343" w:name="_Toc241791720"/>
      <w:r w:rsidRPr="00397AD8">
        <w:lastRenderedPageBreak/>
        <w:drawing>
          <wp:anchor distT="0" distB="0" distL="114300" distR="114300" simplePos="0" relativeHeight="251661312" behindDoc="0" locked="0" layoutInCell="1" allowOverlap="1" wp14:anchorId="77253506" wp14:editId="6A67553B">
            <wp:simplePos x="0" y="0"/>
            <wp:positionH relativeFrom="column">
              <wp:posOffset>252730</wp:posOffset>
            </wp:positionH>
            <wp:positionV relativeFrom="paragraph">
              <wp:posOffset>346710</wp:posOffset>
            </wp:positionV>
            <wp:extent cx="5495925" cy="2503170"/>
            <wp:effectExtent l="0" t="0" r="9525" b="0"/>
            <wp:wrapTopAndBottom/>
            <wp:docPr id="205357463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574636" name=""/>
                    <pic:cNvPicPr/>
                  </pic:nvPicPr>
                  <pic:blipFill>
                    <a:blip r:embed="rId14">
                      <a:extLst>
                        <a:ext uri="{28A0092B-C50C-407E-A947-70E740481C1C}">
                          <a14:useLocalDpi xmlns:a14="http://schemas.microsoft.com/office/drawing/2010/main" val="0"/>
                        </a:ext>
                      </a:extLst>
                    </a:blip>
                    <a:stretch>
                      <a:fillRect/>
                    </a:stretch>
                  </pic:blipFill>
                  <pic:spPr>
                    <a:xfrm>
                      <a:off x="0" y="0"/>
                      <a:ext cx="5495925" cy="2503170"/>
                    </a:xfrm>
                    <a:prstGeom prst="rect">
                      <a:avLst/>
                    </a:prstGeom>
                  </pic:spPr>
                </pic:pic>
              </a:graphicData>
            </a:graphic>
            <wp14:sizeRelH relativeFrom="margin">
              <wp14:pctWidth>0</wp14:pctWidth>
            </wp14:sizeRelH>
            <wp14:sizeRelV relativeFrom="margin">
              <wp14:pctHeight>0</wp14:pctHeight>
            </wp14:sizeRelV>
          </wp:anchor>
        </w:drawing>
      </w:r>
      <w:r>
        <w:rPr>
          <w:rFonts w:ascii="Aptos" w:hAnsi="Aptos"/>
          <w:color w:val="1A1A19"/>
          <w:sz w:val="20"/>
          <w:szCs w:val="20"/>
        </w:rPr>
        <w:t>Matrice</w:t>
      </w:r>
      <w:r w:rsidR="00137D7F" w:rsidRPr="00BE4F47">
        <w:rPr>
          <w:rFonts w:ascii="Aptos" w:hAnsi="Aptos"/>
          <w:color w:val="1A1A19"/>
          <w:sz w:val="20"/>
          <w:szCs w:val="20"/>
        </w:rPr>
        <w:t xml:space="preserve"> 3-2. Responsable, approbateur et consultés par tâche du plan</w:t>
      </w:r>
      <w:bookmarkEnd w:id="340"/>
      <w:bookmarkEnd w:id="341"/>
      <w:bookmarkEnd w:id="342"/>
      <w:bookmarkEnd w:id="343"/>
    </w:p>
    <w:p w14:paraId="500B8CF3" w14:textId="22D06824" w:rsidR="00397AD8" w:rsidRPr="00397AD8" w:rsidRDefault="00397AD8" w:rsidP="00397AD8"/>
    <w:p w14:paraId="57B13101" w14:textId="77777777" w:rsidR="00F50D70" w:rsidRPr="00136F18" w:rsidRDefault="00137D7F" w:rsidP="008E113B">
      <w:pPr>
        <w:pStyle w:val="Titre1"/>
        <w:spacing w:line="360" w:lineRule="auto"/>
      </w:pPr>
      <w:bookmarkStart w:id="344" w:name="__RefHeading___Toc240715120"/>
      <w:bookmarkStart w:id="345" w:name="_Toc241707772"/>
      <w:bookmarkStart w:id="346" w:name="_Toc241791721"/>
      <w:bookmarkEnd w:id="344"/>
      <w:r w:rsidRPr="00136F18">
        <w:t>Stratégie de contrôle des versions</w:t>
      </w:r>
      <w:bookmarkEnd w:id="345"/>
      <w:bookmarkEnd w:id="346"/>
    </w:p>
    <w:p w14:paraId="43B1DFDC" w14:textId="77777777" w:rsidR="00F50D70" w:rsidRPr="00BE4F47" w:rsidRDefault="00137D7F" w:rsidP="008E113B">
      <w:pPr>
        <w:spacing w:before="200" w:after="130" w:line="360" w:lineRule="auto"/>
        <w:ind w:left="360"/>
        <w:rPr>
          <w:rFonts w:ascii="Aptos" w:hAnsi="Aptos"/>
        </w:rPr>
      </w:pPr>
      <w:bookmarkStart w:id="347" w:name="_Toc241082889"/>
      <w:bookmarkStart w:id="348" w:name="_Toc241670065"/>
      <w:bookmarkStart w:id="349" w:name="_Toc241707773"/>
      <w:bookmarkStart w:id="350" w:name="_Toc241791722"/>
      <w:r w:rsidRPr="00BE4F47">
        <w:rPr>
          <w:rFonts w:ascii="Aptos" w:hAnsi="Aptos"/>
          <w:color w:val="1A1A19"/>
          <w:sz w:val="20"/>
          <w:szCs w:val="20"/>
        </w:rPr>
        <w:t>Huit personnes produisent les livrables de la section 2. Cette section dit comment nous conservons et retrouvons notre travail.</w:t>
      </w:r>
      <w:bookmarkEnd w:id="347"/>
      <w:bookmarkEnd w:id="348"/>
      <w:bookmarkEnd w:id="349"/>
      <w:bookmarkEnd w:id="350"/>
    </w:p>
    <w:p w14:paraId="19E5D55D" w14:textId="77777777" w:rsidR="00F50D70" w:rsidRPr="00136F18" w:rsidRDefault="00137D7F" w:rsidP="008E113B">
      <w:pPr>
        <w:pStyle w:val="Titre2"/>
        <w:spacing w:line="360" w:lineRule="auto"/>
      </w:pPr>
      <w:bookmarkStart w:id="351" w:name="_Toc241707774"/>
      <w:bookmarkStart w:id="352" w:name="_Toc241791723"/>
      <w:r w:rsidRPr="00136F18">
        <w:t>Objet et portée</w:t>
      </w:r>
      <w:bookmarkEnd w:id="351"/>
      <w:bookmarkEnd w:id="352"/>
    </w:p>
    <w:p w14:paraId="21370D7B" w14:textId="77777777" w:rsidR="00F50D70" w:rsidRPr="00BE4F47" w:rsidRDefault="00137D7F" w:rsidP="008E113B">
      <w:pPr>
        <w:spacing w:after="130" w:line="360" w:lineRule="auto"/>
        <w:ind w:left="360"/>
        <w:rPr>
          <w:rFonts w:ascii="Aptos" w:eastAsia="Calibri" w:hAnsi="Aptos" w:cs="Calibri"/>
          <w:color w:val="1A1A19"/>
          <w:sz w:val="20"/>
          <w:szCs w:val="20"/>
        </w:rPr>
      </w:pPr>
      <w:bookmarkStart w:id="353" w:name="_Toc241082891"/>
      <w:bookmarkStart w:id="354" w:name="_Toc241670067"/>
      <w:bookmarkStart w:id="355" w:name="_Toc241707775"/>
      <w:bookmarkStart w:id="356" w:name="_Toc241791724"/>
      <w:r w:rsidRPr="00BE4F47">
        <w:rPr>
          <w:rFonts w:ascii="Aptos" w:hAnsi="Aptos"/>
          <w:color w:val="1A1A19"/>
          <w:sz w:val="20"/>
          <w:szCs w:val="20"/>
        </w:rPr>
        <w:t>La gestion porte sur tout ce que le projet produit, et pas seulement sur le code : documents, code, modèles, diagrammes, jeux de données, résultats d’essais et références.</w:t>
      </w:r>
      <w:bookmarkEnd w:id="353"/>
      <w:bookmarkEnd w:id="354"/>
      <w:bookmarkEnd w:id="355"/>
      <w:bookmarkEnd w:id="356"/>
    </w:p>
    <w:p w14:paraId="580CE01A" w14:textId="77777777" w:rsidR="00F50D70" w:rsidRPr="00BE4F47" w:rsidRDefault="00137D7F" w:rsidP="008E113B">
      <w:pPr>
        <w:spacing w:after="130" w:line="360" w:lineRule="auto"/>
        <w:ind w:left="360"/>
        <w:rPr>
          <w:rFonts w:ascii="Aptos" w:eastAsia="Calibri" w:hAnsi="Aptos" w:cs="Calibri"/>
          <w:color w:val="1A1A19"/>
          <w:sz w:val="20"/>
          <w:szCs w:val="20"/>
        </w:rPr>
      </w:pPr>
      <w:bookmarkStart w:id="357" w:name="_Toc241082892"/>
      <w:bookmarkStart w:id="358" w:name="_Toc241670068"/>
      <w:bookmarkStart w:id="359" w:name="_Toc241707776"/>
      <w:bookmarkStart w:id="360" w:name="_Toc241791725"/>
      <w:r w:rsidRPr="00BE4F47">
        <w:rPr>
          <w:rFonts w:ascii="Aptos" w:hAnsi="Aptos"/>
          <w:color w:val="1A1A19"/>
          <w:sz w:val="20"/>
          <w:szCs w:val="20"/>
        </w:rPr>
        <w:t>Trois raisons la rendent nécessaire :</w:t>
      </w:r>
      <w:bookmarkEnd w:id="357"/>
      <w:bookmarkEnd w:id="358"/>
      <w:bookmarkEnd w:id="359"/>
      <w:bookmarkEnd w:id="360"/>
    </w:p>
    <w:p w14:paraId="00FE3D09" w14:textId="77777777" w:rsidR="00F50D70" w:rsidRPr="00BE4F47" w:rsidRDefault="00137D7F" w:rsidP="008E113B">
      <w:pPr>
        <w:numPr>
          <w:ilvl w:val="0"/>
          <w:numId w:val="20"/>
        </w:numPr>
        <w:spacing w:after="130" w:line="360" w:lineRule="auto"/>
        <w:ind w:left="720"/>
        <w:rPr>
          <w:rFonts w:ascii="Aptos" w:hAnsi="Aptos"/>
          <w:lang w:val="fr-FR"/>
        </w:rPr>
      </w:pPr>
      <w:bookmarkStart w:id="361" w:name="_Toc241670069"/>
      <w:bookmarkStart w:id="362" w:name="_Toc241707777"/>
      <w:bookmarkStart w:id="363" w:name="_Toc241791726"/>
      <w:r w:rsidRPr="00BE4F47">
        <w:rPr>
          <w:rFonts w:ascii="Aptos" w:hAnsi="Aptos"/>
          <w:color w:val="1A1A19"/>
          <w:sz w:val="20"/>
          <w:szCs w:val="20"/>
        </w:rPr>
        <w:t>Nous sommes huit à écrire onze sections du même document. Sans règle commune, les versions divergent en quelques jours.</w:t>
      </w:r>
      <w:bookmarkEnd w:id="361"/>
      <w:bookmarkEnd w:id="362"/>
      <w:bookmarkEnd w:id="363"/>
    </w:p>
    <w:p w14:paraId="347831DA" w14:textId="77777777" w:rsidR="00F50D70" w:rsidRPr="00BE4F47" w:rsidRDefault="00137D7F" w:rsidP="008E113B">
      <w:pPr>
        <w:numPr>
          <w:ilvl w:val="0"/>
          <w:numId w:val="20"/>
        </w:numPr>
        <w:spacing w:after="130" w:line="360" w:lineRule="auto"/>
        <w:ind w:left="720"/>
        <w:rPr>
          <w:rFonts w:ascii="Aptos" w:hAnsi="Aptos"/>
          <w:lang w:val="fr-FR"/>
        </w:rPr>
      </w:pPr>
      <w:bookmarkStart w:id="364" w:name="_Toc241670070"/>
      <w:bookmarkStart w:id="365" w:name="_Toc241707778"/>
      <w:bookmarkStart w:id="366" w:name="_Toc241791727"/>
      <w:r w:rsidRPr="00BE4F47">
        <w:rPr>
          <w:rFonts w:ascii="Aptos" w:hAnsi="Aptos"/>
          <w:color w:val="1A1A19"/>
          <w:sz w:val="20"/>
          <w:szCs w:val="20"/>
        </w:rPr>
        <w:t>Un résultat d’essai n’a de valeur que si l’on sait quelle version du modèle et du jeu de données l’a produit. C’est la reproductibilité exigée par EX-F-02.</w:t>
      </w:r>
      <w:bookmarkEnd w:id="364"/>
      <w:bookmarkEnd w:id="365"/>
      <w:bookmarkEnd w:id="366"/>
    </w:p>
    <w:p w14:paraId="021D38CA" w14:textId="77777777" w:rsidR="00F50D70" w:rsidRPr="00BE4F47" w:rsidRDefault="00137D7F" w:rsidP="008E113B">
      <w:pPr>
        <w:numPr>
          <w:ilvl w:val="0"/>
          <w:numId w:val="20"/>
        </w:numPr>
        <w:spacing w:after="130" w:line="360" w:lineRule="auto"/>
        <w:ind w:left="720"/>
        <w:rPr>
          <w:rFonts w:ascii="Aptos" w:hAnsi="Aptos"/>
          <w:lang w:val="fr-FR"/>
        </w:rPr>
      </w:pPr>
      <w:bookmarkStart w:id="367" w:name="_Toc241670071"/>
      <w:bookmarkStart w:id="368" w:name="_Toc241707779"/>
      <w:bookmarkStart w:id="369" w:name="_Toc241791728"/>
      <w:r w:rsidRPr="00BE4F47">
        <w:rPr>
          <w:rFonts w:ascii="Aptos" w:hAnsi="Aptos"/>
          <w:color w:val="1A1A19"/>
          <w:sz w:val="20"/>
          <w:szCs w:val="20"/>
        </w:rPr>
        <w:t>Le projet se place dans un cadre nucléaire simulé. La traçabilité documentaire est une attente du système de gestion décrit par REGDOC-2.1.1 [2].</w:t>
      </w:r>
      <w:bookmarkEnd w:id="367"/>
      <w:bookmarkEnd w:id="368"/>
      <w:bookmarkEnd w:id="369"/>
    </w:p>
    <w:p w14:paraId="36184C07" w14:textId="77777777" w:rsidR="00F50D70" w:rsidRPr="00BE4F47" w:rsidRDefault="00137D7F" w:rsidP="008E113B">
      <w:pPr>
        <w:spacing w:after="130" w:line="360" w:lineRule="auto"/>
        <w:ind w:left="360"/>
        <w:rPr>
          <w:rFonts w:ascii="Aptos" w:eastAsia="Calibri" w:hAnsi="Aptos" w:cs="Calibri"/>
          <w:color w:val="1A1A19"/>
          <w:sz w:val="20"/>
          <w:szCs w:val="20"/>
        </w:rPr>
      </w:pPr>
      <w:bookmarkStart w:id="370" w:name="_Toc241082893"/>
      <w:bookmarkStart w:id="371" w:name="_Toc241670072"/>
      <w:bookmarkStart w:id="372" w:name="_Toc241707780"/>
      <w:bookmarkStart w:id="373" w:name="_Toc241791729"/>
      <w:r w:rsidRPr="00BE4F47">
        <w:rPr>
          <w:rFonts w:ascii="Aptos" w:hAnsi="Aptos"/>
          <w:color w:val="1A1A19"/>
          <w:sz w:val="20"/>
          <w:szCs w:val="20"/>
        </w:rPr>
        <w:t>Nous suivons le processus de gestion de la configuration de la norme ISO/IEC/IEEE 12207 [3], retenue au tableau des normes de la section 6 : identifier ce qui est géré, contrôler les modifications, enregistrer l’état, et vérifier que ce qui est livré est bien ce qui était prévu. La section suit cet ordre.</w:t>
      </w:r>
      <w:bookmarkEnd w:id="370"/>
      <w:bookmarkEnd w:id="371"/>
      <w:bookmarkEnd w:id="372"/>
      <w:bookmarkEnd w:id="373"/>
    </w:p>
    <w:p w14:paraId="47DD832E" w14:textId="77777777" w:rsidR="00F50D70" w:rsidRPr="00136F18" w:rsidRDefault="00137D7F" w:rsidP="008E113B">
      <w:pPr>
        <w:pStyle w:val="Titre2"/>
        <w:spacing w:line="360" w:lineRule="auto"/>
      </w:pPr>
      <w:bookmarkStart w:id="374" w:name="_Toc241707781"/>
      <w:bookmarkStart w:id="375" w:name="_Toc241791730"/>
      <w:r w:rsidRPr="00136F18">
        <w:t>Inventaire de l’information à gérer</w:t>
      </w:r>
      <w:bookmarkEnd w:id="374"/>
      <w:bookmarkEnd w:id="375"/>
    </w:p>
    <w:p w14:paraId="17FE5A7F" w14:textId="77777777" w:rsidR="00F50D70" w:rsidRPr="00BE4F47" w:rsidRDefault="00137D7F" w:rsidP="008E113B">
      <w:pPr>
        <w:spacing w:after="130" w:line="360" w:lineRule="auto"/>
        <w:ind w:left="360"/>
        <w:rPr>
          <w:rFonts w:ascii="Aptos" w:eastAsia="Calibri" w:hAnsi="Aptos" w:cs="Calibri"/>
          <w:color w:val="1A1A19"/>
          <w:sz w:val="20"/>
          <w:szCs w:val="20"/>
        </w:rPr>
      </w:pPr>
      <w:bookmarkStart w:id="376" w:name="_Toc241082896"/>
      <w:bookmarkStart w:id="377" w:name="_Toc241670074"/>
      <w:bookmarkStart w:id="378" w:name="_Toc241707782"/>
      <w:bookmarkStart w:id="379" w:name="_Toc241791731"/>
      <w:r w:rsidRPr="00BE4F47">
        <w:rPr>
          <w:rFonts w:ascii="Aptos" w:hAnsi="Aptos"/>
          <w:color w:val="1A1A19"/>
          <w:sz w:val="20"/>
          <w:szCs w:val="20"/>
        </w:rPr>
        <w:t>Le tableau 4-1 indique, pour chaque type d’information, où elle est rangée et qui en répond.</w:t>
      </w:r>
      <w:bookmarkEnd w:id="376"/>
      <w:bookmarkEnd w:id="377"/>
      <w:bookmarkEnd w:id="378"/>
      <w:bookmarkEnd w:id="379"/>
    </w:p>
    <w:p w14:paraId="13E28B5D" w14:textId="77777777" w:rsidR="00F50D70" w:rsidRPr="00BE4F47" w:rsidRDefault="00137D7F" w:rsidP="008E113B">
      <w:pPr>
        <w:pStyle w:val="Lgende"/>
        <w:keepNext/>
        <w:spacing w:line="360" w:lineRule="auto"/>
        <w:rPr>
          <w:rFonts w:ascii="Aptos" w:hAnsi="Aptos"/>
        </w:rPr>
      </w:pPr>
      <w:bookmarkStart w:id="380" w:name="_Toc241082897"/>
      <w:bookmarkStart w:id="381" w:name="_Toc241670075"/>
      <w:bookmarkStart w:id="382" w:name="_Toc241707783"/>
      <w:bookmarkStart w:id="383" w:name="_Toc241791732"/>
      <w:r w:rsidRPr="00BE4F47">
        <w:rPr>
          <w:rFonts w:ascii="Aptos" w:hAnsi="Aptos"/>
        </w:rPr>
        <w:lastRenderedPageBreak/>
        <w:t>Tableau 4-1. Éléments de configuration du projet</w:t>
      </w:r>
      <w:bookmarkEnd w:id="380"/>
      <w:bookmarkEnd w:id="381"/>
      <w:bookmarkEnd w:id="382"/>
      <w:bookmarkEnd w:id="383"/>
    </w:p>
    <w:tbl>
      <w:tblPr>
        <w:tblW w:w="8557" w:type="dxa"/>
        <w:tblInd w:w="413" w:type="dxa"/>
        <w:tblLayout w:type="fixed"/>
        <w:tblCellMar>
          <w:top w:w="55" w:type="dxa"/>
          <w:left w:w="85" w:type="dxa"/>
          <w:bottom w:w="55" w:type="dxa"/>
          <w:right w:w="85" w:type="dxa"/>
        </w:tblCellMar>
        <w:tblLook w:val="04A0" w:firstRow="1" w:lastRow="0" w:firstColumn="1" w:lastColumn="0" w:noHBand="0" w:noVBand="1"/>
      </w:tblPr>
      <w:tblGrid>
        <w:gridCol w:w="1737"/>
        <w:gridCol w:w="3712"/>
        <w:gridCol w:w="1737"/>
        <w:gridCol w:w="1371"/>
      </w:tblGrid>
      <w:tr w:rsidR="00F50D70" w:rsidRPr="00BE4F47" w14:paraId="78A03423" w14:textId="77777777" w:rsidTr="0036725C">
        <w:trPr>
          <w:tblHeader/>
        </w:trPr>
        <w:tc>
          <w:tcPr>
            <w:tcW w:w="1737"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75091E5D"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Catégorie</w:t>
            </w:r>
          </w:p>
        </w:tc>
        <w:tc>
          <w:tcPr>
            <w:tcW w:w="3712"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79DEBCBC"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Contenu</w:t>
            </w:r>
          </w:p>
        </w:tc>
        <w:tc>
          <w:tcPr>
            <w:tcW w:w="1737"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70FB6850"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Emplacement</w:t>
            </w:r>
          </w:p>
        </w:tc>
        <w:tc>
          <w:tcPr>
            <w:tcW w:w="1371"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77DDB42E"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Responsable</w:t>
            </w:r>
          </w:p>
        </w:tc>
      </w:tr>
      <w:tr w:rsidR="00F50D70" w:rsidRPr="00BE4F47" w14:paraId="3CCF79E2" w14:textId="77777777">
        <w:trPr>
          <w:cantSplit/>
        </w:trPr>
        <w:tc>
          <w:tcPr>
            <w:tcW w:w="1737" w:type="dxa"/>
            <w:tcBorders>
              <w:top w:val="single" w:sz="4" w:space="0" w:color="000000"/>
              <w:left w:val="single" w:sz="4" w:space="0" w:color="000000"/>
              <w:bottom w:val="single" w:sz="4" w:space="0" w:color="000000"/>
              <w:right w:val="single" w:sz="4" w:space="0" w:color="000000"/>
            </w:tcBorders>
          </w:tcPr>
          <w:p w14:paraId="34FD1176"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Sections du plan de projet</w:t>
            </w:r>
          </w:p>
        </w:tc>
        <w:tc>
          <w:tcPr>
            <w:tcW w:w="3712" w:type="dxa"/>
            <w:tcBorders>
              <w:top w:val="single" w:sz="4" w:space="0" w:color="000000"/>
              <w:left w:val="single" w:sz="4" w:space="0" w:color="000000"/>
              <w:bottom w:val="single" w:sz="4" w:space="0" w:color="000000"/>
              <w:right w:val="single" w:sz="4" w:space="0" w:color="000000"/>
            </w:tcBorders>
          </w:tcPr>
          <w:p w14:paraId="6B93A153"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Onze sections rédigées en format Word</w:t>
            </w:r>
          </w:p>
        </w:tc>
        <w:tc>
          <w:tcPr>
            <w:tcW w:w="1737" w:type="dxa"/>
            <w:tcBorders>
              <w:top w:val="single" w:sz="4" w:space="0" w:color="000000"/>
              <w:left w:val="single" w:sz="4" w:space="0" w:color="000000"/>
              <w:bottom w:val="single" w:sz="4" w:space="0" w:color="000000"/>
              <w:right w:val="single" w:sz="4" w:space="0" w:color="000000"/>
            </w:tcBorders>
          </w:tcPr>
          <w:p w14:paraId="19A0D59B"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Dépôt GitHub, dossier plan/</w:t>
            </w:r>
          </w:p>
        </w:tc>
        <w:tc>
          <w:tcPr>
            <w:tcW w:w="1371" w:type="dxa"/>
            <w:tcBorders>
              <w:top w:val="single" w:sz="4" w:space="0" w:color="000000"/>
              <w:left w:val="single" w:sz="4" w:space="0" w:color="000000"/>
              <w:bottom w:val="single" w:sz="4" w:space="0" w:color="000000"/>
              <w:right w:val="single" w:sz="4" w:space="0" w:color="000000"/>
            </w:tcBorders>
          </w:tcPr>
          <w:p w14:paraId="4A2F56E0"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Chargé de projet</w:t>
            </w:r>
          </w:p>
        </w:tc>
      </w:tr>
      <w:tr w:rsidR="00F50D70" w:rsidRPr="00BE4F47" w14:paraId="05A32B35" w14:textId="77777777">
        <w:trPr>
          <w:cantSplit/>
        </w:trPr>
        <w:tc>
          <w:tcPr>
            <w:tcW w:w="1737" w:type="dxa"/>
            <w:tcBorders>
              <w:top w:val="single" w:sz="4" w:space="0" w:color="000000"/>
              <w:left w:val="single" w:sz="4" w:space="0" w:color="000000"/>
              <w:bottom w:val="single" w:sz="4" w:space="0" w:color="000000"/>
              <w:right w:val="single" w:sz="4" w:space="0" w:color="000000"/>
            </w:tcBorders>
          </w:tcPr>
          <w:p w14:paraId="7E83A36C"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Code et scripts</w:t>
            </w:r>
          </w:p>
        </w:tc>
        <w:tc>
          <w:tcPr>
            <w:tcW w:w="3712" w:type="dxa"/>
            <w:tcBorders>
              <w:top w:val="single" w:sz="4" w:space="0" w:color="000000"/>
              <w:left w:val="single" w:sz="4" w:space="0" w:color="000000"/>
              <w:bottom w:val="single" w:sz="4" w:space="0" w:color="000000"/>
              <w:right w:val="single" w:sz="4" w:space="0" w:color="000000"/>
            </w:tcBorders>
          </w:tcPr>
          <w:p w14:paraId="1B215BA6"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Noyau de simulation, détection, interface</w:t>
            </w:r>
          </w:p>
        </w:tc>
        <w:tc>
          <w:tcPr>
            <w:tcW w:w="1737" w:type="dxa"/>
            <w:tcBorders>
              <w:top w:val="single" w:sz="4" w:space="0" w:color="000000"/>
              <w:left w:val="single" w:sz="4" w:space="0" w:color="000000"/>
              <w:bottom w:val="single" w:sz="4" w:space="0" w:color="000000"/>
              <w:right w:val="single" w:sz="4" w:space="0" w:color="000000"/>
            </w:tcBorders>
          </w:tcPr>
          <w:p w14:paraId="69C5BB0E"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Dépôt GitHub</w:t>
            </w:r>
          </w:p>
        </w:tc>
        <w:tc>
          <w:tcPr>
            <w:tcW w:w="1371" w:type="dxa"/>
            <w:tcBorders>
              <w:top w:val="single" w:sz="4" w:space="0" w:color="000000"/>
              <w:left w:val="single" w:sz="4" w:space="0" w:color="000000"/>
              <w:bottom w:val="single" w:sz="4" w:space="0" w:color="000000"/>
              <w:right w:val="single" w:sz="4" w:space="0" w:color="000000"/>
            </w:tcBorders>
          </w:tcPr>
          <w:p w14:paraId="61A5FA6D"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Responsable du lot</w:t>
            </w:r>
          </w:p>
        </w:tc>
      </w:tr>
      <w:tr w:rsidR="00F50D70" w:rsidRPr="00BE4F47" w14:paraId="1952C442" w14:textId="77777777">
        <w:trPr>
          <w:cantSplit/>
        </w:trPr>
        <w:tc>
          <w:tcPr>
            <w:tcW w:w="1737" w:type="dxa"/>
            <w:tcBorders>
              <w:top w:val="single" w:sz="4" w:space="0" w:color="000000"/>
              <w:left w:val="single" w:sz="4" w:space="0" w:color="000000"/>
              <w:bottom w:val="single" w:sz="4" w:space="0" w:color="000000"/>
              <w:right w:val="single" w:sz="4" w:space="0" w:color="000000"/>
            </w:tcBorders>
          </w:tcPr>
          <w:p w14:paraId="5FBD3F88"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Modèles</w:t>
            </w:r>
          </w:p>
        </w:tc>
        <w:tc>
          <w:tcPr>
            <w:tcW w:w="3712" w:type="dxa"/>
            <w:tcBorders>
              <w:top w:val="single" w:sz="4" w:space="0" w:color="000000"/>
              <w:left w:val="single" w:sz="4" w:space="0" w:color="000000"/>
              <w:bottom w:val="single" w:sz="4" w:space="0" w:color="000000"/>
              <w:right w:val="single" w:sz="4" w:space="0" w:color="000000"/>
            </w:tcBorders>
          </w:tcPr>
          <w:p w14:paraId="7A3B35D8"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Fichiers des modèles de la boucle et du modèle de référence</w:t>
            </w:r>
          </w:p>
        </w:tc>
        <w:tc>
          <w:tcPr>
            <w:tcW w:w="1737" w:type="dxa"/>
            <w:tcBorders>
              <w:top w:val="single" w:sz="4" w:space="0" w:color="000000"/>
              <w:left w:val="single" w:sz="4" w:space="0" w:color="000000"/>
              <w:bottom w:val="single" w:sz="4" w:space="0" w:color="000000"/>
              <w:right w:val="single" w:sz="4" w:space="0" w:color="000000"/>
            </w:tcBorders>
          </w:tcPr>
          <w:p w14:paraId="4C8D9FD2"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Dépôt GitHub</w:t>
            </w:r>
          </w:p>
        </w:tc>
        <w:tc>
          <w:tcPr>
            <w:tcW w:w="1371" w:type="dxa"/>
            <w:tcBorders>
              <w:top w:val="single" w:sz="4" w:space="0" w:color="000000"/>
              <w:left w:val="single" w:sz="4" w:space="0" w:color="000000"/>
              <w:bottom w:val="single" w:sz="4" w:space="0" w:color="000000"/>
              <w:right w:val="single" w:sz="4" w:space="0" w:color="000000"/>
            </w:tcBorders>
          </w:tcPr>
          <w:p w14:paraId="70391AF8"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Responsable du lot L4</w:t>
            </w:r>
          </w:p>
        </w:tc>
      </w:tr>
      <w:tr w:rsidR="00F50D70" w:rsidRPr="00BE4F47" w14:paraId="6F8ECA47" w14:textId="77777777">
        <w:trPr>
          <w:cantSplit/>
        </w:trPr>
        <w:tc>
          <w:tcPr>
            <w:tcW w:w="1737" w:type="dxa"/>
            <w:tcBorders>
              <w:top w:val="single" w:sz="4" w:space="0" w:color="000000"/>
              <w:left w:val="single" w:sz="4" w:space="0" w:color="000000"/>
              <w:bottom w:val="single" w:sz="4" w:space="0" w:color="000000"/>
              <w:right w:val="single" w:sz="4" w:space="0" w:color="000000"/>
            </w:tcBorders>
          </w:tcPr>
          <w:p w14:paraId="173FDD10"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Diagrammes</w:t>
            </w:r>
          </w:p>
        </w:tc>
        <w:tc>
          <w:tcPr>
            <w:tcW w:w="3712" w:type="dxa"/>
            <w:tcBorders>
              <w:top w:val="single" w:sz="4" w:space="0" w:color="000000"/>
              <w:left w:val="single" w:sz="4" w:space="0" w:color="000000"/>
              <w:bottom w:val="single" w:sz="4" w:space="0" w:color="000000"/>
              <w:right w:val="single" w:sz="4" w:space="0" w:color="000000"/>
            </w:tcBorders>
          </w:tcPr>
          <w:p w14:paraId="0810746D"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GEMMA, structure de découpage, arbre des risques, en format PlantUML</w:t>
            </w:r>
          </w:p>
        </w:tc>
        <w:tc>
          <w:tcPr>
            <w:tcW w:w="1737" w:type="dxa"/>
            <w:tcBorders>
              <w:top w:val="single" w:sz="4" w:space="0" w:color="000000"/>
              <w:left w:val="single" w:sz="4" w:space="0" w:color="000000"/>
              <w:bottom w:val="single" w:sz="4" w:space="0" w:color="000000"/>
              <w:right w:val="single" w:sz="4" w:space="0" w:color="000000"/>
            </w:tcBorders>
          </w:tcPr>
          <w:p w14:paraId="7A4F2341"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Dépôt GitHub</w:t>
            </w:r>
          </w:p>
        </w:tc>
        <w:tc>
          <w:tcPr>
            <w:tcW w:w="1371" w:type="dxa"/>
            <w:tcBorders>
              <w:top w:val="single" w:sz="4" w:space="0" w:color="000000"/>
              <w:left w:val="single" w:sz="4" w:space="0" w:color="000000"/>
              <w:bottom w:val="single" w:sz="4" w:space="0" w:color="000000"/>
              <w:right w:val="single" w:sz="4" w:space="0" w:color="000000"/>
            </w:tcBorders>
          </w:tcPr>
          <w:p w14:paraId="49087484"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Auteur du diagramme</w:t>
            </w:r>
          </w:p>
        </w:tc>
      </w:tr>
      <w:tr w:rsidR="00F50D70" w:rsidRPr="00BE4F47" w14:paraId="5AD280F7" w14:textId="77777777">
        <w:trPr>
          <w:cantSplit/>
        </w:trPr>
        <w:tc>
          <w:tcPr>
            <w:tcW w:w="1737" w:type="dxa"/>
            <w:tcBorders>
              <w:top w:val="single" w:sz="4" w:space="0" w:color="000000"/>
              <w:left w:val="single" w:sz="4" w:space="0" w:color="000000"/>
              <w:bottom w:val="single" w:sz="4" w:space="0" w:color="000000"/>
              <w:right w:val="single" w:sz="4" w:space="0" w:color="000000"/>
            </w:tcBorders>
          </w:tcPr>
          <w:p w14:paraId="53F2F4C3"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Jeux de données d’essai</w:t>
            </w:r>
          </w:p>
        </w:tc>
        <w:tc>
          <w:tcPr>
            <w:tcW w:w="3712" w:type="dxa"/>
            <w:tcBorders>
              <w:top w:val="single" w:sz="4" w:space="0" w:color="000000"/>
              <w:left w:val="single" w:sz="4" w:space="0" w:color="000000"/>
              <w:bottom w:val="single" w:sz="4" w:space="0" w:color="000000"/>
              <w:right w:val="single" w:sz="4" w:space="0" w:color="000000"/>
            </w:tcBorders>
          </w:tcPr>
          <w:p w14:paraId="2AA4B721"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Données synthétiques générées, bruitées et dégradées</w:t>
            </w:r>
          </w:p>
        </w:tc>
        <w:tc>
          <w:tcPr>
            <w:tcW w:w="1737" w:type="dxa"/>
            <w:tcBorders>
              <w:top w:val="single" w:sz="4" w:space="0" w:color="000000"/>
              <w:left w:val="single" w:sz="4" w:space="0" w:color="000000"/>
              <w:bottom w:val="single" w:sz="4" w:space="0" w:color="000000"/>
              <w:right w:val="single" w:sz="4" w:space="0" w:color="000000"/>
            </w:tcBorders>
          </w:tcPr>
          <w:p w14:paraId="0C12421C"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Dépôt GitHub, via Git LFS si volumineux</w:t>
            </w:r>
          </w:p>
        </w:tc>
        <w:tc>
          <w:tcPr>
            <w:tcW w:w="1371" w:type="dxa"/>
            <w:tcBorders>
              <w:top w:val="single" w:sz="4" w:space="0" w:color="000000"/>
              <w:left w:val="single" w:sz="4" w:space="0" w:color="000000"/>
              <w:bottom w:val="single" w:sz="4" w:space="0" w:color="000000"/>
              <w:right w:val="single" w:sz="4" w:space="0" w:color="000000"/>
            </w:tcBorders>
          </w:tcPr>
          <w:p w14:paraId="337EECD6"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Responsable du lot L9</w:t>
            </w:r>
          </w:p>
        </w:tc>
      </w:tr>
      <w:tr w:rsidR="00F50D70" w:rsidRPr="00BE4F47" w14:paraId="781D783D" w14:textId="77777777">
        <w:trPr>
          <w:cantSplit/>
        </w:trPr>
        <w:tc>
          <w:tcPr>
            <w:tcW w:w="1737" w:type="dxa"/>
            <w:tcBorders>
              <w:top w:val="single" w:sz="4" w:space="0" w:color="000000"/>
              <w:left w:val="single" w:sz="4" w:space="0" w:color="000000"/>
              <w:bottom w:val="single" w:sz="4" w:space="0" w:color="000000"/>
              <w:right w:val="single" w:sz="4" w:space="0" w:color="000000"/>
            </w:tcBorders>
          </w:tcPr>
          <w:p w14:paraId="58AA6D87"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Résultats d’essais</w:t>
            </w:r>
          </w:p>
        </w:tc>
        <w:tc>
          <w:tcPr>
            <w:tcW w:w="3712" w:type="dxa"/>
            <w:tcBorders>
              <w:top w:val="single" w:sz="4" w:space="0" w:color="000000"/>
              <w:left w:val="single" w:sz="4" w:space="0" w:color="000000"/>
              <w:bottom w:val="single" w:sz="4" w:space="0" w:color="000000"/>
              <w:right w:val="single" w:sz="4" w:space="0" w:color="000000"/>
            </w:tcBorders>
          </w:tcPr>
          <w:p w14:paraId="1D38C02B"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Journaux, mesures, rapports de couverture</w:t>
            </w:r>
          </w:p>
        </w:tc>
        <w:tc>
          <w:tcPr>
            <w:tcW w:w="1737" w:type="dxa"/>
            <w:tcBorders>
              <w:top w:val="single" w:sz="4" w:space="0" w:color="000000"/>
              <w:left w:val="single" w:sz="4" w:space="0" w:color="000000"/>
              <w:bottom w:val="single" w:sz="4" w:space="0" w:color="000000"/>
              <w:right w:val="single" w:sz="4" w:space="0" w:color="000000"/>
            </w:tcBorders>
          </w:tcPr>
          <w:p w14:paraId="2530E938"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Dépôt GitHub</w:t>
            </w:r>
          </w:p>
        </w:tc>
        <w:tc>
          <w:tcPr>
            <w:tcW w:w="1371" w:type="dxa"/>
            <w:tcBorders>
              <w:top w:val="single" w:sz="4" w:space="0" w:color="000000"/>
              <w:left w:val="single" w:sz="4" w:space="0" w:color="000000"/>
              <w:bottom w:val="single" w:sz="4" w:space="0" w:color="000000"/>
              <w:right w:val="single" w:sz="4" w:space="0" w:color="000000"/>
            </w:tcBorders>
          </w:tcPr>
          <w:p w14:paraId="606FDAA4"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Responsable du lot L9</w:t>
            </w:r>
          </w:p>
        </w:tc>
      </w:tr>
      <w:tr w:rsidR="00F50D70" w:rsidRPr="00BE4F47" w14:paraId="5C5586A3" w14:textId="77777777">
        <w:trPr>
          <w:cantSplit/>
        </w:trPr>
        <w:tc>
          <w:tcPr>
            <w:tcW w:w="1737" w:type="dxa"/>
            <w:tcBorders>
              <w:top w:val="single" w:sz="4" w:space="0" w:color="000000"/>
              <w:left w:val="single" w:sz="4" w:space="0" w:color="000000"/>
              <w:bottom w:val="single" w:sz="4" w:space="0" w:color="000000"/>
              <w:right w:val="single" w:sz="4" w:space="0" w:color="000000"/>
            </w:tcBorders>
          </w:tcPr>
          <w:p w14:paraId="1D9AAC68"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Références bibliographiques</w:t>
            </w:r>
          </w:p>
        </w:tc>
        <w:tc>
          <w:tcPr>
            <w:tcW w:w="3712" w:type="dxa"/>
            <w:tcBorders>
              <w:top w:val="single" w:sz="4" w:space="0" w:color="000000"/>
              <w:left w:val="single" w:sz="4" w:space="0" w:color="000000"/>
              <w:bottom w:val="single" w:sz="4" w:space="0" w:color="000000"/>
              <w:right w:val="single" w:sz="4" w:space="0" w:color="000000"/>
            </w:tcBorders>
          </w:tcPr>
          <w:p w14:paraId="51D4C927"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Bibliothèque des sources citées dans les onze sections</w:t>
            </w:r>
          </w:p>
        </w:tc>
        <w:tc>
          <w:tcPr>
            <w:tcW w:w="1737" w:type="dxa"/>
            <w:tcBorders>
              <w:top w:val="single" w:sz="4" w:space="0" w:color="000000"/>
              <w:left w:val="single" w:sz="4" w:space="0" w:color="000000"/>
              <w:bottom w:val="single" w:sz="4" w:space="0" w:color="000000"/>
              <w:right w:val="single" w:sz="4" w:space="0" w:color="000000"/>
            </w:tcBorders>
          </w:tcPr>
          <w:p w14:paraId="6B35BFEC"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Zotero, avec export déposé au dépôt</w:t>
            </w:r>
          </w:p>
        </w:tc>
        <w:tc>
          <w:tcPr>
            <w:tcW w:w="1371" w:type="dxa"/>
            <w:tcBorders>
              <w:top w:val="single" w:sz="4" w:space="0" w:color="000000"/>
              <w:left w:val="single" w:sz="4" w:space="0" w:color="000000"/>
              <w:bottom w:val="single" w:sz="4" w:space="0" w:color="000000"/>
              <w:right w:val="single" w:sz="4" w:space="0" w:color="000000"/>
            </w:tcBorders>
          </w:tcPr>
          <w:p w14:paraId="0810AA03"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Chargé de projet</w:t>
            </w:r>
          </w:p>
        </w:tc>
      </w:tr>
      <w:tr w:rsidR="00F50D70" w:rsidRPr="00BE4F47" w14:paraId="65B5E094" w14:textId="77777777">
        <w:trPr>
          <w:cantSplit/>
        </w:trPr>
        <w:tc>
          <w:tcPr>
            <w:tcW w:w="1737" w:type="dxa"/>
            <w:tcBorders>
              <w:top w:val="single" w:sz="4" w:space="0" w:color="000000"/>
              <w:left w:val="single" w:sz="4" w:space="0" w:color="000000"/>
              <w:bottom w:val="single" w:sz="4" w:space="0" w:color="000000"/>
              <w:right w:val="single" w:sz="4" w:space="0" w:color="000000"/>
            </w:tcBorders>
          </w:tcPr>
          <w:p w14:paraId="581B0C22"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Suivi des tâches et des risques</w:t>
            </w:r>
          </w:p>
        </w:tc>
        <w:tc>
          <w:tcPr>
            <w:tcW w:w="3712" w:type="dxa"/>
            <w:tcBorders>
              <w:top w:val="single" w:sz="4" w:space="0" w:color="000000"/>
              <w:left w:val="single" w:sz="4" w:space="0" w:color="000000"/>
              <w:bottom w:val="single" w:sz="4" w:space="0" w:color="000000"/>
              <w:right w:val="single" w:sz="4" w:space="0" w:color="000000"/>
            </w:tcBorders>
          </w:tcPr>
          <w:p w14:paraId="20AD5AEE"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Éléments de travail, affectations, listes de vérification</w:t>
            </w:r>
          </w:p>
        </w:tc>
        <w:tc>
          <w:tcPr>
            <w:tcW w:w="1737" w:type="dxa"/>
            <w:tcBorders>
              <w:top w:val="single" w:sz="4" w:space="0" w:color="000000"/>
              <w:left w:val="single" w:sz="4" w:space="0" w:color="000000"/>
              <w:bottom w:val="single" w:sz="4" w:space="0" w:color="000000"/>
              <w:right w:val="single" w:sz="4" w:space="0" w:color="000000"/>
            </w:tcBorders>
          </w:tcPr>
          <w:p w14:paraId="3586297D"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GitHub Projects et issues</w:t>
            </w:r>
          </w:p>
        </w:tc>
        <w:tc>
          <w:tcPr>
            <w:tcW w:w="1371" w:type="dxa"/>
            <w:tcBorders>
              <w:top w:val="single" w:sz="4" w:space="0" w:color="000000"/>
              <w:left w:val="single" w:sz="4" w:space="0" w:color="000000"/>
              <w:bottom w:val="single" w:sz="4" w:space="0" w:color="000000"/>
              <w:right w:val="single" w:sz="4" w:space="0" w:color="000000"/>
            </w:tcBorders>
          </w:tcPr>
          <w:p w14:paraId="76F26FC2"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Chargé de projet</w:t>
            </w:r>
          </w:p>
        </w:tc>
      </w:tr>
      <w:tr w:rsidR="00F50D70" w:rsidRPr="00BE4F47" w14:paraId="374B7B4A" w14:textId="77777777">
        <w:trPr>
          <w:cantSplit/>
        </w:trPr>
        <w:tc>
          <w:tcPr>
            <w:tcW w:w="1737" w:type="dxa"/>
            <w:tcBorders>
              <w:top w:val="single" w:sz="4" w:space="0" w:color="000000"/>
              <w:left w:val="single" w:sz="4" w:space="0" w:color="000000"/>
              <w:bottom w:val="single" w:sz="4" w:space="0" w:color="000000"/>
              <w:right w:val="single" w:sz="4" w:space="0" w:color="000000"/>
            </w:tcBorders>
          </w:tcPr>
          <w:p w14:paraId="0D758235"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Comptes rendus</w:t>
            </w:r>
          </w:p>
        </w:tc>
        <w:tc>
          <w:tcPr>
            <w:tcW w:w="3712" w:type="dxa"/>
            <w:tcBorders>
              <w:top w:val="single" w:sz="4" w:space="0" w:color="000000"/>
              <w:left w:val="single" w:sz="4" w:space="0" w:color="000000"/>
              <w:bottom w:val="single" w:sz="4" w:space="0" w:color="000000"/>
              <w:right w:val="single" w:sz="4" w:space="0" w:color="000000"/>
            </w:tcBorders>
          </w:tcPr>
          <w:p w14:paraId="7010E911"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Minutes de laboratoire et d’atelier</w:t>
            </w:r>
          </w:p>
        </w:tc>
        <w:tc>
          <w:tcPr>
            <w:tcW w:w="1737" w:type="dxa"/>
            <w:tcBorders>
              <w:top w:val="single" w:sz="4" w:space="0" w:color="000000"/>
              <w:left w:val="single" w:sz="4" w:space="0" w:color="000000"/>
              <w:bottom w:val="single" w:sz="4" w:space="0" w:color="000000"/>
              <w:right w:val="single" w:sz="4" w:space="0" w:color="000000"/>
            </w:tcBorders>
          </w:tcPr>
          <w:p w14:paraId="53CA2BC2"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Dépôt GitHub, dossier comptes-rendus/</w:t>
            </w:r>
          </w:p>
        </w:tc>
        <w:tc>
          <w:tcPr>
            <w:tcW w:w="1371" w:type="dxa"/>
            <w:tcBorders>
              <w:top w:val="single" w:sz="4" w:space="0" w:color="000000"/>
              <w:left w:val="single" w:sz="4" w:space="0" w:color="000000"/>
              <w:bottom w:val="single" w:sz="4" w:space="0" w:color="000000"/>
              <w:right w:val="single" w:sz="4" w:space="0" w:color="000000"/>
            </w:tcBorders>
          </w:tcPr>
          <w:p w14:paraId="0DFD919D"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Membre désigné en séance</w:t>
            </w:r>
          </w:p>
        </w:tc>
      </w:tr>
      <w:tr w:rsidR="00F50D70" w:rsidRPr="00BE4F47" w14:paraId="64B02162" w14:textId="77777777">
        <w:trPr>
          <w:cantSplit/>
        </w:trPr>
        <w:tc>
          <w:tcPr>
            <w:tcW w:w="1737" w:type="dxa"/>
            <w:tcBorders>
              <w:top w:val="single" w:sz="4" w:space="0" w:color="000000"/>
              <w:left w:val="single" w:sz="4" w:space="0" w:color="000000"/>
              <w:bottom w:val="single" w:sz="4" w:space="0" w:color="000000"/>
              <w:right w:val="single" w:sz="4" w:space="0" w:color="000000"/>
            </w:tcBorders>
          </w:tcPr>
          <w:p w14:paraId="65C58D36"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Environnement d’exécution</w:t>
            </w:r>
          </w:p>
        </w:tc>
        <w:tc>
          <w:tcPr>
            <w:tcW w:w="3712" w:type="dxa"/>
            <w:tcBorders>
              <w:top w:val="single" w:sz="4" w:space="0" w:color="000000"/>
              <w:left w:val="single" w:sz="4" w:space="0" w:color="000000"/>
              <w:bottom w:val="single" w:sz="4" w:space="0" w:color="000000"/>
              <w:right w:val="single" w:sz="4" w:space="0" w:color="000000"/>
            </w:tcBorders>
          </w:tcPr>
          <w:p w14:paraId="66C74DD2"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Versions des bibliothèques employées pour les essais</w:t>
            </w:r>
          </w:p>
        </w:tc>
        <w:tc>
          <w:tcPr>
            <w:tcW w:w="1737" w:type="dxa"/>
            <w:tcBorders>
              <w:top w:val="single" w:sz="4" w:space="0" w:color="000000"/>
              <w:left w:val="single" w:sz="4" w:space="0" w:color="000000"/>
              <w:bottom w:val="single" w:sz="4" w:space="0" w:color="000000"/>
              <w:right w:val="single" w:sz="4" w:space="0" w:color="000000"/>
            </w:tcBorders>
          </w:tcPr>
          <w:p w14:paraId="07015F23"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Fichier d’environnement au dépôt</w:t>
            </w:r>
          </w:p>
        </w:tc>
        <w:tc>
          <w:tcPr>
            <w:tcW w:w="1371" w:type="dxa"/>
            <w:tcBorders>
              <w:top w:val="single" w:sz="4" w:space="0" w:color="000000"/>
              <w:left w:val="single" w:sz="4" w:space="0" w:color="000000"/>
              <w:bottom w:val="single" w:sz="4" w:space="0" w:color="000000"/>
              <w:right w:val="single" w:sz="4" w:space="0" w:color="000000"/>
            </w:tcBorders>
          </w:tcPr>
          <w:p w14:paraId="5AAB8021"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Responsable du lot L6</w:t>
            </w:r>
          </w:p>
        </w:tc>
      </w:tr>
    </w:tbl>
    <w:p w14:paraId="40D094F6" w14:textId="77777777" w:rsidR="00F50D70" w:rsidRPr="00BE4F47" w:rsidRDefault="00137D7F" w:rsidP="008E113B">
      <w:pPr>
        <w:spacing w:before="200" w:after="130" w:line="360" w:lineRule="auto"/>
        <w:ind w:left="360"/>
        <w:rPr>
          <w:rFonts w:ascii="Aptos" w:eastAsia="Calibri" w:hAnsi="Aptos" w:cs="Calibri"/>
          <w:color w:val="1A1A19"/>
          <w:sz w:val="20"/>
          <w:szCs w:val="20"/>
        </w:rPr>
      </w:pPr>
      <w:bookmarkStart w:id="384" w:name="_Toc241082898"/>
      <w:bookmarkStart w:id="385" w:name="_Toc241670076"/>
      <w:bookmarkStart w:id="386" w:name="_Toc241707784"/>
      <w:bookmarkStart w:id="387" w:name="_Toc241791733"/>
      <w:r w:rsidRPr="00BE4F47">
        <w:rPr>
          <w:rFonts w:ascii="Aptos" w:hAnsi="Aptos"/>
          <w:color w:val="1A1A19"/>
          <w:sz w:val="20"/>
          <w:szCs w:val="20"/>
        </w:rPr>
        <w:t>Tout est dans le même dépôt, sauf la bibliothèque Zotero, dont un export est déposé à chaque jalon. Le compte rendu de séance est pris à tour de rôle par le membre désigné en début de séance. Les notes personnelles des membres ne sont pas déposées.</w:t>
      </w:r>
      <w:bookmarkEnd w:id="384"/>
      <w:bookmarkEnd w:id="385"/>
      <w:bookmarkEnd w:id="386"/>
      <w:bookmarkEnd w:id="387"/>
    </w:p>
    <w:p w14:paraId="6CD7AF21" w14:textId="77777777" w:rsidR="00F50D70" w:rsidRPr="00136F18" w:rsidRDefault="00137D7F" w:rsidP="008E113B">
      <w:pPr>
        <w:pStyle w:val="Titre2"/>
        <w:spacing w:line="360" w:lineRule="auto"/>
      </w:pPr>
      <w:bookmarkStart w:id="388" w:name="_Toc241707785"/>
      <w:bookmarkStart w:id="389" w:name="_Toc241791734"/>
      <w:r w:rsidRPr="00136F18">
        <w:t>Outils retenus</w:t>
      </w:r>
      <w:bookmarkEnd w:id="388"/>
      <w:bookmarkEnd w:id="389"/>
    </w:p>
    <w:p w14:paraId="29666593" w14:textId="77777777" w:rsidR="00F50D70" w:rsidRPr="00BE4F47" w:rsidRDefault="00137D7F" w:rsidP="008E113B">
      <w:pPr>
        <w:spacing w:after="130" w:line="360" w:lineRule="auto"/>
        <w:ind w:left="360"/>
        <w:rPr>
          <w:rFonts w:ascii="Aptos" w:eastAsia="Calibri" w:hAnsi="Aptos" w:cs="Calibri"/>
          <w:color w:val="1A1A19"/>
          <w:sz w:val="20"/>
          <w:szCs w:val="20"/>
        </w:rPr>
      </w:pPr>
      <w:bookmarkStart w:id="390" w:name="_Toc241082901"/>
      <w:bookmarkStart w:id="391" w:name="_Toc241670078"/>
      <w:bookmarkStart w:id="392" w:name="_Toc241707786"/>
      <w:bookmarkStart w:id="393" w:name="_Toc241791735"/>
      <w:r w:rsidRPr="00BE4F47">
        <w:rPr>
          <w:rFonts w:ascii="Aptos" w:hAnsi="Aptos"/>
          <w:color w:val="1A1A19"/>
          <w:sz w:val="20"/>
          <w:szCs w:val="20"/>
        </w:rPr>
        <w:t>Nous utilisons un seul dépôt GitHub, qui contient le code, les modèles, les diagrammes et les sections du plan. Les outils de développement eux-mêmes sont au tableau 8-4.</w:t>
      </w:r>
      <w:bookmarkEnd w:id="390"/>
      <w:bookmarkEnd w:id="391"/>
      <w:bookmarkEnd w:id="392"/>
      <w:bookmarkEnd w:id="393"/>
    </w:p>
    <w:p w14:paraId="5853711F" w14:textId="77777777" w:rsidR="00F50D70" w:rsidRPr="00BE4F47" w:rsidRDefault="00137D7F" w:rsidP="008E113B">
      <w:pPr>
        <w:pStyle w:val="Lgende"/>
        <w:keepNext/>
        <w:spacing w:line="360" w:lineRule="auto"/>
        <w:rPr>
          <w:rFonts w:ascii="Aptos" w:hAnsi="Aptos"/>
        </w:rPr>
      </w:pPr>
      <w:bookmarkStart w:id="394" w:name="_Toc241082902"/>
      <w:bookmarkStart w:id="395" w:name="_Toc241670079"/>
      <w:bookmarkStart w:id="396" w:name="_Toc241707787"/>
      <w:bookmarkStart w:id="397" w:name="_Toc241791736"/>
      <w:r w:rsidRPr="00BE4F47">
        <w:rPr>
          <w:rFonts w:ascii="Aptos" w:hAnsi="Aptos"/>
        </w:rPr>
        <w:t>Tableau 4-2. Outils employés pour la gestion des versions</w:t>
      </w:r>
      <w:bookmarkEnd w:id="394"/>
      <w:bookmarkEnd w:id="395"/>
      <w:bookmarkEnd w:id="396"/>
      <w:bookmarkEnd w:id="397"/>
    </w:p>
    <w:tbl>
      <w:tblPr>
        <w:tblW w:w="8557" w:type="dxa"/>
        <w:tblInd w:w="413" w:type="dxa"/>
        <w:tblLayout w:type="fixed"/>
        <w:tblCellMar>
          <w:top w:w="55" w:type="dxa"/>
          <w:left w:w="85" w:type="dxa"/>
          <w:bottom w:w="55" w:type="dxa"/>
          <w:right w:w="85" w:type="dxa"/>
        </w:tblCellMar>
        <w:tblLook w:val="04A0" w:firstRow="1" w:lastRow="0" w:firstColumn="1" w:lastColumn="0" w:noHBand="0" w:noVBand="1"/>
      </w:tblPr>
      <w:tblGrid>
        <w:gridCol w:w="3709"/>
        <w:gridCol w:w="4848"/>
      </w:tblGrid>
      <w:tr w:rsidR="00F50D70" w:rsidRPr="00BE4F47" w14:paraId="2171CC39" w14:textId="77777777" w:rsidTr="0036725C">
        <w:trPr>
          <w:tblHeader/>
        </w:trPr>
        <w:tc>
          <w:tcPr>
            <w:tcW w:w="3709"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14279F5C"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Outil</w:t>
            </w:r>
          </w:p>
        </w:tc>
        <w:tc>
          <w:tcPr>
            <w:tcW w:w="4848"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4F1951E1"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Ce qu’il nous apporte</w:t>
            </w:r>
          </w:p>
        </w:tc>
      </w:tr>
      <w:tr w:rsidR="00F50D70" w:rsidRPr="00BE4F47" w14:paraId="47274AC7" w14:textId="77777777">
        <w:trPr>
          <w:cantSplit/>
        </w:trPr>
        <w:tc>
          <w:tcPr>
            <w:tcW w:w="3709" w:type="dxa"/>
            <w:tcBorders>
              <w:top w:val="single" w:sz="4" w:space="0" w:color="000000"/>
              <w:left w:val="single" w:sz="4" w:space="0" w:color="000000"/>
              <w:bottom w:val="single" w:sz="4" w:space="0" w:color="000000"/>
              <w:right w:val="single" w:sz="4" w:space="0" w:color="000000"/>
            </w:tcBorders>
          </w:tcPr>
          <w:p w14:paraId="25B45BC2"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Dépôt Git sur GitHub</w:t>
            </w:r>
          </w:p>
        </w:tc>
        <w:tc>
          <w:tcPr>
            <w:tcW w:w="4848" w:type="dxa"/>
            <w:tcBorders>
              <w:top w:val="single" w:sz="4" w:space="0" w:color="000000"/>
              <w:left w:val="single" w:sz="4" w:space="0" w:color="000000"/>
              <w:bottom w:val="single" w:sz="4" w:space="0" w:color="000000"/>
              <w:right w:val="single" w:sz="4" w:space="0" w:color="000000"/>
            </w:tcBorders>
          </w:tcPr>
          <w:p w14:paraId="1330EC09"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Chaque modification est datée et attribuée. Chacun en garde une copie complète.</w:t>
            </w:r>
          </w:p>
        </w:tc>
      </w:tr>
      <w:tr w:rsidR="00F50D70" w:rsidRPr="00BE4F47" w14:paraId="6D026175" w14:textId="77777777">
        <w:trPr>
          <w:cantSplit/>
        </w:trPr>
        <w:tc>
          <w:tcPr>
            <w:tcW w:w="3709" w:type="dxa"/>
            <w:tcBorders>
              <w:top w:val="single" w:sz="4" w:space="0" w:color="000000"/>
              <w:left w:val="single" w:sz="4" w:space="0" w:color="000000"/>
              <w:bottom w:val="single" w:sz="4" w:space="0" w:color="000000"/>
              <w:right w:val="single" w:sz="4" w:space="0" w:color="000000"/>
            </w:tcBorders>
          </w:tcPr>
          <w:p w14:paraId="79B5C446"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Demandes de tirage</w:t>
            </w:r>
          </w:p>
        </w:tc>
        <w:tc>
          <w:tcPr>
            <w:tcW w:w="4848" w:type="dxa"/>
            <w:tcBorders>
              <w:top w:val="single" w:sz="4" w:space="0" w:color="000000"/>
              <w:left w:val="single" w:sz="4" w:space="0" w:color="000000"/>
              <w:bottom w:val="single" w:sz="4" w:space="0" w:color="000000"/>
              <w:right w:val="single" w:sz="4" w:space="0" w:color="000000"/>
            </w:tcBorders>
          </w:tcPr>
          <w:p w14:paraId="4D37B407"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Un changement est lu par quelqu’un d’autre avant d’entrer dans la version principale.</w:t>
            </w:r>
          </w:p>
        </w:tc>
      </w:tr>
      <w:tr w:rsidR="00F50D70" w:rsidRPr="00BE4F47" w14:paraId="1FF17DB6" w14:textId="77777777">
        <w:trPr>
          <w:cantSplit/>
        </w:trPr>
        <w:tc>
          <w:tcPr>
            <w:tcW w:w="3709" w:type="dxa"/>
            <w:tcBorders>
              <w:top w:val="single" w:sz="4" w:space="0" w:color="000000"/>
              <w:left w:val="single" w:sz="4" w:space="0" w:color="000000"/>
              <w:bottom w:val="single" w:sz="4" w:space="0" w:color="000000"/>
              <w:right w:val="single" w:sz="4" w:space="0" w:color="000000"/>
            </w:tcBorders>
          </w:tcPr>
          <w:p w14:paraId="0F61BB72"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Issues et GitHub Projects</w:t>
            </w:r>
          </w:p>
        </w:tc>
        <w:tc>
          <w:tcPr>
            <w:tcW w:w="4848" w:type="dxa"/>
            <w:tcBorders>
              <w:top w:val="single" w:sz="4" w:space="0" w:color="000000"/>
              <w:left w:val="single" w:sz="4" w:space="0" w:color="000000"/>
              <w:bottom w:val="single" w:sz="4" w:space="0" w:color="000000"/>
              <w:right w:val="single" w:sz="4" w:space="0" w:color="000000"/>
            </w:tcBorders>
          </w:tcPr>
          <w:p w14:paraId="3360B44B"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Une tâche par élément de travail, rattachée à un lot et à un jalon.</w:t>
            </w:r>
          </w:p>
        </w:tc>
      </w:tr>
      <w:tr w:rsidR="00F50D70" w:rsidRPr="00BE4F47" w14:paraId="0C9ECA21" w14:textId="77777777">
        <w:trPr>
          <w:cantSplit/>
        </w:trPr>
        <w:tc>
          <w:tcPr>
            <w:tcW w:w="3709" w:type="dxa"/>
            <w:tcBorders>
              <w:top w:val="single" w:sz="4" w:space="0" w:color="000000"/>
              <w:left w:val="single" w:sz="4" w:space="0" w:color="000000"/>
              <w:bottom w:val="single" w:sz="4" w:space="0" w:color="000000"/>
              <w:right w:val="single" w:sz="4" w:space="0" w:color="000000"/>
            </w:tcBorders>
          </w:tcPr>
          <w:p w14:paraId="0E706824"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Étiquettes de version</w:t>
            </w:r>
          </w:p>
        </w:tc>
        <w:tc>
          <w:tcPr>
            <w:tcW w:w="4848" w:type="dxa"/>
            <w:tcBorders>
              <w:top w:val="single" w:sz="4" w:space="0" w:color="000000"/>
              <w:left w:val="single" w:sz="4" w:space="0" w:color="000000"/>
              <w:bottom w:val="single" w:sz="4" w:space="0" w:color="000000"/>
              <w:right w:val="single" w:sz="4" w:space="0" w:color="000000"/>
            </w:tcBorders>
          </w:tcPr>
          <w:p w14:paraId="0957E953"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L’état du dépôt à chaque jalon est conservé et peut être retéléchargé.</w:t>
            </w:r>
          </w:p>
        </w:tc>
      </w:tr>
      <w:tr w:rsidR="00F50D70" w:rsidRPr="00BE4F47" w14:paraId="4CAE32CD" w14:textId="77777777">
        <w:trPr>
          <w:cantSplit/>
        </w:trPr>
        <w:tc>
          <w:tcPr>
            <w:tcW w:w="3709" w:type="dxa"/>
            <w:tcBorders>
              <w:top w:val="single" w:sz="4" w:space="0" w:color="000000"/>
              <w:left w:val="single" w:sz="4" w:space="0" w:color="000000"/>
              <w:bottom w:val="single" w:sz="4" w:space="0" w:color="000000"/>
              <w:right w:val="single" w:sz="4" w:space="0" w:color="000000"/>
            </w:tcBorders>
          </w:tcPr>
          <w:p w14:paraId="42BD1793"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Zotero, style IEEE</w:t>
            </w:r>
          </w:p>
        </w:tc>
        <w:tc>
          <w:tcPr>
            <w:tcW w:w="4848" w:type="dxa"/>
            <w:tcBorders>
              <w:top w:val="single" w:sz="4" w:space="0" w:color="000000"/>
              <w:left w:val="single" w:sz="4" w:space="0" w:color="000000"/>
              <w:bottom w:val="single" w:sz="4" w:space="0" w:color="000000"/>
              <w:right w:val="single" w:sz="4" w:space="0" w:color="000000"/>
            </w:tcBorders>
          </w:tcPr>
          <w:p w14:paraId="6B3E3618"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Une seule bibliographie pour les onze sections.</w:t>
            </w:r>
          </w:p>
        </w:tc>
      </w:tr>
      <w:tr w:rsidR="00F50D70" w:rsidRPr="00BE4F47" w14:paraId="0F9B7310" w14:textId="77777777">
        <w:trPr>
          <w:cantSplit/>
        </w:trPr>
        <w:tc>
          <w:tcPr>
            <w:tcW w:w="3709" w:type="dxa"/>
            <w:tcBorders>
              <w:top w:val="single" w:sz="4" w:space="0" w:color="000000"/>
              <w:left w:val="single" w:sz="4" w:space="0" w:color="000000"/>
              <w:bottom w:val="single" w:sz="4" w:space="0" w:color="000000"/>
              <w:right w:val="single" w:sz="4" w:space="0" w:color="000000"/>
            </w:tcBorders>
          </w:tcPr>
          <w:p w14:paraId="51DFB485"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Fichier d’environnement au dépôt</w:t>
            </w:r>
          </w:p>
        </w:tc>
        <w:tc>
          <w:tcPr>
            <w:tcW w:w="4848" w:type="dxa"/>
            <w:tcBorders>
              <w:top w:val="single" w:sz="4" w:space="0" w:color="000000"/>
              <w:left w:val="single" w:sz="4" w:space="0" w:color="000000"/>
              <w:bottom w:val="single" w:sz="4" w:space="0" w:color="000000"/>
              <w:right w:val="single" w:sz="4" w:space="0" w:color="000000"/>
            </w:tcBorders>
          </w:tcPr>
          <w:p w14:paraId="0E1D2830"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Les versions des bibliothèques employées pour un essai sont figées.</w:t>
            </w:r>
          </w:p>
        </w:tc>
      </w:tr>
    </w:tbl>
    <w:p w14:paraId="48F9749F" w14:textId="77777777" w:rsidR="00F50D70" w:rsidRPr="00136F18" w:rsidRDefault="00137D7F" w:rsidP="008E113B">
      <w:pPr>
        <w:pStyle w:val="Titre2"/>
        <w:spacing w:line="360" w:lineRule="auto"/>
      </w:pPr>
      <w:bookmarkStart w:id="398" w:name="_Toc241707788"/>
      <w:bookmarkStart w:id="399" w:name="_Toc241791737"/>
      <w:r w:rsidRPr="00136F18">
        <w:lastRenderedPageBreak/>
        <w:t>Flux de travail et revue par les pairs</w:t>
      </w:r>
      <w:bookmarkEnd w:id="398"/>
      <w:bookmarkEnd w:id="399"/>
    </w:p>
    <w:p w14:paraId="24FBD054" w14:textId="77777777" w:rsidR="00F50D70" w:rsidRPr="00BE4F47" w:rsidRDefault="00137D7F" w:rsidP="008E113B">
      <w:pPr>
        <w:spacing w:before="200" w:after="130" w:line="360" w:lineRule="auto"/>
        <w:ind w:left="360"/>
        <w:rPr>
          <w:rFonts w:ascii="Aptos" w:eastAsia="Calibri" w:hAnsi="Aptos" w:cs="Calibri"/>
          <w:color w:val="1A1A19"/>
          <w:sz w:val="20"/>
          <w:szCs w:val="20"/>
        </w:rPr>
      </w:pPr>
      <w:bookmarkStart w:id="400" w:name="_Toc241082904"/>
      <w:bookmarkStart w:id="401" w:name="_Toc241670081"/>
      <w:bookmarkStart w:id="402" w:name="_Toc241707789"/>
      <w:bookmarkStart w:id="403" w:name="_Toc241791738"/>
      <w:r w:rsidRPr="00BE4F47">
        <w:rPr>
          <w:rFonts w:ascii="Aptos" w:hAnsi="Aptos"/>
          <w:color w:val="1A1A19"/>
          <w:sz w:val="20"/>
          <w:szCs w:val="20"/>
        </w:rPr>
        <w:t>Personne n’écrit directement dans la branche principale. Chaque travail se fait sur une branche nommée d’après le lot et l’objet du travail.</w:t>
      </w:r>
      <w:bookmarkEnd w:id="400"/>
      <w:bookmarkEnd w:id="401"/>
      <w:bookmarkEnd w:id="402"/>
      <w:bookmarkEnd w:id="403"/>
    </w:p>
    <w:p w14:paraId="6B73F4D0" w14:textId="77777777" w:rsidR="00F50D70" w:rsidRPr="00BE4F47" w:rsidRDefault="00137D7F" w:rsidP="008E113B">
      <w:pPr>
        <w:spacing w:after="130" w:line="360" w:lineRule="auto"/>
        <w:ind w:left="360"/>
        <w:rPr>
          <w:rFonts w:ascii="Aptos" w:eastAsia="Calibri" w:hAnsi="Aptos" w:cs="Calibri"/>
          <w:color w:val="1A1A19"/>
          <w:sz w:val="20"/>
          <w:szCs w:val="20"/>
        </w:rPr>
      </w:pPr>
      <w:bookmarkStart w:id="404" w:name="_Toc241082905"/>
      <w:bookmarkStart w:id="405" w:name="_Toc241670082"/>
      <w:bookmarkStart w:id="406" w:name="_Toc241707790"/>
      <w:bookmarkStart w:id="407" w:name="_Toc241791739"/>
      <w:r w:rsidRPr="00BE4F47">
        <w:rPr>
          <w:rFonts w:ascii="Aptos" w:hAnsi="Aptos"/>
          <w:color w:val="1A1A19"/>
          <w:sz w:val="20"/>
          <w:szCs w:val="20"/>
        </w:rPr>
        <w:t>Pour intégrer, on ouvre une demande de tirage. Un autre membre la lit avant la fusion, jamais l’auteur lui-même. C’est la relecture croisée annoncée à la section 3.</w:t>
      </w:r>
      <w:bookmarkEnd w:id="404"/>
      <w:bookmarkEnd w:id="405"/>
      <w:bookmarkEnd w:id="406"/>
      <w:bookmarkEnd w:id="407"/>
    </w:p>
    <w:p w14:paraId="5A83C8A5" w14:textId="77777777" w:rsidR="00F50D70" w:rsidRPr="00BE4F47" w:rsidRDefault="00137D7F" w:rsidP="008E113B">
      <w:pPr>
        <w:spacing w:after="130" w:line="360" w:lineRule="auto"/>
        <w:ind w:left="360"/>
        <w:rPr>
          <w:rFonts w:ascii="Aptos" w:hAnsi="Aptos"/>
        </w:rPr>
      </w:pPr>
      <w:bookmarkStart w:id="408" w:name="_Toc241082906"/>
      <w:bookmarkStart w:id="409" w:name="_Toc241670083"/>
      <w:bookmarkStart w:id="410" w:name="_Toc241707791"/>
      <w:bookmarkStart w:id="411" w:name="_Toc241791740"/>
      <w:r w:rsidRPr="00BE4F47">
        <w:rPr>
          <w:rFonts w:ascii="Aptos" w:hAnsi="Aptos"/>
          <w:color w:val="1A1A19"/>
          <w:sz w:val="20"/>
          <w:szCs w:val="20"/>
        </w:rPr>
        <w:t>Le relecteur vérifie trois choses : que le changement est rattaché à une tâche, que les essais existants passent encore, et que les sources ajoutées sont entrées dans Zotero. Les fichiers Word ne se fusionnent pas automatiquement : un seul responsable de consolidation les assemble, le chargé de projet, et les autres membres travaillent avec le suivi des modifications et les commentaires, sur une copie portant leur nom.</w:t>
      </w:r>
      <w:bookmarkEnd w:id="408"/>
      <w:bookmarkEnd w:id="409"/>
      <w:bookmarkEnd w:id="410"/>
      <w:bookmarkEnd w:id="411"/>
    </w:p>
    <w:p w14:paraId="0CB5502A" w14:textId="77777777" w:rsidR="00F50D70" w:rsidRPr="00BE4F47" w:rsidRDefault="00137D7F" w:rsidP="008E113B">
      <w:pPr>
        <w:spacing w:after="130" w:line="360" w:lineRule="auto"/>
        <w:ind w:left="360"/>
        <w:rPr>
          <w:rFonts w:ascii="Aptos" w:eastAsia="Calibri" w:hAnsi="Aptos" w:cs="Calibri"/>
          <w:color w:val="1A1A19"/>
          <w:sz w:val="20"/>
          <w:szCs w:val="20"/>
        </w:rPr>
      </w:pPr>
      <w:bookmarkStart w:id="412" w:name="_Toc241082907"/>
      <w:bookmarkStart w:id="413" w:name="_Toc241670084"/>
      <w:bookmarkStart w:id="414" w:name="_Toc241707792"/>
      <w:bookmarkStart w:id="415" w:name="_Toc241791741"/>
      <w:r w:rsidRPr="00BE4F47">
        <w:rPr>
          <w:rFonts w:ascii="Aptos" w:hAnsi="Aptos"/>
          <w:color w:val="1A1A19"/>
          <w:sz w:val="20"/>
          <w:szCs w:val="20"/>
        </w:rPr>
        <w:t>Une tâche de code ou de document n’est fermée que par la fusion de la demande de tirage qui la traite, et pas par son auteur. Une tâche de réunion, de recherche ou d’administration se ferme sur une preuve déposée au dépôt, compte rendu, note de recherche ou fiche de décision, validée par un autre membre. La gestion des changements commence au jalon J1, date à laquelle le registre des exigences devient la référence du projet : toute demande de fonction nouvelle posée après J1 est ouverte comme une tâche marquée « changement » et évaluée avant d’être intégrée. À partir du jalon J3 s’y ajoute le gel des fonctionnalités, et une demande acceptée après cette date est reportée au-delà du mandat.</w:t>
      </w:r>
      <w:bookmarkEnd w:id="412"/>
      <w:bookmarkEnd w:id="413"/>
      <w:bookmarkEnd w:id="414"/>
      <w:bookmarkEnd w:id="415"/>
    </w:p>
    <w:p w14:paraId="4A4BA72A" w14:textId="77777777" w:rsidR="00F50D70" w:rsidRPr="00136F18" w:rsidRDefault="00137D7F" w:rsidP="008E113B">
      <w:pPr>
        <w:pStyle w:val="Titre1"/>
        <w:spacing w:line="360" w:lineRule="auto"/>
      </w:pPr>
      <w:bookmarkStart w:id="416" w:name="__RefHeading___Toc240715125"/>
      <w:bookmarkStart w:id="417" w:name="_Toc241707793"/>
      <w:bookmarkStart w:id="418" w:name="_Toc241791742"/>
      <w:bookmarkEnd w:id="416"/>
      <w:r w:rsidRPr="00136F18">
        <w:t>Revue de l’état de l’art</w:t>
      </w:r>
      <w:bookmarkEnd w:id="417"/>
      <w:bookmarkEnd w:id="418"/>
    </w:p>
    <w:p w14:paraId="5358DDA8" w14:textId="77777777" w:rsidR="00F50D70" w:rsidRPr="00BE4F47" w:rsidRDefault="00137D7F" w:rsidP="008E113B">
      <w:pPr>
        <w:spacing w:after="130" w:line="360" w:lineRule="auto"/>
        <w:ind w:left="360"/>
        <w:rPr>
          <w:rFonts w:ascii="Aptos" w:hAnsi="Aptos"/>
        </w:rPr>
      </w:pPr>
      <w:bookmarkStart w:id="419" w:name="_Toc241082909"/>
      <w:bookmarkStart w:id="420" w:name="_Toc241670086"/>
      <w:bookmarkStart w:id="421" w:name="_Toc241707794"/>
      <w:bookmarkStart w:id="422" w:name="_Toc241791743"/>
      <w:r w:rsidRPr="00BE4F47">
        <w:rPr>
          <w:rFonts w:ascii="Aptos" w:hAnsi="Aptos"/>
          <w:color w:val="1A1A19"/>
          <w:sz w:val="20"/>
          <w:szCs w:val="20"/>
        </w:rPr>
        <w:t>La revue porte sur les jumeaux numériques en contexte nucléaire, la modélisation thermohydraulique, la détection d’anomalies, la quantification de l’incertitude, la cybersécurité des systèmes industriels et l’aide à la décision. Elle situe ensuite le projet face à la solution la plus proche.</w:t>
      </w:r>
      <w:bookmarkEnd w:id="419"/>
      <w:bookmarkEnd w:id="420"/>
      <w:bookmarkEnd w:id="421"/>
      <w:bookmarkEnd w:id="422"/>
    </w:p>
    <w:p w14:paraId="0FA243B7" w14:textId="77777777" w:rsidR="00F50D70" w:rsidRPr="00256140" w:rsidRDefault="00137D7F" w:rsidP="008E113B">
      <w:pPr>
        <w:pStyle w:val="Titre2"/>
        <w:spacing w:line="360" w:lineRule="auto"/>
      </w:pPr>
      <w:bookmarkStart w:id="423" w:name="__RefHeading___Toc240715127"/>
      <w:bookmarkStart w:id="424" w:name="_Toc241707795"/>
      <w:bookmarkStart w:id="425" w:name="_Toc241791744"/>
      <w:r w:rsidRPr="00256140">
        <w:t>Méthode de recherche</w:t>
      </w:r>
      <w:bookmarkEnd w:id="423"/>
      <w:bookmarkEnd w:id="424"/>
      <w:bookmarkEnd w:id="425"/>
    </w:p>
    <w:p w14:paraId="5F0C88CA" w14:textId="77777777" w:rsidR="00F50D70" w:rsidRPr="00BE4F47" w:rsidRDefault="00137D7F" w:rsidP="008E113B">
      <w:pPr>
        <w:spacing w:after="130" w:line="360" w:lineRule="auto"/>
        <w:ind w:left="360"/>
        <w:rPr>
          <w:rFonts w:ascii="Aptos" w:hAnsi="Aptos"/>
        </w:rPr>
      </w:pPr>
      <w:bookmarkStart w:id="426" w:name="_Toc241082912"/>
      <w:bookmarkStart w:id="427" w:name="_Toc241670088"/>
      <w:bookmarkStart w:id="428" w:name="_Toc241707796"/>
      <w:bookmarkStart w:id="429" w:name="_Toc241791745"/>
      <w:r w:rsidRPr="00BE4F47">
        <w:rPr>
          <w:rFonts w:ascii="Aptos" w:hAnsi="Aptos"/>
          <w:color w:val="1A1A19"/>
          <w:sz w:val="20"/>
          <w:szCs w:val="20"/>
        </w:rPr>
        <w:t>Le tableau 5-1 donne le protocole suivi, pour qu’un tiers puisse refaire la recherche et obtenir un résultat comparable.</w:t>
      </w:r>
      <w:bookmarkEnd w:id="426"/>
      <w:bookmarkEnd w:id="427"/>
      <w:bookmarkEnd w:id="428"/>
      <w:bookmarkEnd w:id="429"/>
    </w:p>
    <w:p w14:paraId="7EE887E5" w14:textId="77777777" w:rsidR="00F50D70" w:rsidRPr="00BE4F47" w:rsidRDefault="00137D7F" w:rsidP="008E113B">
      <w:pPr>
        <w:pStyle w:val="Lgende"/>
        <w:keepNext/>
        <w:spacing w:line="360" w:lineRule="auto"/>
        <w:rPr>
          <w:rFonts w:ascii="Aptos" w:hAnsi="Aptos"/>
        </w:rPr>
      </w:pPr>
      <w:bookmarkStart w:id="430" w:name="_Toc241082913"/>
      <w:bookmarkStart w:id="431" w:name="_Toc241670089"/>
      <w:bookmarkStart w:id="432" w:name="_Toc241707797"/>
      <w:bookmarkStart w:id="433" w:name="_Toc241791746"/>
      <w:r w:rsidRPr="00BE4F47">
        <w:rPr>
          <w:rFonts w:ascii="Aptos" w:hAnsi="Aptos"/>
        </w:rPr>
        <w:t>Tableau 5-1. Protocole de la recherche documentaire</w:t>
      </w:r>
      <w:bookmarkEnd w:id="430"/>
      <w:bookmarkEnd w:id="431"/>
      <w:bookmarkEnd w:id="432"/>
      <w:bookmarkEnd w:id="433"/>
    </w:p>
    <w:tbl>
      <w:tblPr>
        <w:tblW w:w="8557" w:type="dxa"/>
        <w:tblInd w:w="413" w:type="dxa"/>
        <w:tblLayout w:type="fixed"/>
        <w:tblCellMar>
          <w:top w:w="60" w:type="dxa"/>
          <w:left w:w="90" w:type="dxa"/>
          <w:bottom w:w="60" w:type="dxa"/>
          <w:right w:w="90" w:type="dxa"/>
        </w:tblCellMar>
        <w:tblLook w:val="04A0" w:firstRow="1" w:lastRow="0" w:firstColumn="1" w:lastColumn="0" w:noHBand="0" w:noVBand="1"/>
      </w:tblPr>
      <w:tblGrid>
        <w:gridCol w:w="2102"/>
        <w:gridCol w:w="6455"/>
      </w:tblGrid>
      <w:tr w:rsidR="00F50D70" w:rsidRPr="00BE4F47" w14:paraId="38091969" w14:textId="77777777" w:rsidTr="0036725C">
        <w:trPr>
          <w:trHeight w:val="236"/>
          <w:tblHeader/>
        </w:trPr>
        <w:tc>
          <w:tcPr>
            <w:tcW w:w="2102"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39B24637"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Élément</w:t>
            </w:r>
          </w:p>
        </w:tc>
        <w:tc>
          <w:tcPr>
            <w:tcW w:w="6455"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073C86B9"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Valeur</w:t>
            </w:r>
          </w:p>
        </w:tc>
      </w:tr>
      <w:tr w:rsidR="00F50D70" w:rsidRPr="00BE4F47" w14:paraId="055F2593" w14:textId="77777777">
        <w:trPr>
          <w:trHeight w:val="254"/>
        </w:trPr>
        <w:tc>
          <w:tcPr>
            <w:tcW w:w="2102" w:type="dxa"/>
            <w:tcBorders>
              <w:top w:val="single" w:sz="4" w:space="0" w:color="000000"/>
              <w:left w:val="single" w:sz="4" w:space="0" w:color="000000"/>
              <w:bottom w:val="single" w:sz="4" w:space="0" w:color="000000"/>
              <w:right w:val="single" w:sz="4" w:space="0" w:color="000000"/>
            </w:tcBorders>
          </w:tcPr>
          <w:p w14:paraId="50209F72"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Date de la recherche</w:t>
            </w:r>
          </w:p>
        </w:tc>
        <w:tc>
          <w:tcPr>
            <w:tcW w:w="6455" w:type="dxa"/>
            <w:tcBorders>
              <w:top w:val="single" w:sz="4" w:space="0" w:color="000000"/>
              <w:left w:val="single" w:sz="4" w:space="0" w:color="000000"/>
              <w:bottom w:val="single" w:sz="4" w:space="0" w:color="000000"/>
              <w:right w:val="single" w:sz="4" w:space="0" w:color="000000"/>
            </w:tcBorders>
          </w:tcPr>
          <w:p w14:paraId="0E91AB23" w14:textId="3DEE4B16" w:rsidR="00F50D70" w:rsidRPr="00BE4F47" w:rsidRDefault="007E5FC7" w:rsidP="008E113B">
            <w:pPr>
              <w:spacing w:before="20" w:after="20"/>
              <w:ind w:left="0"/>
              <w:jc w:val="left"/>
              <w:outlineLvl w:val="9"/>
              <w:rPr>
                <w:rFonts w:ascii="Aptos" w:eastAsia="Calibri" w:hAnsi="Aptos" w:cs="Calibri"/>
                <w:color w:val="1A1A19"/>
                <w:sz w:val="20"/>
                <w:szCs w:val="20"/>
              </w:rPr>
            </w:pPr>
            <w:r>
              <w:rPr>
                <w:rFonts w:ascii="Aptos" w:eastAsia="Calibri" w:hAnsi="Aptos" w:cs="Calibri"/>
                <w:color w:val="1A1A19"/>
                <w:sz w:val="16"/>
                <w:szCs w:val="16"/>
              </w:rPr>
              <w:t>16, 17 et 18 septembre 2026</w:t>
            </w:r>
          </w:p>
        </w:tc>
      </w:tr>
      <w:tr w:rsidR="00F50D70" w:rsidRPr="00BE4F47" w14:paraId="2EEF10B6" w14:textId="77777777">
        <w:trPr>
          <w:trHeight w:val="244"/>
        </w:trPr>
        <w:tc>
          <w:tcPr>
            <w:tcW w:w="2102" w:type="dxa"/>
            <w:tcBorders>
              <w:top w:val="single" w:sz="4" w:space="0" w:color="000000"/>
              <w:left w:val="single" w:sz="4" w:space="0" w:color="000000"/>
              <w:bottom w:val="single" w:sz="4" w:space="0" w:color="000000"/>
              <w:right w:val="single" w:sz="4" w:space="0" w:color="000000"/>
            </w:tcBorders>
          </w:tcPr>
          <w:p w14:paraId="2E31334C"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Bases interrogées</w:t>
            </w:r>
          </w:p>
        </w:tc>
        <w:tc>
          <w:tcPr>
            <w:tcW w:w="6455" w:type="dxa"/>
            <w:tcBorders>
              <w:top w:val="single" w:sz="4" w:space="0" w:color="000000"/>
              <w:left w:val="single" w:sz="4" w:space="0" w:color="000000"/>
              <w:bottom w:val="single" w:sz="4" w:space="0" w:color="000000"/>
              <w:right w:val="single" w:sz="4" w:space="0" w:color="000000"/>
            </w:tcBorders>
          </w:tcPr>
          <w:p w14:paraId="3089BB9C"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IEEE Xplore, Scopus, Google Scholar, ASME Digital Collection, Google Patents</w:t>
            </w:r>
          </w:p>
        </w:tc>
      </w:tr>
      <w:tr w:rsidR="00F50D70" w:rsidRPr="009D5A87" w14:paraId="08E848BC" w14:textId="77777777">
        <w:trPr>
          <w:trHeight w:val="1475"/>
        </w:trPr>
        <w:tc>
          <w:tcPr>
            <w:tcW w:w="2102" w:type="dxa"/>
            <w:tcBorders>
              <w:top w:val="single" w:sz="4" w:space="0" w:color="000000"/>
              <w:left w:val="single" w:sz="4" w:space="0" w:color="000000"/>
              <w:bottom w:val="single" w:sz="4" w:space="0" w:color="000000"/>
              <w:right w:val="single" w:sz="4" w:space="0" w:color="000000"/>
            </w:tcBorders>
          </w:tcPr>
          <w:p w14:paraId="2460E312"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lastRenderedPageBreak/>
              <w:t>Équations de recherche</w:t>
            </w:r>
          </w:p>
        </w:tc>
        <w:tc>
          <w:tcPr>
            <w:tcW w:w="6455" w:type="dxa"/>
            <w:tcBorders>
              <w:top w:val="single" w:sz="4" w:space="0" w:color="000000"/>
              <w:left w:val="single" w:sz="4" w:space="0" w:color="000000"/>
              <w:bottom w:val="single" w:sz="4" w:space="0" w:color="000000"/>
              <w:right w:val="single" w:sz="4" w:space="0" w:color="000000"/>
            </w:tcBorders>
          </w:tcPr>
          <w:p w14:paraId="33F3F1EC"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en-CA"/>
              </w:rPr>
            </w:pPr>
            <w:r w:rsidRPr="00BE4F47">
              <w:rPr>
                <w:rFonts w:ascii="Aptos" w:eastAsia="Calibri" w:hAnsi="Aptos" w:cs="Calibri"/>
                <w:color w:val="1A1A19"/>
                <w:sz w:val="16"/>
                <w:szCs w:val="16"/>
                <w:lang w:val="en-CA"/>
              </w:rPr>
              <w:t xml:space="preserve">« </w:t>
            </w:r>
            <w:proofErr w:type="gramStart"/>
            <w:r w:rsidRPr="00BE4F47">
              <w:rPr>
                <w:rFonts w:ascii="Aptos" w:eastAsia="Calibri" w:hAnsi="Aptos" w:cs="Calibri"/>
                <w:color w:val="1A1A19"/>
                <w:sz w:val="16"/>
                <w:szCs w:val="16"/>
                <w:lang w:val="en-CA"/>
              </w:rPr>
              <w:t>digital</w:t>
            </w:r>
            <w:proofErr w:type="gramEnd"/>
            <w:r w:rsidRPr="00BE4F47">
              <w:rPr>
                <w:rFonts w:ascii="Aptos" w:eastAsia="Calibri" w:hAnsi="Aptos" w:cs="Calibri"/>
                <w:color w:val="1A1A19"/>
                <w:sz w:val="16"/>
                <w:szCs w:val="16"/>
                <w:lang w:val="en-CA"/>
              </w:rPr>
              <w:t xml:space="preserve"> twin » AND « nuclear »</w:t>
            </w:r>
          </w:p>
          <w:p w14:paraId="3094B00B"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en-CA"/>
              </w:rPr>
            </w:pPr>
            <w:r w:rsidRPr="00BE4F47">
              <w:rPr>
                <w:rFonts w:ascii="Aptos" w:eastAsia="Calibri" w:hAnsi="Aptos" w:cs="Calibri"/>
                <w:color w:val="1A1A19"/>
                <w:sz w:val="16"/>
                <w:szCs w:val="16"/>
                <w:lang w:val="en-CA"/>
              </w:rPr>
              <w:t xml:space="preserve">« </w:t>
            </w:r>
            <w:proofErr w:type="gramStart"/>
            <w:r w:rsidRPr="00BE4F47">
              <w:rPr>
                <w:rFonts w:ascii="Aptos" w:eastAsia="Calibri" w:hAnsi="Aptos" w:cs="Calibri"/>
                <w:color w:val="1A1A19"/>
                <w:sz w:val="16"/>
                <w:szCs w:val="16"/>
                <w:lang w:val="en-CA"/>
              </w:rPr>
              <w:t>digital</w:t>
            </w:r>
            <w:proofErr w:type="gramEnd"/>
            <w:r w:rsidRPr="00BE4F47">
              <w:rPr>
                <w:rFonts w:ascii="Aptos" w:eastAsia="Calibri" w:hAnsi="Aptos" w:cs="Calibri"/>
                <w:color w:val="1A1A19"/>
                <w:sz w:val="16"/>
                <w:szCs w:val="16"/>
                <w:lang w:val="en-CA"/>
              </w:rPr>
              <w:t xml:space="preserve"> twin » AND « thermal-hydraulic »</w:t>
            </w:r>
          </w:p>
          <w:p w14:paraId="53327082"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en-CA"/>
              </w:rPr>
            </w:pPr>
            <w:r w:rsidRPr="00BE4F47">
              <w:rPr>
                <w:rFonts w:ascii="Aptos" w:eastAsia="Calibri" w:hAnsi="Aptos" w:cs="Calibri"/>
                <w:color w:val="1A1A19"/>
                <w:sz w:val="16"/>
                <w:szCs w:val="16"/>
                <w:lang w:val="en-CA"/>
              </w:rPr>
              <w:t xml:space="preserve">« </w:t>
            </w:r>
            <w:proofErr w:type="gramStart"/>
            <w:r w:rsidRPr="00BE4F47">
              <w:rPr>
                <w:rFonts w:ascii="Aptos" w:eastAsia="Calibri" w:hAnsi="Aptos" w:cs="Calibri"/>
                <w:color w:val="1A1A19"/>
                <w:sz w:val="16"/>
                <w:szCs w:val="16"/>
                <w:lang w:val="en-CA"/>
              </w:rPr>
              <w:t>digital</w:t>
            </w:r>
            <w:proofErr w:type="gramEnd"/>
            <w:r w:rsidRPr="00BE4F47">
              <w:rPr>
                <w:rFonts w:ascii="Aptos" w:eastAsia="Calibri" w:hAnsi="Aptos" w:cs="Calibri"/>
                <w:color w:val="1A1A19"/>
                <w:sz w:val="16"/>
                <w:szCs w:val="16"/>
                <w:lang w:val="en-CA"/>
              </w:rPr>
              <w:t xml:space="preserve"> twin » AND « anomaly detection »</w:t>
            </w:r>
          </w:p>
          <w:p w14:paraId="51131540"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en-CA"/>
              </w:rPr>
            </w:pPr>
            <w:r w:rsidRPr="00BE4F47">
              <w:rPr>
                <w:rFonts w:ascii="Aptos" w:eastAsia="Calibri" w:hAnsi="Aptos" w:cs="Calibri"/>
                <w:color w:val="1A1A19"/>
                <w:sz w:val="16"/>
                <w:szCs w:val="16"/>
                <w:lang w:val="en-CA"/>
              </w:rPr>
              <w:t xml:space="preserve">« </w:t>
            </w:r>
            <w:proofErr w:type="gramStart"/>
            <w:r w:rsidRPr="00BE4F47">
              <w:rPr>
                <w:rFonts w:ascii="Aptos" w:eastAsia="Calibri" w:hAnsi="Aptos" w:cs="Calibri"/>
                <w:color w:val="1A1A19"/>
                <w:sz w:val="16"/>
                <w:szCs w:val="16"/>
                <w:lang w:val="en-CA"/>
              </w:rPr>
              <w:t>digital</w:t>
            </w:r>
            <w:proofErr w:type="gramEnd"/>
            <w:r w:rsidRPr="00BE4F47">
              <w:rPr>
                <w:rFonts w:ascii="Aptos" w:eastAsia="Calibri" w:hAnsi="Aptos" w:cs="Calibri"/>
                <w:color w:val="1A1A19"/>
                <w:sz w:val="16"/>
                <w:szCs w:val="16"/>
                <w:lang w:val="en-CA"/>
              </w:rPr>
              <w:t xml:space="preserve"> twin » AND « uncertainty quantification »</w:t>
            </w:r>
          </w:p>
          <w:p w14:paraId="30996C9B" w14:textId="2AAB9E0A" w:rsidR="00F50D70" w:rsidRPr="007E5FC7" w:rsidRDefault="00137D7F" w:rsidP="008E113B">
            <w:pPr>
              <w:spacing w:before="20" w:after="20"/>
              <w:ind w:left="0"/>
              <w:jc w:val="left"/>
              <w:outlineLvl w:val="9"/>
              <w:rPr>
                <w:rFonts w:ascii="Aptos" w:eastAsia="Calibri" w:hAnsi="Aptos" w:cs="Calibri"/>
                <w:color w:val="1A1A19"/>
                <w:sz w:val="20"/>
                <w:szCs w:val="20"/>
                <w:lang w:val="en-CA"/>
              </w:rPr>
            </w:pPr>
            <w:r w:rsidRPr="00BE4F47">
              <w:rPr>
                <w:rFonts w:ascii="Aptos" w:eastAsia="Calibri" w:hAnsi="Aptos" w:cs="Calibri"/>
                <w:color w:val="1A1A19"/>
                <w:sz w:val="16"/>
                <w:szCs w:val="16"/>
                <w:lang w:val="en-CA"/>
              </w:rPr>
              <w:t xml:space="preserve">« </w:t>
            </w:r>
            <w:proofErr w:type="gramStart"/>
            <w:r w:rsidRPr="00BE4F47">
              <w:rPr>
                <w:rFonts w:ascii="Aptos" w:eastAsia="Calibri" w:hAnsi="Aptos" w:cs="Calibri"/>
                <w:color w:val="1A1A19"/>
                <w:sz w:val="16"/>
                <w:szCs w:val="16"/>
                <w:lang w:val="en-CA"/>
              </w:rPr>
              <w:t>digital</w:t>
            </w:r>
            <w:proofErr w:type="gramEnd"/>
            <w:r w:rsidRPr="00BE4F47">
              <w:rPr>
                <w:rFonts w:ascii="Aptos" w:eastAsia="Calibri" w:hAnsi="Aptos" w:cs="Calibri"/>
                <w:color w:val="1A1A19"/>
                <w:sz w:val="16"/>
                <w:szCs w:val="16"/>
                <w:lang w:val="en-CA"/>
              </w:rPr>
              <w:t xml:space="preserve"> twin » AND « SCADA » AND « cybersecurity »</w:t>
            </w:r>
          </w:p>
        </w:tc>
      </w:tr>
      <w:tr w:rsidR="00F50D70" w:rsidRPr="00BE4F47" w14:paraId="12237846" w14:textId="77777777">
        <w:trPr>
          <w:trHeight w:val="244"/>
        </w:trPr>
        <w:tc>
          <w:tcPr>
            <w:tcW w:w="2102" w:type="dxa"/>
            <w:tcBorders>
              <w:top w:val="single" w:sz="4" w:space="0" w:color="000000"/>
              <w:left w:val="single" w:sz="4" w:space="0" w:color="000000"/>
              <w:bottom w:val="single" w:sz="4" w:space="0" w:color="000000"/>
              <w:right w:val="single" w:sz="4" w:space="0" w:color="000000"/>
            </w:tcBorders>
          </w:tcPr>
          <w:p w14:paraId="523B0047"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Période couverte</w:t>
            </w:r>
          </w:p>
        </w:tc>
        <w:tc>
          <w:tcPr>
            <w:tcW w:w="6455" w:type="dxa"/>
            <w:tcBorders>
              <w:top w:val="single" w:sz="4" w:space="0" w:color="000000"/>
              <w:left w:val="single" w:sz="4" w:space="0" w:color="000000"/>
              <w:bottom w:val="single" w:sz="4" w:space="0" w:color="000000"/>
              <w:right w:val="single" w:sz="4" w:space="0" w:color="000000"/>
            </w:tcBorders>
          </w:tcPr>
          <w:p w14:paraId="3C869589"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2020 à 2026, avec conservation de références antérieures lorsqu’elles sont fondatrices</w:t>
            </w:r>
          </w:p>
        </w:tc>
      </w:tr>
      <w:tr w:rsidR="00F50D70" w:rsidRPr="00BE4F47" w14:paraId="1E596CBE" w14:textId="77777777">
        <w:trPr>
          <w:trHeight w:val="438"/>
        </w:trPr>
        <w:tc>
          <w:tcPr>
            <w:tcW w:w="2102" w:type="dxa"/>
            <w:tcBorders>
              <w:top w:val="single" w:sz="4" w:space="0" w:color="000000"/>
              <w:left w:val="single" w:sz="4" w:space="0" w:color="000000"/>
              <w:bottom w:val="single" w:sz="4" w:space="0" w:color="000000"/>
              <w:right w:val="single" w:sz="4" w:space="0" w:color="000000"/>
            </w:tcBorders>
          </w:tcPr>
          <w:p w14:paraId="75C9BE30"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Critères d’inclusion</w:t>
            </w:r>
          </w:p>
        </w:tc>
        <w:tc>
          <w:tcPr>
            <w:tcW w:w="6455" w:type="dxa"/>
            <w:tcBorders>
              <w:top w:val="single" w:sz="4" w:space="0" w:color="000000"/>
              <w:left w:val="single" w:sz="4" w:space="0" w:color="000000"/>
              <w:bottom w:val="single" w:sz="4" w:space="0" w:color="000000"/>
              <w:right w:val="single" w:sz="4" w:space="0" w:color="000000"/>
            </w:tcBorders>
          </w:tcPr>
          <w:p w14:paraId="57923072"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Pertinence avec un lot technique du projet ; publication dans une revue avec comité de lecture ou par un organisme reconnu ; texte intégral accessible</w:t>
            </w:r>
          </w:p>
        </w:tc>
      </w:tr>
      <w:tr w:rsidR="00F50D70" w:rsidRPr="00BE4F47" w14:paraId="2092445F" w14:textId="77777777">
        <w:trPr>
          <w:trHeight w:val="438"/>
        </w:trPr>
        <w:tc>
          <w:tcPr>
            <w:tcW w:w="2102" w:type="dxa"/>
            <w:tcBorders>
              <w:top w:val="single" w:sz="4" w:space="0" w:color="000000"/>
              <w:left w:val="single" w:sz="4" w:space="0" w:color="000000"/>
              <w:bottom w:val="single" w:sz="4" w:space="0" w:color="000000"/>
              <w:right w:val="single" w:sz="4" w:space="0" w:color="000000"/>
            </w:tcBorders>
          </w:tcPr>
          <w:p w14:paraId="67AD7B01"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Critères d’exclusion</w:t>
            </w:r>
          </w:p>
        </w:tc>
        <w:tc>
          <w:tcPr>
            <w:tcW w:w="6455" w:type="dxa"/>
            <w:tcBorders>
              <w:top w:val="single" w:sz="4" w:space="0" w:color="000000"/>
              <w:left w:val="single" w:sz="4" w:space="0" w:color="000000"/>
              <w:bottom w:val="single" w:sz="4" w:space="0" w:color="000000"/>
              <w:right w:val="single" w:sz="4" w:space="0" w:color="000000"/>
            </w:tcBorders>
          </w:tcPr>
          <w:p w14:paraId="0554C83B"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Travaux limités à un domaine sans transposition possible ; documents sans méthode explicite ; doublons et préprints dont la version publiée est disponible</w:t>
            </w:r>
          </w:p>
        </w:tc>
      </w:tr>
    </w:tbl>
    <w:p w14:paraId="2CE02CF4" w14:textId="77777777" w:rsidR="00F50D70" w:rsidRPr="00BE4F47" w:rsidRDefault="00137D7F" w:rsidP="008E113B">
      <w:pPr>
        <w:spacing w:before="200" w:after="130" w:line="360" w:lineRule="auto"/>
        <w:ind w:left="360"/>
        <w:rPr>
          <w:rFonts w:ascii="Aptos" w:hAnsi="Aptos"/>
        </w:rPr>
      </w:pPr>
      <w:bookmarkStart w:id="434" w:name="_Toc241082914"/>
      <w:bookmarkStart w:id="435" w:name="_Toc241670090"/>
      <w:bookmarkStart w:id="436" w:name="_Toc241707798"/>
      <w:bookmarkStart w:id="437" w:name="_Toc241791747"/>
      <w:r w:rsidRPr="00BE4F47">
        <w:rPr>
          <w:rFonts w:ascii="Aptos" w:hAnsi="Aptos"/>
          <w:color w:val="1A1A19"/>
          <w:sz w:val="20"/>
          <w:szCs w:val="20"/>
        </w:rPr>
        <w:t>Chaque document retenu est rattaché à un lot technique : modèle de référence (L4), architecture et cybersécurité (L5), acquisition et noyau de simulation (L6), détection et incertitude (L7), interface (L8), vérification et validation (L9).</w:t>
      </w:r>
      <w:bookmarkEnd w:id="434"/>
      <w:bookmarkEnd w:id="435"/>
      <w:bookmarkEnd w:id="436"/>
      <w:bookmarkEnd w:id="437"/>
    </w:p>
    <w:p w14:paraId="5DB2C361" w14:textId="77777777" w:rsidR="00F50D70" w:rsidRPr="00256140" w:rsidRDefault="00137D7F" w:rsidP="008E113B">
      <w:pPr>
        <w:pStyle w:val="Titre2"/>
        <w:spacing w:line="360" w:lineRule="auto"/>
      </w:pPr>
      <w:bookmarkStart w:id="438" w:name="__RefHeading___Toc240715130"/>
      <w:bookmarkStart w:id="439" w:name="_Toc241707799"/>
      <w:bookmarkStart w:id="440" w:name="_Toc241791748"/>
      <w:bookmarkEnd w:id="438"/>
      <w:r w:rsidRPr="00256140">
        <w:t>Ce qui existe</w:t>
      </w:r>
      <w:bookmarkEnd w:id="439"/>
      <w:bookmarkEnd w:id="440"/>
    </w:p>
    <w:p w14:paraId="0D34E0DF" w14:textId="77777777" w:rsidR="00F50D70" w:rsidRPr="00BE4F47" w:rsidRDefault="00137D7F" w:rsidP="008E113B">
      <w:pPr>
        <w:spacing w:after="130" w:line="360" w:lineRule="auto"/>
        <w:ind w:left="360"/>
        <w:rPr>
          <w:rFonts w:ascii="Aptos" w:eastAsia="Calibri" w:hAnsi="Aptos" w:cs="Calibri"/>
          <w:color w:val="1A1A19"/>
          <w:sz w:val="20"/>
          <w:szCs w:val="20"/>
        </w:rPr>
      </w:pPr>
      <w:bookmarkStart w:id="441" w:name="_Toc241082916"/>
      <w:bookmarkStart w:id="442" w:name="_Toc241670092"/>
      <w:bookmarkStart w:id="443" w:name="_Toc241707800"/>
      <w:bookmarkStart w:id="444" w:name="_Toc241791749"/>
      <w:r w:rsidRPr="00BE4F47">
        <w:rPr>
          <w:rFonts w:ascii="Aptos" w:hAnsi="Aptos"/>
          <w:b/>
          <w:color w:val="1A1A19"/>
          <w:sz w:val="20"/>
          <w:szCs w:val="20"/>
        </w:rPr>
        <w:t xml:space="preserve">Les jumeaux numériques dans le nucléaire. </w:t>
      </w:r>
      <w:r w:rsidRPr="00BE4F47">
        <w:rPr>
          <w:rFonts w:ascii="Aptos" w:hAnsi="Aptos"/>
          <w:color w:val="1A1A19"/>
          <w:sz w:val="20"/>
          <w:szCs w:val="20"/>
        </w:rPr>
        <w:t>Le secteur nucléaire étudie les jumeaux numériques pour la surveillance, le diagnostic, la maintenance et l’aide à la décision.</w:t>
      </w:r>
      <w:bookmarkEnd w:id="441"/>
      <w:bookmarkEnd w:id="442"/>
      <w:bookmarkEnd w:id="443"/>
      <w:bookmarkEnd w:id="444"/>
    </w:p>
    <w:p w14:paraId="40A388D4" w14:textId="77777777" w:rsidR="00F50D70" w:rsidRPr="00BE4F47" w:rsidRDefault="00137D7F" w:rsidP="008E113B">
      <w:pPr>
        <w:spacing w:after="130" w:line="360" w:lineRule="auto"/>
        <w:ind w:left="360"/>
        <w:rPr>
          <w:rFonts w:ascii="Aptos" w:hAnsi="Aptos"/>
        </w:rPr>
      </w:pPr>
      <w:bookmarkStart w:id="445" w:name="_Toc241082917"/>
      <w:bookmarkStart w:id="446" w:name="_Toc241670093"/>
      <w:bookmarkStart w:id="447" w:name="_Toc241707801"/>
      <w:bookmarkStart w:id="448" w:name="_Toc241791750"/>
      <w:r w:rsidRPr="00BE4F47">
        <w:rPr>
          <w:rFonts w:ascii="Aptos" w:hAnsi="Aptos"/>
          <w:color w:val="1A1A19"/>
          <w:sz w:val="20"/>
          <w:szCs w:val="20"/>
        </w:rPr>
        <w:t>M. Hu et ses coauteurs proposent une revue des architectures de jumeaux numériques appliquées au domaine nucléaire. Ils montrent que les solutions actuelles cherchent principalement à intégrer des modèles physiques, des données de fonctionnement et des fonctions d’analyse dans une architecture numérique cohérente, et soulignent l’importance des modèles thermohydrauliques pour représenter le comportement des systèmes nucléaires [4].</w:t>
      </w:r>
      <w:bookmarkEnd w:id="445"/>
      <w:bookmarkEnd w:id="446"/>
      <w:bookmarkEnd w:id="447"/>
      <w:bookmarkEnd w:id="448"/>
    </w:p>
    <w:p w14:paraId="5CC5013C" w14:textId="77777777" w:rsidR="00F50D70" w:rsidRPr="00BE4F47" w:rsidRDefault="00137D7F" w:rsidP="008E113B">
      <w:pPr>
        <w:spacing w:after="130" w:line="360" w:lineRule="auto"/>
        <w:ind w:left="360"/>
        <w:rPr>
          <w:rFonts w:ascii="Aptos" w:hAnsi="Aptos"/>
        </w:rPr>
      </w:pPr>
      <w:bookmarkStart w:id="449" w:name="_Toc241082918"/>
      <w:bookmarkStart w:id="450" w:name="_Toc241670094"/>
      <w:bookmarkStart w:id="451" w:name="_Toc241707802"/>
      <w:bookmarkStart w:id="452" w:name="_Toc241791751"/>
      <w:r w:rsidRPr="00BE4F47">
        <w:rPr>
          <w:rFonts w:ascii="Aptos" w:hAnsi="Aptos"/>
          <w:color w:val="1A1A19"/>
          <w:sz w:val="20"/>
          <w:szCs w:val="20"/>
        </w:rPr>
        <w:t>Q. Huang et ses coauteurs montrent, dans une revue publiée en 2025, que les jumeaux numériques appliqués aux réacteurs nucléaires restent à des niveaux de maturité faibles à intermédiaires. Ils distinguent quatre familles de solutions : les modèles fondés sur la physique, les approches fondées sur les données, les modèles fondés sur les connaissances expertes, et les approches hybrides combinant plusieurs de ces méthodes [5].</w:t>
      </w:r>
      <w:bookmarkEnd w:id="449"/>
      <w:bookmarkEnd w:id="450"/>
      <w:bookmarkEnd w:id="451"/>
      <w:bookmarkEnd w:id="452"/>
    </w:p>
    <w:p w14:paraId="0CCD3AEF" w14:textId="77777777" w:rsidR="00F50D70" w:rsidRPr="00BE4F47" w:rsidRDefault="00137D7F" w:rsidP="008E113B">
      <w:pPr>
        <w:spacing w:after="130" w:line="360" w:lineRule="auto"/>
        <w:ind w:left="360"/>
        <w:rPr>
          <w:rFonts w:ascii="Aptos" w:hAnsi="Aptos"/>
        </w:rPr>
      </w:pPr>
      <w:bookmarkStart w:id="453" w:name="_Toc241082919"/>
      <w:bookmarkStart w:id="454" w:name="_Toc241670095"/>
      <w:bookmarkStart w:id="455" w:name="_Toc241707803"/>
      <w:bookmarkStart w:id="456" w:name="_Toc241791752"/>
      <w:r w:rsidRPr="00BE4F47">
        <w:rPr>
          <w:rFonts w:ascii="Aptos" w:hAnsi="Aptos"/>
          <w:color w:val="1A1A19"/>
          <w:sz w:val="20"/>
          <w:szCs w:val="20"/>
        </w:rPr>
        <w:t>La norme ISO 23247-1 fournit le cadre de référence du jumeau numérique, employé ici par analogie et hors de son domaine d’application déclaré. Cette limite est traitée dans la déclaration d’applicabilité de la section 6.</w:t>
      </w:r>
      <w:bookmarkEnd w:id="453"/>
      <w:bookmarkEnd w:id="454"/>
      <w:bookmarkEnd w:id="455"/>
      <w:bookmarkEnd w:id="456"/>
    </w:p>
    <w:p w14:paraId="385A9806" w14:textId="77777777" w:rsidR="00F50D70" w:rsidRPr="00BE4F47" w:rsidRDefault="00137D7F" w:rsidP="008E113B">
      <w:pPr>
        <w:spacing w:after="130" w:line="360" w:lineRule="auto"/>
        <w:ind w:left="360"/>
        <w:rPr>
          <w:rFonts w:ascii="Aptos" w:eastAsia="Calibri" w:hAnsi="Aptos" w:cs="Calibri"/>
          <w:color w:val="1A1A19"/>
          <w:sz w:val="20"/>
          <w:szCs w:val="20"/>
        </w:rPr>
      </w:pPr>
      <w:bookmarkStart w:id="457" w:name="_Toc241082920"/>
      <w:bookmarkStart w:id="458" w:name="_Toc241670096"/>
      <w:bookmarkStart w:id="459" w:name="_Toc241707804"/>
      <w:bookmarkStart w:id="460" w:name="_Toc241791753"/>
      <w:r w:rsidRPr="00BE4F47">
        <w:rPr>
          <w:rFonts w:ascii="Aptos" w:hAnsi="Aptos"/>
          <w:color w:val="1A1A19"/>
          <w:sz w:val="20"/>
          <w:szCs w:val="20"/>
        </w:rPr>
        <w:t>Ces travaux montrent que le jumeau numérique constitue une approche pertinente pour la surveillance d’une boucle thermohydraulique, mais qu’il présente encore des difficultés liées à la fidélité des modèles, à la disponibilité des données et à l’interprétation des résultats.</w:t>
      </w:r>
      <w:bookmarkEnd w:id="457"/>
      <w:bookmarkEnd w:id="458"/>
      <w:bookmarkEnd w:id="459"/>
      <w:bookmarkEnd w:id="460"/>
    </w:p>
    <w:p w14:paraId="02B1EBD2" w14:textId="77777777" w:rsidR="00F50D70" w:rsidRPr="00BE4F47" w:rsidRDefault="00137D7F" w:rsidP="008E113B">
      <w:pPr>
        <w:spacing w:after="130" w:line="360" w:lineRule="auto"/>
        <w:ind w:left="360"/>
        <w:rPr>
          <w:rFonts w:ascii="Aptos" w:hAnsi="Aptos"/>
        </w:rPr>
      </w:pPr>
      <w:bookmarkStart w:id="461" w:name="_Toc241082921"/>
      <w:bookmarkStart w:id="462" w:name="_Toc241670097"/>
      <w:bookmarkStart w:id="463" w:name="_Toc241707805"/>
      <w:bookmarkStart w:id="464" w:name="_Toc241791754"/>
      <w:r w:rsidRPr="00BE4F47">
        <w:rPr>
          <w:rFonts w:ascii="Aptos" w:hAnsi="Aptos"/>
          <w:b/>
          <w:color w:val="1A1A19"/>
          <w:sz w:val="20"/>
          <w:szCs w:val="20"/>
        </w:rPr>
        <w:t xml:space="preserve">La modélisation thermohydraulique. </w:t>
      </w:r>
      <w:r w:rsidRPr="00BE4F47">
        <w:rPr>
          <w:rFonts w:ascii="Aptos" w:hAnsi="Aptos"/>
          <w:color w:val="1A1A19"/>
          <w:sz w:val="20"/>
          <w:szCs w:val="20"/>
        </w:rPr>
        <w:t>Dans une boucle thermohydraulique, le modèle doit représenter l’évolution de la température, de la pression et du débit, les trois variables retenues par l’exigence EX-F-01.</w:t>
      </w:r>
      <w:bookmarkEnd w:id="461"/>
      <w:bookmarkEnd w:id="462"/>
      <w:bookmarkEnd w:id="463"/>
      <w:bookmarkEnd w:id="464"/>
    </w:p>
    <w:p w14:paraId="7EB087C4" w14:textId="277449D2" w:rsidR="00F50D70" w:rsidRPr="0041475B" w:rsidRDefault="00137D7F" w:rsidP="008E113B">
      <w:pPr>
        <w:spacing w:after="130" w:line="360" w:lineRule="auto"/>
        <w:ind w:left="360"/>
        <w:rPr>
          <w:rFonts w:ascii="Aptos" w:hAnsi="Aptos"/>
          <w:color w:val="1A1A19"/>
          <w:sz w:val="20"/>
          <w:szCs w:val="20"/>
        </w:rPr>
      </w:pPr>
      <w:bookmarkStart w:id="465" w:name="_Toc241082922"/>
      <w:bookmarkStart w:id="466" w:name="_Toc241670098"/>
      <w:bookmarkStart w:id="467" w:name="_Toc241707806"/>
      <w:bookmarkStart w:id="468" w:name="_Toc241791755"/>
      <w:r w:rsidRPr="00BE4F47">
        <w:rPr>
          <w:rFonts w:ascii="Aptos" w:hAnsi="Aptos"/>
          <w:color w:val="1A1A19"/>
          <w:sz w:val="20"/>
          <w:szCs w:val="20"/>
        </w:rPr>
        <w:lastRenderedPageBreak/>
        <w:t xml:space="preserve">Les modèles de haute fidélité fournissent une représentation détaillée du comportement du système, au prix d’un coût de calcul élevé. </w:t>
      </w:r>
      <w:r w:rsidR="0041475B" w:rsidRPr="0041475B">
        <w:rPr>
          <w:rFonts w:ascii="Aptos" w:hAnsi="Aptos"/>
          <w:color w:val="1A1A19"/>
          <w:sz w:val="20"/>
          <w:szCs w:val="20"/>
        </w:rPr>
        <w:t>Cette contrainte est importante dans les applications industrielles en temps réel.</w:t>
      </w:r>
      <w:bookmarkEnd w:id="465"/>
      <w:bookmarkEnd w:id="466"/>
      <w:bookmarkEnd w:id="467"/>
      <w:bookmarkEnd w:id="468"/>
    </w:p>
    <w:p w14:paraId="5555580D" w14:textId="77777777" w:rsidR="00F50D70" w:rsidRPr="00BE4F47" w:rsidRDefault="00137D7F" w:rsidP="008E113B">
      <w:pPr>
        <w:spacing w:after="130" w:line="360" w:lineRule="auto"/>
        <w:ind w:left="360"/>
        <w:rPr>
          <w:rFonts w:ascii="Aptos" w:eastAsia="Calibri" w:hAnsi="Aptos" w:cs="Calibri"/>
          <w:color w:val="1A1A19"/>
          <w:sz w:val="20"/>
          <w:szCs w:val="20"/>
        </w:rPr>
      </w:pPr>
      <w:bookmarkStart w:id="469" w:name="_Toc241082923"/>
      <w:bookmarkStart w:id="470" w:name="_Toc241670099"/>
      <w:bookmarkStart w:id="471" w:name="_Toc241707807"/>
      <w:bookmarkStart w:id="472" w:name="_Toc241791756"/>
      <w:r w:rsidRPr="00BE4F47">
        <w:rPr>
          <w:rFonts w:ascii="Aptos" w:hAnsi="Aptos"/>
          <w:color w:val="1A1A19"/>
          <w:sz w:val="20"/>
          <w:szCs w:val="20"/>
        </w:rPr>
        <w:t>Un modèle simplifié de type 0D/1D à paramètres concentrés répond à cette contrainte. Sa suffisance pour les phénomènes et les scénarios retenus reste à démontrer : c’est l’un des objets de la campagne d’essais du lot L9, et le risque RT4 la surveille.</w:t>
      </w:r>
      <w:bookmarkEnd w:id="469"/>
      <w:bookmarkEnd w:id="470"/>
      <w:bookmarkEnd w:id="471"/>
      <w:bookmarkEnd w:id="472"/>
    </w:p>
    <w:p w14:paraId="4B1DE17C" w14:textId="77777777" w:rsidR="00F50D70" w:rsidRPr="00BE4F47" w:rsidRDefault="00137D7F" w:rsidP="008E113B">
      <w:pPr>
        <w:spacing w:after="130" w:line="360" w:lineRule="auto"/>
        <w:ind w:left="360"/>
        <w:rPr>
          <w:rFonts w:ascii="Aptos" w:hAnsi="Aptos"/>
        </w:rPr>
      </w:pPr>
      <w:bookmarkStart w:id="473" w:name="_Toc241082924"/>
      <w:bookmarkStart w:id="474" w:name="_Toc241670100"/>
      <w:bookmarkStart w:id="475" w:name="_Toc241707808"/>
      <w:bookmarkStart w:id="476" w:name="_Toc241791757"/>
      <w:r w:rsidRPr="00BE4F47">
        <w:rPr>
          <w:rFonts w:ascii="Aptos" w:hAnsi="Aptos"/>
          <w:b/>
          <w:color w:val="1A1A19"/>
          <w:sz w:val="20"/>
          <w:szCs w:val="20"/>
        </w:rPr>
        <w:t xml:space="preserve">La détection d’anomalies. </w:t>
      </w:r>
      <w:r w:rsidRPr="00BE4F47">
        <w:rPr>
          <w:rFonts w:ascii="Aptos" w:hAnsi="Aptos"/>
          <w:color w:val="1A1A19"/>
          <w:sz w:val="20"/>
          <w:szCs w:val="20"/>
        </w:rPr>
        <w:t>La détection repose sur la comparaison entre les données observées et les données attendues produites par le modèle, ce que reprend l’exigence EX-F-03.</w:t>
      </w:r>
      <w:bookmarkEnd w:id="473"/>
      <w:bookmarkEnd w:id="474"/>
      <w:bookmarkEnd w:id="475"/>
      <w:bookmarkEnd w:id="476"/>
    </w:p>
    <w:p w14:paraId="54603447" w14:textId="77777777" w:rsidR="00F50D70" w:rsidRPr="00BE4F47" w:rsidRDefault="00137D7F" w:rsidP="008E113B">
      <w:pPr>
        <w:spacing w:after="130" w:line="360" w:lineRule="auto"/>
        <w:ind w:left="360"/>
        <w:rPr>
          <w:rFonts w:ascii="Aptos" w:eastAsia="Calibri" w:hAnsi="Aptos" w:cs="Calibri"/>
          <w:color w:val="1A1A19"/>
          <w:sz w:val="20"/>
          <w:szCs w:val="20"/>
        </w:rPr>
      </w:pPr>
      <w:bookmarkStart w:id="477" w:name="_Toc241082925"/>
      <w:bookmarkStart w:id="478" w:name="_Toc241670101"/>
      <w:bookmarkStart w:id="479" w:name="_Toc241707809"/>
      <w:bookmarkStart w:id="480" w:name="_Toc241791758"/>
      <w:r w:rsidRPr="00BE4F47">
        <w:rPr>
          <w:rFonts w:ascii="Aptos" w:hAnsi="Aptos"/>
          <w:color w:val="1A1A19"/>
          <w:sz w:val="20"/>
          <w:szCs w:val="20"/>
        </w:rPr>
        <w:t>H. Huang et ses coauteurs proposent une approche de détection d’anomalies en ligne fondée sur un jumeau numérique et des données en temps réel, dans un contexte de système d’automatisation. Leurs travaux montrent qu’un modèle numérique peut servir de référence pour détecter un comportement qui s’écarte du fonctionnement normal [6].</w:t>
      </w:r>
      <w:bookmarkEnd w:id="477"/>
      <w:bookmarkEnd w:id="478"/>
      <w:bookmarkEnd w:id="479"/>
      <w:bookmarkEnd w:id="480"/>
    </w:p>
    <w:p w14:paraId="01E8ECDD" w14:textId="77777777" w:rsidR="00F50D70" w:rsidRPr="00BE4F47" w:rsidRDefault="00137D7F" w:rsidP="008E113B">
      <w:pPr>
        <w:spacing w:after="130" w:line="360" w:lineRule="auto"/>
        <w:ind w:left="360"/>
        <w:rPr>
          <w:rFonts w:ascii="Aptos" w:eastAsia="Calibri" w:hAnsi="Aptos" w:cs="Calibri"/>
          <w:color w:val="1A1A19"/>
          <w:sz w:val="20"/>
          <w:szCs w:val="20"/>
        </w:rPr>
      </w:pPr>
      <w:bookmarkStart w:id="481" w:name="_Toc241082927"/>
      <w:bookmarkStart w:id="482" w:name="_Toc241670102"/>
      <w:bookmarkStart w:id="483" w:name="_Toc241707810"/>
      <w:bookmarkStart w:id="484" w:name="_Toc241791759"/>
      <w:r w:rsidRPr="00BE4F47">
        <w:rPr>
          <w:rFonts w:ascii="Aptos" w:hAnsi="Aptos"/>
          <w:color w:val="1A1A19"/>
          <w:sz w:val="20"/>
          <w:szCs w:val="20"/>
        </w:rPr>
        <w:t>Dans le GEMMA de l’équipe, cette fonction correspond à la transition de l’état F1 vers l’état D2, franchie dès qu’une dérive ou une anomalie est confirmée en fonctionnement.</w:t>
      </w:r>
      <w:bookmarkEnd w:id="481"/>
      <w:bookmarkEnd w:id="482"/>
      <w:bookmarkEnd w:id="483"/>
      <w:bookmarkEnd w:id="484"/>
    </w:p>
    <w:p w14:paraId="3EA6A6AF" w14:textId="77777777" w:rsidR="00F50D70" w:rsidRPr="00BE4F47" w:rsidRDefault="00137D7F" w:rsidP="008E113B">
      <w:pPr>
        <w:spacing w:after="130" w:line="360" w:lineRule="auto"/>
        <w:ind w:left="360"/>
        <w:rPr>
          <w:rFonts w:ascii="Aptos" w:hAnsi="Aptos"/>
        </w:rPr>
      </w:pPr>
      <w:bookmarkStart w:id="485" w:name="_Toc241082928"/>
      <w:bookmarkStart w:id="486" w:name="_Toc241670103"/>
      <w:bookmarkStart w:id="487" w:name="_Toc241707811"/>
      <w:bookmarkStart w:id="488" w:name="_Toc241791760"/>
      <w:r w:rsidRPr="00BE4F47">
        <w:rPr>
          <w:rFonts w:ascii="Aptos" w:hAnsi="Aptos"/>
          <w:b/>
          <w:color w:val="1A1A19"/>
          <w:sz w:val="20"/>
          <w:szCs w:val="20"/>
        </w:rPr>
        <w:t xml:space="preserve">La quantification de l’incertitude. </w:t>
      </w:r>
      <w:r w:rsidRPr="00BE4F47">
        <w:rPr>
          <w:rFonts w:ascii="Aptos" w:hAnsi="Aptos"/>
          <w:color w:val="1A1A19"/>
          <w:sz w:val="20"/>
          <w:szCs w:val="20"/>
        </w:rPr>
        <w:t>Dans un système d’aide à la décision, produire un diagnostic ne suffit pas. Il faut également évaluer le niveau de confiance associé au résultat, ce qu’exige EX-F-07.</w:t>
      </w:r>
      <w:bookmarkEnd w:id="485"/>
      <w:bookmarkEnd w:id="486"/>
      <w:bookmarkEnd w:id="487"/>
      <w:bookmarkEnd w:id="488"/>
    </w:p>
    <w:p w14:paraId="1A554B03" w14:textId="77777777" w:rsidR="00F50D70" w:rsidRPr="00BE4F47" w:rsidRDefault="00137D7F" w:rsidP="008E113B">
      <w:pPr>
        <w:spacing w:after="130" w:line="360" w:lineRule="auto"/>
        <w:ind w:left="360"/>
        <w:rPr>
          <w:rFonts w:ascii="Aptos" w:eastAsia="Calibri" w:hAnsi="Aptos" w:cs="Calibri"/>
          <w:color w:val="1A1A19"/>
          <w:sz w:val="20"/>
          <w:szCs w:val="20"/>
        </w:rPr>
      </w:pPr>
      <w:bookmarkStart w:id="489" w:name="_Toc241082929"/>
      <w:bookmarkStart w:id="490" w:name="_Toc241670104"/>
      <w:bookmarkStart w:id="491" w:name="_Toc241707812"/>
      <w:bookmarkStart w:id="492" w:name="_Toc241791761"/>
      <w:r w:rsidRPr="00BE4F47">
        <w:rPr>
          <w:rFonts w:ascii="Aptos" w:hAnsi="Aptos"/>
          <w:color w:val="1A1A19"/>
          <w:sz w:val="20"/>
          <w:szCs w:val="20"/>
        </w:rPr>
        <w:t>K. Kobayashi, D. Kumar et S. B. Alam ont étudié l’emploi de techniques de quantification de l’incertitude pour les technologies de jumeaux numériques nucléaires. Leurs travaux montrent l’importance d’estimer les incertitudes associées aux paramètres et aux modèles, afin d’éviter qu’un résultat numérique soit interprété avec une certitude qu’il n’a pas [7].</w:t>
      </w:r>
      <w:bookmarkEnd w:id="489"/>
      <w:bookmarkEnd w:id="490"/>
      <w:bookmarkEnd w:id="491"/>
      <w:bookmarkEnd w:id="492"/>
    </w:p>
    <w:p w14:paraId="552B77D9" w14:textId="77777777" w:rsidR="00F50D70" w:rsidRPr="00BE4F47" w:rsidRDefault="00137D7F" w:rsidP="008E113B">
      <w:pPr>
        <w:spacing w:after="130" w:line="360" w:lineRule="auto"/>
        <w:ind w:left="360"/>
        <w:rPr>
          <w:rFonts w:ascii="Aptos" w:hAnsi="Aptos"/>
        </w:rPr>
      </w:pPr>
      <w:bookmarkStart w:id="493" w:name="_Toc241082930"/>
      <w:bookmarkStart w:id="494" w:name="_Toc241670105"/>
      <w:bookmarkStart w:id="495" w:name="_Toc241707813"/>
      <w:bookmarkStart w:id="496" w:name="_Toc241791762"/>
      <w:r w:rsidRPr="00BE4F47">
        <w:rPr>
          <w:rFonts w:ascii="Aptos" w:hAnsi="Aptos"/>
          <w:color w:val="1A1A19"/>
          <w:sz w:val="20"/>
          <w:szCs w:val="20"/>
        </w:rPr>
        <w:t>La norme ASME V&amp;V 20 apporte le complément méthodologique que la littérature laisse ouvert. La décomposition de l’écart entre modèle et référence et ses conséquences sur la campagne d’essais sont détaillées à la section 6.5.</w:t>
      </w:r>
      <w:bookmarkEnd w:id="493"/>
      <w:bookmarkEnd w:id="494"/>
      <w:bookmarkEnd w:id="495"/>
      <w:bookmarkEnd w:id="496"/>
    </w:p>
    <w:p w14:paraId="7FA19DCA" w14:textId="77777777" w:rsidR="00B03F2E" w:rsidRDefault="00137D7F" w:rsidP="008E113B">
      <w:pPr>
        <w:spacing w:after="130" w:line="360" w:lineRule="auto"/>
        <w:ind w:left="360"/>
        <w:rPr>
          <w:rFonts w:ascii="Aptos" w:eastAsia="Calibri" w:hAnsi="Aptos" w:cs="Calibri"/>
          <w:color w:val="1A1A19"/>
          <w:sz w:val="20"/>
          <w:szCs w:val="20"/>
        </w:rPr>
      </w:pPr>
      <w:bookmarkStart w:id="497" w:name="_Toc241082931"/>
      <w:bookmarkStart w:id="498" w:name="_Toc241670106"/>
      <w:bookmarkStart w:id="499" w:name="_Toc241707814"/>
      <w:bookmarkStart w:id="500" w:name="_Toc241791763"/>
      <w:r w:rsidRPr="00BE4F47">
        <w:rPr>
          <w:rFonts w:ascii="Aptos" w:hAnsi="Aptos"/>
          <w:color w:val="1A1A19"/>
          <w:sz w:val="20"/>
          <w:szCs w:val="20"/>
        </w:rPr>
        <w:t>Le niveau de confiance affiché par le prototype pourra dépendre :</w:t>
      </w:r>
      <w:bookmarkEnd w:id="497"/>
      <w:bookmarkEnd w:id="498"/>
      <w:bookmarkEnd w:id="499"/>
      <w:bookmarkEnd w:id="500"/>
    </w:p>
    <w:p w14:paraId="762F460A" w14:textId="77777777" w:rsidR="00F50D70" w:rsidRPr="00BE4F47" w:rsidRDefault="00137D7F" w:rsidP="008E113B">
      <w:pPr>
        <w:numPr>
          <w:ilvl w:val="0"/>
          <w:numId w:val="20"/>
        </w:numPr>
        <w:spacing w:after="130" w:line="360" w:lineRule="auto"/>
        <w:ind w:left="720"/>
        <w:rPr>
          <w:rFonts w:ascii="Aptos" w:eastAsia="Calibri" w:hAnsi="Aptos" w:cs="Calibri"/>
          <w:color w:val="1A1A19"/>
          <w:sz w:val="20"/>
          <w:szCs w:val="20"/>
        </w:rPr>
      </w:pPr>
      <w:bookmarkStart w:id="501" w:name="_Toc241082932"/>
      <w:bookmarkStart w:id="502" w:name="_Toc241670107"/>
      <w:bookmarkStart w:id="503" w:name="_Toc241707815"/>
      <w:bookmarkStart w:id="504" w:name="_Toc241791764"/>
      <w:proofErr w:type="gramStart"/>
      <w:r w:rsidRPr="00BE4F47">
        <w:rPr>
          <w:rFonts w:ascii="Aptos" w:hAnsi="Aptos"/>
          <w:color w:val="1A1A19"/>
          <w:sz w:val="20"/>
          <w:szCs w:val="20"/>
        </w:rPr>
        <w:t>de</w:t>
      </w:r>
      <w:proofErr w:type="gramEnd"/>
      <w:r w:rsidRPr="00BE4F47">
        <w:rPr>
          <w:rFonts w:ascii="Aptos" w:hAnsi="Aptos"/>
          <w:color w:val="1A1A19"/>
          <w:sz w:val="20"/>
          <w:szCs w:val="20"/>
        </w:rPr>
        <w:t xml:space="preserve"> la disponibilité des données.</w:t>
      </w:r>
      <w:bookmarkEnd w:id="501"/>
      <w:bookmarkEnd w:id="502"/>
      <w:bookmarkEnd w:id="503"/>
      <w:bookmarkEnd w:id="504"/>
    </w:p>
    <w:p w14:paraId="0E9EF0FC" w14:textId="77777777" w:rsidR="00F50D70" w:rsidRPr="00BE4F47" w:rsidRDefault="00137D7F" w:rsidP="008E113B">
      <w:pPr>
        <w:numPr>
          <w:ilvl w:val="0"/>
          <w:numId w:val="20"/>
        </w:numPr>
        <w:spacing w:after="130" w:line="360" w:lineRule="auto"/>
        <w:ind w:left="720"/>
        <w:rPr>
          <w:rFonts w:ascii="Aptos" w:eastAsia="Calibri" w:hAnsi="Aptos" w:cs="Calibri"/>
          <w:color w:val="1A1A19"/>
          <w:sz w:val="20"/>
          <w:szCs w:val="20"/>
        </w:rPr>
      </w:pPr>
      <w:bookmarkStart w:id="505" w:name="_Toc241082933"/>
      <w:bookmarkStart w:id="506" w:name="_Toc241670108"/>
      <w:bookmarkStart w:id="507" w:name="_Toc241707816"/>
      <w:bookmarkStart w:id="508" w:name="_Toc241791765"/>
      <w:proofErr w:type="gramStart"/>
      <w:r w:rsidRPr="00BE4F47">
        <w:rPr>
          <w:rFonts w:ascii="Aptos" w:hAnsi="Aptos"/>
          <w:color w:val="1A1A19"/>
          <w:sz w:val="20"/>
          <w:szCs w:val="20"/>
        </w:rPr>
        <w:t>de</w:t>
      </w:r>
      <w:proofErr w:type="gramEnd"/>
      <w:r w:rsidRPr="00BE4F47">
        <w:rPr>
          <w:rFonts w:ascii="Aptos" w:hAnsi="Aptos"/>
          <w:color w:val="1A1A19"/>
          <w:sz w:val="20"/>
          <w:szCs w:val="20"/>
        </w:rPr>
        <w:t xml:space="preserve"> leur qualité.</w:t>
      </w:r>
      <w:bookmarkEnd w:id="505"/>
      <w:bookmarkEnd w:id="506"/>
      <w:bookmarkEnd w:id="507"/>
      <w:bookmarkEnd w:id="508"/>
    </w:p>
    <w:p w14:paraId="028FB710" w14:textId="77777777" w:rsidR="00F50D70" w:rsidRPr="00BE4F47" w:rsidRDefault="00137D7F" w:rsidP="008E113B">
      <w:pPr>
        <w:numPr>
          <w:ilvl w:val="0"/>
          <w:numId w:val="20"/>
        </w:numPr>
        <w:spacing w:after="130" w:line="360" w:lineRule="auto"/>
        <w:ind w:left="720"/>
        <w:rPr>
          <w:rFonts w:ascii="Aptos" w:eastAsia="Calibri" w:hAnsi="Aptos" w:cs="Calibri"/>
          <w:color w:val="1A1A19"/>
          <w:sz w:val="20"/>
          <w:szCs w:val="20"/>
        </w:rPr>
      </w:pPr>
      <w:bookmarkStart w:id="509" w:name="_Toc241082934"/>
      <w:bookmarkStart w:id="510" w:name="_Toc241670109"/>
      <w:bookmarkStart w:id="511" w:name="_Toc241707817"/>
      <w:bookmarkStart w:id="512" w:name="_Toc241791766"/>
      <w:proofErr w:type="gramStart"/>
      <w:r w:rsidRPr="00BE4F47">
        <w:rPr>
          <w:rFonts w:ascii="Aptos" w:hAnsi="Aptos"/>
          <w:color w:val="1A1A19"/>
          <w:sz w:val="20"/>
          <w:szCs w:val="20"/>
        </w:rPr>
        <w:t>de</w:t>
      </w:r>
      <w:proofErr w:type="gramEnd"/>
      <w:r w:rsidRPr="00BE4F47">
        <w:rPr>
          <w:rFonts w:ascii="Aptos" w:hAnsi="Aptos"/>
          <w:color w:val="1A1A19"/>
          <w:sz w:val="20"/>
          <w:szCs w:val="20"/>
        </w:rPr>
        <w:t xml:space="preserve"> l’écart entre le modèle et les mesures.</w:t>
      </w:r>
      <w:bookmarkEnd w:id="509"/>
      <w:bookmarkEnd w:id="510"/>
      <w:bookmarkEnd w:id="511"/>
      <w:bookmarkEnd w:id="512"/>
    </w:p>
    <w:p w14:paraId="5E6E872D" w14:textId="77777777" w:rsidR="00F50D70" w:rsidRPr="00BE4F47" w:rsidRDefault="00137D7F" w:rsidP="008E113B">
      <w:pPr>
        <w:numPr>
          <w:ilvl w:val="0"/>
          <w:numId w:val="20"/>
        </w:numPr>
        <w:spacing w:after="130" w:line="360" w:lineRule="auto"/>
        <w:ind w:left="720"/>
        <w:rPr>
          <w:rFonts w:ascii="Aptos" w:eastAsia="Calibri" w:hAnsi="Aptos" w:cs="Calibri"/>
          <w:color w:val="1A1A19"/>
          <w:sz w:val="20"/>
          <w:szCs w:val="20"/>
        </w:rPr>
      </w:pPr>
      <w:bookmarkStart w:id="513" w:name="_Toc241082935"/>
      <w:bookmarkStart w:id="514" w:name="_Toc241670110"/>
      <w:bookmarkStart w:id="515" w:name="_Toc241707818"/>
      <w:bookmarkStart w:id="516" w:name="_Toc241791767"/>
      <w:proofErr w:type="gramStart"/>
      <w:r w:rsidRPr="00BE4F47">
        <w:rPr>
          <w:rFonts w:ascii="Aptos" w:hAnsi="Aptos"/>
          <w:color w:val="1A1A19"/>
          <w:sz w:val="20"/>
          <w:szCs w:val="20"/>
        </w:rPr>
        <w:t>du</w:t>
      </w:r>
      <w:proofErr w:type="gramEnd"/>
      <w:r w:rsidRPr="00BE4F47">
        <w:rPr>
          <w:rFonts w:ascii="Aptos" w:hAnsi="Aptos"/>
          <w:color w:val="1A1A19"/>
          <w:sz w:val="20"/>
          <w:szCs w:val="20"/>
        </w:rPr>
        <w:t xml:space="preserve"> nombre de capteurs cohérents entre eux.</w:t>
      </w:r>
      <w:bookmarkEnd w:id="513"/>
      <w:bookmarkEnd w:id="514"/>
      <w:bookmarkEnd w:id="515"/>
      <w:bookmarkEnd w:id="516"/>
    </w:p>
    <w:p w14:paraId="5144A330" w14:textId="77777777" w:rsidR="00F50D70" w:rsidRPr="00BE4F47" w:rsidRDefault="00137D7F" w:rsidP="008E113B">
      <w:pPr>
        <w:numPr>
          <w:ilvl w:val="0"/>
          <w:numId w:val="20"/>
        </w:numPr>
        <w:spacing w:after="130" w:line="360" w:lineRule="auto"/>
        <w:ind w:left="720"/>
        <w:rPr>
          <w:rFonts w:ascii="Aptos" w:eastAsia="Times New Roman" w:hAnsi="Aptos"/>
        </w:rPr>
      </w:pPr>
      <w:bookmarkStart w:id="517" w:name="_Toc241670111"/>
      <w:bookmarkStart w:id="518" w:name="_Toc241707819"/>
      <w:bookmarkStart w:id="519" w:name="_Toc241791768"/>
      <w:proofErr w:type="gramStart"/>
      <w:r w:rsidRPr="00BE4F47">
        <w:rPr>
          <w:rFonts w:ascii="Aptos" w:hAnsi="Aptos"/>
          <w:color w:val="1A1A19"/>
          <w:sz w:val="20"/>
          <w:szCs w:val="20"/>
        </w:rPr>
        <w:t>du</w:t>
      </w:r>
      <w:proofErr w:type="gramEnd"/>
      <w:r w:rsidRPr="00BE4F47">
        <w:rPr>
          <w:rFonts w:ascii="Aptos" w:hAnsi="Aptos"/>
          <w:color w:val="1A1A19"/>
          <w:sz w:val="20"/>
          <w:szCs w:val="20"/>
        </w:rPr>
        <w:t xml:space="preserve"> domaine de validité du modèle.</w:t>
      </w:r>
      <w:bookmarkEnd w:id="517"/>
      <w:bookmarkEnd w:id="518"/>
      <w:bookmarkEnd w:id="519"/>
    </w:p>
    <w:p w14:paraId="057595DD" w14:textId="77777777" w:rsidR="00F50D70" w:rsidRPr="00BE4F47" w:rsidRDefault="00137D7F" w:rsidP="008E113B">
      <w:pPr>
        <w:spacing w:after="130" w:line="360" w:lineRule="auto"/>
        <w:ind w:left="360"/>
        <w:rPr>
          <w:rFonts w:ascii="Aptos" w:eastAsia="Calibri" w:hAnsi="Aptos" w:cs="Calibri"/>
          <w:color w:val="1A1A19"/>
          <w:sz w:val="20"/>
          <w:szCs w:val="20"/>
        </w:rPr>
      </w:pPr>
      <w:bookmarkStart w:id="520" w:name="_Toc241082937"/>
      <w:bookmarkStart w:id="521" w:name="_Toc241670112"/>
      <w:bookmarkStart w:id="522" w:name="_Toc241707820"/>
      <w:bookmarkStart w:id="523" w:name="_Toc241791769"/>
      <w:r w:rsidRPr="00BE4F47">
        <w:rPr>
          <w:rFonts w:ascii="Aptos" w:hAnsi="Aptos"/>
          <w:b/>
          <w:color w:val="1A1A19"/>
          <w:sz w:val="20"/>
          <w:szCs w:val="20"/>
        </w:rPr>
        <w:t xml:space="preserve">La cybersécurité et la cyber-résilience. </w:t>
      </w:r>
      <w:r w:rsidRPr="00BE4F47">
        <w:rPr>
          <w:rFonts w:ascii="Aptos" w:hAnsi="Aptos"/>
          <w:color w:val="1A1A19"/>
          <w:sz w:val="20"/>
          <w:szCs w:val="20"/>
        </w:rPr>
        <w:t>Une donnée falsifiée, retardée ou supprimée entraîne une représentation erronée de l’état du système, donc une décision erronée de l’opérateur.</w:t>
      </w:r>
      <w:bookmarkEnd w:id="520"/>
      <w:bookmarkEnd w:id="521"/>
      <w:bookmarkEnd w:id="522"/>
      <w:bookmarkEnd w:id="523"/>
    </w:p>
    <w:p w14:paraId="0B02E7FA" w14:textId="6C0987A6" w:rsidR="00F50D70" w:rsidRPr="00BE4F47" w:rsidRDefault="00137D7F" w:rsidP="008E113B">
      <w:pPr>
        <w:spacing w:after="130" w:line="360" w:lineRule="auto"/>
        <w:ind w:left="360"/>
        <w:rPr>
          <w:rFonts w:ascii="Aptos" w:hAnsi="Aptos"/>
        </w:rPr>
      </w:pPr>
      <w:bookmarkStart w:id="524" w:name="_Toc241082938"/>
      <w:bookmarkStart w:id="525" w:name="_Toc241670113"/>
      <w:bookmarkStart w:id="526" w:name="_Toc241707821"/>
      <w:bookmarkStart w:id="527" w:name="_Toc241791770"/>
      <w:r w:rsidRPr="00BE4F47">
        <w:rPr>
          <w:rFonts w:ascii="Aptos" w:hAnsi="Aptos"/>
          <w:color w:val="1A1A19"/>
          <w:sz w:val="20"/>
          <w:szCs w:val="20"/>
        </w:rPr>
        <w:t xml:space="preserve">A. Sayghe propose une architecture de détection d’intrusions reposant sur un jumeau numérique d’un système SCADA. Le jumeau permet de simuler le procédé, d’y injecter différents types de </w:t>
      </w:r>
      <w:r w:rsidRPr="00BE4F47">
        <w:rPr>
          <w:rFonts w:ascii="Aptos" w:hAnsi="Aptos"/>
          <w:color w:val="1A1A19"/>
          <w:sz w:val="20"/>
          <w:szCs w:val="20"/>
        </w:rPr>
        <w:lastRenderedPageBreak/>
        <w:t>cyberattaques et d’en évaluer l’incidence [8]. C. Alcaraz et J. Lopez montrent de leur côté que les jumeaux numériques peuvent servir de mécanisme complémentaire de détection dans les systèmes cyberphysiques [9].</w:t>
      </w:r>
      <w:bookmarkEnd w:id="524"/>
      <w:bookmarkEnd w:id="525"/>
      <w:bookmarkEnd w:id="526"/>
      <w:bookmarkEnd w:id="527"/>
    </w:p>
    <w:p w14:paraId="098A0723" w14:textId="77777777" w:rsidR="00F50D70" w:rsidRPr="00BE4F47" w:rsidRDefault="00137D7F" w:rsidP="008E113B">
      <w:pPr>
        <w:spacing w:after="130" w:line="360" w:lineRule="auto"/>
        <w:ind w:left="360"/>
        <w:rPr>
          <w:rFonts w:ascii="Aptos" w:eastAsia="Calibri" w:hAnsi="Aptos" w:cs="Calibri"/>
          <w:color w:val="1A1A19"/>
          <w:sz w:val="20"/>
          <w:szCs w:val="20"/>
        </w:rPr>
      </w:pPr>
      <w:bookmarkStart w:id="528" w:name="_Toc241082939"/>
      <w:bookmarkStart w:id="529" w:name="_Toc241670114"/>
      <w:bookmarkStart w:id="530" w:name="_Toc241707822"/>
      <w:bookmarkStart w:id="531" w:name="_Toc241791771"/>
      <w:r w:rsidRPr="00BE4F47">
        <w:rPr>
          <w:rFonts w:ascii="Aptos" w:hAnsi="Aptos"/>
          <w:color w:val="1A1A19"/>
          <w:sz w:val="20"/>
          <w:szCs w:val="20"/>
        </w:rPr>
        <w:t>Pour le projet, la cyber-résilience ne se limite pas à empêcher une attaque. Le système doit pouvoir :</w:t>
      </w:r>
      <w:bookmarkEnd w:id="528"/>
      <w:bookmarkEnd w:id="529"/>
      <w:bookmarkEnd w:id="530"/>
      <w:bookmarkEnd w:id="531"/>
    </w:p>
    <w:p w14:paraId="3AB03436" w14:textId="77777777" w:rsidR="00F50D70" w:rsidRPr="00BE4F47" w:rsidRDefault="00137D7F" w:rsidP="008E113B">
      <w:pPr>
        <w:numPr>
          <w:ilvl w:val="0"/>
          <w:numId w:val="20"/>
        </w:numPr>
        <w:spacing w:after="130" w:line="360" w:lineRule="auto"/>
        <w:ind w:left="720"/>
        <w:rPr>
          <w:rFonts w:ascii="Aptos" w:eastAsia="Calibri" w:hAnsi="Aptos" w:cs="Calibri"/>
          <w:color w:val="1A1A19"/>
          <w:sz w:val="20"/>
          <w:szCs w:val="20"/>
        </w:rPr>
      </w:pPr>
      <w:bookmarkStart w:id="532" w:name="_Toc241082940"/>
      <w:bookmarkStart w:id="533" w:name="_Toc241670115"/>
      <w:bookmarkStart w:id="534" w:name="_Toc241707823"/>
      <w:bookmarkStart w:id="535" w:name="_Toc241791772"/>
      <w:proofErr w:type="gramStart"/>
      <w:r w:rsidRPr="00BE4F47">
        <w:rPr>
          <w:rFonts w:ascii="Aptos" w:hAnsi="Aptos"/>
          <w:color w:val="1A1A19"/>
          <w:sz w:val="20"/>
          <w:szCs w:val="20"/>
        </w:rPr>
        <w:t>identifier</w:t>
      </w:r>
      <w:proofErr w:type="gramEnd"/>
      <w:r w:rsidRPr="00BE4F47">
        <w:rPr>
          <w:rFonts w:ascii="Aptos" w:hAnsi="Aptos"/>
          <w:color w:val="1A1A19"/>
          <w:sz w:val="20"/>
          <w:szCs w:val="20"/>
        </w:rPr>
        <w:t xml:space="preserve"> une donnée incohérente.</w:t>
      </w:r>
      <w:bookmarkEnd w:id="532"/>
      <w:bookmarkEnd w:id="533"/>
      <w:bookmarkEnd w:id="534"/>
      <w:bookmarkEnd w:id="535"/>
    </w:p>
    <w:p w14:paraId="03624502" w14:textId="77777777" w:rsidR="00F50D70" w:rsidRPr="00BE4F47" w:rsidRDefault="00137D7F" w:rsidP="008E113B">
      <w:pPr>
        <w:numPr>
          <w:ilvl w:val="0"/>
          <w:numId w:val="20"/>
        </w:numPr>
        <w:spacing w:after="130" w:line="360" w:lineRule="auto"/>
        <w:ind w:left="720"/>
        <w:rPr>
          <w:rFonts w:ascii="Aptos" w:eastAsia="Calibri" w:hAnsi="Aptos" w:cs="Calibri"/>
          <w:color w:val="1A1A19"/>
          <w:sz w:val="20"/>
          <w:szCs w:val="20"/>
        </w:rPr>
      </w:pPr>
      <w:bookmarkStart w:id="536" w:name="_Toc241082941"/>
      <w:bookmarkStart w:id="537" w:name="_Toc241670116"/>
      <w:bookmarkStart w:id="538" w:name="_Toc241707824"/>
      <w:bookmarkStart w:id="539" w:name="_Toc241791773"/>
      <w:proofErr w:type="gramStart"/>
      <w:r w:rsidRPr="00BE4F47">
        <w:rPr>
          <w:rFonts w:ascii="Aptos" w:hAnsi="Aptos"/>
          <w:color w:val="1A1A19"/>
          <w:sz w:val="20"/>
          <w:szCs w:val="20"/>
        </w:rPr>
        <w:t>détecter</w:t>
      </w:r>
      <w:proofErr w:type="gramEnd"/>
      <w:r w:rsidRPr="00BE4F47">
        <w:rPr>
          <w:rFonts w:ascii="Aptos" w:hAnsi="Aptos"/>
          <w:color w:val="1A1A19"/>
          <w:sz w:val="20"/>
          <w:szCs w:val="20"/>
        </w:rPr>
        <w:t xml:space="preserve"> une perte de communication.</w:t>
      </w:r>
      <w:bookmarkEnd w:id="536"/>
      <w:bookmarkEnd w:id="537"/>
      <w:bookmarkEnd w:id="538"/>
      <w:bookmarkEnd w:id="539"/>
    </w:p>
    <w:p w14:paraId="0DC6FF7A" w14:textId="77777777" w:rsidR="00F50D70" w:rsidRPr="00BE4F47" w:rsidRDefault="00137D7F" w:rsidP="008E113B">
      <w:pPr>
        <w:numPr>
          <w:ilvl w:val="0"/>
          <w:numId w:val="20"/>
        </w:numPr>
        <w:spacing w:after="130" w:line="360" w:lineRule="auto"/>
        <w:ind w:left="720"/>
        <w:rPr>
          <w:rFonts w:ascii="Aptos" w:eastAsia="Segoe UI Symbol" w:hAnsi="Aptos" w:cs="Calibri"/>
          <w:color w:val="1A1A19"/>
          <w:sz w:val="20"/>
          <w:szCs w:val="20"/>
        </w:rPr>
      </w:pPr>
      <w:bookmarkStart w:id="540" w:name="_Toc241082942"/>
      <w:bookmarkStart w:id="541" w:name="_Toc241670117"/>
      <w:bookmarkStart w:id="542" w:name="_Toc241707825"/>
      <w:bookmarkStart w:id="543" w:name="_Toc241791774"/>
      <w:proofErr w:type="gramStart"/>
      <w:r w:rsidRPr="00BE4F47">
        <w:rPr>
          <w:rFonts w:ascii="Aptos" w:hAnsi="Aptos"/>
          <w:color w:val="1A1A19"/>
          <w:sz w:val="20"/>
          <w:szCs w:val="20"/>
        </w:rPr>
        <w:t>reconnaître</w:t>
      </w:r>
      <w:proofErr w:type="gramEnd"/>
      <w:r w:rsidRPr="00BE4F47">
        <w:rPr>
          <w:rFonts w:ascii="Aptos" w:hAnsi="Aptos"/>
          <w:color w:val="1A1A19"/>
          <w:sz w:val="20"/>
          <w:szCs w:val="20"/>
        </w:rPr>
        <w:t xml:space="preserve"> une mesure potentiellement falsifiée.</w:t>
      </w:r>
      <w:bookmarkEnd w:id="540"/>
      <w:bookmarkEnd w:id="541"/>
      <w:bookmarkEnd w:id="542"/>
      <w:bookmarkEnd w:id="543"/>
    </w:p>
    <w:p w14:paraId="0EB0A16F" w14:textId="77777777" w:rsidR="00F50D70" w:rsidRPr="00BE4F47" w:rsidRDefault="00137D7F" w:rsidP="008E113B">
      <w:pPr>
        <w:numPr>
          <w:ilvl w:val="0"/>
          <w:numId w:val="20"/>
        </w:numPr>
        <w:spacing w:after="130" w:line="360" w:lineRule="auto"/>
        <w:ind w:left="720"/>
        <w:rPr>
          <w:rFonts w:ascii="Aptos" w:eastAsia="Segoe UI Symbol" w:hAnsi="Aptos" w:cs="Calibri"/>
          <w:color w:val="1A1A19"/>
          <w:sz w:val="20"/>
          <w:szCs w:val="20"/>
        </w:rPr>
      </w:pPr>
      <w:bookmarkStart w:id="544" w:name="_Toc241082943"/>
      <w:bookmarkStart w:id="545" w:name="_Toc241670118"/>
      <w:bookmarkStart w:id="546" w:name="_Toc241707826"/>
      <w:bookmarkStart w:id="547" w:name="_Toc241791775"/>
      <w:proofErr w:type="gramStart"/>
      <w:r w:rsidRPr="00BE4F47">
        <w:rPr>
          <w:rFonts w:ascii="Aptos" w:hAnsi="Aptos"/>
          <w:color w:val="1A1A19"/>
          <w:sz w:val="20"/>
          <w:szCs w:val="20"/>
        </w:rPr>
        <w:t>continuer</w:t>
      </w:r>
      <w:proofErr w:type="gramEnd"/>
      <w:r w:rsidRPr="00BE4F47">
        <w:rPr>
          <w:rFonts w:ascii="Aptos" w:hAnsi="Aptos"/>
          <w:color w:val="1A1A19"/>
          <w:sz w:val="20"/>
          <w:szCs w:val="20"/>
        </w:rPr>
        <w:t xml:space="preserve"> à fonctionner en mode dégradé lorsque cela reste sûr.</w:t>
      </w:r>
      <w:bookmarkEnd w:id="544"/>
      <w:bookmarkEnd w:id="545"/>
      <w:bookmarkEnd w:id="546"/>
      <w:bookmarkEnd w:id="547"/>
    </w:p>
    <w:p w14:paraId="60B474D9" w14:textId="77777777" w:rsidR="00F50D70" w:rsidRPr="00BE4F47" w:rsidRDefault="00137D7F" w:rsidP="008E113B">
      <w:pPr>
        <w:numPr>
          <w:ilvl w:val="0"/>
          <w:numId w:val="20"/>
        </w:numPr>
        <w:spacing w:after="130" w:line="360" w:lineRule="auto"/>
        <w:ind w:left="720"/>
        <w:rPr>
          <w:rFonts w:ascii="Aptos" w:eastAsia="Segoe UI Symbol" w:hAnsi="Aptos" w:cs="Segoe UI Symbol"/>
          <w:lang w:eastAsia="ja-JP"/>
        </w:rPr>
      </w:pPr>
      <w:bookmarkStart w:id="548" w:name="_Toc241082944"/>
      <w:bookmarkStart w:id="549" w:name="_Toc241670119"/>
      <w:bookmarkStart w:id="550" w:name="_Toc241707827"/>
      <w:bookmarkStart w:id="551" w:name="_Toc241791776"/>
      <w:proofErr w:type="gramStart"/>
      <w:r w:rsidRPr="00BE4F47">
        <w:rPr>
          <w:rFonts w:ascii="Aptos" w:hAnsi="Aptos"/>
          <w:color w:val="1A1A19"/>
          <w:sz w:val="20"/>
          <w:szCs w:val="20"/>
        </w:rPr>
        <w:t>indiquer</w:t>
      </w:r>
      <w:proofErr w:type="gramEnd"/>
      <w:r w:rsidRPr="00BE4F47">
        <w:rPr>
          <w:rFonts w:ascii="Aptos" w:hAnsi="Aptos"/>
          <w:color w:val="1A1A19"/>
          <w:sz w:val="20"/>
          <w:szCs w:val="20"/>
        </w:rPr>
        <w:t xml:space="preserve"> clairement qu’un diagnostic fiable n’est plus possible.</w:t>
      </w:r>
      <w:bookmarkEnd w:id="548"/>
      <w:bookmarkEnd w:id="549"/>
      <w:bookmarkEnd w:id="550"/>
      <w:bookmarkEnd w:id="551"/>
    </w:p>
    <w:p w14:paraId="69DD52AC" w14:textId="77777777" w:rsidR="00F50D70" w:rsidRPr="00BE4F47" w:rsidRDefault="00137D7F" w:rsidP="008E113B">
      <w:pPr>
        <w:spacing w:after="130" w:line="360" w:lineRule="auto"/>
        <w:ind w:left="360"/>
        <w:rPr>
          <w:rFonts w:ascii="Aptos" w:hAnsi="Aptos"/>
        </w:rPr>
      </w:pPr>
      <w:bookmarkStart w:id="552" w:name="_Toc241082945"/>
      <w:bookmarkStart w:id="553" w:name="_Toc241670120"/>
      <w:bookmarkStart w:id="554" w:name="_Toc241707828"/>
      <w:bookmarkStart w:id="555" w:name="_Toc241791777"/>
      <w:r w:rsidRPr="00BE4F47">
        <w:rPr>
          <w:rFonts w:ascii="Aptos" w:hAnsi="Aptos"/>
          <w:color w:val="1A1A19"/>
          <w:sz w:val="20"/>
          <w:szCs w:val="20"/>
        </w:rPr>
        <w:t>Ces cinq comportements correspondent aux exigences EX-Q-04 et EX-F-06 et, dans le GEMMA, aux états D2 et D3. La norme IEC 62859 ajoute une contrainte que la littérature n’énonce pas : une mesure de cybersécurité ne doit jamais empêcher l’opérateur de percevoir l’état réel du système. Une coupure de flux décidée pour des motifs de sécurité doit donc être signalée, et non silencieuse.</w:t>
      </w:r>
      <w:bookmarkEnd w:id="552"/>
      <w:bookmarkEnd w:id="553"/>
      <w:bookmarkEnd w:id="554"/>
      <w:bookmarkEnd w:id="555"/>
    </w:p>
    <w:p w14:paraId="6897E825" w14:textId="77777777" w:rsidR="00F50D70" w:rsidRPr="00BE4F47" w:rsidRDefault="00137D7F" w:rsidP="008E113B">
      <w:pPr>
        <w:spacing w:after="130" w:line="360" w:lineRule="auto"/>
        <w:ind w:left="360"/>
        <w:rPr>
          <w:rFonts w:ascii="Aptos" w:eastAsia="Calibri" w:hAnsi="Aptos" w:cs="Calibri"/>
          <w:color w:val="1A1A19"/>
          <w:sz w:val="20"/>
          <w:szCs w:val="20"/>
        </w:rPr>
      </w:pPr>
      <w:bookmarkStart w:id="556" w:name="_Toc241082946"/>
      <w:bookmarkStart w:id="557" w:name="_Toc241670121"/>
      <w:bookmarkStart w:id="558" w:name="_Toc241707829"/>
      <w:bookmarkStart w:id="559" w:name="_Toc241791778"/>
      <w:r w:rsidRPr="00BE4F47">
        <w:rPr>
          <w:rFonts w:ascii="Aptos" w:hAnsi="Aptos"/>
          <w:b/>
          <w:color w:val="1A1A19"/>
          <w:sz w:val="20"/>
          <w:szCs w:val="20"/>
        </w:rPr>
        <w:t xml:space="preserve">L’aide à la décision et l’explicabilité. </w:t>
      </w:r>
      <w:r w:rsidRPr="00BE4F47">
        <w:rPr>
          <w:rFonts w:ascii="Aptos" w:hAnsi="Aptos"/>
          <w:color w:val="1A1A19"/>
          <w:sz w:val="20"/>
          <w:szCs w:val="20"/>
        </w:rPr>
        <w:t>La littérature relève une limite d’interprétabilité des modèles numériques, en particulier avec l’apprentissage automatique [5]. En contexte nucléaire, une indication « normal » ou « anormal » ne suffit pas : l’opérateur doit pouvoir comprendre quelles variables ont conduit au diagnostic. Les exigences EX-F-04, EX-F-05 et EX-F-07 traduisent ce besoin en contenu d’interface.</w:t>
      </w:r>
      <w:bookmarkEnd w:id="556"/>
      <w:bookmarkEnd w:id="557"/>
      <w:bookmarkEnd w:id="558"/>
      <w:bookmarkEnd w:id="559"/>
    </w:p>
    <w:p w14:paraId="26B1D3A5" w14:textId="77777777" w:rsidR="00F50D70" w:rsidRPr="00BE4F47" w:rsidRDefault="00137D7F" w:rsidP="008E113B">
      <w:pPr>
        <w:spacing w:after="130" w:line="360" w:lineRule="auto"/>
        <w:ind w:left="360"/>
        <w:rPr>
          <w:rFonts w:ascii="Aptos" w:eastAsia="Calibri" w:hAnsi="Aptos" w:cs="Calibri"/>
          <w:color w:val="1A1A19"/>
          <w:sz w:val="20"/>
          <w:szCs w:val="20"/>
        </w:rPr>
      </w:pPr>
      <w:bookmarkStart w:id="560" w:name="_Toc241082948"/>
      <w:bookmarkStart w:id="561" w:name="_Toc241670122"/>
      <w:bookmarkStart w:id="562" w:name="_Toc241707830"/>
      <w:bookmarkStart w:id="563" w:name="_Toc241791779"/>
      <w:r w:rsidRPr="00BE4F47">
        <w:rPr>
          <w:rFonts w:ascii="Aptos" w:hAnsi="Aptos"/>
          <w:color w:val="1A1A19"/>
          <w:sz w:val="20"/>
          <w:szCs w:val="20"/>
        </w:rPr>
        <w:t>Le système demeure un outil d’aide à la décision, la responsabilité finale restant celle de l’opérateur (EX-F-08, norme ISO 9241-210 sur la conception centrée sur l’opérateur humain).</w:t>
      </w:r>
      <w:bookmarkEnd w:id="560"/>
      <w:bookmarkEnd w:id="561"/>
      <w:bookmarkEnd w:id="562"/>
      <w:bookmarkEnd w:id="563"/>
    </w:p>
    <w:p w14:paraId="0068DFE4" w14:textId="77777777" w:rsidR="00F50D70" w:rsidRPr="00BE4F47" w:rsidRDefault="00137D7F" w:rsidP="008E113B">
      <w:pPr>
        <w:spacing w:after="130" w:line="360" w:lineRule="auto"/>
        <w:ind w:left="360"/>
        <w:rPr>
          <w:rFonts w:ascii="Aptos" w:hAnsi="Aptos"/>
        </w:rPr>
      </w:pPr>
      <w:bookmarkStart w:id="564" w:name="_Toc241082967"/>
      <w:bookmarkStart w:id="565" w:name="_Toc241670123"/>
      <w:bookmarkStart w:id="566" w:name="_Toc241707831"/>
      <w:bookmarkStart w:id="567" w:name="_Toc241791780"/>
      <w:r w:rsidRPr="00BE4F47">
        <w:rPr>
          <w:rFonts w:ascii="Aptos" w:hAnsi="Aptos"/>
          <w:b/>
          <w:color w:val="1A1A19"/>
          <w:sz w:val="20"/>
          <w:szCs w:val="20"/>
        </w:rPr>
        <w:t xml:space="preserve">Les solutions du marché. </w:t>
      </w:r>
      <w:r w:rsidRPr="00BE4F47">
        <w:rPr>
          <w:rFonts w:ascii="Aptos" w:hAnsi="Aptos"/>
          <w:color w:val="1A1A19"/>
          <w:sz w:val="20"/>
          <w:szCs w:val="20"/>
        </w:rPr>
        <w:t>La revue qui précède porte sur les travaux publiés et sur les brevets. Quatre familles de solutions du marché ont aussi été examinées, pour situer ce que le projet aurait pu acheter plutôt que construire.</w:t>
      </w:r>
      <w:bookmarkEnd w:id="564"/>
      <w:bookmarkEnd w:id="565"/>
      <w:bookmarkEnd w:id="566"/>
      <w:bookmarkEnd w:id="567"/>
    </w:p>
    <w:p w14:paraId="5261D59D" w14:textId="77777777" w:rsidR="00F50D70" w:rsidRPr="00BE4F47" w:rsidRDefault="00137D7F" w:rsidP="008E113B">
      <w:pPr>
        <w:pStyle w:val="Lgende"/>
        <w:keepNext/>
        <w:spacing w:line="360" w:lineRule="auto"/>
        <w:rPr>
          <w:rFonts w:ascii="Aptos" w:hAnsi="Aptos"/>
        </w:rPr>
      </w:pPr>
      <w:bookmarkStart w:id="568" w:name="_Toc241082968"/>
      <w:bookmarkStart w:id="569" w:name="_Toc241670124"/>
      <w:bookmarkStart w:id="570" w:name="_Toc241707832"/>
      <w:bookmarkStart w:id="571" w:name="_Toc241791781"/>
      <w:r w:rsidRPr="00BE4F47">
        <w:rPr>
          <w:rFonts w:ascii="Aptos" w:hAnsi="Aptos"/>
        </w:rPr>
        <w:t>Tableau 5-2. Solutions existantes et raison de la décision</w:t>
      </w:r>
      <w:bookmarkEnd w:id="568"/>
      <w:bookmarkEnd w:id="569"/>
      <w:bookmarkEnd w:id="570"/>
      <w:bookmarkEnd w:id="571"/>
    </w:p>
    <w:tbl>
      <w:tblPr>
        <w:tblW w:w="8557" w:type="dxa"/>
        <w:tblInd w:w="413" w:type="dxa"/>
        <w:tblLayout w:type="fixed"/>
        <w:tblCellMar>
          <w:top w:w="60" w:type="dxa"/>
          <w:left w:w="90" w:type="dxa"/>
          <w:bottom w:w="60" w:type="dxa"/>
          <w:right w:w="90" w:type="dxa"/>
        </w:tblCellMar>
        <w:tblLook w:val="04A0" w:firstRow="1" w:lastRow="0" w:firstColumn="1" w:lastColumn="0" w:noHBand="0" w:noVBand="1"/>
      </w:tblPr>
      <w:tblGrid>
        <w:gridCol w:w="1900"/>
        <w:gridCol w:w="1500"/>
        <w:gridCol w:w="2600"/>
        <w:gridCol w:w="2557"/>
      </w:tblGrid>
      <w:tr w:rsidR="00F50D70" w:rsidRPr="00BE4F47" w14:paraId="4F5E33BE" w14:textId="77777777" w:rsidTr="0036725C">
        <w:trPr>
          <w:trHeight w:val="227"/>
          <w:tblHeader/>
        </w:trPr>
        <w:tc>
          <w:tcPr>
            <w:tcW w:w="190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0E4CD330"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Solution</w:t>
            </w:r>
          </w:p>
        </w:tc>
        <w:tc>
          <w:tcPr>
            <w:tcW w:w="150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344E908F"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Nature</w:t>
            </w:r>
          </w:p>
        </w:tc>
        <w:tc>
          <w:tcPr>
            <w:tcW w:w="260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450C99A9"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Ce qu’elle apporte</w:t>
            </w:r>
          </w:p>
        </w:tc>
        <w:tc>
          <w:tcPr>
            <w:tcW w:w="2557"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0F6FCED3"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Ce qui la met hors de portée du mandat</w:t>
            </w:r>
          </w:p>
        </w:tc>
      </w:tr>
      <w:tr w:rsidR="00F50D70" w:rsidRPr="00BE4F47" w14:paraId="7A57DA0D" w14:textId="77777777">
        <w:trPr>
          <w:cantSplit/>
          <w:trHeight w:val="415"/>
        </w:trPr>
        <w:tc>
          <w:tcPr>
            <w:tcW w:w="1900" w:type="dxa"/>
            <w:tcBorders>
              <w:top w:val="single" w:sz="4" w:space="0" w:color="000000"/>
              <w:left w:val="single" w:sz="4" w:space="0" w:color="000000"/>
              <w:bottom w:val="single" w:sz="4" w:space="0" w:color="000000"/>
              <w:right w:val="single" w:sz="4" w:space="0" w:color="000000"/>
            </w:tcBorders>
          </w:tcPr>
          <w:p w14:paraId="6BF3D79D"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Ansys Twin Builder [10]</w:t>
            </w:r>
          </w:p>
        </w:tc>
        <w:tc>
          <w:tcPr>
            <w:tcW w:w="1500" w:type="dxa"/>
            <w:tcBorders>
              <w:top w:val="single" w:sz="4" w:space="0" w:color="000000"/>
              <w:left w:val="single" w:sz="4" w:space="0" w:color="000000"/>
              <w:bottom w:val="single" w:sz="4" w:space="0" w:color="000000"/>
              <w:right w:val="single" w:sz="4" w:space="0" w:color="000000"/>
            </w:tcBorders>
          </w:tcPr>
          <w:p w14:paraId="04A388D7"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Plateforme commerciale de jumeaux numériques.</w:t>
            </w:r>
          </w:p>
        </w:tc>
        <w:tc>
          <w:tcPr>
            <w:tcW w:w="2600" w:type="dxa"/>
            <w:tcBorders>
              <w:top w:val="single" w:sz="4" w:space="0" w:color="000000"/>
              <w:left w:val="single" w:sz="4" w:space="0" w:color="000000"/>
              <w:bottom w:val="single" w:sz="4" w:space="0" w:color="000000"/>
              <w:right w:val="single" w:sz="4" w:space="0" w:color="000000"/>
            </w:tcBorders>
          </w:tcPr>
          <w:p w14:paraId="10C55BAD"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Chaîne complète, de la modélisation au déploiement, avec réduction de modèle et connexion aux données d’exploitation.</w:t>
            </w:r>
          </w:p>
        </w:tc>
        <w:tc>
          <w:tcPr>
            <w:tcW w:w="2557" w:type="dxa"/>
            <w:tcBorders>
              <w:top w:val="single" w:sz="4" w:space="0" w:color="000000"/>
              <w:left w:val="single" w:sz="4" w:space="0" w:color="000000"/>
              <w:bottom w:val="single" w:sz="4" w:space="0" w:color="000000"/>
              <w:right w:val="single" w:sz="4" w:space="0" w:color="000000"/>
            </w:tcBorders>
          </w:tcPr>
          <w:p w14:paraId="7E5ABED4"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Licence commerciale, hors du budget nul du mandat. Un outil fermé n’interdit pas de rejouer un essai, mais il suppose que le tiers dispose de la même licence, ce que l’exigence EX-F-02 ne peut pas garantir.</w:t>
            </w:r>
          </w:p>
        </w:tc>
      </w:tr>
      <w:tr w:rsidR="00F50D70" w:rsidRPr="00BE4F47" w14:paraId="7AF51EF8" w14:textId="77777777">
        <w:trPr>
          <w:cantSplit/>
          <w:trHeight w:val="415"/>
        </w:trPr>
        <w:tc>
          <w:tcPr>
            <w:tcW w:w="1900" w:type="dxa"/>
            <w:tcBorders>
              <w:top w:val="single" w:sz="4" w:space="0" w:color="000000"/>
              <w:left w:val="single" w:sz="4" w:space="0" w:color="000000"/>
              <w:bottom w:val="single" w:sz="4" w:space="0" w:color="000000"/>
              <w:right w:val="single" w:sz="4" w:space="0" w:color="000000"/>
            </w:tcBorders>
          </w:tcPr>
          <w:p w14:paraId="17551B7D"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Siemens Simcenter Amesim [11]</w:t>
            </w:r>
          </w:p>
        </w:tc>
        <w:tc>
          <w:tcPr>
            <w:tcW w:w="1500" w:type="dxa"/>
            <w:tcBorders>
              <w:top w:val="single" w:sz="4" w:space="0" w:color="000000"/>
              <w:left w:val="single" w:sz="4" w:space="0" w:color="000000"/>
              <w:bottom w:val="single" w:sz="4" w:space="0" w:color="000000"/>
              <w:right w:val="single" w:sz="4" w:space="0" w:color="000000"/>
            </w:tcBorders>
          </w:tcPr>
          <w:p w14:paraId="370C3A24"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Environnement commercial de simulation de systèmes.</w:t>
            </w:r>
          </w:p>
        </w:tc>
        <w:tc>
          <w:tcPr>
            <w:tcW w:w="2600" w:type="dxa"/>
            <w:tcBorders>
              <w:top w:val="single" w:sz="4" w:space="0" w:color="000000"/>
              <w:left w:val="single" w:sz="4" w:space="0" w:color="000000"/>
              <w:bottom w:val="single" w:sz="4" w:space="0" w:color="000000"/>
              <w:right w:val="single" w:sz="4" w:space="0" w:color="000000"/>
            </w:tcBorders>
          </w:tcPr>
          <w:p w14:paraId="6B1F459A"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Bibliothèques thermiques et hydrauliques éprouvées, adaptées à une boucle de refroidissement.</w:t>
            </w:r>
          </w:p>
        </w:tc>
        <w:tc>
          <w:tcPr>
            <w:tcW w:w="2557" w:type="dxa"/>
            <w:tcBorders>
              <w:top w:val="single" w:sz="4" w:space="0" w:color="000000"/>
              <w:left w:val="single" w:sz="4" w:space="0" w:color="000000"/>
              <w:bottom w:val="single" w:sz="4" w:space="0" w:color="000000"/>
              <w:right w:val="single" w:sz="4" w:space="0" w:color="000000"/>
            </w:tcBorders>
          </w:tcPr>
          <w:p w14:paraId="29BE0C93"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Même obstacle de licence. La compétence d’équipe sur cet outil est nulle, ce qui consommerait le lot L4 en apprentissage.</w:t>
            </w:r>
          </w:p>
        </w:tc>
      </w:tr>
      <w:tr w:rsidR="00F50D70" w:rsidRPr="00BE4F47" w14:paraId="6EBA399B" w14:textId="77777777">
        <w:trPr>
          <w:cantSplit/>
          <w:trHeight w:val="415"/>
        </w:trPr>
        <w:tc>
          <w:tcPr>
            <w:tcW w:w="1900" w:type="dxa"/>
            <w:tcBorders>
              <w:top w:val="single" w:sz="4" w:space="0" w:color="000000"/>
              <w:left w:val="single" w:sz="4" w:space="0" w:color="000000"/>
              <w:bottom w:val="single" w:sz="4" w:space="0" w:color="000000"/>
              <w:right w:val="single" w:sz="4" w:space="0" w:color="000000"/>
            </w:tcBorders>
          </w:tcPr>
          <w:p w14:paraId="28B1F972"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lastRenderedPageBreak/>
              <w:t>OpenModelica et la bibliothèque ThermoPower [12]</w:t>
            </w:r>
          </w:p>
        </w:tc>
        <w:tc>
          <w:tcPr>
            <w:tcW w:w="1500" w:type="dxa"/>
            <w:tcBorders>
              <w:top w:val="single" w:sz="4" w:space="0" w:color="000000"/>
              <w:left w:val="single" w:sz="4" w:space="0" w:color="000000"/>
              <w:bottom w:val="single" w:sz="4" w:space="0" w:color="000000"/>
              <w:right w:val="single" w:sz="4" w:space="0" w:color="000000"/>
            </w:tcBorders>
          </w:tcPr>
          <w:p w14:paraId="4EBB4CE0"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Environnement et bibliothèque libres.</w:t>
            </w:r>
          </w:p>
        </w:tc>
        <w:tc>
          <w:tcPr>
            <w:tcW w:w="2600" w:type="dxa"/>
            <w:tcBorders>
              <w:top w:val="single" w:sz="4" w:space="0" w:color="000000"/>
              <w:left w:val="single" w:sz="4" w:space="0" w:color="000000"/>
              <w:bottom w:val="single" w:sz="4" w:space="0" w:color="000000"/>
              <w:right w:val="single" w:sz="4" w:space="0" w:color="000000"/>
            </w:tcBorders>
          </w:tcPr>
          <w:p w14:paraId="02810BA4"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Modélisation dynamique des centrales thermiques, langage normalisé à équations acausales, code lisible et vérifiable.</w:t>
            </w:r>
          </w:p>
        </w:tc>
        <w:tc>
          <w:tcPr>
            <w:tcW w:w="2557" w:type="dxa"/>
            <w:tcBorders>
              <w:top w:val="single" w:sz="4" w:space="0" w:color="000000"/>
              <w:left w:val="single" w:sz="4" w:space="0" w:color="000000"/>
              <w:bottom w:val="single" w:sz="4" w:space="0" w:color="000000"/>
              <w:right w:val="single" w:sz="4" w:space="0" w:color="000000"/>
            </w:tcBorders>
          </w:tcPr>
          <w:p w14:paraId="2BA83306"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Rien. C’est la piste retenue comme hypothèse de travail à la section 8.5.</w:t>
            </w:r>
          </w:p>
        </w:tc>
      </w:tr>
      <w:tr w:rsidR="00F50D70" w:rsidRPr="00BE4F47" w14:paraId="7E9DE8F4" w14:textId="77777777">
        <w:trPr>
          <w:cantSplit/>
          <w:trHeight w:val="415"/>
        </w:trPr>
        <w:tc>
          <w:tcPr>
            <w:tcW w:w="1900" w:type="dxa"/>
            <w:tcBorders>
              <w:top w:val="single" w:sz="4" w:space="0" w:color="000000"/>
              <w:left w:val="single" w:sz="4" w:space="0" w:color="000000"/>
              <w:bottom w:val="single" w:sz="4" w:space="0" w:color="000000"/>
              <w:right w:val="single" w:sz="4" w:space="0" w:color="000000"/>
            </w:tcBorders>
          </w:tcPr>
          <w:p w14:paraId="7940EAA3"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Codes TRACE et RELAP5 de la NRC [13]</w:t>
            </w:r>
          </w:p>
        </w:tc>
        <w:tc>
          <w:tcPr>
            <w:tcW w:w="1500" w:type="dxa"/>
            <w:tcBorders>
              <w:top w:val="single" w:sz="4" w:space="0" w:color="000000"/>
              <w:left w:val="single" w:sz="4" w:space="0" w:color="000000"/>
              <w:bottom w:val="single" w:sz="4" w:space="0" w:color="000000"/>
              <w:right w:val="single" w:sz="4" w:space="0" w:color="000000"/>
            </w:tcBorders>
          </w:tcPr>
          <w:p w14:paraId="4A766ED1"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Codes de référence en thermohydraulique nucléaire.</w:t>
            </w:r>
          </w:p>
        </w:tc>
        <w:tc>
          <w:tcPr>
            <w:tcW w:w="2600" w:type="dxa"/>
            <w:tcBorders>
              <w:top w:val="single" w:sz="4" w:space="0" w:color="000000"/>
              <w:left w:val="single" w:sz="4" w:space="0" w:color="000000"/>
              <w:bottom w:val="single" w:sz="4" w:space="0" w:color="000000"/>
              <w:right w:val="single" w:sz="4" w:space="0" w:color="000000"/>
            </w:tcBorders>
          </w:tcPr>
          <w:p w14:paraId="3C862EA7"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Référence reconnue pour l’analyse des transitoires de réacteurs à eau sous pression et à eau bouillante.</w:t>
            </w:r>
          </w:p>
        </w:tc>
        <w:tc>
          <w:tcPr>
            <w:tcW w:w="2557" w:type="dxa"/>
            <w:tcBorders>
              <w:top w:val="single" w:sz="4" w:space="0" w:color="000000"/>
              <w:left w:val="single" w:sz="4" w:space="0" w:color="000000"/>
              <w:bottom w:val="single" w:sz="4" w:space="0" w:color="000000"/>
              <w:right w:val="single" w:sz="4" w:space="0" w:color="000000"/>
            </w:tcBorders>
          </w:tcPr>
          <w:p w14:paraId="02B897A3"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Distribution soumise à une entente institutionnelle, et non librement accessible. Domaine d’emploi très au-delà du périmètre du prototype.</w:t>
            </w:r>
          </w:p>
        </w:tc>
      </w:tr>
    </w:tbl>
    <w:p w14:paraId="0AFEE74F" w14:textId="2FCBC250" w:rsidR="00F50D70" w:rsidRPr="00BE4F47" w:rsidRDefault="00137D7F" w:rsidP="008E113B">
      <w:pPr>
        <w:spacing w:before="200" w:after="130" w:line="360" w:lineRule="auto"/>
        <w:ind w:left="360"/>
        <w:rPr>
          <w:rFonts w:ascii="Aptos" w:hAnsi="Aptos"/>
        </w:rPr>
      </w:pPr>
      <w:bookmarkStart w:id="572" w:name="_Toc241082969"/>
      <w:bookmarkStart w:id="573" w:name="_Toc241670125"/>
      <w:bookmarkStart w:id="574" w:name="_Toc241707833"/>
      <w:bookmarkStart w:id="575" w:name="_Toc241791782"/>
      <w:r w:rsidRPr="00BE4F47">
        <w:rPr>
          <w:rFonts w:ascii="Aptos" w:hAnsi="Aptos"/>
          <w:color w:val="1A1A19"/>
          <w:sz w:val="20"/>
          <w:szCs w:val="20"/>
        </w:rPr>
        <w:t xml:space="preserve">Aucune plateforme commerciale n’a été chiffrée : le mandat ne prévoit aucun budget de licence (hypothèse H-05 de la section 8), et aucun devis n’a donc été demandé. La reproductibilité exigée par EX-F-02 suppose par ailleurs qu’un tiers puisse relancer les calculs sans acquérir le même logiciel. Le projet est enfin un exercice de conception : employer une plateforme qui </w:t>
      </w:r>
      <w:proofErr w:type="gramStart"/>
      <w:r w:rsidRPr="00BE4F47">
        <w:rPr>
          <w:rFonts w:ascii="Aptos" w:hAnsi="Aptos"/>
          <w:color w:val="1A1A19"/>
          <w:sz w:val="20"/>
          <w:szCs w:val="20"/>
        </w:rPr>
        <w:t>fait</w:t>
      </w:r>
      <w:proofErr w:type="gramEnd"/>
      <w:r w:rsidRPr="00BE4F47">
        <w:rPr>
          <w:rFonts w:ascii="Aptos" w:hAnsi="Aptos"/>
          <w:color w:val="1A1A19"/>
          <w:sz w:val="20"/>
          <w:szCs w:val="20"/>
        </w:rPr>
        <w:t xml:space="preserve"> déjà le travail viderait les lots L4, L6 et L7 de leur contenu. Le choix d’outillage sera arrêté à la conception préliminaire ; la section 8.5 présente l’hypothèse de travail retenue pour chiffrer le mandat.</w:t>
      </w:r>
      <w:bookmarkEnd w:id="572"/>
      <w:bookmarkEnd w:id="573"/>
      <w:bookmarkEnd w:id="574"/>
      <w:bookmarkEnd w:id="575"/>
    </w:p>
    <w:p w14:paraId="6FFC8642" w14:textId="77777777" w:rsidR="00F50D70" w:rsidRPr="00BE4F47" w:rsidRDefault="00137D7F" w:rsidP="008E113B">
      <w:pPr>
        <w:spacing w:after="130" w:line="360" w:lineRule="auto"/>
        <w:ind w:left="360"/>
        <w:rPr>
          <w:rFonts w:ascii="Aptos" w:hAnsi="Aptos"/>
        </w:rPr>
      </w:pPr>
      <w:bookmarkStart w:id="576" w:name="_Toc241082970"/>
      <w:bookmarkStart w:id="577" w:name="_Toc241670126"/>
      <w:bookmarkStart w:id="578" w:name="_Toc241707834"/>
      <w:bookmarkStart w:id="579" w:name="_Toc241791783"/>
      <w:r w:rsidRPr="00BE4F47">
        <w:rPr>
          <w:rFonts w:ascii="Aptos" w:hAnsi="Aptos"/>
          <w:color w:val="1A1A19"/>
          <w:sz w:val="20"/>
          <w:szCs w:val="20"/>
        </w:rPr>
        <w:t>Ce constat a un revers. Les outils libres offrent moins de garanties de support et de validation industrielle que les plateformes commerciales, et la charge de vérification retombe sur le lot L9.</w:t>
      </w:r>
      <w:bookmarkEnd w:id="576"/>
      <w:bookmarkEnd w:id="577"/>
      <w:bookmarkEnd w:id="578"/>
      <w:bookmarkEnd w:id="579"/>
    </w:p>
    <w:p w14:paraId="21CF8A6D" w14:textId="77777777" w:rsidR="00F50D70" w:rsidRPr="00B03F2E" w:rsidRDefault="00137D7F" w:rsidP="008E113B">
      <w:pPr>
        <w:pStyle w:val="Titre2"/>
        <w:spacing w:line="360" w:lineRule="auto"/>
      </w:pPr>
      <w:bookmarkStart w:id="580" w:name="_Toc241707835"/>
      <w:bookmarkStart w:id="581" w:name="_Toc241791784"/>
      <w:r w:rsidRPr="00B03F2E">
        <w:t>Brevets, droits et redevances</w:t>
      </w:r>
      <w:bookmarkStart w:id="582" w:name="__RefHeading___Toc240715169"/>
      <w:bookmarkEnd w:id="580"/>
      <w:bookmarkEnd w:id="581"/>
      <w:bookmarkEnd w:id="582"/>
    </w:p>
    <w:p w14:paraId="02C97B69" w14:textId="77777777" w:rsidR="00F50D70" w:rsidRPr="00BE4F47" w:rsidRDefault="00137D7F" w:rsidP="008E113B">
      <w:pPr>
        <w:spacing w:after="130" w:line="360" w:lineRule="auto"/>
        <w:ind w:left="360"/>
        <w:rPr>
          <w:rFonts w:ascii="Aptos" w:eastAsia="Calibri" w:hAnsi="Aptos" w:cs="Calibri"/>
          <w:color w:val="1A1A19"/>
          <w:sz w:val="20"/>
          <w:szCs w:val="20"/>
        </w:rPr>
      </w:pPr>
      <w:bookmarkStart w:id="583" w:name="_Toc241082950"/>
      <w:bookmarkStart w:id="584" w:name="_Toc241670128"/>
      <w:bookmarkStart w:id="585" w:name="_Toc241707836"/>
      <w:bookmarkStart w:id="586" w:name="_Toc241791785"/>
      <w:r w:rsidRPr="00BE4F47">
        <w:rPr>
          <w:rFonts w:ascii="Aptos" w:hAnsi="Aptos"/>
          <w:color w:val="1A1A19"/>
          <w:sz w:val="20"/>
          <w:szCs w:val="20"/>
        </w:rPr>
        <w:t>La recherche a été menée dans Google Patents. C’est une recherche préliminaire d’antériorité, qui établit ce qui est déjà connu dans le domaine. Ce n’est pas une analyse de liberté d’exploitation : celle-ci suppose l’examen des revendications de chaque brevet, la vérification de son statut juridique et des territoires où il est en vigueur, et relève d’un agent de brevets.</w:t>
      </w:r>
      <w:bookmarkEnd w:id="583"/>
      <w:bookmarkEnd w:id="584"/>
      <w:bookmarkEnd w:id="585"/>
      <w:bookmarkEnd w:id="586"/>
    </w:p>
    <w:p w14:paraId="26568BF0" w14:textId="77777777" w:rsidR="00F50D70" w:rsidRDefault="00137D7F" w:rsidP="008E113B">
      <w:pPr>
        <w:spacing w:after="130" w:line="360" w:lineRule="auto"/>
        <w:ind w:left="360"/>
        <w:rPr>
          <w:rFonts w:ascii="Aptos" w:eastAsia="Calibri" w:hAnsi="Aptos" w:cs="Calibri"/>
          <w:color w:val="1A1A19"/>
          <w:sz w:val="20"/>
          <w:szCs w:val="20"/>
        </w:rPr>
      </w:pPr>
      <w:bookmarkStart w:id="587" w:name="_Toc241082951"/>
      <w:bookmarkStart w:id="588" w:name="_Toc241670129"/>
      <w:bookmarkStart w:id="589" w:name="_Toc241707837"/>
      <w:bookmarkStart w:id="590" w:name="_Toc241791786"/>
      <w:r w:rsidRPr="00BE4F47">
        <w:rPr>
          <w:rFonts w:ascii="Aptos" w:hAnsi="Aptos"/>
          <w:b/>
          <w:color w:val="1A1A19"/>
          <w:sz w:val="20"/>
          <w:szCs w:val="20"/>
        </w:rPr>
        <w:t xml:space="preserve">Les brevets identifiés. </w:t>
      </w:r>
      <w:r w:rsidRPr="00BE4F47">
        <w:rPr>
          <w:rFonts w:ascii="Aptos" w:hAnsi="Aptos"/>
          <w:color w:val="1A1A19"/>
          <w:sz w:val="20"/>
          <w:szCs w:val="20"/>
        </w:rPr>
        <w:t>Cinq brevets présentent des similitudes avec des composantes du projet. Le statut et la juridiction ont été vérifiés le 18 septembre 2026.</w:t>
      </w:r>
      <w:bookmarkEnd w:id="587"/>
      <w:bookmarkEnd w:id="588"/>
      <w:bookmarkEnd w:id="589"/>
      <w:bookmarkEnd w:id="590"/>
    </w:p>
    <w:p w14:paraId="6C7AEDD3" w14:textId="77777777" w:rsidR="00F50D70" w:rsidRPr="00BE4F47" w:rsidRDefault="00137D7F" w:rsidP="008E113B">
      <w:pPr>
        <w:pStyle w:val="Lgende"/>
        <w:keepNext/>
        <w:spacing w:line="360" w:lineRule="auto"/>
        <w:rPr>
          <w:rFonts w:ascii="Aptos" w:hAnsi="Aptos"/>
        </w:rPr>
      </w:pPr>
      <w:bookmarkStart w:id="591" w:name="_Toc241082952"/>
      <w:bookmarkStart w:id="592" w:name="_Toc241670130"/>
      <w:bookmarkStart w:id="593" w:name="_Toc241707838"/>
      <w:bookmarkStart w:id="594" w:name="_Toc241791787"/>
      <w:r w:rsidRPr="00BE4F47">
        <w:rPr>
          <w:rFonts w:ascii="Aptos" w:hAnsi="Aptos"/>
        </w:rPr>
        <w:t>Tableau 5-3. Brevets identifiés et différence avec le projet</w:t>
      </w:r>
      <w:bookmarkEnd w:id="591"/>
      <w:bookmarkEnd w:id="592"/>
      <w:bookmarkEnd w:id="593"/>
      <w:bookmarkEnd w:id="594"/>
    </w:p>
    <w:tbl>
      <w:tblPr>
        <w:tblW w:w="8557" w:type="dxa"/>
        <w:tblInd w:w="413" w:type="dxa"/>
        <w:tblLayout w:type="fixed"/>
        <w:tblCellMar>
          <w:top w:w="60" w:type="dxa"/>
          <w:left w:w="90" w:type="dxa"/>
          <w:bottom w:w="60" w:type="dxa"/>
          <w:right w:w="90" w:type="dxa"/>
        </w:tblCellMar>
        <w:tblLook w:val="04A0" w:firstRow="1" w:lastRow="0" w:firstColumn="1" w:lastColumn="0" w:noHBand="0" w:noVBand="1"/>
      </w:tblPr>
      <w:tblGrid>
        <w:gridCol w:w="1298"/>
        <w:gridCol w:w="1993"/>
        <w:gridCol w:w="1554"/>
        <w:gridCol w:w="1427"/>
        <w:gridCol w:w="2285"/>
      </w:tblGrid>
      <w:tr w:rsidR="00F50D70" w:rsidRPr="00BE4F47" w14:paraId="5A9322BC" w14:textId="77777777" w:rsidTr="0036725C">
        <w:trPr>
          <w:trHeight w:val="229"/>
          <w:tblHeader/>
        </w:trPr>
        <w:tc>
          <w:tcPr>
            <w:tcW w:w="1298"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43029C22"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Numéro</w:t>
            </w:r>
          </w:p>
        </w:tc>
        <w:tc>
          <w:tcPr>
            <w:tcW w:w="1993"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562C8E28"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Objet</w:t>
            </w:r>
          </w:p>
        </w:tc>
        <w:tc>
          <w:tcPr>
            <w:tcW w:w="1554"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06566B27"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Titulaire</w:t>
            </w:r>
          </w:p>
        </w:tc>
        <w:tc>
          <w:tcPr>
            <w:tcW w:w="1427"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3C5969BF"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Statut et juridiction</w:t>
            </w:r>
          </w:p>
        </w:tc>
        <w:tc>
          <w:tcPr>
            <w:tcW w:w="2285"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4D3A8F2A"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Différence avec le projet</w:t>
            </w:r>
          </w:p>
        </w:tc>
      </w:tr>
      <w:tr w:rsidR="00F50D70" w:rsidRPr="00BE4F47" w14:paraId="6C1A7B70" w14:textId="77777777">
        <w:trPr>
          <w:cantSplit/>
          <w:trHeight w:val="748"/>
        </w:trPr>
        <w:tc>
          <w:tcPr>
            <w:tcW w:w="1298" w:type="dxa"/>
            <w:tcBorders>
              <w:top w:val="single" w:sz="4" w:space="0" w:color="000000"/>
              <w:left w:val="single" w:sz="4" w:space="0" w:color="000000"/>
              <w:bottom w:val="single" w:sz="4" w:space="0" w:color="000000"/>
              <w:right w:val="single" w:sz="4" w:space="0" w:color="000000"/>
            </w:tcBorders>
          </w:tcPr>
          <w:p w14:paraId="59A87663"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CN118709527B</w:t>
            </w:r>
          </w:p>
        </w:tc>
        <w:tc>
          <w:tcPr>
            <w:tcW w:w="1993" w:type="dxa"/>
            <w:tcBorders>
              <w:top w:val="single" w:sz="4" w:space="0" w:color="000000"/>
              <w:left w:val="single" w:sz="4" w:space="0" w:color="000000"/>
              <w:bottom w:val="single" w:sz="4" w:space="0" w:color="000000"/>
              <w:right w:val="single" w:sz="4" w:space="0" w:color="000000"/>
            </w:tcBorders>
          </w:tcPr>
          <w:p w14:paraId="2ED2A9FA"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Modèle de jumeau numérique de centrale nucléaire à approche hybride physique-données [14]</w:t>
            </w:r>
          </w:p>
        </w:tc>
        <w:tc>
          <w:tcPr>
            <w:tcW w:w="1554" w:type="dxa"/>
            <w:tcBorders>
              <w:top w:val="single" w:sz="4" w:space="0" w:color="000000"/>
              <w:left w:val="single" w:sz="4" w:space="0" w:color="000000"/>
              <w:bottom w:val="single" w:sz="4" w:space="0" w:color="000000"/>
              <w:right w:val="single" w:sz="4" w:space="0" w:color="000000"/>
            </w:tcBorders>
          </w:tcPr>
          <w:p w14:paraId="62CFB8E1"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Université Jiao Tong de Shanghai</w:t>
            </w:r>
          </w:p>
        </w:tc>
        <w:tc>
          <w:tcPr>
            <w:tcW w:w="1427" w:type="dxa"/>
            <w:tcBorders>
              <w:top w:val="single" w:sz="4" w:space="0" w:color="000000"/>
              <w:left w:val="single" w:sz="4" w:space="0" w:color="000000"/>
              <w:bottom w:val="single" w:sz="4" w:space="0" w:color="000000"/>
              <w:right w:val="single" w:sz="4" w:space="0" w:color="000000"/>
            </w:tcBorders>
          </w:tcPr>
          <w:p w14:paraId="55F48081"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Délivré, actif</w:t>
            </w:r>
          </w:p>
          <w:p w14:paraId="1FF2BCDE"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Chine</w:t>
            </w:r>
          </w:p>
          <w:p w14:paraId="3E44489F"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Dépôt : 4 juin 2024</w:t>
            </w:r>
          </w:p>
        </w:tc>
        <w:tc>
          <w:tcPr>
            <w:tcW w:w="2285" w:type="dxa"/>
            <w:tcBorders>
              <w:top w:val="single" w:sz="4" w:space="0" w:color="000000"/>
              <w:left w:val="single" w:sz="4" w:space="0" w:color="000000"/>
              <w:bottom w:val="single" w:sz="4" w:space="0" w:color="000000"/>
              <w:right w:val="single" w:sz="4" w:space="0" w:color="000000"/>
            </w:tcBorders>
          </w:tcPr>
          <w:p w14:paraId="5CA2C989"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Centré sur la construction du modèle numérique, non sur la surveillance et la décision.</w:t>
            </w:r>
          </w:p>
        </w:tc>
      </w:tr>
      <w:tr w:rsidR="00F50D70" w:rsidRPr="00BE4F47" w14:paraId="3656787B" w14:textId="77777777">
        <w:trPr>
          <w:cantSplit/>
          <w:trHeight w:val="1020"/>
        </w:trPr>
        <w:tc>
          <w:tcPr>
            <w:tcW w:w="1298" w:type="dxa"/>
            <w:tcBorders>
              <w:top w:val="single" w:sz="4" w:space="0" w:color="000000"/>
              <w:left w:val="single" w:sz="4" w:space="0" w:color="000000"/>
              <w:bottom w:val="single" w:sz="4" w:space="0" w:color="000000"/>
              <w:right w:val="single" w:sz="4" w:space="0" w:color="000000"/>
            </w:tcBorders>
          </w:tcPr>
          <w:p w14:paraId="4EFE5C64"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CN118228587A</w:t>
            </w:r>
          </w:p>
        </w:tc>
        <w:tc>
          <w:tcPr>
            <w:tcW w:w="1993" w:type="dxa"/>
            <w:tcBorders>
              <w:top w:val="single" w:sz="4" w:space="0" w:color="000000"/>
              <w:left w:val="single" w:sz="4" w:space="0" w:color="000000"/>
              <w:bottom w:val="single" w:sz="4" w:space="0" w:color="000000"/>
              <w:right w:val="single" w:sz="4" w:space="0" w:color="000000"/>
            </w:tcBorders>
          </w:tcPr>
          <w:p w14:paraId="0F2B46F7"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Analyse d’incertitude d’un jumeau numérique de cœur par méthode MCMC [15]</w:t>
            </w:r>
          </w:p>
        </w:tc>
        <w:tc>
          <w:tcPr>
            <w:tcW w:w="1554" w:type="dxa"/>
            <w:tcBorders>
              <w:top w:val="single" w:sz="4" w:space="0" w:color="000000"/>
              <w:left w:val="single" w:sz="4" w:space="0" w:color="000000"/>
              <w:bottom w:val="single" w:sz="4" w:space="0" w:color="000000"/>
              <w:right w:val="single" w:sz="4" w:space="0" w:color="000000"/>
            </w:tcBorders>
          </w:tcPr>
          <w:p w14:paraId="0A4E3505"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Université Jiao Tong de Shanghai</w:t>
            </w:r>
          </w:p>
        </w:tc>
        <w:tc>
          <w:tcPr>
            <w:tcW w:w="1427" w:type="dxa"/>
            <w:tcBorders>
              <w:top w:val="single" w:sz="4" w:space="0" w:color="000000"/>
              <w:left w:val="single" w:sz="4" w:space="0" w:color="000000"/>
              <w:bottom w:val="single" w:sz="4" w:space="0" w:color="000000"/>
              <w:right w:val="single" w:sz="4" w:space="0" w:color="000000"/>
            </w:tcBorders>
          </w:tcPr>
          <w:p w14:paraId="7554B8A3"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Demande publiée, rejetée après publication</w:t>
            </w:r>
          </w:p>
          <w:p w14:paraId="4E3C2B6B"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Chine</w:t>
            </w:r>
          </w:p>
          <w:p w14:paraId="755A786B"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Dépôt : 26 mars 2024</w:t>
            </w:r>
          </w:p>
        </w:tc>
        <w:tc>
          <w:tcPr>
            <w:tcW w:w="2285" w:type="dxa"/>
            <w:tcBorders>
              <w:top w:val="single" w:sz="4" w:space="0" w:color="000000"/>
              <w:left w:val="single" w:sz="4" w:space="0" w:color="000000"/>
              <w:bottom w:val="single" w:sz="4" w:space="0" w:color="000000"/>
              <w:right w:val="single" w:sz="4" w:space="0" w:color="000000"/>
            </w:tcBorders>
          </w:tcPr>
          <w:p w14:paraId="2ACA84D4"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Centré sur une méthode statistique d’analyse de l’incertitude du cœur.</w:t>
            </w:r>
          </w:p>
        </w:tc>
      </w:tr>
      <w:tr w:rsidR="00F50D70" w:rsidRPr="00BE4F47" w14:paraId="39CCEF52" w14:textId="77777777">
        <w:trPr>
          <w:cantSplit/>
          <w:trHeight w:val="849"/>
        </w:trPr>
        <w:tc>
          <w:tcPr>
            <w:tcW w:w="1298" w:type="dxa"/>
            <w:tcBorders>
              <w:top w:val="single" w:sz="4" w:space="0" w:color="000000"/>
              <w:left w:val="single" w:sz="4" w:space="0" w:color="000000"/>
              <w:bottom w:val="single" w:sz="4" w:space="0" w:color="000000"/>
              <w:right w:val="single" w:sz="4" w:space="0" w:color="000000"/>
            </w:tcBorders>
          </w:tcPr>
          <w:p w14:paraId="2E58DAC1"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CN118779601A</w:t>
            </w:r>
          </w:p>
        </w:tc>
        <w:tc>
          <w:tcPr>
            <w:tcW w:w="1993" w:type="dxa"/>
            <w:tcBorders>
              <w:top w:val="single" w:sz="4" w:space="0" w:color="000000"/>
              <w:left w:val="single" w:sz="4" w:space="0" w:color="000000"/>
              <w:bottom w:val="single" w:sz="4" w:space="0" w:color="000000"/>
              <w:right w:val="single" w:sz="4" w:space="0" w:color="000000"/>
            </w:tcBorders>
          </w:tcPr>
          <w:p w14:paraId="21CCF050" w14:textId="1BD3F80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Prédiction en ligne à long terme et analyse d’incertitude multiparamètre [16]</w:t>
            </w:r>
          </w:p>
        </w:tc>
        <w:tc>
          <w:tcPr>
            <w:tcW w:w="1554" w:type="dxa"/>
            <w:tcBorders>
              <w:top w:val="single" w:sz="4" w:space="0" w:color="000000"/>
              <w:left w:val="single" w:sz="4" w:space="0" w:color="000000"/>
              <w:bottom w:val="single" w:sz="4" w:space="0" w:color="000000"/>
              <w:right w:val="single" w:sz="4" w:space="0" w:color="000000"/>
            </w:tcBorders>
          </w:tcPr>
          <w:p w14:paraId="4E2BEA81"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Université Jiao Tong de Shanghai</w:t>
            </w:r>
          </w:p>
        </w:tc>
        <w:tc>
          <w:tcPr>
            <w:tcW w:w="1427" w:type="dxa"/>
            <w:tcBorders>
              <w:top w:val="single" w:sz="4" w:space="0" w:color="000000"/>
              <w:left w:val="single" w:sz="4" w:space="0" w:color="000000"/>
              <w:bottom w:val="single" w:sz="4" w:space="0" w:color="000000"/>
              <w:right w:val="single" w:sz="4" w:space="0" w:color="000000"/>
            </w:tcBorders>
          </w:tcPr>
          <w:p w14:paraId="05D02E9C"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Demande publiée, en instance</w:t>
            </w:r>
          </w:p>
          <w:p w14:paraId="1E98BEB0"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Chine</w:t>
            </w:r>
          </w:p>
          <w:p w14:paraId="64D81943"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Dépôt : 14 juin 2024</w:t>
            </w:r>
          </w:p>
        </w:tc>
        <w:tc>
          <w:tcPr>
            <w:tcW w:w="2285" w:type="dxa"/>
            <w:tcBorders>
              <w:top w:val="single" w:sz="4" w:space="0" w:color="000000"/>
              <w:left w:val="single" w:sz="4" w:space="0" w:color="000000"/>
              <w:bottom w:val="single" w:sz="4" w:space="0" w:color="000000"/>
              <w:right w:val="single" w:sz="4" w:space="0" w:color="000000"/>
            </w:tcBorders>
          </w:tcPr>
          <w:p w14:paraId="514E0970"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Axé sur la prédiction à long terme, non sur la détection en temps réel.</w:t>
            </w:r>
          </w:p>
        </w:tc>
      </w:tr>
      <w:tr w:rsidR="00F50D70" w:rsidRPr="00BE4F47" w14:paraId="67EEA34C" w14:textId="77777777">
        <w:trPr>
          <w:cantSplit/>
          <w:trHeight w:val="918"/>
        </w:trPr>
        <w:tc>
          <w:tcPr>
            <w:tcW w:w="1298" w:type="dxa"/>
            <w:tcBorders>
              <w:top w:val="single" w:sz="4" w:space="0" w:color="000000"/>
              <w:left w:val="single" w:sz="4" w:space="0" w:color="000000"/>
              <w:bottom w:val="single" w:sz="4" w:space="0" w:color="000000"/>
              <w:right w:val="single" w:sz="4" w:space="0" w:color="000000"/>
            </w:tcBorders>
          </w:tcPr>
          <w:p w14:paraId="0605EA45"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lastRenderedPageBreak/>
              <w:t>CN118068765A</w:t>
            </w:r>
          </w:p>
        </w:tc>
        <w:tc>
          <w:tcPr>
            <w:tcW w:w="1993" w:type="dxa"/>
            <w:tcBorders>
              <w:top w:val="single" w:sz="4" w:space="0" w:color="000000"/>
              <w:left w:val="single" w:sz="4" w:space="0" w:color="000000"/>
              <w:bottom w:val="single" w:sz="4" w:space="0" w:color="000000"/>
              <w:right w:val="single" w:sz="4" w:space="0" w:color="000000"/>
            </w:tcBorders>
          </w:tcPr>
          <w:p w14:paraId="2BF90580"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Construction d’un modèle de détection d’anomalies pour systèmes de contrôle industriels à partir d’un jumeau numérique [17]</w:t>
            </w:r>
          </w:p>
        </w:tc>
        <w:tc>
          <w:tcPr>
            <w:tcW w:w="1554" w:type="dxa"/>
            <w:tcBorders>
              <w:top w:val="single" w:sz="4" w:space="0" w:color="000000"/>
              <w:left w:val="single" w:sz="4" w:space="0" w:color="000000"/>
              <w:bottom w:val="single" w:sz="4" w:space="0" w:color="000000"/>
              <w:right w:val="single" w:sz="4" w:space="0" w:color="000000"/>
            </w:tcBorders>
          </w:tcPr>
          <w:p w14:paraId="0B54CE54"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Université des sciences et technologies de Huazhong</w:t>
            </w:r>
          </w:p>
        </w:tc>
        <w:tc>
          <w:tcPr>
            <w:tcW w:w="1427" w:type="dxa"/>
            <w:tcBorders>
              <w:top w:val="single" w:sz="4" w:space="0" w:color="000000"/>
              <w:left w:val="single" w:sz="4" w:space="0" w:color="000000"/>
              <w:bottom w:val="single" w:sz="4" w:space="0" w:color="000000"/>
              <w:right w:val="single" w:sz="4" w:space="0" w:color="000000"/>
            </w:tcBorders>
          </w:tcPr>
          <w:p w14:paraId="4F7C234A"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Demande publiée, en instance</w:t>
            </w:r>
          </w:p>
          <w:p w14:paraId="68629F41"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Chine</w:t>
            </w:r>
          </w:p>
          <w:p w14:paraId="2A84647F"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Dépôt : 8 mars 2024</w:t>
            </w:r>
          </w:p>
        </w:tc>
        <w:tc>
          <w:tcPr>
            <w:tcW w:w="2285" w:type="dxa"/>
            <w:tcBorders>
              <w:top w:val="single" w:sz="4" w:space="0" w:color="000000"/>
              <w:left w:val="single" w:sz="4" w:space="0" w:color="000000"/>
              <w:bottom w:val="single" w:sz="4" w:space="0" w:color="000000"/>
              <w:right w:val="single" w:sz="4" w:space="0" w:color="000000"/>
            </w:tcBorders>
          </w:tcPr>
          <w:p w14:paraId="3410147C"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Industries de procédés en général, non spécifique au nucléaire.</w:t>
            </w:r>
          </w:p>
        </w:tc>
      </w:tr>
      <w:tr w:rsidR="00F50D70" w:rsidRPr="00BE4F47" w14:paraId="1489173E" w14:textId="77777777">
        <w:trPr>
          <w:cantSplit/>
          <w:trHeight w:val="748"/>
        </w:trPr>
        <w:tc>
          <w:tcPr>
            <w:tcW w:w="1298" w:type="dxa"/>
            <w:tcBorders>
              <w:top w:val="single" w:sz="4" w:space="0" w:color="000000"/>
              <w:left w:val="single" w:sz="4" w:space="0" w:color="000000"/>
              <w:bottom w:val="single" w:sz="4" w:space="0" w:color="000000"/>
              <w:right w:val="single" w:sz="4" w:space="0" w:color="000000"/>
            </w:tcBorders>
          </w:tcPr>
          <w:p w14:paraId="48FB9B09"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US12093818B2</w:t>
            </w:r>
          </w:p>
        </w:tc>
        <w:tc>
          <w:tcPr>
            <w:tcW w:w="1993" w:type="dxa"/>
            <w:tcBorders>
              <w:top w:val="single" w:sz="4" w:space="0" w:color="000000"/>
              <w:left w:val="single" w:sz="4" w:space="0" w:color="000000"/>
              <w:bottom w:val="single" w:sz="4" w:space="0" w:color="000000"/>
              <w:right w:val="single" w:sz="4" w:space="0" w:color="000000"/>
            </w:tcBorders>
          </w:tcPr>
          <w:p w14:paraId="77778ED8"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Détection semi-supervisée d’anomalies à partir de données de simulation issues d’un jumeau numérique [18]</w:t>
            </w:r>
          </w:p>
        </w:tc>
        <w:tc>
          <w:tcPr>
            <w:tcW w:w="1554" w:type="dxa"/>
            <w:tcBorders>
              <w:top w:val="single" w:sz="4" w:space="0" w:color="000000"/>
              <w:left w:val="single" w:sz="4" w:space="0" w:color="000000"/>
              <w:bottom w:val="single" w:sz="4" w:space="0" w:color="000000"/>
              <w:right w:val="single" w:sz="4" w:space="0" w:color="000000"/>
            </w:tcBorders>
          </w:tcPr>
          <w:p w14:paraId="40AFE7DC"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Honda Motor Co.</w:t>
            </w:r>
          </w:p>
        </w:tc>
        <w:tc>
          <w:tcPr>
            <w:tcW w:w="1427" w:type="dxa"/>
            <w:tcBorders>
              <w:top w:val="single" w:sz="4" w:space="0" w:color="000000"/>
              <w:left w:val="single" w:sz="4" w:space="0" w:color="000000"/>
              <w:bottom w:val="single" w:sz="4" w:space="0" w:color="000000"/>
              <w:right w:val="single" w:sz="4" w:space="0" w:color="000000"/>
            </w:tcBorders>
          </w:tcPr>
          <w:p w14:paraId="375EB246"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Délivré, actif</w:t>
            </w:r>
          </w:p>
          <w:p w14:paraId="46E9E89E"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États-Unis</w:t>
            </w:r>
          </w:p>
          <w:p w14:paraId="168DD04A"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Dépôt : 13 octobre 2020</w:t>
            </w:r>
          </w:p>
        </w:tc>
        <w:tc>
          <w:tcPr>
            <w:tcW w:w="2285" w:type="dxa"/>
            <w:tcBorders>
              <w:top w:val="single" w:sz="4" w:space="0" w:color="000000"/>
              <w:left w:val="single" w:sz="4" w:space="0" w:color="000000"/>
              <w:bottom w:val="single" w:sz="4" w:space="0" w:color="000000"/>
              <w:right w:val="single" w:sz="4" w:space="0" w:color="000000"/>
            </w:tcBorders>
          </w:tcPr>
          <w:p w14:paraId="597C6705"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Application industrielle générale, fondée sur l’apprentissage semi-supervisé.</w:t>
            </w:r>
          </w:p>
        </w:tc>
      </w:tr>
    </w:tbl>
    <w:p w14:paraId="30E3452B" w14:textId="77777777" w:rsidR="00F50D70" w:rsidRPr="00BE4F47" w:rsidRDefault="00137D7F" w:rsidP="008E113B">
      <w:pPr>
        <w:spacing w:before="200" w:after="130" w:line="360" w:lineRule="auto"/>
        <w:ind w:left="360"/>
        <w:rPr>
          <w:rFonts w:ascii="Aptos" w:eastAsia="Calibri" w:hAnsi="Aptos" w:cs="Calibri"/>
          <w:color w:val="1A1A19"/>
          <w:sz w:val="20"/>
          <w:szCs w:val="20"/>
        </w:rPr>
      </w:pPr>
      <w:bookmarkStart w:id="595" w:name="_Toc241082953"/>
      <w:bookmarkStart w:id="596" w:name="_Toc241670131"/>
      <w:bookmarkStart w:id="597" w:name="_Toc241707839"/>
      <w:bookmarkStart w:id="598" w:name="_Toc241791788"/>
      <w:r w:rsidRPr="00BE4F47">
        <w:rPr>
          <w:rFonts w:ascii="Aptos" w:hAnsi="Aptos"/>
          <w:color w:val="1A1A19"/>
          <w:sz w:val="20"/>
          <w:szCs w:val="20"/>
        </w:rPr>
        <w:t>Trois constats se dégagent :</w:t>
      </w:r>
      <w:bookmarkEnd w:id="595"/>
      <w:bookmarkEnd w:id="596"/>
      <w:bookmarkEnd w:id="597"/>
      <w:bookmarkEnd w:id="598"/>
    </w:p>
    <w:p w14:paraId="19E1575E" w14:textId="77777777" w:rsidR="00F50D70" w:rsidRPr="00BE4F47" w:rsidRDefault="00137D7F" w:rsidP="008E113B">
      <w:pPr>
        <w:spacing w:after="130" w:line="360" w:lineRule="auto"/>
        <w:ind w:left="360"/>
        <w:rPr>
          <w:rFonts w:ascii="Aptos" w:hAnsi="Aptos"/>
        </w:rPr>
      </w:pPr>
      <w:bookmarkStart w:id="599" w:name="_Toc241082954"/>
      <w:bookmarkStart w:id="600" w:name="_Toc241670132"/>
      <w:bookmarkStart w:id="601" w:name="_Toc241707840"/>
      <w:bookmarkStart w:id="602" w:name="_Toc241791789"/>
      <w:r w:rsidRPr="00BE4F47">
        <w:rPr>
          <w:rFonts w:ascii="Aptos" w:hAnsi="Aptos"/>
          <w:b/>
          <w:color w:val="1A1A19"/>
          <w:sz w:val="20"/>
          <w:szCs w:val="20"/>
        </w:rPr>
        <w:t xml:space="preserve">Les composantes existent séparément. </w:t>
      </w:r>
      <w:r w:rsidRPr="00BE4F47">
        <w:rPr>
          <w:rFonts w:ascii="Aptos" w:hAnsi="Aptos"/>
          <w:color w:val="1A1A19"/>
          <w:sz w:val="20"/>
          <w:szCs w:val="20"/>
        </w:rPr>
        <w:t>Modélisation, quantification de l’incertitude, prédiction et détection d’anomalies font chacune l’objet de brevets. Aucun de ces documents ne décrit toutefois un système combinant la surveillance, la détection, l’évaluation de la confiance et la gestion explicite des données compromises dans un même prototype.</w:t>
      </w:r>
      <w:bookmarkEnd w:id="599"/>
      <w:bookmarkEnd w:id="600"/>
      <w:bookmarkEnd w:id="601"/>
      <w:bookmarkEnd w:id="602"/>
    </w:p>
    <w:p w14:paraId="74E17555" w14:textId="77777777" w:rsidR="00F50D70" w:rsidRPr="00BE4F47" w:rsidRDefault="00137D7F" w:rsidP="008E113B">
      <w:pPr>
        <w:spacing w:after="130" w:line="360" w:lineRule="auto"/>
        <w:ind w:left="360"/>
        <w:rPr>
          <w:rFonts w:ascii="Aptos" w:hAnsi="Aptos"/>
        </w:rPr>
      </w:pPr>
      <w:bookmarkStart w:id="603" w:name="_Toc241082955"/>
      <w:bookmarkStart w:id="604" w:name="_Toc241670133"/>
      <w:bookmarkStart w:id="605" w:name="_Toc241707841"/>
      <w:bookmarkStart w:id="606" w:name="_Toc241791790"/>
      <w:r w:rsidRPr="00BE4F47">
        <w:rPr>
          <w:rFonts w:ascii="Aptos" w:hAnsi="Aptos"/>
          <w:b/>
          <w:color w:val="1A1A19"/>
          <w:sz w:val="20"/>
          <w:szCs w:val="20"/>
        </w:rPr>
        <w:t xml:space="preserve">Aucun de ces brevets n’a été trouvé sous une forme opposable au Canada. </w:t>
      </w:r>
      <w:r w:rsidRPr="00BE4F47">
        <w:rPr>
          <w:rFonts w:ascii="Aptos" w:hAnsi="Aptos"/>
          <w:color w:val="1A1A19"/>
          <w:sz w:val="20"/>
          <w:szCs w:val="20"/>
        </w:rPr>
        <w:t>Quatre sont chinois et le cinquième est américain, et un brevet ne confère de droits que dans la juridiction qui l’a délivré. La recherche n’a pas couvert les éventuels membres canadiens de ces familles : cette vérification resterait à faire si la question devenait pertinente.</w:t>
      </w:r>
      <w:bookmarkEnd w:id="603"/>
      <w:bookmarkEnd w:id="604"/>
      <w:bookmarkEnd w:id="605"/>
      <w:bookmarkEnd w:id="606"/>
    </w:p>
    <w:p w14:paraId="085F22F6" w14:textId="77777777" w:rsidR="00F50D70" w:rsidRPr="00BE4F47" w:rsidRDefault="00137D7F" w:rsidP="008E113B">
      <w:pPr>
        <w:spacing w:after="130" w:line="360" w:lineRule="auto"/>
        <w:ind w:left="360"/>
        <w:rPr>
          <w:rFonts w:ascii="Aptos" w:hAnsi="Aptos"/>
        </w:rPr>
      </w:pPr>
      <w:bookmarkStart w:id="607" w:name="_Toc241082956"/>
      <w:bookmarkStart w:id="608" w:name="_Toc241670134"/>
      <w:bookmarkStart w:id="609" w:name="_Toc241707842"/>
      <w:bookmarkStart w:id="610" w:name="_Toc241791791"/>
      <w:r w:rsidRPr="00BE4F47">
        <w:rPr>
          <w:rFonts w:ascii="Aptos" w:hAnsi="Aptos"/>
          <w:color w:val="1A1A19"/>
          <w:sz w:val="20"/>
          <w:szCs w:val="20"/>
        </w:rPr>
        <w:t>Le projet n’est pas une exploitation commerciale. Le prototype est un livrable universitaire entièrement simulé, non destiné à la vente ni au raccordement à une installation réelle, conformément à l’exigence EX-C-02. La question d’une redevance ne se poserait qu’en cas d’exploitation commerciale, et supposerait alors l’analyse décrite au début de 5.3.</w:t>
      </w:r>
      <w:bookmarkEnd w:id="607"/>
      <w:bookmarkEnd w:id="608"/>
      <w:bookmarkEnd w:id="609"/>
      <w:bookmarkEnd w:id="610"/>
    </w:p>
    <w:p w14:paraId="29D8156E" w14:textId="77777777" w:rsidR="00F50D70" w:rsidRDefault="00137D7F" w:rsidP="008E113B">
      <w:pPr>
        <w:spacing w:after="130" w:line="360" w:lineRule="auto"/>
        <w:ind w:left="360"/>
        <w:rPr>
          <w:rFonts w:ascii="Aptos" w:eastAsia="Calibri" w:hAnsi="Aptos" w:cs="Calibri"/>
          <w:color w:val="1A1A19"/>
          <w:sz w:val="20"/>
          <w:szCs w:val="20"/>
        </w:rPr>
      </w:pPr>
      <w:bookmarkStart w:id="611" w:name="_Toc241082971"/>
      <w:bookmarkStart w:id="612" w:name="_Toc241670135"/>
      <w:bookmarkStart w:id="613" w:name="_Toc241707843"/>
      <w:bookmarkStart w:id="614" w:name="_Toc241791792"/>
      <w:r w:rsidRPr="00BE4F47">
        <w:rPr>
          <w:rFonts w:ascii="Aptos" w:hAnsi="Aptos"/>
          <w:b/>
          <w:color w:val="1A1A19"/>
          <w:sz w:val="20"/>
          <w:szCs w:val="20"/>
        </w:rPr>
        <w:t xml:space="preserve">Les licences et les redevances. </w:t>
      </w:r>
      <w:r w:rsidRPr="00BE4F47">
        <w:rPr>
          <w:rFonts w:ascii="Aptos" w:hAnsi="Aptos"/>
          <w:color w:val="1A1A19"/>
          <w:sz w:val="20"/>
          <w:szCs w:val="20"/>
        </w:rPr>
        <w:t>La question des droits se pose sur les outils employés et sur les techniques mises en œuvre.</w:t>
      </w:r>
      <w:bookmarkEnd w:id="611"/>
      <w:bookmarkEnd w:id="612"/>
      <w:bookmarkEnd w:id="613"/>
      <w:bookmarkEnd w:id="614"/>
    </w:p>
    <w:p w14:paraId="5881B759" w14:textId="77777777" w:rsidR="00F50D70" w:rsidRPr="00BE4F47" w:rsidRDefault="00137D7F" w:rsidP="008E113B">
      <w:pPr>
        <w:pStyle w:val="Lgende"/>
        <w:keepNext/>
        <w:spacing w:line="360" w:lineRule="auto"/>
        <w:rPr>
          <w:rFonts w:ascii="Aptos" w:hAnsi="Aptos"/>
        </w:rPr>
      </w:pPr>
      <w:bookmarkStart w:id="615" w:name="_Toc241082972"/>
      <w:bookmarkStart w:id="616" w:name="_Toc241670136"/>
      <w:bookmarkStart w:id="617" w:name="_Toc241707844"/>
      <w:bookmarkStart w:id="618" w:name="_Toc241791793"/>
      <w:r w:rsidRPr="00BE4F47">
        <w:rPr>
          <w:rFonts w:ascii="Aptos" w:hAnsi="Aptos"/>
        </w:rPr>
        <w:t>Tableau 5-4. Régime de droits des outils et des techniques employés</w:t>
      </w:r>
      <w:bookmarkEnd w:id="615"/>
      <w:bookmarkEnd w:id="616"/>
      <w:bookmarkEnd w:id="617"/>
      <w:bookmarkEnd w:id="618"/>
    </w:p>
    <w:tbl>
      <w:tblPr>
        <w:tblW w:w="8557" w:type="dxa"/>
        <w:tblInd w:w="413" w:type="dxa"/>
        <w:tblLayout w:type="fixed"/>
        <w:tblCellMar>
          <w:top w:w="60" w:type="dxa"/>
          <w:left w:w="90" w:type="dxa"/>
          <w:bottom w:w="60" w:type="dxa"/>
          <w:right w:w="90" w:type="dxa"/>
        </w:tblCellMar>
        <w:tblLook w:val="04A0" w:firstRow="1" w:lastRow="0" w:firstColumn="1" w:lastColumn="0" w:noHBand="0" w:noVBand="1"/>
      </w:tblPr>
      <w:tblGrid>
        <w:gridCol w:w="1900"/>
        <w:gridCol w:w="3400"/>
        <w:gridCol w:w="3257"/>
      </w:tblGrid>
      <w:tr w:rsidR="00F50D70" w:rsidRPr="00BE4F47" w14:paraId="373997F1" w14:textId="77777777" w:rsidTr="0036725C">
        <w:trPr>
          <w:trHeight w:val="227"/>
          <w:tblHeader/>
        </w:trPr>
        <w:tc>
          <w:tcPr>
            <w:tcW w:w="190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0363B2BE"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Objet</w:t>
            </w:r>
          </w:p>
        </w:tc>
        <w:tc>
          <w:tcPr>
            <w:tcW w:w="340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22CCDB99"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Régime de droits</w:t>
            </w:r>
          </w:p>
        </w:tc>
        <w:tc>
          <w:tcPr>
            <w:tcW w:w="3257"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28113561"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Conséquence pour le mandat</w:t>
            </w:r>
          </w:p>
        </w:tc>
      </w:tr>
      <w:tr w:rsidR="00F50D70" w:rsidRPr="00BE4F47" w14:paraId="221F0540" w14:textId="77777777">
        <w:trPr>
          <w:cantSplit/>
          <w:trHeight w:val="415"/>
        </w:trPr>
        <w:tc>
          <w:tcPr>
            <w:tcW w:w="1900" w:type="dxa"/>
            <w:tcBorders>
              <w:top w:val="single" w:sz="4" w:space="0" w:color="000000"/>
              <w:left w:val="single" w:sz="4" w:space="0" w:color="000000"/>
              <w:bottom w:val="single" w:sz="4" w:space="0" w:color="000000"/>
              <w:right w:val="single" w:sz="4" w:space="0" w:color="000000"/>
            </w:tcBorders>
          </w:tcPr>
          <w:p w14:paraId="3786B9E4"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OpenModelica et ThermoPower</w:t>
            </w:r>
          </w:p>
        </w:tc>
        <w:tc>
          <w:tcPr>
            <w:tcW w:w="3400" w:type="dxa"/>
            <w:tcBorders>
              <w:top w:val="single" w:sz="4" w:space="0" w:color="000000"/>
              <w:left w:val="single" w:sz="4" w:space="0" w:color="000000"/>
              <w:bottom w:val="single" w:sz="4" w:space="0" w:color="000000"/>
              <w:right w:val="single" w:sz="4" w:space="0" w:color="000000"/>
            </w:tcBorders>
          </w:tcPr>
          <w:p w14:paraId="4696224A"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Diffusion libre. La licence exacte de chaque composant doit être vérifiée et consignée avant la première livraison.</w:t>
            </w:r>
          </w:p>
        </w:tc>
        <w:tc>
          <w:tcPr>
            <w:tcW w:w="3257" w:type="dxa"/>
            <w:tcBorders>
              <w:top w:val="single" w:sz="4" w:space="0" w:color="000000"/>
              <w:left w:val="single" w:sz="4" w:space="0" w:color="000000"/>
              <w:bottom w:val="single" w:sz="4" w:space="0" w:color="000000"/>
              <w:right w:val="single" w:sz="4" w:space="0" w:color="000000"/>
            </w:tcBorders>
          </w:tcPr>
          <w:p w14:paraId="08AE4F25"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Aucune redevance prévue. Vérification inscrite au lot L9 avant le jalon J2.</w:t>
            </w:r>
          </w:p>
        </w:tc>
      </w:tr>
      <w:tr w:rsidR="00F50D70" w:rsidRPr="00BE4F47" w14:paraId="57E669C1" w14:textId="77777777">
        <w:trPr>
          <w:cantSplit/>
          <w:trHeight w:val="415"/>
        </w:trPr>
        <w:tc>
          <w:tcPr>
            <w:tcW w:w="1900" w:type="dxa"/>
            <w:tcBorders>
              <w:top w:val="single" w:sz="4" w:space="0" w:color="000000"/>
              <w:left w:val="single" w:sz="4" w:space="0" w:color="000000"/>
              <w:bottom w:val="single" w:sz="4" w:space="0" w:color="000000"/>
              <w:right w:val="single" w:sz="4" w:space="0" w:color="000000"/>
            </w:tcBorders>
          </w:tcPr>
          <w:p w14:paraId="1B1934AE"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Bibliothèques de calcul et d’apprentissage automatique</w:t>
            </w:r>
          </w:p>
        </w:tc>
        <w:tc>
          <w:tcPr>
            <w:tcW w:w="3400" w:type="dxa"/>
            <w:tcBorders>
              <w:top w:val="single" w:sz="4" w:space="0" w:color="000000"/>
              <w:left w:val="single" w:sz="4" w:space="0" w:color="000000"/>
              <w:bottom w:val="single" w:sz="4" w:space="0" w:color="000000"/>
              <w:right w:val="single" w:sz="4" w:space="0" w:color="000000"/>
            </w:tcBorders>
          </w:tcPr>
          <w:p w14:paraId="3106B52E"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Licences libres permissives.</w:t>
            </w:r>
          </w:p>
        </w:tc>
        <w:tc>
          <w:tcPr>
            <w:tcW w:w="3257" w:type="dxa"/>
            <w:tcBorders>
              <w:top w:val="single" w:sz="4" w:space="0" w:color="000000"/>
              <w:left w:val="single" w:sz="4" w:space="0" w:color="000000"/>
              <w:bottom w:val="single" w:sz="4" w:space="0" w:color="000000"/>
              <w:right w:val="single" w:sz="4" w:space="0" w:color="000000"/>
            </w:tcBorders>
          </w:tcPr>
          <w:p w14:paraId="69616180"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Aucune redevance. Les licences sont consignées dans le dépôt, conformément à la section 4.</w:t>
            </w:r>
          </w:p>
        </w:tc>
      </w:tr>
      <w:tr w:rsidR="00F50D70" w:rsidRPr="00BE4F47" w14:paraId="1CF1C90F" w14:textId="77777777">
        <w:trPr>
          <w:cantSplit/>
          <w:trHeight w:val="415"/>
        </w:trPr>
        <w:tc>
          <w:tcPr>
            <w:tcW w:w="1900" w:type="dxa"/>
            <w:tcBorders>
              <w:top w:val="single" w:sz="4" w:space="0" w:color="000000"/>
              <w:left w:val="single" w:sz="4" w:space="0" w:color="000000"/>
              <w:bottom w:val="single" w:sz="4" w:space="0" w:color="000000"/>
              <w:right w:val="single" w:sz="4" w:space="0" w:color="000000"/>
            </w:tcBorders>
          </w:tcPr>
          <w:p w14:paraId="3D73ED6D"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Normes consultées</w:t>
            </w:r>
          </w:p>
        </w:tc>
        <w:tc>
          <w:tcPr>
            <w:tcW w:w="3400" w:type="dxa"/>
            <w:tcBorders>
              <w:top w:val="single" w:sz="4" w:space="0" w:color="000000"/>
              <w:left w:val="single" w:sz="4" w:space="0" w:color="000000"/>
              <w:bottom w:val="single" w:sz="4" w:space="0" w:color="000000"/>
              <w:right w:val="single" w:sz="4" w:space="0" w:color="000000"/>
            </w:tcBorders>
          </w:tcPr>
          <w:p w14:paraId="2368400C"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Accès par l’abonnement institutionnel de l’UQAC. Le texte des normes ne peut pas être reproduit dans les livrables.</w:t>
            </w:r>
          </w:p>
        </w:tc>
        <w:tc>
          <w:tcPr>
            <w:tcW w:w="3257" w:type="dxa"/>
            <w:tcBorders>
              <w:top w:val="single" w:sz="4" w:space="0" w:color="000000"/>
              <w:left w:val="single" w:sz="4" w:space="0" w:color="000000"/>
              <w:bottom w:val="single" w:sz="4" w:space="0" w:color="000000"/>
              <w:right w:val="single" w:sz="4" w:space="0" w:color="000000"/>
            </w:tcBorders>
          </w:tcPr>
          <w:p w14:paraId="716DD0D7"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Aucun coût imputé au mandat. Les normes sont citées, jamais recopiées.</w:t>
            </w:r>
          </w:p>
        </w:tc>
      </w:tr>
      <w:tr w:rsidR="00F50D70" w:rsidRPr="00BE4F47" w14:paraId="68457116" w14:textId="77777777">
        <w:trPr>
          <w:cantSplit/>
          <w:trHeight w:val="415"/>
        </w:trPr>
        <w:tc>
          <w:tcPr>
            <w:tcW w:w="1900" w:type="dxa"/>
            <w:tcBorders>
              <w:top w:val="single" w:sz="4" w:space="0" w:color="000000"/>
              <w:left w:val="single" w:sz="4" w:space="0" w:color="000000"/>
              <w:bottom w:val="single" w:sz="4" w:space="0" w:color="000000"/>
              <w:right w:val="single" w:sz="4" w:space="0" w:color="000000"/>
            </w:tcBorders>
          </w:tcPr>
          <w:p w14:paraId="02BB0F28"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Brevets recensés au tableau des brevets</w:t>
            </w:r>
          </w:p>
        </w:tc>
        <w:tc>
          <w:tcPr>
            <w:tcW w:w="3400" w:type="dxa"/>
            <w:tcBorders>
              <w:top w:val="single" w:sz="4" w:space="0" w:color="000000"/>
              <w:left w:val="single" w:sz="4" w:space="0" w:color="000000"/>
              <w:bottom w:val="single" w:sz="4" w:space="0" w:color="000000"/>
              <w:right w:val="single" w:sz="4" w:space="0" w:color="000000"/>
            </w:tcBorders>
          </w:tcPr>
          <w:p w14:paraId="5D4128AD"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Quatre demandes chinoises et un brevet états-unien, sans protection en vigueur au Canada à la date de la revue.</w:t>
            </w:r>
          </w:p>
        </w:tc>
        <w:tc>
          <w:tcPr>
            <w:tcW w:w="3257" w:type="dxa"/>
            <w:tcBorders>
              <w:top w:val="single" w:sz="4" w:space="0" w:color="000000"/>
              <w:left w:val="single" w:sz="4" w:space="0" w:color="000000"/>
              <w:bottom w:val="single" w:sz="4" w:space="0" w:color="000000"/>
              <w:right w:val="single" w:sz="4" w:space="0" w:color="000000"/>
            </w:tcBorders>
          </w:tcPr>
          <w:p w14:paraId="27C26911"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Aucune redevance exigible dans le contexte du mandat, qui est une démonstration universitaire sans exploitation commerciale.</w:t>
            </w:r>
          </w:p>
        </w:tc>
      </w:tr>
      <w:tr w:rsidR="00F50D70" w:rsidRPr="00BE4F47" w14:paraId="0926534B" w14:textId="77777777">
        <w:trPr>
          <w:cantSplit/>
          <w:trHeight w:val="415"/>
        </w:trPr>
        <w:tc>
          <w:tcPr>
            <w:tcW w:w="1900" w:type="dxa"/>
            <w:tcBorders>
              <w:top w:val="single" w:sz="4" w:space="0" w:color="000000"/>
              <w:left w:val="single" w:sz="4" w:space="0" w:color="000000"/>
              <w:bottom w:val="single" w:sz="4" w:space="0" w:color="000000"/>
              <w:right w:val="single" w:sz="4" w:space="0" w:color="000000"/>
            </w:tcBorders>
          </w:tcPr>
          <w:p w14:paraId="4B1056DF"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lastRenderedPageBreak/>
              <w:t>Exploitation ultérieure du prototype</w:t>
            </w:r>
          </w:p>
        </w:tc>
        <w:tc>
          <w:tcPr>
            <w:tcW w:w="3400" w:type="dxa"/>
            <w:tcBorders>
              <w:top w:val="single" w:sz="4" w:space="0" w:color="000000"/>
              <w:left w:val="single" w:sz="4" w:space="0" w:color="000000"/>
              <w:bottom w:val="single" w:sz="4" w:space="0" w:color="000000"/>
              <w:right w:val="single" w:sz="4" w:space="0" w:color="000000"/>
            </w:tcBorders>
          </w:tcPr>
          <w:p w14:paraId="4CE188D8"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Non couverte par le présent mandat.</w:t>
            </w:r>
          </w:p>
        </w:tc>
        <w:tc>
          <w:tcPr>
            <w:tcW w:w="3257" w:type="dxa"/>
            <w:tcBorders>
              <w:top w:val="single" w:sz="4" w:space="0" w:color="000000"/>
              <w:left w:val="single" w:sz="4" w:space="0" w:color="000000"/>
              <w:bottom w:val="single" w:sz="4" w:space="0" w:color="000000"/>
              <w:right w:val="single" w:sz="4" w:space="0" w:color="000000"/>
            </w:tcBorders>
          </w:tcPr>
          <w:p w14:paraId="034BAC86"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Une exploitation commerciale exigerait une recherche de liberté d’exploitation, qui n’est pas au périmètre. Cette réserve figure au rapport final.</w:t>
            </w:r>
          </w:p>
        </w:tc>
      </w:tr>
    </w:tbl>
    <w:p w14:paraId="1E562A16" w14:textId="77777777" w:rsidR="00F50D70" w:rsidRPr="00BE4F47" w:rsidRDefault="00137D7F" w:rsidP="008E113B">
      <w:pPr>
        <w:spacing w:before="200" w:after="130" w:line="360" w:lineRule="auto"/>
        <w:ind w:left="360"/>
        <w:rPr>
          <w:rFonts w:ascii="Aptos" w:hAnsi="Aptos"/>
        </w:rPr>
      </w:pPr>
      <w:bookmarkStart w:id="619" w:name="_Toc241082973"/>
      <w:bookmarkStart w:id="620" w:name="_Toc241670137"/>
      <w:bookmarkStart w:id="621" w:name="_Toc241707845"/>
      <w:bookmarkStart w:id="622" w:name="_Toc241791794"/>
      <w:r w:rsidRPr="00BE4F47">
        <w:rPr>
          <w:rFonts w:ascii="Aptos" w:hAnsi="Aptos"/>
          <w:color w:val="1A1A19"/>
          <w:sz w:val="20"/>
          <w:szCs w:val="20"/>
        </w:rPr>
        <w:t>La conclusion est qu’aucune redevance n’est à prévoir au budget du mandat. Cette conclusion vaut pour le périmètre académique défini à la section 1 et pour lui seul. Elle ne constitue pas un avis de liberté d’exploitation, lequel relèverait d’un conseil juridique spécialisé.</w:t>
      </w:r>
      <w:bookmarkEnd w:id="619"/>
      <w:bookmarkEnd w:id="620"/>
      <w:bookmarkEnd w:id="621"/>
      <w:bookmarkEnd w:id="622"/>
    </w:p>
    <w:p w14:paraId="048DEFD1" w14:textId="77777777" w:rsidR="00F50D70" w:rsidRPr="00B03F2E" w:rsidRDefault="00137D7F" w:rsidP="008E113B">
      <w:pPr>
        <w:pStyle w:val="Titre2"/>
        <w:spacing w:line="360" w:lineRule="auto"/>
      </w:pPr>
      <w:bookmarkStart w:id="623" w:name="__RefHeading___Toc240715179"/>
      <w:bookmarkStart w:id="624" w:name="_Toc241707846"/>
      <w:bookmarkStart w:id="625" w:name="_Toc241791795"/>
      <w:bookmarkEnd w:id="623"/>
      <w:r w:rsidRPr="00B03F2E">
        <w:t>Positionnement du projet</w:t>
      </w:r>
      <w:bookmarkEnd w:id="624"/>
      <w:bookmarkEnd w:id="625"/>
    </w:p>
    <w:p w14:paraId="3C6C15AF" w14:textId="62F04AA9" w:rsidR="00F50D70" w:rsidRPr="00BE4F47" w:rsidRDefault="00137D7F" w:rsidP="008E113B">
      <w:pPr>
        <w:spacing w:after="130" w:line="360" w:lineRule="auto"/>
        <w:ind w:left="360"/>
        <w:rPr>
          <w:rFonts w:ascii="Aptos" w:hAnsi="Aptos"/>
        </w:rPr>
      </w:pPr>
      <w:bookmarkStart w:id="626" w:name="_Toc241082958"/>
      <w:bookmarkStart w:id="627" w:name="_Toc241670139"/>
      <w:bookmarkStart w:id="628" w:name="_Toc241707847"/>
      <w:bookmarkStart w:id="629" w:name="_Toc241791796"/>
      <w:r w:rsidRPr="00BE4F47">
        <w:rPr>
          <w:rFonts w:ascii="Aptos" w:hAnsi="Aptos"/>
          <w:color w:val="1A1A19"/>
          <w:sz w:val="20"/>
          <w:szCs w:val="20"/>
        </w:rPr>
        <w:t>Trois des cinq brevets identifiés appartiennent à la même équipe, celle de l’Université Jiao Tong de Shanghai [14], [15], [16]. Ensemble, ils couvrent la construction du modèle hybride, la quantification de l’incertitude du cœur et la prédiction multiparamètre avec intervalle de confiance. C’est l’ensemble le plus proche du projet.</w:t>
      </w:r>
      <w:bookmarkEnd w:id="626"/>
      <w:bookmarkEnd w:id="627"/>
      <w:bookmarkEnd w:id="628"/>
      <w:bookmarkEnd w:id="629"/>
    </w:p>
    <w:p w14:paraId="1988B34B" w14:textId="6FAE715A" w:rsidR="00F50D70" w:rsidRPr="00BE4F47" w:rsidRDefault="00137D7F" w:rsidP="008E113B">
      <w:pPr>
        <w:spacing w:after="130" w:line="360" w:lineRule="auto"/>
        <w:ind w:left="360"/>
        <w:rPr>
          <w:rFonts w:ascii="Aptos" w:hAnsi="Aptos"/>
        </w:rPr>
      </w:pPr>
      <w:bookmarkStart w:id="630" w:name="_Toc241082959"/>
      <w:bookmarkStart w:id="631" w:name="_Toc241670140"/>
      <w:bookmarkStart w:id="632" w:name="_Toc241707848"/>
      <w:bookmarkStart w:id="633" w:name="_Toc241791797"/>
      <w:r w:rsidRPr="00BE4F47">
        <w:rPr>
          <w:rFonts w:ascii="Aptos" w:hAnsi="Aptos"/>
          <w:color w:val="1A1A19"/>
          <w:sz w:val="20"/>
          <w:szCs w:val="20"/>
        </w:rPr>
        <w:t>Deux écarts le séparent du prototype. Cet ensemble porte sur le cœur du réacteur et vise la prédiction du comportement à long terme, alors que le projet porte sur une boucle thermohydraulique simplifiée et vise la détection sur des données rejouées. Il ne traite pas non plus le cas des données compromises ou manquantes : l’incertitude y est une propriété du modèle, pas la conséquence possible d’un capteur défaillant ou d’un événement de cybersécurité. C’est sur ce second écart que le projet se place.</w:t>
      </w:r>
      <w:bookmarkEnd w:id="630"/>
      <w:bookmarkEnd w:id="631"/>
      <w:bookmarkEnd w:id="632"/>
      <w:bookmarkEnd w:id="633"/>
    </w:p>
    <w:p w14:paraId="1CB0DEA2" w14:textId="77777777" w:rsidR="00F50D70" w:rsidRPr="00BE4F47" w:rsidRDefault="00137D7F" w:rsidP="008E113B">
      <w:pPr>
        <w:spacing w:after="130" w:line="360" w:lineRule="auto"/>
        <w:ind w:left="360"/>
        <w:rPr>
          <w:rFonts w:ascii="Aptos" w:hAnsi="Aptos"/>
        </w:rPr>
      </w:pPr>
      <w:bookmarkStart w:id="634" w:name="_Toc241082961"/>
      <w:bookmarkStart w:id="635" w:name="_Toc241670141"/>
      <w:bookmarkStart w:id="636" w:name="_Toc241707849"/>
      <w:bookmarkStart w:id="637" w:name="_Toc241791798"/>
      <w:r w:rsidRPr="00BE4F47">
        <w:rPr>
          <w:rFonts w:ascii="Aptos" w:hAnsi="Aptos"/>
          <w:color w:val="1A1A19"/>
          <w:sz w:val="20"/>
          <w:szCs w:val="20"/>
        </w:rPr>
        <w:t>Les composantes du projet sont déjà étudiées dans la littérature, mais séparément et pour des objectifs distincts : fidélité des modèles et maintenance prédictive [4], [5], comparaison entre données réelles et valeurs attendues [6], confiance associée aux résultats [7], jumeau numérique employé comme référence de détection [8], [9].</w:t>
      </w:r>
      <w:bookmarkEnd w:id="634"/>
      <w:bookmarkEnd w:id="635"/>
      <w:bookmarkEnd w:id="636"/>
      <w:bookmarkEnd w:id="637"/>
    </w:p>
    <w:p w14:paraId="4859A0B4" w14:textId="77777777" w:rsidR="00F50D70" w:rsidRPr="00BE4F47" w:rsidRDefault="00137D7F" w:rsidP="008E113B">
      <w:pPr>
        <w:spacing w:after="130" w:line="360" w:lineRule="auto"/>
        <w:ind w:left="360"/>
        <w:rPr>
          <w:rFonts w:ascii="Aptos" w:eastAsia="Calibri" w:hAnsi="Aptos" w:cs="Calibri"/>
          <w:color w:val="1A1A19"/>
          <w:sz w:val="20"/>
          <w:szCs w:val="20"/>
        </w:rPr>
      </w:pPr>
      <w:bookmarkStart w:id="638" w:name="_Toc241082962"/>
      <w:bookmarkStart w:id="639" w:name="_Toc241670142"/>
      <w:bookmarkStart w:id="640" w:name="_Toc241707850"/>
      <w:bookmarkStart w:id="641" w:name="_Toc241791799"/>
      <w:r w:rsidRPr="00BE4F47">
        <w:rPr>
          <w:rFonts w:ascii="Aptos" w:hAnsi="Aptos"/>
          <w:color w:val="1A1A19"/>
          <w:sz w:val="20"/>
          <w:szCs w:val="20"/>
        </w:rPr>
        <w:t>Le projet se situe à l’intersection de ces approches. Cinq caractéristiques le distinguent.</w:t>
      </w:r>
      <w:bookmarkEnd w:id="638"/>
      <w:bookmarkEnd w:id="639"/>
      <w:bookmarkEnd w:id="640"/>
      <w:bookmarkEnd w:id="641"/>
    </w:p>
    <w:p w14:paraId="399D8448" w14:textId="77777777" w:rsidR="00F50D70" w:rsidRPr="00BE4F47" w:rsidRDefault="00137D7F" w:rsidP="008E113B">
      <w:pPr>
        <w:pStyle w:val="Lgende"/>
        <w:keepNext/>
        <w:spacing w:line="360" w:lineRule="auto"/>
        <w:rPr>
          <w:rFonts w:ascii="Aptos" w:hAnsi="Aptos"/>
        </w:rPr>
      </w:pPr>
      <w:bookmarkStart w:id="642" w:name="_Toc241082963"/>
      <w:bookmarkStart w:id="643" w:name="_Toc241670143"/>
      <w:bookmarkStart w:id="644" w:name="_Toc241707851"/>
      <w:bookmarkStart w:id="645" w:name="_Toc241791800"/>
      <w:r w:rsidRPr="00BE4F47">
        <w:rPr>
          <w:rFonts w:ascii="Aptos" w:hAnsi="Aptos"/>
        </w:rPr>
        <w:t>Tableau 5-5. Cinq distinctions entre le projet et la solution la plus proche</w:t>
      </w:r>
      <w:bookmarkEnd w:id="642"/>
      <w:bookmarkEnd w:id="643"/>
      <w:bookmarkEnd w:id="644"/>
      <w:bookmarkEnd w:id="645"/>
    </w:p>
    <w:tbl>
      <w:tblPr>
        <w:tblW w:w="8557" w:type="dxa"/>
        <w:tblInd w:w="413" w:type="dxa"/>
        <w:tblLayout w:type="fixed"/>
        <w:tblCellMar>
          <w:top w:w="60" w:type="dxa"/>
          <w:left w:w="90" w:type="dxa"/>
          <w:bottom w:w="60" w:type="dxa"/>
          <w:right w:w="90" w:type="dxa"/>
        </w:tblCellMar>
        <w:tblLook w:val="04A0" w:firstRow="1" w:lastRow="0" w:firstColumn="1" w:lastColumn="0" w:noHBand="0" w:noVBand="1"/>
      </w:tblPr>
      <w:tblGrid>
        <w:gridCol w:w="511"/>
        <w:gridCol w:w="2652"/>
        <w:gridCol w:w="5394"/>
      </w:tblGrid>
      <w:tr w:rsidR="00F50D70" w:rsidRPr="00BE4F47" w14:paraId="31E3B14C" w14:textId="77777777" w:rsidTr="0036725C">
        <w:trPr>
          <w:trHeight w:val="293"/>
          <w:tblHeader/>
        </w:trPr>
        <w:tc>
          <w:tcPr>
            <w:tcW w:w="511"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6AE88E41" w14:textId="77777777" w:rsidR="00F50D70" w:rsidRPr="00BE4F47" w:rsidRDefault="00F50D70" w:rsidP="008E113B">
            <w:pPr>
              <w:snapToGrid w:val="0"/>
              <w:spacing w:before="20" w:after="20"/>
              <w:ind w:left="0"/>
              <w:jc w:val="left"/>
              <w:outlineLvl w:val="9"/>
              <w:rPr>
                <w:rFonts w:ascii="Aptos" w:eastAsia="Calibri" w:hAnsi="Aptos" w:cs="Calibri"/>
                <w:color w:val="1A1A19"/>
                <w:sz w:val="20"/>
                <w:szCs w:val="20"/>
              </w:rPr>
            </w:pPr>
            <w:r>
              <w:rPr>
                <w:rFonts w:ascii="Aptos" w:hAnsi="Aptos"/>
                <w:sz w:val="15"/>
                <w:szCs w:val="15"/>
              </w:rPr>
              <w:t>Nº</w:t>
            </w:r>
          </w:p>
        </w:tc>
        <w:tc>
          <w:tcPr>
            <w:tcW w:w="2652"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76A6341E"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Caractéristique</w:t>
            </w:r>
          </w:p>
        </w:tc>
        <w:tc>
          <w:tcPr>
            <w:tcW w:w="5394"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612A614D"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Contenu et rattachement</w:t>
            </w:r>
          </w:p>
        </w:tc>
      </w:tr>
      <w:tr w:rsidR="00F50D70" w:rsidRPr="00BE4F47" w14:paraId="25175DB1" w14:textId="77777777">
        <w:trPr>
          <w:cantSplit/>
          <w:trHeight w:val="803"/>
        </w:trPr>
        <w:tc>
          <w:tcPr>
            <w:tcW w:w="511" w:type="dxa"/>
            <w:tcBorders>
              <w:top w:val="single" w:sz="4" w:space="0" w:color="000000"/>
              <w:left w:val="single" w:sz="4" w:space="0" w:color="000000"/>
              <w:bottom w:val="single" w:sz="4" w:space="0" w:color="000000"/>
              <w:right w:val="single" w:sz="4" w:space="0" w:color="000000"/>
            </w:tcBorders>
          </w:tcPr>
          <w:p w14:paraId="071580C9"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1</w:t>
            </w:r>
          </w:p>
        </w:tc>
        <w:tc>
          <w:tcPr>
            <w:tcW w:w="2652" w:type="dxa"/>
            <w:tcBorders>
              <w:top w:val="single" w:sz="4" w:space="0" w:color="000000"/>
              <w:left w:val="single" w:sz="4" w:space="0" w:color="000000"/>
              <w:bottom w:val="single" w:sz="4" w:space="0" w:color="000000"/>
              <w:right w:val="single" w:sz="4" w:space="0" w:color="000000"/>
            </w:tcBorders>
          </w:tcPr>
          <w:p w14:paraId="5EFA6021"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Portée du modèle</w:t>
            </w:r>
          </w:p>
        </w:tc>
        <w:tc>
          <w:tcPr>
            <w:tcW w:w="5394" w:type="dxa"/>
            <w:tcBorders>
              <w:top w:val="single" w:sz="4" w:space="0" w:color="000000"/>
              <w:left w:val="single" w:sz="4" w:space="0" w:color="000000"/>
              <w:bottom w:val="single" w:sz="4" w:space="0" w:color="000000"/>
              <w:right w:val="single" w:sz="4" w:space="0" w:color="000000"/>
            </w:tcBorders>
          </w:tcPr>
          <w:p w14:paraId="4646CC45"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Boucle thermohydraulique simplifiée, modélisation 0D/1D à paramètres concentrés, plutôt qu’une représentation détaillée d’un réacteur. Complexité compatible avec un prototype universitaire tout en couvrant les trois variables de fonctionnement (EX-F-01).</w:t>
            </w:r>
          </w:p>
        </w:tc>
      </w:tr>
      <w:tr w:rsidR="00F50D70" w:rsidRPr="00BE4F47" w14:paraId="6607E2C2" w14:textId="77777777">
        <w:trPr>
          <w:cantSplit/>
          <w:trHeight w:val="803"/>
        </w:trPr>
        <w:tc>
          <w:tcPr>
            <w:tcW w:w="511" w:type="dxa"/>
            <w:tcBorders>
              <w:top w:val="single" w:sz="4" w:space="0" w:color="000000"/>
              <w:left w:val="single" w:sz="4" w:space="0" w:color="000000"/>
              <w:bottom w:val="single" w:sz="4" w:space="0" w:color="000000"/>
              <w:right w:val="single" w:sz="4" w:space="0" w:color="000000"/>
            </w:tcBorders>
          </w:tcPr>
          <w:p w14:paraId="0C7214FD"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2</w:t>
            </w:r>
          </w:p>
        </w:tc>
        <w:tc>
          <w:tcPr>
            <w:tcW w:w="2652" w:type="dxa"/>
            <w:tcBorders>
              <w:top w:val="single" w:sz="4" w:space="0" w:color="000000"/>
              <w:left w:val="single" w:sz="4" w:space="0" w:color="000000"/>
              <w:bottom w:val="single" w:sz="4" w:space="0" w:color="000000"/>
              <w:right w:val="single" w:sz="4" w:space="0" w:color="000000"/>
            </w:tcBorders>
          </w:tcPr>
          <w:p w14:paraId="0F9BDE8B"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Nature des anomalies détectées</w:t>
            </w:r>
          </w:p>
        </w:tc>
        <w:tc>
          <w:tcPr>
            <w:tcW w:w="5394" w:type="dxa"/>
            <w:tcBorders>
              <w:top w:val="single" w:sz="4" w:space="0" w:color="000000"/>
              <w:left w:val="single" w:sz="4" w:space="0" w:color="000000"/>
              <w:bottom w:val="single" w:sz="4" w:space="0" w:color="000000"/>
              <w:right w:val="single" w:sz="4" w:space="0" w:color="000000"/>
            </w:tcBorders>
          </w:tcPr>
          <w:p w14:paraId="69B5298D"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Le projet ne vise pas seulement la défaillance physique, mais aussi les incohérences dues à un capteur défectueux, à des données manquantes, à une désynchronisation ou à une altération malveillante. La cohérence entre le modèle et les données devient elle-même un mécanisme de surveillance (EX-Q-04).</w:t>
            </w:r>
          </w:p>
        </w:tc>
      </w:tr>
      <w:tr w:rsidR="00F50D70" w:rsidRPr="00BE4F47" w14:paraId="1086F50C" w14:textId="77777777">
        <w:trPr>
          <w:cantSplit/>
          <w:trHeight w:val="613"/>
        </w:trPr>
        <w:tc>
          <w:tcPr>
            <w:tcW w:w="511" w:type="dxa"/>
            <w:tcBorders>
              <w:top w:val="single" w:sz="4" w:space="0" w:color="000000"/>
              <w:left w:val="single" w:sz="4" w:space="0" w:color="000000"/>
              <w:bottom w:val="single" w:sz="4" w:space="0" w:color="000000"/>
              <w:right w:val="single" w:sz="4" w:space="0" w:color="000000"/>
            </w:tcBorders>
          </w:tcPr>
          <w:p w14:paraId="579312D4"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3</w:t>
            </w:r>
          </w:p>
        </w:tc>
        <w:tc>
          <w:tcPr>
            <w:tcW w:w="2652" w:type="dxa"/>
            <w:tcBorders>
              <w:top w:val="single" w:sz="4" w:space="0" w:color="000000"/>
              <w:left w:val="single" w:sz="4" w:space="0" w:color="000000"/>
              <w:bottom w:val="single" w:sz="4" w:space="0" w:color="000000"/>
              <w:right w:val="single" w:sz="4" w:space="0" w:color="000000"/>
            </w:tcBorders>
          </w:tcPr>
          <w:p w14:paraId="40462D80"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Gestion explicite des modes dégradés</w:t>
            </w:r>
          </w:p>
        </w:tc>
        <w:tc>
          <w:tcPr>
            <w:tcW w:w="5394" w:type="dxa"/>
            <w:tcBorders>
              <w:top w:val="single" w:sz="4" w:space="0" w:color="000000"/>
              <w:left w:val="single" w:sz="4" w:space="0" w:color="000000"/>
              <w:bottom w:val="single" w:sz="4" w:space="0" w:color="000000"/>
              <w:right w:val="single" w:sz="4" w:space="0" w:color="000000"/>
            </w:tcBorders>
          </w:tcPr>
          <w:p w14:paraId="5F4C6336"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Le système doit pouvoir déclarer qu’il ne dispose pas d’informations suffisantes pour établir un diagnostic fiable, et distinguer fonctionnement normal, état anormal, donnée suspecte et état non déterminable (EX-F-06 ; états D2 et D3 du GEMMA).</w:t>
            </w:r>
          </w:p>
        </w:tc>
      </w:tr>
      <w:tr w:rsidR="00F50D70" w:rsidRPr="00BE4F47" w14:paraId="00AC7F36" w14:textId="77777777">
        <w:trPr>
          <w:cantSplit/>
          <w:trHeight w:val="621"/>
        </w:trPr>
        <w:tc>
          <w:tcPr>
            <w:tcW w:w="511" w:type="dxa"/>
            <w:tcBorders>
              <w:top w:val="single" w:sz="4" w:space="0" w:color="000000"/>
              <w:left w:val="single" w:sz="4" w:space="0" w:color="000000"/>
              <w:bottom w:val="single" w:sz="4" w:space="0" w:color="000000"/>
              <w:right w:val="single" w:sz="4" w:space="0" w:color="000000"/>
            </w:tcBorders>
          </w:tcPr>
          <w:p w14:paraId="24738C73"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lastRenderedPageBreak/>
              <w:t>4</w:t>
            </w:r>
          </w:p>
        </w:tc>
        <w:tc>
          <w:tcPr>
            <w:tcW w:w="2652" w:type="dxa"/>
            <w:tcBorders>
              <w:top w:val="single" w:sz="4" w:space="0" w:color="000000"/>
              <w:left w:val="single" w:sz="4" w:space="0" w:color="000000"/>
              <w:bottom w:val="single" w:sz="4" w:space="0" w:color="000000"/>
              <w:right w:val="single" w:sz="4" w:space="0" w:color="000000"/>
            </w:tcBorders>
          </w:tcPr>
          <w:p w14:paraId="7FDFEF5D"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Quantification de l’incertitude</w:t>
            </w:r>
          </w:p>
        </w:tc>
        <w:tc>
          <w:tcPr>
            <w:tcW w:w="5394" w:type="dxa"/>
            <w:tcBorders>
              <w:top w:val="single" w:sz="4" w:space="0" w:color="000000"/>
              <w:left w:val="single" w:sz="4" w:space="0" w:color="000000"/>
              <w:bottom w:val="single" w:sz="4" w:space="0" w:color="000000"/>
              <w:right w:val="single" w:sz="4" w:space="0" w:color="000000"/>
            </w:tcBorders>
          </w:tcPr>
          <w:p w14:paraId="4CEECFF3"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Toute estimation d’état est accompagnée d’un niveau de confiance, de façon qu’une information incertaine ne soit pas interprétée comme une conclusion définitive (EX-F-07 ; méthode d’ASME V&amp;V 20).</w:t>
            </w:r>
          </w:p>
        </w:tc>
      </w:tr>
      <w:tr w:rsidR="00F50D70" w:rsidRPr="00BE4F47" w14:paraId="21670800" w14:textId="77777777">
        <w:trPr>
          <w:cantSplit/>
          <w:trHeight w:val="613"/>
        </w:trPr>
        <w:tc>
          <w:tcPr>
            <w:tcW w:w="511" w:type="dxa"/>
            <w:tcBorders>
              <w:top w:val="single" w:sz="4" w:space="0" w:color="000000"/>
              <w:left w:val="single" w:sz="4" w:space="0" w:color="000000"/>
              <w:bottom w:val="single" w:sz="4" w:space="0" w:color="000000"/>
              <w:right w:val="single" w:sz="4" w:space="0" w:color="000000"/>
            </w:tcBorders>
          </w:tcPr>
          <w:p w14:paraId="7498FD9A"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5</w:t>
            </w:r>
          </w:p>
        </w:tc>
        <w:tc>
          <w:tcPr>
            <w:tcW w:w="2652" w:type="dxa"/>
            <w:tcBorders>
              <w:top w:val="single" w:sz="4" w:space="0" w:color="000000"/>
              <w:left w:val="single" w:sz="4" w:space="0" w:color="000000"/>
              <w:bottom w:val="single" w:sz="4" w:space="0" w:color="000000"/>
              <w:right w:val="single" w:sz="4" w:space="0" w:color="000000"/>
            </w:tcBorders>
          </w:tcPr>
          <w:p w14:paraId="2C45E59F"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Rôle de l’opérateur</w:t>
            </w:r>
          </w:p>
        </w:tc>
        <w:tc>
          <w:tcPr>
            <w:tcW w:w="5394" w:type="dxa"/>
            <w:tcBorders>
              <w:top w:val="single" w:sz="4" w:space="0" w:color="000000"/>
              <w:left w:val="single" w:sz="4" w:space="0" w:color="000000"/>
              <w:bottom w:val="single" w:sz="4" w:space="0" w:color="000000"/>
              <w:right w:val="single" w:sz="4" w:space="0" w:color="000000"/>
            </w:tcBorders>
          </w:tcPr>
          <w:p w14:paraId="1086E0B4"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Outil d’aide à la décision et non système de commande autonome. L’interface montre les variables ayant contribué au diagnostic, les anomalies détectées et le niveau de confiance associé (EX-F-05, EX-F-08 ; ISO 9241-210).</w:t>
            </w:r>
          </w:p>
        </w:tc>
      </w:tr>
    </w:tbl>
    <w:p w14:paraId="2BD78EC2" w14:textId="77777777" w:rsidR="00F50D70" w:rsidRPr="00BE4F47" w:rsidRDefault="00137D7F" w:rsidP="008E113B">
      <w:pPr>
        <w:spacing w:before="200" w:after="130" w:line="360" w:lineRule="auto"/>
        <w:ind w:left="360"/>
        <w:rPr>
          <w:rFonts w:ascii="Aptos" w:hAnsi="Aptos"/>
        </w:rPr>
      </w:pPr>
      <w:bookmarkStart w:id="646" w:name="_Toc241082964"/>
      <w:bookmarkStart w:id="647" w:name="_Toc241670144"/>
      <w:bookmarkStart w:id="648" w:name="_Toc241707852"/>
      <w:bookmarkStart w:id="649" w:name="_Toc241791801"/>
      <w:r w:rsidRPr="00BE4F47">
        <w:rPr>
          <w:rFonts w:ascii="Aptos" w:hAnsi="Aptos"/>
          <w:color w:val="1A1A19"/>
          <w:sz w:val="20"/>
          <w:szCs w:val="20"/>
        </w:rPr>
        <w:t>Le projet ne revendique aucune nouveauté sur les méthodes prises isolément, ni aucune performance supérieure aux travaux cités. Son apport est l’intégration cohérente de plusieurs fonctions dans un même démonstrateur appliqué à une boucle simplifiée, et un comportement documenté lorsque les données deviennent incertaines, incomplètes ou compromises.</w:t>
      </w:r>
      <w:bookmarkEnd w:id="646"/>
      <w:bookmarkEnd w:id="647"/>
      <w:bookmarkEnd w:id="648"/>
      <w:bookmarkEnd w:id="649"/>
    </w:p>
    <w:p w14:paraId="6A993D2F" w14:textId="77777777" w:rsidR="00F50D70" w:rsidRPr="00B03F2E" w:rsidRDefault="00137D7F" w:rsidP="008E113B">
      <w:pPr>
        <w:pStyle w:val="Titre2"/>
        <w:spacing w:line="360" w:lineRule="auto"/>
      </w:pPr>
      <w:bookmarkStart w:id="650" w:name="__RefHeading___Toc240715190"/>
      <w:bookmarkStart w:id="651" w:name="_Toc241707853"/>
      <w:bookmarkStart w:id="652" w:name="_Toc241791802"/>
      <w:r w:rsidRPr="00B03F2E">
        <w:t>Lacunes de notre revue</w:t>
      </w:r>
      <w:bookmarkEnd w:id="650"/>
      <w:bookmarkEnd w:id="651"/>
      <w:bookmarkEnd w:id="652"/>
    </w:p>
    <w:p w14:paraId="13CD35AA" w14:textId="77777777" w:rsidR="00F50D70" w:rsidRPr="00BE4F47" w:rsidRDefault="00137D7F" w:rsidP="008E113B">
      <w:pPr>
        <w:spacing w:after="130" w:line="360" w:lineRule="auto"/>
        <w:ind w:left="360"/>
        <w:rPr>
          <w:rFonts w:ascii="Aptos" w:hAnsi="Aptos"/>
        </w:rPr>
      </w:pPr>
      <w:bookmarkStart w:id="653" w:name="_Toc241082975"/>
      <w:bookmarkStart w:id="654" w:name="_Toc241670146"/>
      <w:bookmarkStart w:id="655" w:name="_Toc241707854"/>
      <w:bookmarkStart w:id="656" w:name="_Toc241791803"/>
      <w:r w:rsidRPr="00BE4F47">
        <w:rPr>
          <w:rFonts w:ascii="Aptos" w:hAnsi="Aptos"/>
          <w:color w:val="1A1A19"/>
          <w:sz w:val="20"/>
          <w:szCs w:val="20"/>
        </w:rPr>
        <w:t>Quatre limites sont à signaler :</w:t>
      </w:r>
      <w:bookmarkEnd w:id="653"/>
      <w:bookmarkEnd w:id="654"/>
      <w:bookmarkEnd w:id="655"/>
      <w:bookmarkEnd w:id="656"/>
    </w:p>
    <w:p w14:paraId="5999D413" w14:textId="77777777" w:rsidR="00F50D70" w:rsidRPr="00BE4F47" w:rsidRDefault="00137D7F" w:rsidP="008E113B">
      <w:pPr>
        <w:numPr>
          <w:ilvl w:val="0"/>
          <w:numId w:val="20"/>
        </w:numPr>
        <w:spacing w:after="130" w:line="360" w:lineRule="auto"/>
        <w:ind w:left="720"/>
        <w:rPr>
          <w:rFonts w:ascii="Aptos" w:eastAsia="Times New Roman" w:hAnsi="Aptos"/>
        </w:rPr>
      </w:pPr>
      <w:bookmarkStart w:id="657" w:name="_Toc241670147"/>
      <w:bookmarkStart w:id="658" w:name="_Toc241707855"/>
      <w:bookmarkStart w:id="659" w:name="_Toc241791804"/>
      <w:proofErr w:type="gramStart"/>
      <w:r w:rsidRPr="00BE4F47">
        <w:rPr>
          <w:rFonts w:ascii="Aptos" w:hAnsi="Aptos"/>
          <w:color w:val="1A1A19"/>
          <w:sz w:val="20"/>
          <w:szCs w:val="20"/>
        </w:rPr>
        <w:t>deux</w:t>
      </w:r>
      <w:proofErr w:type="gramEnd"/>
      <w:r w:rsidRPr="00BE4F47">
        <w:rPr>
          <w:rFonts w:ascii="Aptos" w:hAnsi="Aptos"/>
          <w:color w:val="1A1A19"/>
          <w:sz w:val="20"/>
          <w:szCs w:val="20"/>
        </w:rPr>
        <w:t xml:space="preserve"> des six articles retenus sont des revues de littérature, donc des sources de seconde main, et aucun des six ne porte directement sur une boucle thermohydraulique de centrale.</w:t>
      </w:r>
      <w:bookmarkEnd w:id="657"/>
      <w:bookmarkEnd w:id="658"/>
      <w:bookmarkEnd w:id="659"/>
    </w:p>
    <w:p w14:paraId="7D69BDA2" w14:textId="77777777" w:rsidR="00F50D70" w:rsidRPr="00BE4F47" w:rsidRDefault="00137D7F" w:rsidP="008E113B">
      <w:pPr>
        <w:numPr>
          <w:ilvl w:val="0"/>
          <w:numId w:val="20"/>
        </w:numPr>
        <w:spacing w:after="130" w:line="360" w:lineRule="auto"/>
        <w:ind w:left="720"/>
        <w:rPr>
          <w:rFonts w:ascii="Aptos" w:eastAsia="Times New Roman" w:hAnsi="Aptos"/>
        </w:rPr>
      </w:pPr>
      <w:bookmarkStart w:id="660" w:name="_Toc241670148"/>
      <w:bookmarkStart w:id="661" w:name="_Toc241707856"/>
      <w:bookmarkStart w:id="662" w:name="_Toc241791805"/>
      <w:proofErr w:type="gramStart"/>
      <w:r w:rsidRPr="00BE4F47">
        <w:rPr>
          <w:rFonts w:ascii="Aptos" w:hAnsi="Aptos"/>
          <w:color w:val="1A1A19"/>
          <w:sz w:val="20"/>
          <w:szCs w:val="20"/>
        </w:rPr>
        <w:t>la</w:t>
      </w:r>
      <w:proofErr w:type="gramEnd"/>
      <w:r w:rsidRPr="00BE4F47">
        <w:rPr>
          <w:rFonts w:ascii="Aptos" w:hAnsi="Aptos"/>
          <w:color w:val="1A1A19"/>
          <w:sz w:val="20"/>
          <w:szCs w:val="20"/>
        </w:rPr>
        <w:t xml:space="preserve"> modélisation thermohydraulique, qui est le cœur technique du projet, reste la partie la moins documentée de la revue.</w:t>
      </w:r>
      <w:bookmarkEnd w:id="660"/>
      <w:bookmarkEnd w:id="661"/>
      <w:bookmarkEnd w:id="662"/>
    </w:p>
    <w:p w14:paraId="5C9CDCCC" w14:textId="77777777" w:rsidR="00F50D70" w:rsidRPr="00BE4F47" w:rsidRDefault="00137D7F" w:rsidP="008E113B">
      <w:pPr>
        <w:numPr>
          <w:ilvl w:val="0"/>
          <w:numId w:val="20"/>
        </w:numPr>
        <w:spacing w:after="130" w:line="360" w:lineRule="auto"/>
        <w:ind w:left="720"/>
        <w:rPr>
          <w:rFonts w:ascii="Aptos" w:eastAsia="Times New Roman" w:hAnsi="Aptos"/>
        </w:rPr>
      </w:pPr>
      <w:bookmarkStart w:id="663" w:name="_Toc241670149"/>
      <w:bookmarkStart w:id="664" w:name="_Toc241707857"/>
      <w:bookmarkStart w:id="665" w:name="_Toc241791806"/>
      <w:proofErr w:type="gramStart"/>
      <w:r w:rsidRPr="00BE4F47">
        <w:rPr>
          <w:rFonts w:ascii="Aptos" w:hAnsi="Aptos"/>
          <w:color w:val="1A1A19"/>
          <w:sz w:val="20"/>
          <w:szCs w:val="20"/>
        </w:rPr>
        <w:t>aucune</w:t>
      </w:r>
      <w:proofErr w:type="gramEnd"/>
      <w:r w:rsidRPr="00BE4F47">
        <w:rPr>
          <w:rFonts w:ascii="Aptos" w:hAnsi="Aptos"/>
          <w:color w:val="1A1A19"/>
          <w:sz w:val="20"/>
          <w:szCs w:val="20"/>
        </w:rPr>
        <w:t xml:space="preserve"> source ne porte sur le parc canadien ni sur la filière CANDU, alors que le scénario s’y situe.</w:t>
      </w:r>
      <w:bookmarkEnd w:id="663"/>
      <w:bookmarkEnd w:id="664"/>
      <w:bookmarkEnd w:id="665"/>
    </w:p>
    <w:p w14:paraId="08CF5C26" w14:textId="77777777" w:rsidR="00F50D70" w:rsidRPr="00BE4F47" w:rsidRDefault="00137D7F" w:rsidP="008E113B">
      <w:pPr>
        <w:numPr>
          <w:ilvl w:val="0"/>
          <w:numId w:val="20"/>
        </w:numPr>
        <w:spacing w:after="130" w:line="360" w:lineRule="auto"/>
        <w:ind w:left="720"/>
        <w:rPr>
          <w:rFonts w:ascii="Aptos" w:eastAsia="Times New Roman" w:hAnsi="Aptos"/>
        </w:rPr>
      </w:pPr>
      <w:bookmarkStart w:id="666" w:name="_Toc241082936"/>
      <w:bookmarkStart w:id="667" w:name="_Toc241670150"/>
      <w:bookmarkStart w:id="668" w:name="_Toc241707858"/>
      <w:bookmarkStart w:id="669" w:name="_Toc241791807"/>
      <w:proofErr w:type="gramStart"/>
      <w:r w:rsidRPr="00BE4F47">
        <w:rPr>
          <w:rFonts w:ascii="Aptos" w:hAnsi="Aptos"/>
          <w:color w:val="1A1A19"/>
          <w:sz w:val="20"/>
          <w:szCs w:val="20"/>
        </w:rPr>
        <w:t>la</w:t>
      </w:r>
      <w:proofErr w:type="gramEnd"/>
      <w:r w:rsidRPr="00BE4F47">
        <w:rPr>
          <w:rFonts w:ascii="Aptos" w:hAnsi="Aptos"/>
          <w:color w:val="1A1A19"/>
          <w:sz w:val="20"/>
          <w:szCs w:val="20"/>
        </w:rPr>
        <w:t xml:space="preserve"> recherche de brevets s’est limitée à Google Patents, ce qui suffit pour une antériorité préliminaire mais pas davantage.</w:t>
      </w:r>
      <w:bookmarkEnd w:id="666"/>
      <w:bookmarkEnd w:id="667"/>
      <w:bookmarkEnd w:id="668"/>
      <w:bookmarkEnd w:id="669"/>
    </w:p>
    <w:p w14:paraId="17E42F22" w14:textId="77777777" w:rsidR="00F50D70" w:rsidRPr="00B03F2E" w:rsidRDefault="00137D7F" w:rsidP="008E113B">
      <w:pPr>
        <w:pStyle w:val="Titre1"/>
        <w:spacing w:line="360" w:lineRule="auto"/>
      </w:pPr>
      <w:bookmarkStart w:id="670" w:name="__RefHeading___Toc240715192"/>
      <w:bookmarkStart w:id="671" w:name="_Toc241707859"/>
      <w:bookmarkStart w:id="672" w:name="_Toc241791808"/>
      <w:bookmarkEnd w:id="670"/>
      <w:r w:rsidRPr="00B03F2E">
        <w:t>Normes, codes et standards</w:t>
      </w:r>
      <w:bookmarkEnd w:id="671"/>
      <w:bookmarkEnd w:id="672"/>
    </w:p>
    <w:p w14:paraId="27F0D77C" w14:textId="77777777" w:rsidR="00F50D70" w:rsidRPr="00BE4F47" w:rsidRDefault="00137D7F" w:rsidP="008E113B">
      <w:pPr>
        <w:spacing w:after="130" w:line="360" w:lineRule="auto"/>
        <w:ind w:left="360"/>
        <w:rPr>
          <w:rFonts w:ascii="Aptos" w:hAnsi="Aptos"/>
        </w:rPr>
      </w:pPr>
      <w:bookmarkStart w:id="673" w:name="_Toc241082978"/>
      <w:bookmarkStart w:id="674" w:name="_Toc241670152"/>
      <w:bookmarkStart w:id="675" w:name="_Toc241707860"/>
      <w:bookmarkStart w:id="676" w:name="_Toc241791809"/>
      <w:r w:rsidRPr="00BE4F47">
        <w:rPr>
          <w:rFonts w:ascii="Aptos" w:hAnsi="Aptos"/>
          <w:color w:val="1A1A19"/>
          <w:sz w:val="20"/>
          <w:szCs w:val="20"/>
        </w:rPr>
        <w:t>La revue a montré ce que d’autres ont fait. Cette section établit le cadre dans lequel le projet doit le faire : la loi, la réglementation, les normes retenues, et ce qui en découle pour la conception.</w:t>
      </w:r>
      <w:bookmarkEnd w:id="673"/>
      <w:bookmarkEnd w:id="674"/>
      <w:bookmarkEnd w:id="675"/>
      <w:bookmarkEnd w:id="676"/>
    </w:p>
    <w:p w14:paraId="33AD7C0B" w14:textId="77777777" w:rsidR="00F50D70" w:rsidRPr="00BE4F47" w:rsidRDefault="00137D7F" w:rsidP="008E113B">
      <w:pPr>
        <w:spacing w:after="130" w:line="360" w:lineRule="auto"/>
        <w:ind w:left="360"/>
        <w:rPr>
          <w:rFonts w:ascii="Aptos" w:hAnsi="Aptos"/>
        </w:rPr>
      </w:pPr>
      <w:bookmarkStart w:id="677" w:name="_Toc241082979"/>
      <w:bookmarkStart w:id="678" w:name="_Toc241670153"/>
      <w:bookmarkStart w:id="679" w:name="_Toc241707861"/>
      <w:bookmarkStart w:id="680" w:name="_Toc241791810"/>
      <w:r w:rsidRPr="00BE4F47">
        <w:rPr>
          <w:rFonts w:ascii="Aptos" w:hAnsi="Aptos"/>
          <w:color w:val="1A1A19"/>
          <w:sz w:val="20"/>
          <w:szCs w:val="20"/>
        </w:rPr>
        <w:t>Les lois, règlements et normes ont été retenus pour leur pertinence pour les activités du projet : ingénierie des exigences, modélisation de la boucle, conception logicielle, cybersécurité, acquisition des données, détection d’anomalies, quantification de l’incertitude, interface homme-machine, vérification et validation. La revue distingue trois niveaux : le cadre législatif, qui détermine ce qui relève de l’exercice de l’ingénierie, le cadre réglementaire, qui s’applique aux installations nucléaires canadiennes, et les normes techniques, qui orientent la conception et fournissent les critères de validation.</w:t>
      </w:r>
      <w:bookmarkEnd w:id="677"/>
      <w:bookmarkEnd w:id="678"/>
      <w:bookmarkEnd w:id="679"/>
      <w:bookmarkEnd w:id="680"/>
    </w:p>
    <w:p w14:paraId="4BF05270" w14:textId="77777777" w:rsidR="00F50D70" w:rsidRPr="00B03F2E" w:rsidRDefault="00137D7F" w:rsidP="008E113B">
      <w:pPr>
        <w:pStyle w:val="Titre2"/>
        <w:spacing w:line="360" w:lineRule="auto"/>
      </w:pPr>
      <w:bookmarkStart w:id="681" w:name="__RefHeading___Toc240715195"/>
      <w:bookmarkStart w:id="682" w:name="_Toc241707862"/>
      <w:bookmarkStart w:id="683" w:name="_Toc241791811"/>
      <w:bookmarkEnd w:id="681"/>
      <w:r w:rsidRPr="00B03F2E">
        <w:t>Cadre législatif</w:t>
      </w:r>
      <w:bookmarkEnd w:id="682"/>
      <w:bookmarkEnd w:id="683"/>
    </w:p>
    <w:p w14:paraId="1775AE56" w14:textId="77777777" w:rsidR="00F50D70" w:rsidRPr="00BE4F47" w:rsidRDefault="00137D7F" w:rsidP="008E113B">
      <w:pPr>
        <w:spacing w:after="130" w:line="360" w:lineRule="auto"/>
        <w:ind w:left="360"/>
        <w:rPr>
          <w:rFonts w:ascii="Aptos" w:hAnsi="Aptos"/>
        </w:rPr>
      </w:pPr>
      <w:bookmarkStart w:id="684" w:name="_Toc241082982"/>
      <w:bookmarkStart w:id="685" w:name="_Toc241670155"/>
      <w:bookmarkStart w:id="686" w:name="_Toc241707863"/>
      <w:bookmarkStart w:id="687" w:name="_Toc241791812"/>
      <w:r w:rsidRPr="00BE4F47">
        <w:rPr>
          <w:rFonts w:ascii="Aptos" w:hAnsi="Aptos"/>
          <w:color w:val="1A1A19"/>
          <w:sz w:val="20"/>
          <w:szCs w:val="20"/>
        </w:rPr>
        <w:t xml:space="preserve">Au Québec, l’exercice de l’ingénierie est encadré par la Loi sur les ingénieurs, RLRQ, chapitre I-9 [19]. L’Ordre des ingénieurs du Québec rappelle que cette loi définit l’exercice de l’ingénierie, les </w:t>
      </w:r>
      <w:r w:rsidRPr="00BE4F47">
        <w:rPr>
          <w:rFonts w:ascii="Aptos" w:hAnsi="Aptos"/>
          <w:color w:val="1A1A19"/>
          <w:sz w:val="20"/>
          <w:szCs w:val="20"/>
        </w:rPr>
        <w:lastRenderedPageBreak/>
        <w:t>activités réservées, les ouvrages auxquels elles se rapportent ainsi que certaines responsabilités professionnelles [20]. Elle s’inscrit dans la mission de protection du public du système professionnel québécois. Quatre dispositions concernent directement le projet.</w:t>
      </w:r>
      <w:bookmarkEnd w:id="684"/>
      <w:bookmarkEnd w:id="685"/>
      <w:bookmarkEnd w:id="686"/>
      <w:bookmarkEnd w:id="687"/>
    </w:p>
    <w:p w14:paraId="18ADCF91" w14:textId="77777777" w:rsidR="00F50D70" w:rsidRPr="00BE4F47" w:rsidRDefault="00137D7F" w:rsidP="008E113B">
      <w:pPr>
        <w:pStyle w:val="Lgende"/>
        <w:keepNext/>
        <w:spacing w:line="360" w:lineRule="auto"/>
        <w:rPr>
          <w:rFonts w:ascii="Aptos" w:hAnsi="Aptos"/>
        </w:rPr>
      </w:pPr>
      <w:bookmarkStart w:id="688" w:name="_Toc241082983"/>
      <w:bookmarkStart w:id="689" w:name="_Toc241670156"/>
      <w:bookmarkStart w:id="690" w:name="_Toc241707864"/>
      <w:bookmarkStart w:id="691" w:name="_Toc241791813"/>
      <w:r w:rsidRPr="00BE4F47">
        <w:rPr>
          <w:rFonts w:ascii="Aptos" w:hAnsi="Aptos"/>
        </w:rPr>
        <w:t>Tableau 6-1. Cadre législatif applicable</w:t>
      </w:r>
      <w:bookmarkEnd w:id="688"/>
      <w:bookmarkEnd w:id="689"/>
      <w:bookmarkEnd w:id="690"/>
      <w:bookmarkEnd w:id="691"/>
    </w:p>
    <w:tbl>
      <w:tblPr>
        <w:tblW w:w="8557" w:type="dxa"/>
        <w:tblInd w:w="413" w:type="dxa"/>
        <w:tblLayout w:type="fixed"/>
        <w:tblCellMar>
          <w:top w:w="70" w:type="dxa"/>
          <w:left w:w="100" w:type="dxa"/>
          <w:bottom w:w="70" w:type="dxa"/>
          <w:right w:w="100" w:type="dxa"/>
        </w:tblCellMar>
        <w:tblLook w:val="04A0" w:firstRow="1" w:lastRow="0" w:firstColumn="1" w:lastColumn="0" w:noHBand="0" w:noVBand="1"/>
      </w:tblPr>
      <w:tblGrid>
        <w:gridCol w:w="1371"/>
        <w:gridCol w:w="3566"/>
        <w:gridCol w:w="3620"/>
      </w:tblGrid>
      <w:tr w:rsidR="00F50D70" w:rsidRPr="00BE4F47" w14:paraId="627670F0" w14:textId="77777777" w:rsidTr="0036725C">
        <w:trPr>
          <w:trHeight w:val="232"/>
          <w:tblHeader/>
        </w:trPr>
        <w:tc>
          <w:tcPr>
            <w:tcW w:w="1371" w:type="dxa"/>
            <w:tcBorders>
              <w:top w:val="single" w:sz="4" w:space="0" w:color="000000"/>
              <w:left w:val="single" w:sz="4" w:space="0" w:color="000000"/>
              <w:bottom w:val="single" w:sz="4" w:space="0" w:color="000000"/>
              <w:right w:val="single" w:sz="4" w:space="0" w:color="000000"/>
            </w:tcBorders>
            <w:shd w:val="clear" w:color="auto" w:fill="FFFFFF" w:themeFill="background2"/>
            <w:vAlign w:val="center"/>
          </w:tcPr>
          <w:p w14:paraId="5F00BB9A"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b/>
                <w:bCs/>
                <w:color w:val="1A1A19"/>
                <w:sz w:val="15"/>
                <w:szCs w:val="15"/>
              </w:rPr>
              <w:t>Disposition</w:t>
            </w:r>
          </w:p>
        </w:tc>
        <w:tc>
          <w:tcPr>
            <w:tcW w:w="3566" w:type="dxa"/>
            <w:tcBorders>
              <w:top w:val="single" w:sz="4" w:space="0" w:color="000000"/>
              <w:left w:val="single" w:sz="4" w:space="0" w:color="000000"/>
              <w:bottom w:val="single" w:sz="4" w:space="0" w:color="000000"/>
              <w:right w:val="single" w:sz="4" w:space="0" w:color="000000"/>
            </w:tcBorders>
            <w:shd w:val="clear" w:color="auto" w:fill="FFFFFF" w:themeFill="background2"/>
            <w:vAlign w:val="center"/>
          </w:tcPr>
          <w:p w14:paraId="3A29D930"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b/>
                <w:bCs/>
                <w:color w:val="1A1A19"/>
                <w:sz w:val="15"/>
                <w:szCs w:val="15"/>
              </w:rPr>
              <w:t>Portée</w:t>
            </w:r>
          </w:p>
        </w:tc>
        <w:tc>
          <w:tcPr>
            <w:tcW w:w="3620" w:type="dxa"/>
            <w:tcBorders>
              <w:top w:val="single" w:sz="4" w:space="0" w:color="000000"/>
              <w:left w:val="single" w:sz="4" w:space="0" w:color="000000"/>
              <w:bottom w:val="single" w:sz="4" w:space="0" w:color="000000"/>
              <w:right w:val="single" w:sz="4" w:space="0" w:color="000000"/>
            </w:tcBorders>
            <w:shd w:val="clear" w:color="auto" w:fill="FFFFFF" w:themeFill="background2"/>
            <w:vAlign w:val="center"/>
          </w:tcPr>
          <w:p w14:paraId="727DE2E5"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b/>
                <w:bCs/>
                <w:color w:val="1A1A19"/>
                <w:sz w:val="15"/>
                <w:szCs w:val="15"/>
              </w:rPr>
              <w:t>Lien avec le projet</w:t>
            </w:r>
          </w:p>
        </w:tc>
      </w:tr>
      <w:tr w:rsidR="00F50D70" w:rsidRPr="00BE4F47" w14:paraId="2D2230AA" w14:textId="77777777">
        <w:trPr>
          <w:cantSplit/>
          <w:trHeight w:val="621"/>
        </w:trPr>
        <w:tc>
          <w:tcPr>
            <w:tcW w:w="1371" w:type="dxa"/>
            <w:tcBorders>
              <w:top w:val="single" w:sz="4" w:space="0" w:color="000000"/>
              <w:left w:val="single" w:sz="4" w:space="0" w:color="000000"/>
              <w:bottom w:val="single" w:sz="4" w:space="0" w:color="000000"/>
              <w:right w:val="single" w:sz="4" w:space="0" w:color="000000"/>
            </w:tcBorders>
            <w:vAlign w:val="center"/>
          </w:tcPr>
          <w:p w14:paraId="74D789DD"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b/>
                <w:bCs/>
                <w:color w:val="1A1A19"/>
                <w:sz w:val="16"/>
                <w:szCs w:val="16"/>
              </w:rPr>
              <w:t>Article 2 (1°)</w:t>
            </w:r>
          </w:p>
        </w:tc>
        <w:tc>
          <w:tcPr>
            <w:tcW w:w="3566" w:type="dxa"/>
            <w:tcBorders>
              <w:top w:val="single" w:sz="4" w:space="0" w:color="000000"/>
              <w:left w:val="single" w:sz="4" w:space="0" w:color="000000"/>
              <w:bottom w:val="single" w:sz="4" w:space="0" w:color="000000"/>
              <w:right w:val="single" w:sz="4" w:space="0" w:color="000000"/>
            </w:tcBorders>
            <w:vAlign w:val="center"/>
          </w:tcPr>
          <w:p w14:paraId="0BD0EBF5"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Déterminer les concepts, les paramètres, les équations ou les modèles permettant d’anticiper le comportement des procédés ou des systèmes.</w:t>
            </w:r>
          </w:p>
        </w:tc>
        <w:tc>
          <w:tcPr>
            <w:tcW w:w="3620" w:type="dxa"/>
            <w:tcBorders>
              <w:top w:val="single" w:sz="4" w:space="0" w:color="000000"/>
              <w:left w:val="single" w:sz="4" w:space="0" w:color="000000"/>
              <w:bottom w:val="single" w:sz="4" w:space="0" w:color="000000"/>
              <w:right w:val="single" w:sz="4" w:space="0" w:color="000000"/>
            </w:tcBorders>
            <w:vAlign w:val="center"/>
          </w:tcPr>
          <w:p w14:paraId="68F8D577"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Modélisation de la boucle thermohydraulique, définition de ses paramètres et construction du jumeau numérique.</w:t>
            </w:r>
          </w:p>
        </w:tc>
      </w:tr>
      <w:tr w:rsidR="00F50D70" w:rsidRPr="00BE4F47" w14:paraId="2C28A0E8" w14:textId="77777777">
        <w:trPr>
          <w:cantSplit/>
          <w:trHeight w:val="422"/>
        </w:trPr>
        <w:tc>
          <w:tcPr>
            <w:tcW w:w="1371" w:type="dxa"/>
            <w:tcBorders>
              <w:top w:val="single" w:sz="4" w:space="0" w:color="000000"/>
              <w:left w:val="single" w:sz="4" w:space="0" w:color="000000"/>
              <w:bottom w:val="single" w:sz="4" w:space="0" w:color="000000"/>
              <w:right w:val="single" w:sz="4" w:space="0" w:color="000000"/>
            </w:tcBorders>
            <w:vAlign w:val="center"/>
          </w:tcPr>
          <w:p w14:paraId="13B1BBF5"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b/>
                <w:bCs/>
                <w:color w:val="1A1A19"/>
                <w:sz w:val="16"/>
                <w:szCs w:val="16"/>
              </w:rPr>
              <w:t>Article 2 (2°)</w:t>
            </w:r>
          </w:p>
        </w:tc>
        <w:tc>
          <w:tcPr>
            <w:tcW w:w="3566" w:type="dxa"/>
            <w:tcBorders>
              <w:top w:val="single" w:sz="4" w:space="0" w:color="000000"/>
              <w:left w:val="single" w:sz="4" w:space="0" w:color="000000"/>
              <w:bottom w:val="single" w:sz="4" w:space="0" w:color="000000"/>
              <w:right w:val="single" w:sz="4" w:space="0" w:color="000000"/>
            </w:tcBorders>
            <w:vAlign w:val="center"/>
          </w:tcPr>
          <w:p w14:paraId="24846372"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Effectuer des essais ou des calculs nécessitant le recours à des modèles issus de principes d’ingénierie.</w:t>
            </w:r>
          </w:p>
        </w:tc>
        <w:tc>
          <w:tcPr>
            <w:tcW w:w="3620" w:type="dxa"/>
            <w:tcBorders>
              <w:top w:val="single" w:sz="4" w:space="0" w:color="000000"/>
              <w:left w:val="single" w:sz="4" w:space="0" w:color="000000"/>
              <w:bottom w:val="single" w:sz="4" w:space="0" w:color="000000"/>
              <w:right w:val="single" w:sz="4" w:space="0" w:color="000000"/>
            </w:tcBorders>
            <w:vAlign w:val="center"/>
          </w:tcPr>
          <w:p w14:paraId="05E7E429" w14:textId="77777777" w:rsidR="00F50D70" w:rsidRPr="00BE4F47" w:rsidRDefault="00137D7F" w:rsidP="008E113B">
            <w:pPr>
              <w:spacing w:before="20" w:after="20"/>
              <w:ind w:left="0"/>
              <w:outlineLvl w:val="9"/>
              <w:rPr>
                <w:rFonts w:ascii="Aptos" w:hAnsi="Aptos"/>
              </w:rPr>
            </w:pPr>
            <w:r w:rsidRPr="00BE4F47">
              <w:rPr>
                <w:rFonts w:ascii="Aptos" w:eastAsia="Calibri" w:hAnsi="Aptos" w:cs="Calibri"/>
                <w:color w:val="1A1A19"/>
                <w:sz w:val="16"/>
                <w:szCs w:val="16"/>
              </w:rPr>
              <w:t>Simulations, calculs, injection d’anomalies et campagne de vérification et de validation.</w:t>
            </w:r>
          </w:p>
        </w:tc>
      </w:tr>
      <w:tr w:rsidR="00F50D70" w:rsidRPr="00BE4F47" w14:paraId="382289CD" w14:textId="77777777">
        <w:trPr>
          <w:cantSplit/>
          <w:trHeight w:val="432"/>
        </w:trPr>
        <w:tc>
          <w:tcPr>
            <w:tcW w:w="1371" w:type="dxa"/>
            <w:tcBorders>
              <w:top w:val="single" w:sz="4" w:space="0" w:color="000000"/>
              <w:left w:val="single" w:sz="4" w:space="0" w:color="000000"/>
              <w:bottom w:val="single" w:sz="4" w:space="0" w:color="000000"/>
              <w:right w:val="single" w:sz="4" w:space="0" w:color="000000"/>
            </w:tcBorders>
            <w:vAlign w:val="center"/>
          </w:tcPr>
          <w:p w14:paraId="2DB1BDF9"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b/>
                <w:bCs/>
                <w:color w:val="1A1A19"/>
                <w:sz w:val="16"/>
                <w:szCs w:val="16"/>
              </w:rPr>
              <w:t>Article 2 (6°)</w:t>
            </w:r>
          </w:p>
        </w:tc>
        <w:tc>
          <w:tcPr>
            <w:tcW w:w="3566" w:type="dxa"/>
            <w:tcBorders>
              <w:top w:val="single" w:sz="4" w:space="0" w:color="000000"/>
              <w:left w:val="single" w:sz="4" w:space="0" w:color="000000"/>
              <w:bottom w:val="single" w:sz="4" w:space="0" w:color="000000"/>
              <w:right w:val="single" w:sz="4" w:space="0" w:color="000000"/>
            </w:tcBorders>
            <w:vAlign w:val="center"/>
          </w:tcPr>
          <w:p w14:paraId="16D1BD32"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Donner un avis relatif à une activité professionnelle d’ingénierie.</w:t>
            </w:r>
          </w:p>
        </w:tc>
        <w:tc>
          <w:tcPr>
            <w:tcW w:w="3620" w:type="dxa"/>
            <w:tcBorders>
              <w:top w:val="single" w:sz="4" w:space="0" w:color="000000"/>
              <w:left w:val="single" w:sz="4" w:space="0" w:color="000000"/>
              <w:bottom w:val="single" w:sz="4" w:space="0" w:color="000000"/>
              <w:right w:val="single" w:sz="4" w:space="0" w:color="000000"/>
            </w:tcBorders>
            <w:vAlign w:val="center"/>
          </w:tcPr>
          <w:p w14:paraId="0753E270"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Analyse des résultats, interprétation et recommandation d’ingénierie remise en fin de projet.</w:t>
            </w:r>
          </w:p>
        </w:tc>
      </w:tr>
      <w:tr w:rsidR="00F50D70" w:rsidRPr="00BE4F47" w14:paraId="6390FD1A" w14:textId="77777777">
        <w:trPr>
          <w:cantSplit/>
          <w:trHeight w:val="989"/>
        </w:trPr>
        <w:tc>
          <w:tcPr>
            <w:tcW w:w="1371" w:type="dxa"/>
            <w:tcBorders>
              <w:top w:val="single" w:sz="4" w:space="0" w:color="000000"/>
              <w:left w:val="single" w:sz="4" w:space="0" w:color="000000"/>
              <w:bottom w:val="single" w:sz="4" w:space="0" w:color="000000"/>
              <w:right w:val="single" w:sz="4" w:space="0" w:color="000000"/>
            </w:tcBorders>
            <w:vAlign w:val="center"/>
          </w:tcPr>
          <w:p w14:paraId="200D5045"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b/>
                <w:bCs/>
                <w:color w:val="1A1A19"/>
                <w:sz w:val="16"/>
                <w:szCs w:val="16"/>
              </w:rPr>
              <w:t>Article 3 (3°)</w:t>
            </w:r>
          </w:p>
        </w:tc>
        <w:tc>
          <w:tcPr>
            <w:tcW w:w="3566" w:type="dxa"/>
            <w:tcBorders>
              <w:top w:val="single" w:sz="4" w:space="0" w:color="000000"/>
              <w:left w:val="single" w:sz="4" w:space="0" w:color="000000"/>
              <w:bottom w:val="single" w:sz="4" w:space="0" w:color="000000"/>
              <w:right w:val="single" w:sz="4" w:space="0" w:color="000000"/>
            </w:tcBorders>
            <w:vAlign w:val="center"/>
          </w:tcPr>
          <w:p w14:paraId="39CD35E4" w14:textId="77777777" w:rsidR="00F50D70" w:rsidRPr="00BE4F47" w:rsidRDefault="00137D7F" w:rsidP="008E113B">
            <w:pPr>
              <w:spacing w:before="20" w:after="20"/>
              <w:ind w:left="0"/>
              <w:outlineLvl w:val="9"/>
              <w:rPr>
                <w:rFonts w:ascii="Aptos" w:hAnsi="Aptos"/>
              </w:rPr>
            </w:pPr>
            <w:r w:rsidRPr="00BE4F47">
              <w:rPr>
                <w:rFonts w:ascii="Aptos" w:eastAsia="Calibri" w:hAnsi="Aptos" w:cs="Calibri"/>
                <w:color w:val="1A1A19"/>
                <w:sz w:val="16"/>
                <w:szCs w:val="16"/>
              </w:rPr>
              <w:t>Système de génération, d’accumulation, de transmission, d’utilisation ou de distribution d’énergie sous forme électrique, mécanique ou thermique, à l’exclusion d’un système dont le dysfonctionnement ne présente pas de risque pour la sécurité des personnes.</w:t>
            </w:r>
          </w:p>
        </w:tc>
        <w:tc>
          <w:tcPr>
            <w:tcW w:w="3620" w:type="dxa"/>
            <w:tcBorders>
              <w:top w:val="single" w:sz="4" w:space="0" w:color="000000"/>
              <w:left w:val="single" w:sz="4" w:space="0" w:color="000000"/>
              <w:bottom w:val="single" w:sz="4" w:space="0" w:color="000000"/>
              <w:right w:val="single" w:sz="4" w:space="0" w:color="000000"/>
            </w:tcBorders>
            <w:vAlign w:val="center"/>
          </w:tcPr>
          <w:p w14:paraId="109948F8"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Boucle thermohydraulique : les phénomènes thermiques et mécaniques constituent le cœur du modèle. Applicabilité discutée au début de 6.1.</w:t>
            </w:r>
          </w:p>
        </w:tc>
      </w:tr>
    </w:tbl>
    <w:p w14:paraId="2234620E" w14:textId="77777777" w:rsidR="00F50D70" w:rsidRPr="00BE4F47" w:rsidRDefault="00137D7F" w:rsidP="008E113B">
      <w:pPr>
        <w:spacing w:before="200" w:after="130" w:line="360" w:lineRule="auto"/>
        <w:ind w:left="360"/>
        <w:rPr>
          <w:rFonts w:ascii="Aptos" w:hAnsi="Aptos"/>
        </w:rPr>
      </w:pPr>
      <w:bookmarkStart w:id="692" w:name="_Toc241082985"/>
      <w:bookmarkStart w:id="693" w:name="_Toc241670157"/>
      <w:bookmarkStart w:id="694" w:name="_Toc241707865"/>
      <w:bookmarkStart w:id="695" w:name="_Toc241791814"/>
      <w:r w:rsidRPr="00BE4F47">
        <w:rPr>
          <w:rFonts w:ascii="Aptos" w:hAnsi="Aptos"/>
          <w:b/>
          <w:color w:val="1A1A19"/>
          <w:sz w:val="20"/>
          <w:szCs w:val="20"/>
        </w:rPr>
        <w:t xml:space="preserve">L’applicabilité de l’article 3 (3°). </w:t>
      </w:r>
      <w:r w:rsidRPr="00BE4F47">
        <w:rPr>
          <w:rFonts w:ascii="Aptos" w:hAnsi="Aptos"/>
          <w:color w:val="1A1A19"/>
          <w:sz w:val="20"/>
          <w:szCs w:val="20"/>
        </w:rPr>
        <w:t>L’article 3 (3°) ne s’applique qu’à deux conditions cumulatives : le système doit appartenir à la catégorie décrite, et la clause d’exclusion finale ne doit pas jouer.</w:t>
      </w:r>
      <w:bookmarkEnd w:id="692"/>
      <w:bookmarkEnd w:id="693"/>
      <w:bookmarkEnd w:id="694"/>
      <w:bookmarkEnd w:id="695"/>
    </w:p>
    <w:p w14:paraId="4EA2679C" w14:textId="77777777" w:rsidR="00F50D70" w:rsidRPr="00BE4F47" w:rsidRDefault="00137D7F" w:rsidP="008E113B">
      <w:pPr>
        <w:spacing w:after="130" w:line="360" w:lineRule="auto"/>
        <w:ind w:left="360"/>
        <w:rPr>
          <w:rFonts w:ascii="Aptos" w:hAnsi="Aptos" w:cs="Calibri"/>
        </w:rPr>
      </w:pPr>
      <w:bookmarkStart w:id="696" w:name="_Toc241082986"/>
      <w:bookmarkStart w:id="697" w:name="_Toc241670158"/>
      <w:bookmarkStart w:id="698" w:name="_Toc241707866"/>
      <w:bookmarkStart w:id="699" w:name="_Toc241791815"/>
      <w:r w:rsidRPr="00BE4F47">
        <w:rPr>
          <w:rFonts w:ascii="Aptos" w:hAnsi="Aptos"/>
          <w:color w:val="1A1A19"/>
          <w:sz w:val="20"/>
          <w:szCs w:val="20"/>
        </w:rPr>
        <w:t>Première condition, l’appartenance à la catégorie. Le texte vise l’énergie sous forme électrique, thermique ou mécanique. La boucle thermohydraulique est un système d’utilisation et de transmission d’énergie thermique et mécanique. La mention de ces deux formes d’énergie suffit à établir l’appartenance, sans avoir à invoquer une composante électrique.</w:t>
      </w:r>
      <w:bookmarkEnd w:id="696"/>
      <w:bookmarkEnd w:id="697"/>
      <w:bookmarkEnd w:id="698"/>
      <w:bookmarkEnd w:id="699"/>
    </w:p>
    <w:p w14:paraId="476DB22C" w14:textId="77777777" w:rsidR="00F50D70" w:rsidRPr="00BE4F47" w:rsidRDefault="00137D7F" w:rsidP="008E113B">
      <w:pPr>
        <w:spacing w:after="130" w:line="360" w:lineRule="auto"/>
        <w:ind w:left="360"/>
        <w:rPr>
          <w:rFonts w:ascii="Aptos" w:hAnsi="Aptos"/>
        </w:rPr>
      </w:pPr>
      <w:bookmarkStart w:id="700" w:name="_Toc241082987"/>
      <w:bookmarkStart w:id="701" w:name="_Toc241670159"/>
      <w:bookmarkStart w:id="702" w:name="_Toc241707867"/>
      <w:bookmarkStart w:id="703" w:name="_Toc241791816"/>
      <w:r w:rsidRPr="00BE4F47">
        <w:rPr>
          <w:rFonts w:ascii="Aptos" w:hAnsi="Aptos"/>
          <w:color w:val="1A1A19"/>
          <w:sz w:val="20"/>
          <w:szCs w:val="20"/>
        </w:rPr>
        <w:t>Seconde condition, la clause d’exclusion. Le législateur écarte les systèmes « dont le dysfonctionnement ne présente pas de risque pour la sécurité des personnes ». Il faut donc montrer que le dysfonctionnement du système présente un tel risque.</w:t>
      </w:r>
      <w:bookmarkEnd w:id="700"/>
      <w:bookmarkEnd w:id="701"/>
      <w:bookmarkEnd w:id="702"/>
      <w:bookmarkEnd w:id="703"/>
    </w:p>
    <w:p w14:paraId="11D5F029" w14:textId="77777777" w:rsidR="00F50D70" w:rsidRPr="00BE4F47" w:rsidRDefault="00137D7F" w:rsidP="008E113B">
      <w:pPr>
        <w:spacing w:after="130" w:line="360" w:lineRule="auto"/>
        <w:ind w:left="360"/>
        <w:rPr>
          <w:rFonts w:ascii="Aptos" w:hAnsi="Aptos"/>
        </w:rPr>
      </w:pPr>
      <w:bookmarkStart w:id="704" w:name="_Toc241670160"/>
      <w:bookmarkStart w:id="705" w:name="_Toc241707868"/>
      <w:bookmarkStart w:id="706" w:name="_Toc241791817"/>
      <w:r w:rsidRPr="00BE4F47">
        <w:rPr>
          <w:rFonts w:ascii="Aptos" w:hAnsi="Aptos"/>
          <w:color w:val="1A1A19"/>
          <w:sz w:val="20"/>
          <w:szCs w:val="20"/>
        </w:rPr>
        <w:t>Le jumeau numérique ne commande aucun équipement, mais il produit une estimation de l’état de l’installation sur laquelle un opérateur fonde une décision. Trois dysfonctionnements conduisent à un risque pour les personnes :</w:t>
      </w:r>
      <w:bookmarkEnd w:id="704"/>
      <w:bookmarkEnd w:id="705"/>
      <w:bookmarkEnd w:id="706"/>
    </w:p>
    <w:p w14:paraId="574BD222" w14:textId="77777777" w:rsidR="00F50D70" w:rsidRPr="00B03F2E" w:rsidRDefault="00137D7F" w:rsidP="008E113B">
      <w:pPr>
        <w:numPr>
          <w:ilvl w:val="0"/>
          <w:numId w:val="20"/>
        </w:numPr>
        <w:spacing w:after="130" w:line="360" w:lineRule="auto"/>
        <w:ind w:left="720"/>
        <w:rPr>
          <w:rFonts w:ascii="Aptos" w:eastAsia="Calibri" w:hAnsi="Aptos" w:cs="Calibri"/>
          <w:color w:val="1A1A19"/>
          <w:sz w:val="20"/>
          <w:szCs w:val="20"/>
        </w:rPr>
      </w:pPr>
      <w:bookmarkStart w:id="707" w:name="_Toc241670161"/>
      <w:bookmarkStart w:id="708" w:name="_Toc241707869"/>
      <w:bookmarkStart w:id="709" w:name="_Toc241791818"/>
      <w:proofErr w:type="gramStart"/>
      <w:r w:rsidRPr="00BE4F47">
        <w:rPr>
          <w:rFonts w:ascii="Aptos" w:hAnsi="Aptos"/>
          <w:color w:val="1A1A19"/>
          <w:sz w:val="20"/>
          <w:szCs w:val="20"/>
        </w:rPr>
        <w:t>une</w:t>
      </w:r>
      <w:proofErr w:type="gramEnd"/>
      <w:r w:rsidRPr="00BE4F47">
        <w:rPr>
          <w:rFonts w:ascii="Aptos" w:hAnsi="Aptos"/>
          <w:color w:val="1A1A19"/>
          <w:sz w:val="20"/>
          <w:szCs w:val="20"/>
        </w:rPr>
        <w:t xml:space="preserve"> anomalie réelle non détectée, présentée comme un fonctionnement normal.</w:t>
      </w:r>
      <w:bookmarkEnd w:id="707"/>
      <w:bookmarkEnd w:id="708"/>
      <w:bookmarkEnd w:id="709"/>
    </w:p>
    <w:p w14:paraId="160ECFB6" w14:textId="77777777" w:rsidR="00F50D70" w:rsidRPr="00B03F2E" w:rsidRDefault="00137D7F" w:rsidP="008E113B">
      <w:pPr>
        <w:numPr>
          <w:ilvl w:val="0"/>
          <w:numId w:val="20"/>
        </w:numPr>
        <w:spacing w:after="130" w:line="360" w:lineRule="auto"/>
        <w:ind w:left="720"/>
        <w:rPr>
          <w:rFonts w:ascii="Aptos" w:eastAsia="Calibri" w:hAnsi="Aptos" w:cs="Calibri"/>
          <w:color w:val="1A1A19"/>
          <w:sz w:val="20"/>
          <w:szCs w:val="20"/>
        </w:rPr>
      </w:pPr>
      <w:bookmarkStart w:id="710" w:name="_Toc241670162"/>
      <w:bookmarkStart w:id="711" w:name="_Toc241707870"/>
      <w:bookmarkStart w:id="712" w:name="_Toc241791819"/>
      <w:proofErr w:type="gramStart"/>
      <w:r w:rsidRPr="00BE4F47">
        <w:rPr>
          <w:rFonts w:ascii="Aptos" w:hAnsi="Aptos"/>
          <w:color w:val="1A1A19"/>
          <w:sz w:val="20"/>
          <w:szCs w:val="20"/>
        </w:rPr>
        <w:t>une</w:t>
      </w:r>
      <w:proofErr w:type="gramEnd"/>
      <w:r w:rsidRPr="00BE4F47">
        <w:rPr>
          <w:rFonts w:ascii="Aptos" w:hAnsi="Aptos"/>
          <w:color w:val="1A1A19"/>
          <w:sz w:val="20"/>
          <w:szCs w:val="20"/>
        </w:rPr>
        <w:t xml:space="preserve"> estimation d’état erronée provenant d’un capteur défaillant ou de données altérées.</w:t>
      </w:r>
      <w:bookmarkEnd w:id="710"/>
      <w:bookmarkEnd w:id="711"/>
      <w:bookmarkEnd w:id="712"/>
    </w:p>
    <w:p w14:paraId="51432B8B" w14:textId="77777777" w:rsidR="00F50D70" w:rsidRPr="00B03F2E" w:rsidRDefault="00137D7F" w:rsidP="008E113B">
      <w:pPr>
        <w:numPr>
          <w:ilvl w:val="0"/>
          <w:numId w:val="20"/>
        </w:numPr>
        <w:spacing w:after="130" w:line="360" w:lineRule="auto"/>
        <w:ind w:left="720"/>
        <w:rPr>
          <w:rFonts w:ascii="Aptos" w:eastAsia="Calibri" w:hAnsi="Aptos" w:cs="Calibri"/>
          <w:color w:val="1A1A19"/>
          <w:sz w:val="20"/>
          <w:szCs w:val="20"/>
        </w:rPr>
      </w:pPr>
      <w:bookmarkStart w:id="713" w:name="_Toc241670163"/>
      <w:bookmarkStart w:id="714" w:name="_Toc241707871"/>
      <w:bookmarkStart w:id="715" w:name="_Toc241791820"/>
      <w:proofErr w:type="gramStart"/>
      <w:r w:rsidRPr="00BE4F47">
        <w:rPr>
          <w:rFonts w:ascii="Aptos" w:hAnsi="Aptos"/>
          <w:color w:val="1A1A19"/>
          <w:sz w:val="20"/>
          <w:szCs w:val="20"/>
        </w:rPr>
        <w:t>l’indisponibilité</w:t>
      </w:r>
      <w:proofErr w:type="gramEnd"/>
      <w:r w:rsidRPr="00BE4F47">
        <w:rPr>
          <w:rFonts w:ascii="Aptos" w:hAnsi="Aptos"/>
          <w:color w:val="1A1A19"/>
          <w:sz w:val="20"/>
          <w:szCs w:val="20"/>
        </w:rPr>
        <w:t xml:space="preserve"> du système au moment où l’opérateur s’attend à en disposer.</w:t>
      </w:r>
      <w:bookmarkEnd w:id="713"/>
      <w:bookmarkEnd w:id="714"/>
      <w:bookmarkEnd w:id="715"/>
    </w:p>
    <w:p w14:paraId="18EA56B4" w14:textId="77777777" w:rsidR="00F50D70" w:rsidRPr="00BE4F47" w:rsidRDefault="00137D7F" w:rsidP="008E113B">
      <w:pPr>
        <w:spacing w:after="130" w:line="360" w:lineRule="auto"/>
        <w:ind w:left="360"/>
        <w:rPr>
          <w:rFonts w:ascii="Aptos" w:hAnsi="Aptos"/>
        </w:rPr>
      </w:pPr>
      <w:bookmarkStart w:id="716" w:name="_Toc241670164"/>
      <w:bookmarkStart w:id="717" w:name="_Toc241707872"/>
      <w:bookmarkStart w:id="718" w:name="_Toc241791821"/>
      <w:r w:rsidRPr="00BE4F47">
        <w:rPr>
          <w:rFonts w:ascii="Aptos" w:hAnsi="Aptos"/>
          <w:color w:val="1A1A19"/>
          <w:sz w:val="20"/>
          <w:szCs w:val="20"/>
        </w:rPr>
        <w:t>Dans les trois cas, la défaillance se propage à la décision humaine, donc à la sécurité des personnes. La clause d’exclusion ne s’applique pas.</w:t>
      </w:r>
      <w:bookmarkEnd w:id="716"/>
      <w:bookmarkEnd w:id="717"/>
      <w:bookmarkEnd w:id="718"/>
    </w:p>
    <w:p w14:paraId="36561F41" w14:textId="77777777" w:rsidR="00F50D70" w:rsidRPr="00B03F2E" w:rsidRDefault="00137D7F" w:rsidP="008E113B">
      <w:pPr>
        <w:pStyle w:val="Titre2"/>
        <w:spacing w:line="360" w:lineRule="auto"/>
      </w:pPr>
      <w:bookmarkStart w:id="719" w:name="__RefHeading___Toc240715201"/>
      <w:bookmarkStart w:id="720" w:name="_Toc241707873"/>
      <w:bookmarkStart w:id="721" w:name="_Toc241791822"/>
      <w:bookmarkEnd w:id="719"/>
      <w:r w:rsidRPr="00B03F2E">
        <w:lastRenderedPageBreak/>
        <w:t>Cadre réglementaire</w:t>
      </w:r>
      <w:bookmarkEnd w:id="720"/>
      <w:bookmarkEnd w:id="721"/>
    </w:p>
    <w:p w14:paraId="287E5102" w14:textId="77777777" w:rsidR="00F50D70" w:rsidRPr="00BE4F47" w:rsidRDefault="00137D7F" w:rsidP="008E113B">
      <w:pPr>
        <w:spacing w:after="130" w:line="360" w:lineRule="auto"/>
        <w:ind w:left="360"/>
        <w:rPr>
          <w:rFonts w:ascii="Aptos" w:hAnsi="Aptos"/>
        </w:rPr>
      </w:pPr>
      <w:bookmarkStart w:id="722" w:name="_Toc241082989"/>
      <w:bookmarkStart w:id="723" w:name="_Toc241670166"/>
      <w:bookmarkStart w:id="724" w:name="_Toc241707874"/>
      <w:bookmarkStart w:id="725" w:name="_Toc241791823"/>
      <w:r w:rsidRPr="00BE4F47">
        <w:rPr>
          <w:rFonts w:ascii="Aptos" w:hAnsi="Aptos"/>
          <w:color w:val="1A1A19"/>
          <w:sz w:val="20"/>
          <w:szCs w:val="20"/>
        </w:rPr>
        <w:t>Même si le prototype reste entièrement simulé, le cadre réglementaire des installations nucléaires détermine les attentes envers un système réel de même fonction. La Loi sur la sûreté et la réglementation nucléaires [21] en constitue la base, mise en œuvre par le Règlement général [22] et, pour les centrales, par le Règlement sur les installations nucléaires de catégorie I [23].</w:t>
      </w:r>
      <w:bookmarkEnd w:id="722"/>
      <w:bookmarkEnd w:id="723"/>
      <w:bookmarkEnd w:id="724"/>
      <w:bookmarkEnd w:id="725"/>
    </w:p>
    <w:p w14:paraId="5DC47C24" w14:textId="77777777" w:rsidR="00F50D70" w:rsidRPr="00BE4F47" w:rsidRDefault="00137D7F" w:rsidP="008E113B">
      <w:pPr>
        <w:spacing w:after="130" w:line="360" w:lineRule="auto"/>
        <w:ind w:left="360"/>
        <w:rPr>
          <w:rFonts w:ascii="Aptos" w:hAnsi="Aptos"/>
        </w:rPr>
      </w:pPr>
      <w:bookmarkStart w:id="726" w:name="_Toc241082990"/>
      <w:bookmarkStart w:id="727" w:name="_Toc241670167"/>
      <w:bookmarkStart w:id="728" w:name="_Toc241707875"/>
      <w:bookmarkStart w:id="729" w:name="_Toc241791824"/>
      <w:r w:rsidRPr="00BE4F47">
        <w:rPr>
          <w:rFonts w:ascii="Aptos" w:hAnsi="Aptos"/>
          <w:color w:val="1A1A19"/>
          <w:sz w:val="20"/>
          <w:szCs w:val="20"/>
        </w:rPr>
        <w:t>Ces textes sont toutefois des instruments de portée générale. Les attentes techniques de la Commission canadienne de sûreté nucléaire s’expriment dans ses documents d’application. Deux d’entre eux concernent directement le projet, et ce sont les conditions de permis qui rendent opposables des normes comme CSA N290.7 [24].</w:t>
      </w:r>
      <w:bookmarkEnd w:id="726"/>
      <w:bookmarkEnd w:id="727"/>
      <w:bookmarkEnd w:id="728"/>
      <w:bookmarkEnd w:id="729"/>
    </w:p>
    <w:p w14:paraId="55DB5628" w14:textId="77777777" w:rsidR="00F50D70" w:rsidRPr="00BE4F47" w:rsidRDefault="00137D7F" w:rsidP="008E113B">
      <w:pPr>
        <w:pStyle w:val="Lgende"/>
        <w:keepNext/>
        <w:spacing w:line="360" w:lineRule="auto"/>
        <w:rPr>
          <w:rFonts w:ascii="Aptos" w:hAnsi="Aptos"/>
        </w:rPr>
      </w:pPr>
      <w:bookmarkStart w:id="730" w:name="_Toc241082991"/>
      <w:bookmarkStart w:id="731" w:name="_Toc241670168"/>
      <w:bookmarkStart w:id="732" w:name="_Toc241707876"/>
      <w:bookmarkStart w:id="733" w:name="_Toc241791825"/>
      <w:r w:rsidRPr="00BE4F47">
        <w:rPr>
          <w:rFonts w:ascii="Aptos" w:hAnsi="Aptos"/>
        </w:rPr>
        <w:t>Tableau 6-2. Cadre réglementaire applicable</w:t>
      </w:r>
      <w:bookmarkEnd w:id="730"/>
      <w:bookmarkEnd w:id="731"/>
      <w:bookmarkEnd w:id="732"/>
      <w:bookmarkEnd w:id="733"/>
    </w:p>
    <w:tbl>
      <w:tblPr>
        <w:tblW w:w="8557" w:type="dxa"/>
        <w:tblInd w:w="413" w:type="dxa"/>
        <w:tblLayout w:type="fixed"/>
        <w:tblCellMar>
          <w:top w:w="70" w:type="dxa"/>
          <w:left w:w="100" w:type="dxa"/>
          <w:bottom w:w="70" w:type="dxa"/>
          <w:right w:w="100" w:type="dxa"/>
        </w:tblCellMar>
        <w:tblLook w:val="04A0" w:firstRow="1" w:lastRow="0" w:firstColumn="1" w:lastColumn="0" w:noHBand="0" w:noVBand="1"/>
      </w:tblPr>
      <w:tblGrid>
        <w:gridCol w:w="2089"/>
        <w:gridCol w:w="3107"/>
        <w:gridCol w:w="3361"/>
      </w:tblGrid>
      <w:tr w:rsidR="00F50D70" w:rsidRPr="00BE4F47" w14:paraId="309F36E7" w14:textId="77777777" w:rsidTr="0036725C">
        <w:trPr>
          <w:trHeight w:val="249"/>
          <w:tblHeader/>
        </w:trPr>
        <w:tc>
          <w:tcPr>
            <w:tcW w:w="2089" w:type="dxa"/>
            <w:tcBorders>
              <w:top w:val="single" w:sz="4" w:space="0" w:color="000000"/>
              <w:left w:val="single" w:sz="4" w:space="0" w:color="000000"/>
              <w:bottom w:val="single" w:sz="4" w:space="0" w:color="000000"/>
              <w:right w:val="single" w:sz="4" w:space="0" w:color="000000"/>
            </w:tcBorders>
            <w:shd w:val="clear" w:color="auto" w:fill="FFFFFF" w:themeFill="background2"/>
            <w:vAlign w:val="center"/>
          </w:tcPr>
          <w:p w14:paraId="5A8517A5"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b/>
                <w:bCs/>
                <w:color w:val="1A1A19"/>
                <w:sz w:val="15"/>
                <w:szCs w:val="15"/>
              </w:rPr>
              <w:t>Référence</w:t>
            </w:r>
          </w:p>
        </w:tc>
        <w:tc>
          <w:tcPr>
            <w:tcW w:w="3107" w:type="dxa"/>
            <w:tcBorders>
              <w:top w:val="single" w:sz="4" w:space="0" w:color="000000"/>
              <w:left w:val="single" w:sz="4" w:space="0" w:color="000000"/>
              <w:bottom w:val="single" w:sz="4" w:space="0" w:color="000000"/>
              <w:right w:val="single" w:sz="4" w:space="0" w:color="000000"/>
            </w:tcBorders>
            <w:shd w:val="clear" w:color="auto" w:fill="FFFFFF" w:themeFill="background2"/>
            <w:vAlign w:val="center"/>
          </w:tcPr>
          <w:p w14:paraId="3EE8E9FC"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b/>
                <w:bCs/>
                <w:color w:val="1A1A19"/>
                <w:sz w:val="15"/>
                <w:szCs w:val="15"/>
              </w:rPr>
              <w:t>Objet</w:t>
            </w:r>
          </w:p>
        </w:tc>
        <w:tc>
          <w:tcPr>
            <w:tcW w:w="3361" w:type="dxa"/>
            <w:tcBorders>
              <w:top w:val="single" w:sz="4" w:space="0" w:color="000000"/>
              <w:left w:val="single" w:sz="4" w:space="0" w:color="000000"/>
              <w:bottom w:val="single" w:sz="4" w:space="0" w:color="000000"/>
              <w:right w:val="single" w:sz="4" w:space="0" w:color="000000"/>
            </w:tcBorders>
            <w:shd w:val="clear" w:color="auto" w:fill="FFFFFF" w:themeFill="background2"/>
            <w:vAlign w:val="center"/>
          </w:tcPr>
          <w:p w14:paraId="0865489C"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b/>
                <w:bCs/>
                <w:color w:val="1A1A19"/>
                <w:sz w:val="15"/>
                <w:szCs w:val="15"/>
              </w:rPr>
              <w:t>Lien avec le projet</w:t>
            </w:r>
          </w:p>
        </w:tc>
      </w:tr>
      <w:tr w:rsidR="00F50D70" w:rsidRPr="00BE4F47" w14:paraId="3B4CCFE4" w14:textId="77777777">
        <w:trPr>
          <w:cantSplit/>
          <w:trHeight w:val="462"/>
        </w:trPr>
        <w:tc>
          <w:tcPr>
            <w:tcW w:w="2089" w:type="dxa"/>
            <w:tcBorders>
              <w:top w:val="single" w:sz="4" w:space="0" w:color="000000"/>
              <w:left w:val="single" w:sz="4" w:space="0" w:color="000000"/>
              <w:bottom w:val="single" w:sz="4" w:space="0" w:color="000000"/>
              <w:right w:val="single" w:sz="4" w:space="0" w:color="000000"/>
            </w:tcBorders>
            <w:vAlign w:val="center"/>
          </w:tcPr>
          <w:p w14:paraId="670A1887"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b/>
                <w:bCs/>
                <w:color w:val="1A1A19"/>
                <w:sz w:val="16"/>
                <w:szCs w:val="16"/>
              </w:rPr>
              <w:t>Loi sur la sûreté et la réglementation nucléaires [21]</w:t>
            </w:r>
          </w:p>
        </w:tc>
        <w:tc>
          <w:tcPr>
            <w:tcW w:w="3107" w:type="dxa"/>
            <w:tcBorders>
              <w:top w:val="single" w:sz="4" w:space="0" w:color="000000"/>
              <w:left w:val="single" w:sz="4" w:space="0" w:color="000000"/>
              <w:bottom w:val="single" w:sz="4" w:space="0" w:color="000000"/>
              <w:right w:val="single" w:sz="4" w:space="0" w:color="000000"/>
            </w:tcBorders>
            <w:vAlign w:val="center"/>
          </w:tcPr>
          <w:p w14:paraId="095BE05E"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Cadre fédéral applicable aux activités et installations nucléaires.</w:t>
            </w:r>
          </w:p>
        </w:tc>
        <w:tc>
          <w:tcPr>
            <w:tcW w:w="3361" w:type="dxa"/>
            <w:tcBorders>
              <w:top w:val="single" w:sz="4" w:space="0" w:color="000000"/>
              <w:left w:val="single" w:sz="4" w:space="0" w:color="000000"/>
              <w:bottom w:val="single" w:sz="4" w:space="0" w:color="000000"/>
              <w:right w:val="single" w:sz="4" w:space="0" w:color="000000"/>
            </w:tcBorders>
            <w:vAlign w:val="center"/>
          </w:tcPr>
          <w:p w14:paraId="24BB2A27"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Établit le contexte de sûreté, de responsabilité et de protection du public.</w:t>
            </w:r>
          </w:p>
        </w:tc>
      </w:tr>
      <w:tr w:rsidR="00F50D70" w:rsidRPr="00BE4F47" w14:paraId="36BED27A" w14:textId="77777777">
        <w:trPr>
          <w:cantSplit/>
          <w:trHeight w:val="652"/>
        </w:trPr>
        <w:tc>
          <w:tcPr>
            <w:tcW w:w="2089" w:type="dxa"/>
            <w:tcBorders>
              <w:top w:val="single" w:sz="4" w:space="0" w:color="000000"/>
              <w:left w:val="single" w:sz="4" w:space="0" w:color="000000"/>
              <w:bottom w:val="single" w:sz="4" w:space="0" w:color="000000"/>
              <w:right w:val="single" w:sz="4" w:space="0" w:color="000000"/>
            </w:tcBorders>
            <w:vAlign w:val="center"/>
          </w:tcPr>
          <w:p w14:paraId="0CD040BD"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b/>
                <w:bCs/>
                <w:color w:val="1A1A19"/>
                <w:sz w:val="16"/>
                <w:szCs w:val="16"/>
              </w:rPr>
              <w:t>Règlement général sur la sûreté et la réglementation nucléaires [22]</w:t>
            </w:r>
          </w:p>
        </w:tc>
        <w:tc>
          <w:tcPr>
            <w:tcW w:w="3107" w:type="dxa"/>
            <w:tcBorders>
              <w:top w:val="single" w:sz="4" w:space="0" w:color="000000"/>
              <w:left w:val="single" w:sz="4" w:space="0" w:color="000000"/>
              <w:bottom w:val="single" w:sz="4" w:space="0" w:color="000000"/>
              <w:right w:val="single" w:sz="4" w:space="0" w:color="000000"/>
            </w:tcBorders>
            <w:vAlign w:val="center"/>
          </w:tcPr>
          <w:p w14:paraId="2C503D25"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Exigences générales applicables aux activités réglementées et aux titulaires de permis.</w:t>
            </w:r>
          </w:p>
        </w:tc>
        <w:tc>
          <w:tcPr>
            <w:tcW w:w="3361" w:type="dxa"/>
            <w:tcBorders>
              <w:top w:val="single" w:sz="4" w:space="0" w:color="000000"/>
              <w:left w:val="single" w:sz="4" w:space="0" w:color="000000"/>
              <w:bottom w:val="single" w:sz="4" w:space="0" w:color="000000"/>
              <w:right w:val="single" w:sz="4" w:space="0" w:color="000000"/>
            </w:tcBorders>
            <w:vAlign w:val="center"/>
          </w:tcPr>
          <w:p w14:paraId="1D468DE9" w14:textId="77777777" w:rsidR="00F50D70" w:rsidRPr="00BE4F47" w:rsidRDefault="00137D7F" w:rsidP="008E113B">
            <w:pPr>
              <w:spacing w:before="20" w:after="20"/>
              <w:ind w:left="0"/>
              <w:outlineLvl w:val="9"/>
              <w:rPr>
                <w:rFonts w:ascii="Aptos" w:hAnsi="Aptos"/>
              </w:rPr>
            </w:pPr>
            <w:r w:rsidRPr="00BE4F47">
              <w:rPr>
                <w:rFonts w:ascii="Aptos" w:eastAsia="Calibri" w:hAnsi="Aptos" w:cs="Calibri"/>
                <w:color w:val="1A1A19"/>
                <w:sz w:val="16"/>
                <w:szCs w:val="16"/>
              </w:rPr>
              <w:t>Fonde les exigences de documentation, de traçabilité et de gestion de l’information du projet.</w:t>
            </w:r>
          </w:p>
        </w:tc>
      </w:tr>
      <w:tr w:rsidR="00F50D70" w:rsidRPr="00BE4F47" w14:paraId="5B1B3F21" w14:textId="77777777">
        <w:trPr>
          <w:cantSplit/>
          <w:trHeight w:val="664"/>
        </w:trPr>
        <w:tc>
          <w:tcPr>
            <w:tcW w:w="2089" w:type="dxa"/>
            <w:tcBorders>
              <w:top w:val="single" w:sz="4" w:space="0" w:color="000000"/>
              <w:left w:val="single" w:sz="4" w:space="0" w:color="000000"/>
              <w:bottom w:val="single" w:sz="4" w:space="0" w:color="000000"/>
              <w:right w:val="single" w:sz="4" w:space="0" w:color="000000"/>
            </w:tcBorders>
            <w:vAlign w:val="center"/>
          </w:tcPr>
          <w:p w14:paraId="519D59F3"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b/>
                <w:bCs/>
                <w:color w:val="1A1A19"/>
                <w:sz w:val="16"/>
                <w:szCs w:val="16"/>
              </w:rPr>
              <w:t>Règlement sur les installations nucléaires de catégorie I [23]</w:t>
            </w:r>
          </w:p>
        </w:tc>
        <w:tc>
          <w:tcPr>
            <w:tcW w:w="3107" w:type="dxa"/>
            <w:tcBorders>
              <w:top w:val="single" w:sz="4" w:space="0" w:color="000000"/>
              <w:left w:val="single" w:sz="4" w:space="0" w:color="000000"/>
              <w:bottom w:val="single" w:sz="4" w:space="0" w:color="000000"/>
              <w:right w:val="single" w:sz="4" w:space="0" w:color="000000"/>
            </w:tcBorders>
            <w:vAlign w:val="center"/>
          </w:tcPr>
          <w:p w14:paraId="1C90B1FF"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Encadre les phases de vie d’une installation de catégorie I, y compris l’examen périodique de sûreté.</w:t>
            </w:r>
          </w:p>
        </w:tc>
        <w:tc>
          <w:tcPr>
            <w:tcW w:w="3361" w:type="dxa"/>
            <w:tcBorders>
              <w:top w:val="single" w:sz="4" w:space="0" w:color="000000"/>
              <w:left w:val="single" w:sz="4" w:space="0" w:color="000000"/>
              <w:bottom w:val="single" w:sz="4" w:space="0" w:color="000000"/>
              <w:right w:val="single" w:sz="4" w:space="0" w:color="000000"/>
            </w:tcBorders>
            <w:vAlign w:val="center"/>
          </w:tcPr>
          <w:p w14:paraId="76093AA2"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Replace le jumeau numérique dans un cycle de vie : exploitation, surveillance, validation, déclassement.</w:t>
            </w:r>
          </w:p>
        </w:tc>
      </w:tr>
      <w:tr w:rsidR="00F50D70" w:rsidRPr="00BE4F47" w14:paraId="0925DFA9" w14:textId="77777777">
        <w:trPr>
          <w:cantSplit/>
          <w:trHeight w:val="652"/>
        </w:trPr>
        <w:tc>
          <w:tcPr>
            <w:tcW w:w="2089" w:type="dxa"/>
            <w:tcBorders>
              <w:top w:val="single" w:sz="4" w:space="0" w:color="000000"/>
              <w:left w:val="single" w:sz="4" w:space="0" w:color="000000"/>
              <w:bottom w:val="single" w:sz="4" w:space="0" w:color="000000"/>
              <w:right w:val="single" w:sz="4" w:space="0" w:color="000000"/>
            </w:tcBorders>
            <w:vAlign w:val="center"/>
          </w:tcPr>
          <w:p w14:paraId="3F51AC94"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b/>
                <w:bCs/>
                <w:color w:val="1A1A19"/>
                <w:sz w:val="16"/>
                <w:szCs w:val="16"/>
              </w:rPr>
              <w:t>REGDOC-2.5.2, Conception d’installations dotées de réacteurs [25]</w:t>
            </w:r>
          </w:p>
        </w:tc>
        <w:tc>
          <w:tcPr>
            <w:tcW w:w="3107" w:type="dxa"/>
            <w:tcBorders>
              <w:top w:val="single" w:sz="4" w:space="0" w:color="000000"/>
              <w:left w:val="single" w:sz="4" w:space="0" w:color="000000"/>
              <w:bottom w:val="single" w:sz="4" w:space="0" w:color="000000"/>
              <w:right w:val="single" w:sz="4" w:space="0" w:color="000000"/>
            </w:tcBorders>
            <w:vAlign w:val="center"/>
          </w:tcPr>
          <w:p w14:paraId="3B569091"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Attentes de conception, dont celles visant l’instrumentation et le contrôle.</w:t>
            </w:r>
          </w:p>
        </w:tc>
        <w:tc>
          <w:tcPr>
            <w:tcW w:w="3361" w:type="dxa"/>
            <w:tcBorders>
              <w:top w:val="single" w:sz="4" w:space="0" w:color="000000"/>
              <w:left w:val="single" w:sz="4" w:space="0" w:color="000000"/>
              <w:bottom w:val="single" w:sz="4" w:space="0" w:color="000000"/>
              <w:right w:val="single" w:sz="4" w:space="0" w:color="000000"/>
            </w:tcBorders>
            <w:vAlign w:val="center"/>
          </w:tcPr>
          <w:p w14:paraId="02F4EC9C"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Source des attentes envers un système d’aide à la décision raccordé à une installation réelle.</w:t>
            </w:r>
          </w:p>
        </w:tc>
      </w:tr>
      <w:tr w:rsidR="00F50D70" w:rsidRPr="00BE4F47" w14:paraId="0368DC50" w14:textId="77777777">
        <w:trPr>
          <w:cantSplit/>
          <w:trHeight w:val="450"/>
        </w:trPr>
        <w:tc>
          <w:tcPr>
            <w:tcW w:w="2089" w:type="dxa"/>
            <w:tcBorders>
              <w:top w:val="single" w:sz="4" w:space="0" w:color="000000"/>
              <w:left w:val="single" w:sz="4" w:space="0" w:color="000000"/>
              <w:bottom w:val="single" w:sz="4" w:space="0" w:color="000000"/>
              <w:right w:val="single" w:sz="4" w:space="0" w:color="000000"/>
            </w:tcBorders>
            <w:vAlign w:val="center"/>
          </w:tcPr>
          <w:p w14:paraId="0D0218B6"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b/>
                <w:bCs/>
                <w:color w:val="1A1A19"/>
                <w:sz w:val="16"/>
                <w:szCs w:val="16"/>
              </w:rPr>
              <w:t>REGDOC-2.1.1, Système de gestion [2]</w:t>
            </w:r>
          </w:p>
        </w:tc>
        <w:tc>
          <w:tcPr>
            <w:tcW w:w="3107" w:type="dxa"/>
            <w:tcBorders>
              <w:top w:val="single" w:sz="4" w:space="0" w:color="000000"/>
              <w:left w:val="single" w:sz="4" w:space="0" w:color="000000"/>
              <w:bottom w:val="single" w:sz="4" w:space="0" w:color="000000"/>
              <w:right w:val="single" w:sz="4" w:space="0" w:color="000000"/>
            </w:tcBorders>
            <w:vAlign w:val="center"/>
          </w:tcPr>
          <w:p w14:paraId="247ABF13"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Exigences relatives au système de gestion du titulaire de permis.</w:t>
            </w:r>
          </w:p>
        </w:tc>
        <w:tc>
          <w:tcPr>
            <w:tcW w:w="3361" w:type="dxa"/>
            <w:tcBorders>
              <w:top w:val="single" w:sz="4" w:space="0" w:color="000000"/>
              <w:left w:val="single" w:sz="4" w:space="0" w:color="000000"/>
              <w:bottom w:val="single" w:sz="4" w:space="0" w:color="000000"/>
              <w:right w:val="single" w:sz="4" w:space="0" w:color="000000"/>
            </w:tcBorders>
            <w:vAlign w:val="center"/>
          </w:tcPr>
          <w:p w14:paraId="1400F2A2"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Cadre la gestion documentaire, le contrôle des versions et la traçabilité des résultats d’essai.</w:t>
            </w:r>
          </w:p>
        </w:tc>
      </w:tr>
    </w:tbl>
    <w:p w14:paraId="19F1CB8C" w14:textId="77777777" w:rsidR="00F50D70" w:rsidRPr="00B03F2E" w:rsidRDefault="00137D7F" w:rsidP="008E113B">
      <w:pPr>
        <w:pStyle w:val="Titre2"/>
        <w:spacing w:line="360" w:lineRule="auto"/>
      </w:pPr>
      <w:bookmarkStart w:id="734" w:name="__RefHeading___Toc240715204"/>
      <w:bookmarkStart w:id="735" w:name="_Toc241707877"/>
      <w:bookmarkStart w:id="736" w:name="_Toc241791826"/>
      <w:bookmarkEnd w:id="734"/>
      <w:r w:rsidRPr="00B03F2E">
        <w:t>Normes applicables</w:t>
      </w:r>
      <w:bookmarkEnd w:id="735"/>
      <w:bookmarkEnd w:id="736"/>
    </w:p>
    <w:p w14:paraId="4F7F0FC8" w14:textId="77777777" w:rsidR="00F50D70" w:rsidRPr="00BE4F47" w:rsidRDefault="00137D7F" w:rsidP="008E113B">
      <w:pPr>
        <w:spacing w:before="200" w:after="130" w:line="360" w:lineRule="auto"/>
        <w:ind w:left="360"/>
        <w:rPr>
          <w:rFonts w:ascii="Aptos" w:hAnsi="Aptos"/>
        </w:rPr>
      </w:pPr>
      <w:bookmarkStart w:id="737" w:name="_Toc241082993"/>
      <w:bookmarkStart w:id="738" w:name="_Toc241670170"/>
      <w:bookmarkStart w:id="739" w:name="_Toc241707878"/>
      <w:bookmarkStart w:id="740" w:name="_Toc241791827"/>
      <w:r w:rsidRPr="00BE4F47">
        <w:rPr>
          <w:rFonts w:ascii="Aptos" w:hAnsi="Aptos"/>
          <w:color w:val="1A1A19"/>
          <w:sz w:val="20"/>
          <w:szCs w:val="20"/>
        </w:rPr>
        <w:t>La revue couvre les principaux aspects techniques du projet : cycle de vie du système et du logiciel, cadre du jumeau numérique, qualité, gestion des risques, vérification et validation des modèles numériques, cybersécurité, sûreté nucléaire, instrumentation et contrôle, et interface homme-machine. Dix-huit normes ont été examinées et figurent au tableau 6-3.</w:t>
      </w:r>
      <w:bookmarkEnd w:id="737"/>
      <w:bookmarkEnd w:id="738"/>
      <w:bookmarkEnd w:id="739"/>
      <w:bookmarkEnd w:id="740"/>
    </w:p>
    <w:p w14:paraId="0CFE4B20" w14:textId="77777777" w:rsidR="00F50D70" w:rsidRPr="00BE4F47" w:rsidRDefault="00137D7F" w:rsidP="008E113B">
      <w:pPr>
        <w:spacing w:after="130" w:line="360" w:lineRule="auto"/>
        <w:ind w:left="360"/>
        <w:rPr>
          <w:rFonts w:ascii="Aptos" w:hAnsi="Aptos" w:cs="Calibri"/>
        </w:rPr>
      </w:pPr>
      <w:bookmarkStart w:id="741" w:name="_Toc241083002"/>
      <w:bookmarkStart w:id="742" w:name="_Toc241670171"/>
      <w:bookmarkStart w:id="743" w:name="_Toc241707879"/>
      <w:bookmarkStart w:id="744" w:name="_Toc241791828"/>
      <w:r w:rsidRPr="00BE4F47">
        <w:rPr>
          <w:rFonts w:ascii="Aptos" w:hAnsi="Aptos"/>
          <w:b/>
          <w:color w:val="1A1A19"/>
          <w:sz w:val="20"/>
          <w:szCs w:val="20"/>
        </w:rPr>
        <w:t xml:space="preserve">La déclaration d’applicabilité. </w:t>
      </w:r>
      <w:r w:rsidRPr="00BE4F47">
        <w:rPr>
          <w:rFonts w:ascii="Aptos" w:hAnsi="Aptos"/>
          <w:color w:val="1A1A19"/>
          <w:sz w:val="20"/>
          <w:szCs w:val="20"/>
        </w:rPr>
        <w:t>La revue distingue les normes retenues pour application de celles consultées à titre de référence, pour ne pas revendiquer une conformité qui ne peut pas encore être démontrée.</w:t>
      </w:r>
      <w:bookmarkEnd w:id="741"/>
      <w:bookmarkEnd w:id="742"/>
      <w:bookmarkEnd w:id="743"/>
      <w:bookmarkEnd w:id="744"/>
    </w:p>
    <w:p w14:paraId="70CEEBC9" w14:textId="77777777" w:rsidR="00F50D70" w:rsidRPr="00BE4F47" w:rsidRDefault="00137D7F" w:rsidP="008E113B">
      <w:pPr>
        <w:spacing w:after="130" w:line="360" w:lineRule="auto"/>
        <w:ind w:left="360"/>
        <w:outlineLvl w:val="9"/>
        <w:rPr>
          <w:rFonts w:ascii="Aptos" w:hAnsi="Aptos"/>
        </w:rPr>
      </w:pPr>
      <w:r w:rsidRPr="00BE4F47">
        <w:rPr>
          <w:rFonts w:ascii="Aptos" w:hAnsi="Aptos"/>
          <w:color w:val="1A1A19"/>
          <w:sz w:val="20"/>
          <w:szCs w:val="20"/>
        </w:rPr>
        <w:t xml:space="preserve">Normes retenues pour application. Neuf normes structurent les travaux : ISO/IEC/IEEE 15288, ISO/IEC/IEEE 12207, ISO/IEC/IEEE 29148, ISO 23247, ISO/IEC 25010, ISO 31000, ASME V&amp;V 20, IEEE 1012 et ISO 9241-210. L’équipe en retient les principes et exigences pertinents pour les traduire en </w:t>
      </w:r>
      <w:r w:rsidRPr="00BE4F47">
        <w:rPr>
          <w:rFonts w:ascii="Aptos" w:hAnsi="Aptos"/>
          <w:color w:val="1A1A19"/>
          <w:sz w:val="20"/>
          <w:szCs w:val="20"/>
        </w:rPr>
        <w:lastRenderedPageBreak/>
        <w:t>critères de conception ou d’essai. Les articles précis seront confirmés lorsque le texte intégral aura pu être consulté dans une version autorisée.</w:t>
      </w:r>
    </w:p>
    <w:p w14:paraId="4D386EA3" w14:textId="77777777" w:rsidR="00F50D70" w:rsidRPr="00BE4F47" w:rsidRDefault="00137D7F" w:rsidP="008E113B">
      <w:pPr>
        <w:spacing w:after="130" w:line="360" w:lineRule="auto"/>
        <w:ind w:left="360"/>
        <w:rPr>
          <w:rFonts w:ascii="Aptos" w:hAnsi="Aptos"/>
        </w:rPr>
      </w:pPr>
      <w:bookmarkStart w:id="745" w:name="_Toc241083003"/>
      <w:bookmarkStart w:id="746" w:name="_Toc241670172"/>
      <w:bookmarkStart w:id="747" w:name="_Toc241707880"/>
      <w:bookmarkStart w:id="748" w:name="_Toc241791829"/>
      <w:r w:rsidRPr="00BE4F47">
        <w:rPr>
          <w:rFonts w:ascii="Aptos" w:hAnsi="Aptos"/>
          <w:color w:val="1A1A19"/>
          <w:sz w:val="20"/>
          <w:szCs w:val="20"/>
        </w:rPr>
        <w:t>Normes consultées. Les neuf autres ne sont pas appliquées au prototype. Sept d’entre elles s’adressent à l’exploitant d’une installation nucléaire réelle, titulaire d’un permis : CSA N290.7, IEC 62645, IEC 63096, IEC 62859, IEC 61513, IEC 60880 et IEC 62138. Le prototype n’entre pas dans leur domaine d’application déclaré. Les deux dernières, ISO/IEC 27001 et ISO/IEC 27005, ne sont pas des normes nucléaires : ce sont des normes générales de sécurité de l’information, consultées pour leur méthode. Dans les deux cas, aucune exigence de norme n’est reprise telle quelle comme critère d’acceptation et le rapport final ne démontrera aucune conformité.</w:t>
      </w:r>
      <w:bookmarkEnd w:id="745"/>
      <w:bookmarkEnd w:id="746"/>
      <w:bookmarkEnd w:id="747"/>
      <w:bookmarkEnd w:id="748"/>
    </w:p>
    <w:p w14:paraId="5CB3933D" w14:textId="77777777" w:rsidR="00F50D70" w:rsidRDefault="00137D7F" w:rsidP="008E113B">
      <w:pPr>
        <w:spacing w:after="130" w:line="360" w:lineRule="auto"/>
        <w:ind w:left="360"/>
        <w:rPr>
          <w:rFonts w:ascii="Aptos" w:eastAsia="Calibri" w:hAnsi="Aptos" w:cs="Calibri"/>
          <w:color w:val="1A1A19"/>
          <w:sz w:val="20"/>
          <w:szCs w:val="20"/>
        </w:rPr>
      </w:pPr>
      <w:bookmarkStart w:id="749" w:name="_Toc241083004"/>
      <w:bookmarkStart w:id="750" w:name="_Toc241670173"/>
      <w:bookmarkStart w:id="751" w:name="_Toc241707881"/>
      <w:bookmarkStart w:id="752" w:name="_Toc241791830"/>
      <w:r w:rsidRPr="00BE4F47">
        <w:rPr>
          <w:rFonts w:ascii="Aptos" w:hAnsi="Aptos"/>
          <w:color w:val="1A1A19"/>
          <w:sz w:val="20"/>
          <w:szCs w:val="20"/>
        </w:rPr>
        <w:t>L’équipe en retient tout de même quatre principes, inscrits au registre des exigences comme exigences internes du projet : séparation des fonctions, intégrité des données, journalisation des événements, coordination entre sûreté et cybersécurité. L’exigence EX-Q-04 en est l’exemple : elle reprend le principe d’intégrité des données d’IEC 62645 sans invoquer un article de cette norme. Leur respect sera vérifié par la campagne d’essais du lot L9, au même titre que les autres exigences internes.</w:t>
      </w:r>
      <w:bookmarkEnd w:id="749"/>
      <w:bookmarkEnd w:id="750"/>
      <w:bookmarkEnd w:id="751"/>
      <w:bookmarkEnd w:id="752"/>
    </w:p>
    <w:p w14:paraId="52DECAD2" w14:textId="77777777" w:rsidR="00F50D70" w:rsidRPr="00BE4F47" w:rsidRDefault="00137D7F" w:rsidP="008E113B">
      <w:pPr>
        <w:pStyle w:val="Lgende"/>
        <w:keepNext/>
        <w:spacing w:line="360" w:lineRule="auto"/>
        <w:rPr>
          <w:rFonts w:ascii="Aptos" w:hAnsi="Aptos"/>
        </w:rPr>
      </w:pPr>
      <w:bookmarkStart w:id="753" w:name="_Toc241083006"/>
      <w:bookmarkStart w:id="754" w:name="_Toc241670174"/>
      <w:bookmarkStart w:id="755" w:name="_Toc241707882"/>
      <w:bookmarkStart w:id="756" w:name="_Toc241791831"/>
      <w:r w:rsidRPr="00BE4F47">
        <w:rPr>
          <w:rFonts w:ascii="Aptos" w:hAnsi="Aptos"/>
        </w:rPr>
        <w:t>Tableau 6-3. Normes retenues et incidence sur la conception</w:t>
      </w:r>
      <w:bookmarkEnd w:id="753"/>
      <w:bookmarkEnd w:id="754"/>
      <w:bookmarkEnd w:id="755"/>
      <w:bookmarkEnd w:id="756"/>
    </w:p>
    <w:tbl>
      <w:tblPr>
        <w:tblW w:w="8557" w:type="dxa"/>
        <w:tblInd w:w="413" w:type="dxa"/>
        <w:tblLayout w:type="fixed"/>
        <w:tblCellMar>
          <w:top w:w="70" w:type="dxa"/>
          <w:left w:w="100" w:type="dxa"/>
          <w:bottom w:w="70" w:type="dxa"/>
          <w:right w:w="100" w:type="dxa"/>
        </w:tblCellMar>
        <w:tblLook w:val="04A0" w:firstRow="1" w:lastRow="0" w:firstColumn="1" w:lastColumn="0" w:noHBand="0" w:noVBand="1"/>
      </w:tblPr>
      <w:tblGrid>
        <w:gridCol w:w="1287"/>
        <w:gridCol w:w="1035"/>
        <w:gridCol w:w="1819"/>
        <w:gridCol w:w="1637"/>
        <w:gridCol w:w="2779"/>
      </w:tblGrid>
      <w:tr w:rsidR="00F50D70" w:rsidRPr="00BE4F47" w14:paraId="5A6BC6F7" w14:textId="77777777" w:rsidTr="0036725C">
        <w:trPr>
          <w:trHeight w:val="578"/>
          <w:tblHeader/>
        </w:trPr>
        <w:tc>
          <w:tcPr>
            <w:tcW w:w="1287" w:type="dxa"/>
            <w:tcBorders>
              <w:top w:val="single" w:sz="4" w:space="0" w:color="000000"/>
              <w:left w:val="single" w:sz="4" w:space="0" w:color="000000"/>
              <w:bottom w:val="single" w:sz="4" w:space="0" w:color="000000"/>
              <w:right w:val="single" w:sz="4" w:space="0" w:color="000000"/>
            </w:tcBorders>
            <w:shd w:val="clear" w:color="auto" w:fill="FFFFFF" w:themeFill="background2"/>
            <w:vAlign w:val="center"/>
          </w:tcPr>
          <w:p w14:paraId="4817CF07"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b/>
                <w:bCs/>
                <w:color w:val="1A1A19"/>
                <w:sz w:val="15"/>
                <w:szCs w:val="15"/>
              </w:rPr>
              <w:t>Norme</w:t>
            </w:r>
          </w:p>
        </w:tc>
        <w:tc>
          <w:tcPr>
            <w:tcW w:w="1035" w:type="dxa"/>
            <w:tcBorders>
              <w:top w:val="single" w:sz="4" w:space="0" w:color="000000"/>
              <w:left w:val="single" w:sz="4" w:space="0" w:color="000000"/>
              <w:bottom w:val="single" w:sz="4" w:space="0" w:color="000000"/>
              <w:right w:val="single" w:sz="4" w:space="0" w:color="000000"/>
            </w:tcBorders>
            <w:shd w:val="clear" w:color="auto" w:fill="FFFFFF" w:themeFill="background2"/>
            <w:vAlign w:val="center"/>
          </w:tcPr>
          <w:p w14:paraId="546E193B"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b/>
                <w:bCs/>
                <w:color w:val="1A1A19"/>
                <w:sz w:val="15"/>
                <w:szCs w:val="15"/>
              </w:rPr>
              <w:t>Millésime</w:t>
            </w:r>
          </w:p>
        </w:tc>
        <w:tc>
          <w:tcPr>
            <w:tcW w:w="1819" w:type="dxa"/>
            <w:tcBorders>
              <w:top w:val="single" w:sz="4" w:space="0" w:color="000000"/>
              <w:left w:val="single" w:sz="4" w:space="0" w:color="000000"/>
              <w:bottom w:val="single" w:sz="4" w:space="0" w:color="000000"/>
              <w:right w:val="single" w:sz="4" w:space="0" w:color="000000"/>
            </w:tcBorders>
            <w:shd w:val="clear" w:color="auto" w:fill="FFFFFF" w:themeFill="background2"/>
            <w:vAlign w:val="center"/>
          </w:tcPr>
          <w:p w14:paraId="1ECAD689"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b/>
                <w:bCs/>
                <w:color w:val="1A1A19"/>
                <w:sz w:val="15"/>
                <w:szCs w:val="15"/>
              </w:rPr>
              <w:t>Objet principal</w:t>
            </w:r>
          </w:p>
        </w:tc>
        <w:tc>
          <w:tcPr>
            <w:tcW w:w="1637" w:type="dxa"/>
            <w:tcBorders>
              <w:top w:val="single" w:sz="4" w:space="0" w:color="000000"/>
              <w:left w:val="single" w:sz="4" w:space="0" w:color="000000"/>
              <w:bottom w:val="single" w:sz="4" w:space="0" w:color="000000"/>
              <w:right w:val="single" w:sz="4" w:space="0" w:color="000000"/>
            </w:tcBorders>
            <w:shd w:val="clear" w:color="auto" w:fill="FFFFFF" w:themeFill="background2"/>
            <w:vAlign w:val="center"/>
          </w:tcPr>
          <w:p w14:paraId="66950109"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b/>
                <w:bCs/>
                <w:color w:val="1A1A19"/>
                <w:sz w:val="15"/>
                <w:szCs w:val="15"/>
              </w:rPr>
              <w:t>Éléments retenus</w:t>
            </w:r>
          </w:p>
        </w:tc>
        <w:tc>
          <w:tcPr>
            <w:tcW w:w="2779" w:type="dxa"/>
            <w:tcBorders>
              <w:top w:val="single" w:sz="4" w:space="0" w:color="000000"/>
              <w:left w:val="single" w:sz="4" w:space="0" w:color="000000"/>
              <w:bottom w:val="single" w:sz="4" w:space="0" w:color="000000"/>
              <w:right w:val="single" w:sz="4" w:space="0" w:color="000000"/>
            </w:tcBorders>
            <w:shd w:val="clear" w:color="auto" w:fill="FFFFFF" w:themeFill="background2"/>
            <w:vAlign w:val="center"/>
          </w:tcPr>
          <w:p w14:paraId="7D55AA1B"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b/>
                <w:bCs/>
                <w:color w:val="1A1A19"/>
                <w:sz w:val="15"/>
                <w:szCs w:val="15"/>
              </w:rPr>
              <w:t>Incidence sur la conception</w:t>
            </w:r>
          </w:p>
        </w:tc>
      </w:tr>
      <w:tr w:rsidR="00F50D70" w:rsidRPr="00BE4F47" w14:paraId="1A190ABF" w14:textId="77777777">
        <w:trPr>
          <w:cantSplit/>
          <w:trHeight w:val="1359"/>
        </w:trPr>
        <w:tc>
          <w:tcPr>
            <w:tcW w:w="1287" w:type="dxa"/>
            <w:tcBorders>
              <w:top w:val="single" w:sz="4" w:space="0" w:color="000000"/>
              <w:left w:val="single" w:sz="4" w:space="0" w:color="000000"/>
              <w:bottom w:val="single" w:sz="4" w:space="0" w:color="000000"/>
              <w:right w:val="single" w:sz="4" w:space="0" w:color="000000"/>
            </w:tcBorders>
            <w:vAlign w:val="center"/>
          </w:tcPr>
          <w:p w14:paraId="73BCE6FE"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b/>
                <w:bCs/>
                <w:color w:val="1A1A19"/>
                <w:sz w:val="16"/>
                <w:szCs w:val="16"/>
              </w:rPr>
              <w:t>ISO/IEC/IEEE 15288 [26]</w:t>
            </w:r>
          </w:p>
        </w:tc>
        <w:tc>
          <w:tcPr>
            <w:tcW w:w="1035" w:type="dxa"/>
            <w:tcBorders>
              <w:top w:val="single" w:sz="4" w:space="0" w:color="000000"/>
              <w:left w:val="single" w:sz="4" w:space="0" w:color="000000"/>
              <w:bottom w:val="single" w:sz="4" w:space="0" w:color="000000"/>
              <w:right w:val="single" w:sz="4" w:space="0" w:color="000000"/>
            </w:tcBorders>
            <w:vAlign w:val="center"/>
          </w:tcPr>
          <w:p w14:paraId="30F68261"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2023</w:t>
            </w:r>
          </w:p>
        </w:tc>
        <w:tc>
          <w:tcPr>
            <w:tcW w:w="1819" w:type="dxa"/>
            <w:tcBorders>
              <w:top w:val="single" w:sz="4" w:space="0" w:color="000000"/>
              <w:left w:val="single" w:sz="4" w:space="0" w:color="000000"/>
              <w:bottom w:val="single" w:sz="4" w:space="0" w:color="000000"/>
              <w:right w:val="single" w:sz="4" w:space="0" w:color="000000"/>
            </w:tcBorders>
            <w:vAlign w:val="center"/>
          </w:tcPr>
          <w:p w14:paraId="7BF4907C"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Processus du cycle de vie des systèmes</w:t>
            </w:r>
          </w:p>
        </w:tc>
        <w:tc>
          <w:tcPr>
            <w:tcW w:w="1637" w:type="dxa"/>
            <w:tcBorders>
              <w:top w:val="single" w:sz="4" w:space="0" w:color="000000"/>
              <w:left w:val="single" w:sz="4" w:space="0" w:color="000000"/>
              <w:bottom w:val="single" w:sz="4" w:space="0" w:color="000000"/>
              <w:right w:val="single" w:sz="4" w:space="0" w:color="000000"/>
            </w:tcBorders>
            <w:vAlign w:val="center"/>
          </w:tcPr>
          <w:p w14:paraId="7057EFA9"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Besoins, architecture, intégration, V&amp;V</w:t>
            </w:r>
          </w:p>
        </w:tc>
        <w:tc>
          <w:tcPr>
            <w:tcW w:w="2779" w:type="dxa"/>
            <w:tcBorders>
              <w:top w:val="single" w:sz="4" w:space="0" w:color="000000"/>
              <w:left w:val="single" w:sz="4" w:space="0" w:color="000000"/>
              <w:bottom w:val="single" w:sz="4" w:space="0" w:color="000000"/>
              <w:right w:val="single" w:sz="4" w:space="0" w:color="000000"/>
            </w:tcBorders>
            <w:vAlign w:val="center"/>
          </w:tcPr>
          <w:p w14:paraId="78922818"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Structure la démarche d’ingénierie : analyse des besoins, architecture globale, intégration et validation du jumeau numérique.</w:t>
            </w:r>
          </w:p>
        </w:tc>
      </w:tr>
      <w:tr w:rsidR="00F50D70" w:rsidRPr="00BE4F47" w14:paraId="20077DD1" w14:textId="77777777">
        <w:trPr>
          <w:cantSplit/>
          <w:trHeight w:val="1359"/>
        </w:trPr>
        <w:tc>
          <w:tcPr>
            <w:tcW w:w="1287" w:type="dxa"/>
            <w:tcBorders>
              <w:top w:val="single" w:sz="4" w:space="0" w:color="000000"/>
              <w:left w:val="single" w:sz="4" w:space="0" w:color="000000"/>
              <w:bottom w:val="single" w:sz="4" w:space="0" w:color="000000"/>
              <w:right w:val="single" w:sz="4" w:space="0" w:color="000000"/>
            </w:tcBorders>
            <w:vAlign w:val="center"/>
          </w:tcPr>
          <w:p w14:paraId="31920A30"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b/>
                <w:bCs/>
                <w:color w:val="1A1A19"/>
                <w:sz w:val="16"/>
                <w:szCs w:val="16"/>
              </w:rPr>
              <w:t>ISO/IEC/IEEE 29148 [1]</w:t>
            </w:r>
          </w:p>
        </w:tc>
        <w:tc>
          <w:tcPr>
            <w:tcW w:w="1035" w:type="dxa"/>
            <w:tcBorders>
              <w:top w:val="single" w:sz="4" w:space="0" w:color="000000"/>
              <w:left w:val="single" w:sz="4" w:space="0" w:color="000000"/>
              <w:bottom w:val="single" w:sz="4" w:space="0" w:color="000000"/>
              <w:right w:val="single" w:sz="4" w:space="0" w:color="000000"/>
            </w:tcBorders>
            <w:vAlign w:val="center"/>
          </w:tcPr>
          <w:p w14:paraId="4A9D90E1"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2018</w:t>
            </w:r>
          </w:p>
        </w:tc>
        <w:tc>
          <w:tcPr>
            <w:tcW w:w="1819" w:type="dxa"/>
            <w:tcBorders>
              <w:top w:val="single" w:sz="4" w:space="0" w:color="000000"/>
              <w:left w:val="single" w:sz="4" w:space="0" w:color="000000"/>
              <w:bottom w:val="single" w:sz="4" w:space="0" w:color="000000"/>
              <w:right w:val="single" w:sz="4" w:space="0" w:color="000000"/>
            </w:tcBorders>
            <w:vAlign w:val="center"/>
          </w:tcPr>
          <w:p w14:paraId="19CBDF7B"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Ingénierie des exigences</w:t>
            </w:r>
          </w:p>
        </w:tc>
        <w:tc>
          <w:tcPr>
            <w:tcW w:w="1637" w:type="dxa"/>
            <w:tcBorders>
              <w:top w:val="single" w:sz="4" w:space="0" w:color="000000"/>
              <w:left w:val="single" w:sz="4" w:space="0" w:color="000000"/>
              <w:bottom w:val="single" w:sz="4" w:space="0" w:color="000000"/>
              <w:right w:val="single" w:sz="4" w:space="0" w:color="000000"/>
            </w:tcBorders>
            <w:vAlign w:val="center"/>
          </w:tcPr>
          <w:p w14:paraId="3D49400F"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Règles de rédaction et caractéristiques d’une exigence vérifiable</w:t>
            </w:r>
          </w:p>
        </w:tc>
        <w:tc>
          <w:tcPr>
            <w:tcW w:w="2779" w:type="dxa"/>
            <w:tcBorders>
              <w:top w:val="single" w:sz="4" w:space="0" w:color="000000"/>
              <w:left w:val="single" w:sz="4" w:space="0" w:color="000000"/>
              <w:bottom w:val="single" w:sz="4" w:space="0" w:color="000000"/>
              <w:right w:val="single" w:sz="4" w:space="0" w:color="000000"/>
            </w:tcBorders>
            <w:vAlign w:val="center"/>
          </w:tcPr>
          <w:p w14:paraId="3E2B5924"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Fixe la forme des exigences du registre de la section 1 : un verbe d’action observable, une condition de déclenchement et un moyen de vérification.</w:t>
            </w:r>
          </w:p>
        </w:tc>
      </w:tr>
      <w:tr w:rsidR="00F50D70" w:rsidRPr="00BE4F47" w14:paraId="460B147B" w14:textId="77777777">
        <w:trPr>
          <w:cantSplit/>
          <w:trHeight w:val="1613"/>
        </w:trPr>
        <w:tc>
          <w:tcPr>
            <w:tcW w:w="1287" w:type="dxa"/>
            <w:tcBorders>
              <w:top w:val="single" w:sz="4" w:space="0" w:color="000000"/>
              <w:left w:val="single" w:sz="4" w:space="0" w:color="000000"/>
              <w:bottom w:val="single" w:sz="4" w:space="0" w:color="000000"/>
              <w:right w:val="single" w:sz="4" w:space="0" w:color="000000"/>
            </w:tcBorders>
            <w:vAlign w:val="center"/>
          </w:tcPr>
          <w:p w14:paraId="4DBDF5C3"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b/>
                <w:bCs/>
                <w:color w:val="1A1A19"/>
                <w:sz w:val="16"/>
                <w:szCs w:val="16"/>
              </w:rPr>
              <w:t>ISO/IEC/IEEE 12207 [3]</w:t>
            </w:r>
          </w:p>
        </w:tc>
        <w:tc>
          <w:tcPr>
            <w:tcW w:w="1035" w:type="dxa"/>
            <w:tcBorders>
              <w:top w:val="single" w:sz="4" w:space="0" w:color="000000"/>
              <w:left w:val="single" w:sz="4" w:space="0" w:color="000000"/>
              <w:bottom w:val="single" w:sz="4" w:space="0" w:color="000000"/>
              <w:right w:val="single" w:sz="4" w:space="0" w:color="000000"/>
            </w:tcBorders>
            <w:vAlign w:val="center"/>
          </w:tcPr>
          <w:p w14:paraId="0B8A1269"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2026</w:t>
            </w:r>
          </w:p>
        </w:tc>
        <w:tc>
          <w:tcPr>
            <w:tcW w:w="1819" w:type="dxa"/>
            <w:tcBorders>
              <w:top w:val="single" w:sz="4" w:space="0" w:color="000000"/>
              <w:left w:val="single" w:sz="4" w:space="0" w:color="000000"/>
              <w:bottom w:val="single" w:sz="4" w:space="0" w:color="000000"/>
              <w:right w:val="single" w:sz="4" w:space="0" w:color="000000"/>
            </w:tcBorders>
            <w:vAlign w:val="center"/>
          </w:tcPr>
          <w:p w14:paraId="4AF0EE15"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Processus du cycle de vie du logiciel</w:t>
            </w:r>
          </w:p>
        </w:tc>
        <w:tc>
          <w:tcPr>
            <w:tcW w:w="1637" w:type="dxa"/>
            <w:tcBorders>
              <w:top w:val="single" w:sz="4" w:space="0" w:color="000000"/>
              <w:left w:val="single" w:sz="4" w:space="0" w:color="000000"/>
              <w:bottom w:val="single" w:sz="4" w:space="0" w:color="000000"/>
              <w:right w:val="single" w:sz="4" w:space="0" w:color="000000"/>
            </w:tcBorders>
            <w:vAlign w:val="center"/>
          </w:tcPr>
          <w:p w14:paraId="17EA6E5A"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Développement, intégration, essais, maintenance</w:t>
            </w:r>
          </w:p>
        </w:tc>
        <w:tc>
          <w:tcPr>
            <w:tcW w:w="2779" w:type="dxa"/>
            <w:tcBorders>
              <w:top w:val="single" w:sz="4" w:space="0" w:color="000000"/>
              <w:left w:val="single" w:sz="4" w:space="0" w:color="000000"/>
              <w:bottom w:val="single" w:sz="4" w:space="0" w:color="000000"/>
              <w:right w:val="single" w:sz="4" w:space="0" w:color="000000"/>
            </w:tcBorders>
            <w:vAlign w:val="center"/>
          </w:tcPr>
          <w:p w14:paraId="17983A8E" w14:textId="77777777" w:rsidR="00F50D70" w:rsidRPr="00BE4F47" w:rsidRDefault="00137D7F" w:rsidP="008E113B">
            <w:pPr>
              <w:spacing w:before="20" w:after="20"/>
              <w:ind w:left="0"/>
              <w:outlineLvl w:val="9"/>
              <w:rPr>
                <w:rFonts w:ascii="Aptos" w:hAnsi="Aptos"/>
              </w:rPr>
            </w:pPr>
            <w:r w:rsidRPr="00BE4F47">
              <w:rPr>
                <w:rFonts w:ascii="Aptos" w:eastAsia="Calibri" w:hAnsi="Aptos" w:cs="Calibri"/>
                <w:color w:val="1A1A19"/>
                <w:sz w:val="16"/>
                <w:szCs w:val="16"/>
              </w:rPr>
              <w:t>Structure les activités logicielles : développement, simulation, intégration des modules et essais. Édition 2 publiée en avril 2026, remplace l’édition 2017 annulée.</w:t>
            </w:r>
          </w:p>
        </w:tc>
      </w:tr>
      <w:tr w:rsidR="00F50D70" w:rsidRPr="00BE4F47" w14:paraId="1FDA9E2D" w14:textId="77777777">
        <w:trPr>
          <w:cantSplit/>
          <w:trHeight w:val="1876"/>
        </w:trPr>
        <w:tc>
          <w:tcPr>
            <w:tcW w:w="1287" w:type="dxa"/>
            <w:tcBorders>
              <w:top w:val="single" w:sz="4" w:space="0" w:color="000000"/>
              <w:left w:val="single" w:sz="4" w:space="0" w:color="000000"/>
              <w:bottom w:val="single" w:sz="4" w:space="0" w:color="000000"/>
              <w:right w:val="single" w:sz="4" w:space="0" w:color="000000"/>
            </w:tcBorders>
            <w:vAlign w:val="center"/>
          </w:tcPr>
          <w:p w14:paraId="321D83AF"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b/>
                <w:bCs/>
                <w:color w:val="1A1A19"/>
                <w:sz w:val="16"/>
                <w:szCs w:val="16"/>
              </w:rPr>
              <w:t>ISO 23247-1 et -2 [27], [28]</w:t>
            </w:r>
          </w:p>
        </w:tc>
        <w:tc>
          <w:tcPr>
            <w:tcW w:w="1035" w:type="dxa"/>
            <w:tcBorders>
              <w:top w:val="single" w:sz="4" w:space="0" w:color="000000"/>
              <w:left w:val="single" w:sz="4" w:space="0" w:color="000000"/>
              <w:bottom w:val="single" w:sz="4" w:space="0" w:color="000000"/>
              <w:right w:val="single" w:sz="4" w:space="0" w:color="000000"/>
            </w:tcBorders>
            <w:vAlign w:val="center"/>
          </w:tcPr>
          <w:p w14:paraId="3151919D"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2021</w:t>
            </w:r>
          </w:p>
        </w:tc>
        <w:tc>
          <w:tcPr>
            <w:tcW w:w="1819" w:type="dxa"/>
            <w:tcBorders>
              <w:top w:val="single" w:sz="4" w:space="0" w:color="000000"/>
              <w:left w:val="single" w:sz="4" w:space="0" w:color="000000"/>
              <w:bottom w:val="single" w:sz="4" w:space="0" w:color="000000"/>
              <w:right w:val="single" w:sz="4" w:space="0" w:color="000000"/>
            </w:tcBorders>
            <w:vAlign w:val="center"/>
          </w:tcPr>
          <w:p w14:paraId="214C00FD"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Cadre du jumeau numérique</w:t>
            </w:r>
          </w:p>
        </w:tc>
        <w:tc>
          <w:tcPr>
            <w:tcW w:w="1637" w:type="dxa"/>
            <w:tcBorders>
              <w:top w:val="single" w:sz="4" w:space="0" w:color="000000"/>
              <w:left w:val="single" w:sz="4" w:space="0" w:color="000000"/>
              <w:bottom w:val="single" w:sz="4" w:space="0" w:color="000000"/>
              <w:right w:val="single" w:sz="4" w:space="0" w:color="000000"/>
            </w:tcBorders>
            <w:vAlign w:val="center"/>
          </w:tcPr>
          <w:p w14:paraId="7BCEB24A"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Principes généraux, architecture de référence et découpage en entités</w:t>
            </w:r>
          </w:p>
        </w:tc>
        <w:tc>
          <w:tcPr>
            <w:tcW w:w="2779" w:type="dxa"/>
            <w:tcBorders>
              <w:top w:val="single" w:sz="4" w:space="0" w:color="000000"/>
              <w:left w:val="single" w:sz="4" w:space="0" w:color="000000"/>
              <w:bottom w:val="single" w:sz="4" w:space="0" w:color="000000"/>
              <w:right w:val="single" w:sz="4" w:space="0" w:color="000000"/>
            </w:tcBorders>
            <w:vAlign w:val="center"/>
          </w:tcPr>
          <w:p w14:paraId="439AAC8E"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Sépare les composantes : boucle simulée, acquisition, modèle numérique, analyse, interface. Norme établie pour la fabrication ; employée ici par analogie, hors de son domaine d’application déclaré.</w:t>
            </w:r>
          </w:p>
        </w:tc>
      </w:tr>
      <w:tr w:rsidR="00F50D70" w:rsidRPr="00BE4F47" w14:paraId="5C85796F" w14:textId="77777777">
        <w:trPr>
          <w:cantSplit/>
          <w:trHeight w:val="1359"/>
        </w:trPr>
        <w:tc>
          <w:tcPr>
            <w:tcW w:w="1287" w:type="dxa"/>
            <w:tcBorders>
              <w:top w:val="single" w:sz="4" w:space="0" w:color="000000"/>
              <w:left w:val="single" w:sz="4" w:space="0" w:color="000000"/>
              <w:bottom w:val="single" w:sz="4" w:space="0" w:color="000000"/>
              <w:right w:val="single" w:sz="4" w:space="0" w:color="000000"/>
            </w:tcBorders>
            <w:vAlign w:val="center"/>
          </w:tcPr>
          <w:p w14:paraId="20F2EEFA"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b/>
                <w:bCs/>
                <w:color w:val="1A1A19"/>
                <w:sz w:val="16"/>
                <w:szCs w:val="16"/>
              </w:rPr>
              <w:lastRenderedPageBreak/>
              <w:t>ISO/IEC 25010 [29]</w:t>
            </w:r>
          </w:p>
        </w:tc>
        <w:tc>
          <w:tcPr>
            <w:tcW w:w="1035" w:type="dxa"/>
            <w:tcBorders>
              <w:top w:val="single" w:sz="4" w:space="0" w:color="000000"/>
              <w:left w:val="single" w:sz="4" w:space="0" w:color="000000"/>
              <w:bottom w:val="single" w:sz="4" w:space="0" w:color="000000"/>
              <w:right w:val="single" w:sz="4" w:space="0" w:color="000000"/>
            </w:tcBorders>
            <w:vAlign w:val="center"/>
          </w:tcPr>
          <w:p w14:paraId="22C6C35D"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2023</w:t>
            </w:r>
          </w:p>
        </w:tc>
        <w:tc>
          <w:tcPr>
            <w:tcW w:w="1819" w:type="dxa"/>
            <w:tcBorders>
              <w:top w:val="single" w:sz="4" w:space="0" w:color="000000"/>
              <w:left w:val="single" w:sz="4" w:space="0" w:color="000000"/>
              <w:bottom w:val="single" w:sz="4" w:space="0" w:color="000000"/>
              <w:right w:val="single" w:sz="4" w:space="0" w:color="000000"/>
            </w:tcBorders>
            <w:vAlign w:val="center"/>
          </w:tcPr>
          <w:p w14:paraId="3E4198C2"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Qualité des systèmes et du logiciel (SQuaRE)</w:t>
            </w:r>
          </w:p>
        </w:tc>
        <w:tc>
          <w:tcPr>
            <w:tcW w:w="1637" w:type="dxa"/>
            <w:tcBorders>
              <w:top w:val="single" w:sz="4" w:space="0" w:color="000000"/>
              <w:left w:val="single" w:sz="4" w:space="0" w:color="000000"/>
              <w:bottom w:val="single" w:sz="4" w:space="0" w:color="000000"/>
              <w:right w:val="single" w:sz="4" w:space="0" w:color="000000"/>
            </w:tcBorders>
            <w:vAlign w:val="center"/>
          </w:tcPr>
          <w:p w14:paraId="758E1960" w14:textId="77777777" w:rsidR="00F50D70" w:rsidRPr="00BE4F47" w:rsidRDefault="00137D7F" w:rsidP="008E113B">
            <w:pPr>
              <w:spacing w:before="20" w:after="20"/>
              <w:ind w:left="0"/>
              <w:outlineLvl w:val="9"/>
              <w:rPr>
                <w:rFonts w:ascii="Aptos" w:hAnsi="Aptos"/>
              </w:rPr>
            </w:pPr>
            <w:r w:rsidRPr="00BE4F47">
              <w:rPr>
                <w:rFonts w:ascii="Aptos" w:eastAsia="Calibri" w:hAnsi="Aptos" w:cs="Calibri"/>
                <w:color w:val="1A1A19"/>
                <w:sz w:val="16"/>
                <w:szCs w:val="16"/>
              </w:rPr>
              <w:t>Fiabilité, performance, sécurité, maintenabilité, utilisabilité</w:t>
            </w:r>
          </w:p>
        </w:tc>
        <w:tc>
          <w:tcPr>
            <w:tcW w:w="2779" w:type="dxa"/>
            <w:tcBorders>
              <w:top w:val="single" w:sz="4" w:space="0" w:color="000000"/>
              <w:left w:val="single" w:sz="4" w:space="0" w:color="000000"/>
              <w:bottom w:val="single" w:sz="4" w:space="0" w:color="000000"/>
              <w:right w:val="single" w:sz="4" w:space="0" w:color="000000"/>
            </w:tcBorders>
            <w:vAlign w:val="center"/>
          </w:tcPr>
          <w:p w14:paraId="67705BFA"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Fournit les caractéristiques de qualité servant de critères d’acceptation mesurables du prototype.</w:t>
            </w:r>
          </w:p>
        </w:tc>
      </w:tr>
      <w:tr w:rsidR="00F50D70" w:rsidRPr="00BE4F47" w14:paraId="5541E4E2" w14:textId="77777777">
        <w:trPr>
          <w:cantSplit/>
          <w:trHeight w:val="1359"/>
        </w:trPr>
        <w:tc>
          <w:tcPr>
            <w:tcW w:w="1287" w:type="dxa"/>
            <w:tcBorders>
              <w:top w:val="single" w:sz="4" w:space="0" w:color="000000"/>
              <w:left w:val="single" w:sz="4" w:space="0" w:color="000000"/>
              <w:bottom w:val="single" w:sz="4" w:space="0" w:color="000000"/>
              <w:right w:val="single" w:sz="4" w:space="0" w:color="000000"/>
            </w:tcBorders>
            <w:vAlign w:val="center"/>
          </w:tcPr>
          <w:p w14:paraId="07907B95"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b/>
                <w:bCs/>
                <w:color w:val="1A1A19"/>
                <w:sz w:val="16"/>
                <w:szCs w:val="16"/>
              </w:rPr>
              <w:t>ISO 31000 [30]</w:t>
            </w:r>
          </w:p>
        </w:tc>
        <w:tc>
          <w:tcPr>
            <w:tcW w:w="1035" w:type="dxa"/>
            <w:tcBorders>
              <w:top w:val="single" w:sz="4" w:space="0" w:color="000000"/>
              <w:left w:val="single" w:sz="4" w:space="0" w:color="000000"/>
              <w:bottom w:val="single" w:sz="4" w:space="0" w:color="000000"/>
              <w:right w:val="single" w:sz="4" w:space="0" w:color="000000"/>
            </w:tcBorders>
            <w:vAlign w:val="center"/>
          </w:tcPr>
          <w:p w14:paraId="4CE1B7F4"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2018</w:t>
            </w:r>
          </w:p>
        </w:tc>
        <w:tc>
          <w:tcPr>
            <w:tcW w:w="1819" w:type="dxa"/>
            <w:tcBorders>
              <w:top w:val="single" w:sz="4" w:space="0" w:color="000000"/>
              <w:left w:val="single" w:sz="4" w:space="0" w:color="000000"/>
              <w:bottom w:val="single" w:sz="4" w:space="0" w:color="000000"/>
              <w:right w:val="single" w:sz="4" w:space="0" w:color="000000"/>
            </w:tcBorders>
            <w:vAlign w:val="center"/>
          </w:tcPr>
          <w:p w14:paraId="0A5AE7A8"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Management du risque</w:t>
            </w:r>
          </w:p>
        </w:tc>
        <w:tc>
          <w:tcPr>
            <w:tcW w:w="1637" w:type="dxa"/>
            <w:tcBorders>
              <w:top w:val="single" w:sz="4" w:space="0" w:color="000000"/>
              <w:left w:val="single" w:sz="4" w:space="0" w:color="000000"/>
              <w:bottom w:val="single" w:sz="4" w:space="0" w:color="000000"/>
              <w:right w:val="single" w:sz="4" w:space="0" w:color="000000"/>
            </w:tcBorders>
            <w:vAlign w:val="center"/>
          </w:tcPr>
          <w:p w14:paraId="5C75CD9B"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Identification, analyse, évaluation, traitement</w:t>
            </w:r>
          </w:p>
        </w:tc>
        <w:tc>
          <w:tcPr>
            <w:tcW w:w="2779" w:type="dxa"/>
            <w:tcBorders>
              <w:top w:val="single" w:sz="4" w:space="0" w:color="000000"/>
              <w:left w:val="single" w:sz="4" w:space="0" w:color="000000"/>
              <w:bottom w:val="single" w:sz="4" w:space="0" w:color="000000"/>
              <w:right w:val="single" w:sz="4" w:space="0" w:color="000000"/>
            </w:tcBorders>
            <w:vAlign w:val="center"/>
          </w:tcPr>
          <w:p w14:paraId="2E5D8847"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Structure la démarche de gestion des risques et alimente la section 7 du plan. Norme en cours de révision ; l’édition 2018 demeure en vigueur.</w:t>
            </w:r>
          </w:p>
        </w:tc>
      </w:tr>
      <w:tr w:rsidR="00F50D70" w:rsidRPr="00BE4F47" w14:paraId="20309386" w14:textId="77777777">
        <w:trPr>
          <w:cantSplit/>
          <w:trHeight w:val="1876"/>
        </w:trPr>
        <w:tc>
          <w:tcPr>
            <w:tcW w:w="1287" w:type="dxa"/>
            <w:tcBorders>
              <w:top w:val="single" w:sz="4" w:space="0" w:color="000000"/>
              <w:left w:val="single" w:sz="4" w:space="0" w:color="000000"/>
              <w:bottom w:val="single" w:sz="4" w:space="0" w:color="000000"/>
              <w:right w:val="single" w:sz="4" w:space="0" w:color="000000"/>
            </w:tcBorders>
            <w:vAlign w:val="center"/>
          </w:tcPr>
          <w:p w14:paraId="5BF68AD1"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b/>
                <w:bCs/>
                <w:color w:val="1A1A19"/>
                <w:sz w:val="16"/>
                <w:szCs w:val="16"/>
              </w:rPr>
              <w:t>ASME V&amp;V 20 [31]</w:t>
            </w:r>
          </w:p>
        </w:tc>
        <w:tc>
          <w:tcPr>
            <w:tcW w:w="1035" w:type="dxa"/>
            <w:tcBorders>
              <w:top w:val="single" w:sz="4" w:space="0" w:color="000000"/>
              <w:left w:val="single" w:sz="4" w:space="0" w:color="000000"/>
              <w:bottom w:val="single" w:sz="4" w:space="0" w:color="000000"/>
              <w:right w:val="single" w:sz="4" w:space="0" w:color="000000"/>
            </w:tcBorders>
            <w:vAlign w:val="center"/>
          </w:tcPr>
          <w:p w14:paraId="1C38502A"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2009 (R2021)</w:t>
            </w:r>
          </w:p>
        </w:tc>
        <w:tc>
          <w:tcPr>
            <w:tcW w:w="1819" w:type="dxa"/>
            <w:tcBorders>
              <w:top w:val="single" w:sz="4" w:space="0" w:color="000000"/>
              <w:left w:val="single" w:sz="4" w:space="0" w:color="000000"/>
              <w:bottom w:val="single" w:sz="4" w:space="0" w:color="000000"/>
              <w:right w:val="single" w:sz="4" w:space="0" w:color="000000"/>
            </w:tcBorders>
            <w:vAlign w:val="center"/>
          </w:tcPr>
          <w:p w14:paraId="376825BD"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Vérification et validation en mécanique des fluides numérique et transferts thermiques</w:t>
            </w:r>
          </w:p>
        </w:tc>
        <w:tc>
          <w:tcPr>
            <w:tcW w:w="1637" w:type="dxa"/>
            <w:tcBorders>
              <w:top w:val="single" w:sz="4" w:space="0" w:color="000000"/>
              <w:left w:val="single" w:sz="4" w:space="0" w:color="000000"/>
              <w:bottom w:val="single" w:sz="4" w:space="0" w:color="000000"/>
              <w:right w:val="single" w:sz="4" w:space="0" w:color="000000"/>
            </w:tcBorders>
            <w:vAlign w:val="center"/>
          </w:tcPr>
          <w:p w14:paraId="317C8C44" w14:textId="77777777" w:rsidR="00F50D70" w:rsidRPr="00BE4F47" w:rsidRDefault="00137D7F" w:rsidP="008E113B">
            <w:pPr>
              <w:spacing w:before="20" w:after="20"/>
              <w:ind w:left="0"/>
              <w:outlineLvl w:val="9"/>
              <w:rPr>
                <w:rFonts w:ascii="Aptos" w:hAnsi="Aptos"/>
              </w:rPr>
            </w:pPr>
            <w:r w:rsidRPr="00BE4F47">
              <w:rPr>
                <w:rFonts w:ascii="Aptos" w:eastAsia="Calibri" w:hAnsi="Aptos" w:cs="Calibri"/>
                <w:color w:val="1A1A19"/>
                <w:sz w:val="16"/>
                <w:szCs w:val="16"/>
              </w:rPr>
              <w:t>Erreur numérique, erreur de modèle, incertitude de validation</w:t>
            </w:r>
          </w:p>
        </w:tc>
        <w:tc>
          <w:tcPr>
            <w:tcW w:w="2779" w:type="dxa"/>
            <w:tcBorders>
              <w:top w:val="single" w:sz="4" w:space="0" w:color="000000"/>
              <w:left w:val="single" w:sz="4" w:space="0" w:color="000000"/>
              <w:bottom w:val="single" w:sz="4" w:space="0" w:color="000000"/>
              <w:right w:val="single" w:sz="4" w:space="0" w:color="000000"/>
            </w:tcBorders>
            <w:vAlign w:val="center"/>
          </w:tcPr>
          <w:p w14:paraId="121DE6EB"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Fournit la méthode pour établir la crédibilité du modèle thermohydraulique et pour quantifier l’incertitude comparée aux données de référence. C’est la norme qui outille la campagne d’essais.</w:t>
            </w:r>
          </w:p>
        </w:tc>
      </w:tr>
      <w:tr w:rsidR="00F50D70" w:rsidRPr="00BE4F47" w14:paraId="4EC858EE" w14:textId="77777777">
        <w:trPr>
          <w:cantSplit/>
          <w:trHeight w:val="1359"/>
        </w:trPr>
        <w:tc>
          <w:tcPr>
            <w:tcW w:w="1287" w:type="dxa"/>
            <w:tcBorders>
              <w:top w:val="single" w:sz="4" w:space="0" w:color="000000"/>
              <w:left w:val="single" w:sz="4" w:space="0" w:color="000000"/>
              <w:bottom w:val="single" w:sz="4" w:space="0" w:color="000000"/>
              <w:right w:val="single" w:sz="4" w:space="0" w:color="000000"/>
            </w:tcBorders>
            <w:vAlign w:val="center"/>
          </w:tcPr>
          <w:p w14:paraId="02984078"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b/>
                <w:bCs/>
                <w:color w:val="1A1A19"/>
                <w:sz w:val="16"/>
                <w:szCs w:val="16"/>
              </w:rPr>
              <w:t>IEEE 1012 [32]</w:t>
            </w:r>
          </w:p>
        </w:tc>
        <w:tc>
          <w:tcPr>
            <w:tcW w:w="1035" w:type="dxa"/>
            <w:tcBorders>
              <w:top w:val="single" w:sz="4" w:space="0" w:color="000000"/>
              <w:left w:val="single" w:sz="4" w:space="0" w:color="000000"/>
              <w:bottom w:val="single" w:sz="4" w:space="0" w:color="000000"/>
              <w:right w:val="single" w:sz="4" w:space="0" w:color="000000"/>
            </w:tcBorders>
            <w:vAlign w:val="center"/>
          </w:tcPr>
          <w:p w14:paraId="25EDE555"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2024</w:t>
            </w:r>
          </w:p>
        </w:tc>
        <w:tc>
          <w:tcPr>
            <w:tcW w:w="1819" w:type="dxa"/>
            <w:tcBorders>
              <w:top w:val="single" w:sz="4" w:space="0" w:color="000000"/>
              <w:left w:val="single" w:sz="4" w:space="0" w:color="000000"/>
              <w:bottom w:val="single" w:sz="4" w:space="0" w:color="000000"/>
              <w:right w:val="single" w:sz="4" w:space="0" w:color="000000"/>
            </w:tcBorders>
            <w:vAlign w:val="center"/>
          </w:tcPr>
          <w:p w14:paraId="3283A807"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Vérification et validation des systèmes, du logiciel et du matériel</w:t>
            </w:r>
          </w:p>
        </w:tc>
        <w:tc>
          <w:tcPr>
            <w:tcW w:w="1637" w:type="dxa"/>
            <w:tcBorders>
              <w:top w:val="single" w:sz="4" w:space="0" w:color="000000"/>
              <w:left w:val="single" w:sz="4" w:space="0" w:color="000000"/>
              <w:bottom w:val="single" w:sz="4" w:space="0" w:color="000000"/>
              <w:right w:val="single" w:sz="4" w:space="0" w:color="000000"/>
            </w:tcBorders>
            <w:vAlign w:val="center"/>
          </w:tcPr>
          <w:p w14:paraId="7FD1DD38"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Plan de V&amp;V, niveaux d’intégrité, indépendance de la V&amp;V</w:t>
            </w:r>
          </w:p>
        </w:tc>
        <w:tc>
          <w:tcPr>
            <w:tcW w:w="2779" w:type="dxa"/>
            <w:tcBorders>
              <w:top w:val="single" w:sz="4" w:space="0" w:color="000000"/>
              <w:left w:val="single" w:sz="4" w:space="0" w:color="000000"/>
              <w:bottom w:val="single" w:sz="4" w:space="0" w:color="000000"/>
              <w:right w:val="single" w:sz="4" w:space="0" w:color="000000"/>
            </w:tcBorders>
            <w:vAlign w:val="center"/>
          </w:tcPr>
          <w:p w14:paraId="3120B4E4"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Définit le contenu du plan de V&amp;V et le degré d’indépendance attendu entre le développement et la vérification.</w:t>
            </w:r>
          </w:p>
        </w:tc>
      </w:tr>
      <w:tr w:rsidR="00F50D70" w:rsidRPr="00BE4F47" w14:paraId="638DE0B6" w14:textId="77777777">
        <w:trPr>
          <w:cantSplit/>
          <w:trHeight w:val="1096"/>
        </w:trPr>
        <w:tc>
          <w:tcPr>
            <w:tcW w:w="1287" w:type="dxa"/>
            <w:tcBorders>
              <w:top w:val="single" w:sz="4" w:space="0" w:color="000000"/>
              <w:left w:val="single" w:sz="4" w:space="0" w:color="000000"/>
              <w:bottom w:val="single" w:sz="4" w:space="0" w:color="000000"/>
              <w:right w:val="single" w:sz="4" w:space="0" w:color="000000"/>
            </w:tcBorders>
            <w:vAlign w:val="center"/>
          </w:tcPr>
          <w:p w14:paraId="770894F3"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b/>
                <w:bCs/>
                <w:color w:val="1A1A19"/>
                <w:sz w:val="16"/>
                <w:szCs w:val="16"/>
              </w:rPr>
              <w:t>ISO 9241-210 [33]</w:t>
            </w:r>
          </w:p>
        </w:tc>
        <w:tc>
          <w:tcPr>
            <w:tcW w:w="1035" w:type="dxa"/>
            <w:tcBorders>
              <w:top w:val="single" w:sz="4" w:space="0" w:color="000000"/>
              <w:left w:val="single" w:sz="4" w:space="0" w:color="000000"/>
              <w:bottom w:val="single" w:sz="4" w:space="0" w:color="000000"/>
              <w:right w:val="single" w:sz="4" w:space="0" w:color="000000"/>
            </w:tcBorders>
            <w:vAlign w:val="center"/>
          </w:tcPr>
          <w:p w14:paraId="1F471D19"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2019</w:t>
            </w:r>
          </w:p>
        </w:tc>
        <w:tc>
          <w:tcPr>
            <w:tcW w:w="1819" w:type="dxa"/>
            <w:tcBorders>
              <w:top w:val="single" w:sz="4" w:space="0" w:color="000000"/>
              <w:left w:val="single" w:sz="4" w:space="0" w:color="000000"/>
              <w:bottom w:val="single" w:sz="4" w:space="0" w:color="000000"/>
              <w:right w:val="single" w:sz="4" w:space="0" w:color="000000"/>
            </w:tcBorders>
            <w:vAlign w:val="center"/>
          </w:tcPr>
          <w:p w14:paraId="06341470" w14:textId="77777777" w:rsidR="00F50D70" w:rsidRPr="00BE4F47" w:rsidRDefault="00137D7F" w:rsidP="008E113B">
            <w:pPr>
              <w:spacing w:before="20" w:after="20"/>
              <w:ind w:left="0"/>
              <w:outlineLvl w:val="9"/>
              <w:rPr>
                <w:rFonts w:ascii="Aptos" w:hAnsi="Aptos"/>
              </w:rPr>
            </w:pPr>
            <w:r w:rsidRPr="00BE4F47">
              <w:rPr>
                <w:rFonts w:ascii="Aptos" w:eastAsia="Calibri" w:hAnsi="Aptos" w:cs="Calibri"/>
                <w:color w:val="1A1A19"/>
                <w:sz w:val="16"/>
                <w:szCs w:val="16"/>
              </w:rPr>
              <w:t>Conception centrée sur l’humain</w:t>
            </w:r>
          </w:p>
        </w:tc>
        <w:tc>
          <w:tcPr>
            <w:tcW w:w="1637" w:type="dxa"/>
            <w:tcBorders>
              <w:top w:val="single" w:sz="4" w:space="0" w:color="000000"/>
              <w:left w:val="single" w:sz="4" w:space="0" w:color="000000"/>
              <w:bottom w:val="single" w:sz="4" w:space="0" w:color="000000"/>
              <w:right w:val="single" w:sz="4" w:space="0" w:color="000000"/>
            </w:tcBorders>
            <w:vAlign w:val="center"/>
          </w:tcPr>
          <w:p w14:paraId="1700C3B0"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Principes de conception et d’évaluation de l’IHM</w:t>
            </w:r>
          </w:p>
        </w:tc>
        <w:tc>
          <w:tcPr>
            <w:tcW w:w="2779" w:type="dxa"/>
            <w:tcBorders>
              <w:top w:val="single" w:sz="4" w:space="0" w:color="000000"/>
              <w:left w:val="single" w:sz="4" w:space="0" w:color="000000"/>
              <w:bottom w:val="single" w:sz="4" w:space="0" w:color="000000"/>
              <w:right w:val="single" w:sz="4" w:space="0" w:color="000000"/>
            </w:tcBorders>
            <w:vAlign w:val="center"/>
          </w:tcPr>
          <w:p w14:paraId="135FF6DB"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Oriente l’affichage des alertes, la lisibilité des états et la présentation de l’incertitude à l’opérateur.</w:t>
            </w:r>
          </w:p>
        </w:tc>
      </w:tr>
      <w:tr w:rsidR="00F50D70" w:rsidRPr="00BE4F47" w14:paraId="5395A93A" w14:textId="77777777">
        <w:trPr>
          <w:cantSplit/>
          <w:trHeight w:val="1359"/>
        </w:trPr>
        <w:tc>
          <w:tcPr>
            <w:tcW w:w="1287" w:type="dxa"/>
            <w:tcBorders>
              <w:top w:val="single" w:sz="4" w:space="0" w:color="000000"/>
              <w:left w:val="single" w:sz="4" w:space="0" w:color="000000"/>
              <w:bottom w:val="single" w:sz="4" w:space="0" w:color="000000"/>
              <w:right w:val="single" w:sz="4" w:space="0" w:color="000000"/>
            </w:tcBorders>
            <w:vAlign w:val="center"/>
          </w:tcPr>
          <w:p w14:paraId="54F285F3"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b/>
                <w:bCs/>
                <w:color w:val="1A1A19"/>
                <w:sz w:val="16"/>
                <w:szCs w:val="16"/>
              </w:rPr>
              <w:t>CSA N290.7 [24]</w:t>
            </w:r>
          </w:p>
        </w:tc>
        <w:tc>
          <w:tcPr>
            <w:tcW w:w="1035" w:type="dxa"/>
            <w:tcBorders>
              <w:top w:val="single" w:sz="4" w:space="0" w:color="000000"/>
              <w:left w:val="single" w:sz="4" w:space="0" w:color="000000"/>
              <w:bottom w:val="single" w:sz="4" w:space="0" w:color="000000"/>
              <w:right w:val="single" w:sz="4" w:space="0" w:color="000000"/>
            </w:tcBorders>
            <w:vAlign w:val="center"/>
          </w:tcPr>
          <w:p w14:paraId="7709A154"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2021</w:t>
            </w:r>
          </w:p>
        </w:tc>
        <w:tc>
          <w:tcPr>
            <w:tcW w:w="1819" w:type="dxa"/>
            <w:tcBorders>
              <w:top w:val="single" w:sz="4" w:space="0" w:color="000000"/>
              <w:left w:val="single" w:sz="4" w:space="0" w:color="000000"/>
              <w:bottom w:val="single" w:sz="4" w:space="0" w:color="000000"/>
              <w:right w:val="single" w:sz="4" w:space="0" w:color="000000"/>
            </w:tcBorders>
            <w:vAlign w:val="center"/>
          </w:tcPr>
          <w:p w14:paraId="477EFC7D"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Cybersécurité des installations nucléaires</w:t>
            </w:r>
          </w:p>
        </w:tc>
        <w:tc>
          <w:tcPr>
            <w:tcW w:w="1637" w:type="dxa"/>
            <w:tcBorders>
              <w:top w:val="single" w:sz="4" w:space="0" w:color="000000"/>
              <w:left w:val="single" w:sz="4" w:space="0" w:color="000000"/>
              <w:bottom w:val="single" w:sz="4" w:space="0" w:color="000000"/>
              <w:right w:val="single" w:sz="4" w:space="0" w:color="000000"/>
            </w:tcBorders>
            <w:vAlign w:val="center"/>
          </w:tcPr>
          <w:p w14:paraId="6DA933AE"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Intégrité, disponibilité, contrôle d’accès, surveillance</w:t>
            </w:r>
          </w:p>
        </w:tc>
        <w:tc>
          <w:tcPr>
            <w:tcW w:w="2779" w:type="dxa"/>
            <w:tcBorders>
              <w:top w:val="single" w:sz="4" w:space="0" w:color="000000"/>
              <w:left w:val="single" w:sz="4" w:space="0" w:color="000000"/>
              <w:bottom w:val="single" w:sz="4" w:space="0" w:color="000000"/>
              <w:right w:val="single" w:sz="4" w:space="0" w:color="000000"/>
            </w:tcBorders>
            <w:vAlign w:val="center"/>
          </w:tcPr>
          <w:p w14:paraId="0F30861C"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Oriente la protection des données du jumeau, la gestion des accès et la journalisation. Rendue opposable à l’exploitant par les conditions de permis.</w:t>
            </w:r>
          </w:p>
        </w:tc>
      </w:tr>
      <w:tr w:rsidR="00F50D70" w:rsidRPr="00BE4F47" w14:paraId="51FB96F1" w14:textId="77777777">
        <w:trPr>
          <w:cantSplit/>
          <w:trHeight w:val="1359"/>
        </w:trPr>
        <w:tc>
          <w:tcPr>
            <w:tcW w:w="1287" w:type="dxa"/>
            <w:tcBorders>
              <w:top w:val="single" w:sz="4" w:space="0" w:color="000000"/>
              <w:left w:val="single" w:sz="4" w:space="0" w:color="000000"/>
              <w:bottom w:val="single" w:sz="4" w:space="0" w:color="000000"/>
              <w:right w:val="single" w:sz="4" w:space="0" w:color="000000"/>
            </w:tcBorders>
            <w:vAlign w:val="center"/>
          </w:tcPr>
          <w:p w14:paraId="2F89F3BB"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b/>
                <w:bCs/>
                <w:color w:val="1A1A19"/>
                <w:sz w:val="16"/>
                <w:szCs w:val="16"/>
              </w:rPr>
              <w:t>IEC 62645 [34]</w:t>
            </w:r>
          </w:p>
        </w:tc>
        <w:tc>
          <w:tcPr>
            <w:tcW w:w="1035" w:type="dxa"/>
            <w:tcBorders>
              <w:top w:val="single" w:sz="4" w:space="0" w:color="000000"/>
              <w:left w:val="single" w:sz="4" w:space="0" w:color="000000"/>
              <w:bottom w:val="single" w:sz="4" w:space="0" w:color="000000"/>
              <w:right w:val="single" w:sz="4" w:space="0" w:color="000000"/>
            </w:tcBorders>
            <w:vAlign w:val="center"/>
          </w:tcPr>
          <w:p w14:paraId="5A5828B8"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2019</w:t>
            </w:r>
          </w:p>
        </w:tc>
        <w:tc>
          <w:tcPr>
            <w:tcW w:w="1819" w:type="dxa"/>
            <w:tcBorders>
              <w:top w:val="single" w:sz="4" w:space="0" w:color="000000"/>
              <w:left w:val="single" w:sz="4" w:space="0" w:color="000000"/>
              <w:bottom w:val="single" w:sz="4" w:space="0" w:color="000000"/>
              <w:right w:val="single" w:sz="4" w:space="0" w:color="000000"/>
            </w:tcBorders>
            <w:vAlign w:val="center"/>
          </w:tcPr>
          <w:p w14:paraId="031F083E" w14:textId="77777777" w:rsidR="00F50D70" w:rsidRPr="00BE4F47" w:rsidRDefault="00137D7F" w:rsidP="008E113B">
            <w:pPr>
              <w:spacing w:before="20" w:after="20"/>
              <w:ind w:left="0"/>
              <w:outlineLvl w:val="9"/>
              <w:rPr>
                <w:rFonts w:ascii="Aptos" w:hAnsi="Aptos"/>
              </w:rPr>
            </w:pPr>
            <w:r w:rsidRPr="00BE4F47">
              <w:rPr>
                <w:rFonts w:ascii="Aptos" w:eastAsia="Calibri" w:hAnsi="Aptos" w:cs="Calibri"/>
                <w:color w:val="1A1A19"/>
                <w:sz w:val="16"/>
                <w:szCs w:val="16"/>
              </w:rPr>
              <w:t>Cybersécurité des systèmes I&amp;C nucléaires</w:t>
            </w:r>
          </w:p>
        </w:tc>
        <w:tc>
          <w:tcPr>
            <w:tcW w:w="1637" w:type="dxa"/>
            <w:tcBorders>
              <w:top w:val="single" w:sz="4" w:space="0" w:color="000000"/>
              <w:left w:val="single" w:sz="4" w:space="0" w:color="000000"/>
              <w:bottom w:val="single" w:sz="4" w:space="0" w:color="000000"/>
              <w:right w:val="single" w:sz="4" w:space="0" w:color="000000"/>
            </w:tcBorders>
            <w:vAlign w:val="center"/>
          </w:tcPr>
          <w:p w14:paraId="588BED7E"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Prévention, détection, surveillance, réaction</w:t>
            </w:r>
          </w:p>
        </w:tc>
        <w:tc>
          <w:tcPr>
            <w:tcW w:w="2779" w:type="dxa"/>
            <w:tcBorders>
              <w:top w:val="single" w:sz="4" w:space="0" w:color="000000"/>
              <w:left w:val="single" w:sz="4" w:space="0" w:color="000000"/>
              <w:bottom w:val="single" w:sz="4" w:space="0" w:color="000000"/>
              <w:right w:val="single" w:sz="4" w:space="0" w:color="000000"/>
            </w:tcBorders>
            <w:vAlign w:val="center"/>
          </w:tcPr>
          <w:p w14:paraId="0B22D2BF"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Encadre l’acquisition de données, la détection d’informations incohérentes et le fonctionnement en mode dégradé.</w:t>
            </w:r>
          </w:p>
        </w:tc>
      </w:tr>
      <w:tr w:rsidR="00F50D70" w:rsidRPr="00BE4F47" w14:paraId="3C429DA1" w14:textId="77777777">
        <w:trPr>
          <w:cantSplit/>
          <w:trHeight w:val="841"/>
        </w:trPr>
        <w:tc>
          <w:tcPr>
            <w:tcW w:w="1287" w:type="dxa"/>
            <w:tcBorders>
              <w:top w:val="single" w:sz="4" w:space="0" w:color="000000"/>
              <w:left w:val="single" w:sz="4" w:space="0" w:color="000000"/>
              <w:bottom w:val="single" w:sz="4" w:space="0" w:color="000000"/>
              <w:right w:val="single" w:sz="4" w:space="0" w:color="000000"/>
            </w:tcBorders>
            <w:vAlign w:val="center"/>
          </w:tcPr>
          <w:p w14:paraId="3BDA862D"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b/>
                <w:bCs/>
                <w:color w:val="1A1A19"/>
                <w:sz w:val="16"/>
                <w:szCs w:val="16"/>
              </w:rPr>
              <w:t>IEC 63096 [35]</w:t>
            </w:r>
          </w:p>
        </w:tc>
        <w:tc>
          <w:tcPr>
            <w:tcW w:w="1035" w:type="dxa"/>
            <w:tcBorders>
              <w:top w:val="single" w:sz="4" w:space="0" w:color="000000"/>
              <w:left w:val="single" w:sz="4" w:space="0" w:color="000000"/>
              <w:bottom w:val="single" w:sz="4" w:space="0" w:color="000000"/>
              <w:right w:val="single" w:sz="4" w:space="0" w:color="000000"/>
            </w:tcBorders>
            <w:vAlign w:val="center"/>
          </w:tcPr>
          <w:p w14:paraId="495A3208"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2020</w:t>
            </w:r>
          </w:p>
        </w:tc>
        <w:tc>
          <w:tcPr>
            <w:tcW w:w="1819" w:type="dxa"/>
            <w:tcBorders>
              <w:top w:val="single" w:sz="4" w:space="0" w:color="000000"/>
              <w:left w:val="single" w:sz="4" w:space="0" w:color="000000"/>
              <w:bottom w:val="single" w:sz="4" w:space="0" w:color="000000"/>
              <w:right w:val="single" w:sz="4" w:space="0" w:color="000000"/>
            </w:tcBorders>
            <w:vAlign w:val="center"/>
          </w:tcPr>
          <w:p w14:paraId="243E33E6"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Contrôles de cybersécurité</w:t>
            </w:r>
          </w:p>
        </w:tc>
        <w:tc>
          <w:tcPr>
            <w:tcW w:w="1637" w:type="dxa"/>
            <w:tcBorders>
              <w:top w:val="single" w:sz="4" w:space="0" w:color="000000"/>
              <w:left w:val="single" w:sz="4" w:space="0" w:color="000000"/>
              <w:bottom w:val="single" w:sz="4" w:space="0" w:color="000000"/>
              <w:right w:val="single" w:sz="4" w:space="0" w:color="000000"/>
            </w:tcBorders>
            <w:vAlign w:val="center"/>
          </w:tcPr>
          <w:p w14:paraId="0159D3FA"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Accès, intégrité, journalisation, communications</w:t>
            </w:r>
          </w:p>
        </w:tc>
        <w:tc>
          <w:tcPr>
            <w:tcW w:w="2779" w:type="dxa"/>
            <w:tcBorders>
              <w:top w:val="single" w:sz="4" w:space="0" w:color="000000"/>
              <w:left w:val="single" w:sz="4" w:space="0" w:color="000000"/>
              <w:bottom w:val="single" w:sz="4" w:space="0" w:color="000000"/>
              <w:right w:val="single" w:sz="4" w:space="0" w:color="000000"/>
            </w:tcBorders>
            <w:vAlign w:val="center"/>
          </w:tcPr>
          <w:p w14:paraId="6E25D3FE"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Oriente le choix des mécanismes de contrôle d’accès et de protection des échanges.</w:t>
            </w:r>
          </w:p>
        </w:tc>
      </w:tr>
      <w:tr w:rsidR="00F50D70" w:rsidRPr="00BE4F47" w14:paraId="7C595D76" w14:textId="77777777">
        <w:trPr>
          <w:cantSplit/>
          <w:trHeight w:val="1359"/>
        </w:trPr>
        <w:tc>
          <w:tcPr>
            <w:tcW w:w="1287" w:type="dxa"/>
            <w:tcBorders>
              <w:top w:val="single" w:sz="4" w:space="0" w:color="000000"/>
              <w:left w:val="single" w:sz="4" w:space="0" w:color="000000"/>
              <w:bottom w:val="single" w:sz="4" w:space="0" w:color="000000"/>
              <w:right w:val="single" w:sz="4" w:space="0" w:color="000000"/>
            </w:tcBorders>
            <w:vAlign w:val="center"/>
          </w:tcPr>
          <w:p w14:paraId="62A5ED26"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b/>
                <w:bCs/>
                <w:color w:val="1A1A19"/>
                <w:sz w:val="16"/>
                <w:szCs w:val="16"/>
              </w:rPr>
              <w:t>IEC 62859 [36]</w:t>
            </w:r>
          </w:p>
        </w:tc>
        <w:tc>
          <w:tcPr>
            <w:tcW w:w="1035" w:type="dxa"/>
            <w:tcBorders>
              <w:top w:val="single" w:sz="4" w:space="0" w:color="000000"/>
              <w:left w:val="single" w:sz="4" w:space="0" w:color="000000"/>
              <w:bottom w:val="single" w:sz="4" w:space="0" w:color="000000"/>
              <w:right w:val="single" w:sz="4" w:space="0" w:color="000000"/>
            </w:tcBorders>
            <w:vAlign w:val="center"/>
          </w:tcPr>
          <w:p w14:paraId="1287A579"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2016 + A1:2019</w:t>
            </w:r>
          </w:p>
        </w:tc>
        <w:tc>
          <w:tcPr>
            <w:tcW w:w="1819" w:type="dxa"/>
            <w:tcBorders>
              <w:top w:val="single" w:sz="4" w:space="0" w:color="000000"/>
              <w:left w:val="single" w:sz="4" w:space="0" w:color="000000"/>
              <w:bottom w:val="single" w:sz="4" w:space="0" w:color="000000"/>
              <w:right w:val="single" w:sz="4" w:space="0" w:color="000000"/>
            </w:tcBorders>
            <w:vAlign w:val="center"/>
          </w:tcPr>
          <w:p w14:paraId="78E3BE30"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Coordination entre sûreté et cybersécurité</w:t>
            </w:r>
          </w:p>
        </w:tc>
        <w:tc>
          <w:tcPr>
            <w:tcW w:w="1637" w:type="dxa"/>
            <w:tcBorders>
              <w:top w:val="single" w:sz="4" w:space="0" w:color="000000"/>
              <w:left w:val="single" w:sz="4" w:space="0" w:color="000000"/>
              <w:bottom w:val="single" w:sz="4" w:space="0" w:color="000000"/>
              <w:right w:val="single" w:sz="4" w:space="0" w:color="000000"/>
            </w:tcBorders>
            <w:vAlign w:val="center"/>
          </w:tcPr>
          <w:p w14:paraId="54043039"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Interaction entre mesures de sûreté et mesures de sécurité</w:t>
            </w:r>
          </w:p>
        </w:tc>
        <w:tc>
          <w:tcPr>
            <w:tcW w:w="2779" w:type="dxa"/>
            <w:tcBorders>
              <w:top w:val="single" w:sz="4" w:space="0" w:color="000000"/>
              <w:left w:val="single" w:sz="4" w:space="0" w:color="000000"/>
              <w:bottom w:val="single" w:sz="4" w:space="0" w:color="000000"/>
              <w:right w:val="single" w:sz="4" w:space="0" w:color="000000"/>
            </w:tcBorders>
            <w:vAlign w:val="center"/>
          </w:tcPr>
          <w:p w14:paraId="3FBACD0E" w14:textId="77777777" w:rsidR="00F50D70" w:rsidRPr="00BE4F47" w:rsidRDefault="00137D7F" w:rsidP="008E113B">
            <w:pPr>
              <w:spacing w:before="20" w:after="20"/>
              <w:ind w:left="0"/>
              <w:outlineLvl w:val="9"/>
              <w:rPr>
                <w:rFonts w:ascii="Aptos" w:hAnsi="Aptos"/>
              </w:rPr>
            </w:pPr>
            <w:r w:rsidRPr="00BE4F47">
              <w:rPr>
                <w:rFonts w:ascii="Aptos" w:eastAsia="Calibri" w:hAnsi="Aptos" w:cs="Calibri"/>
                <w:color w:val="1A1A19"/>
                <w:sz w:val="16"/>
                <w:szCs w:val="16"/>
              </w:rPr>
              <w:t>Garantit qu’une mesure de cybersécurité n’empêche pas l’opérateur de percevoir l’état réel du système.</w:t>
            </w:r>
          </w:p>
        </w:tc>
      </w:tr>
      <w:tr w:rsidR="00F50D70" w:rsidRPr="00BE4F47" w14:paraId="24155810" w14:textId="77777777">
        <w:trPr>
          <w:cantSplit/>
          <w:trHeight w:val="833"/>
        </w:trPr>
        <w:tc>
          <w:tcPr>
            <w:tcW w:w="1287" w:type="dxa"/>
            <w:tcBorders>
              <w:top w:val="single" w:sz="4" w:space="0" w:color="000000"/>
              <w:left w:val="single" w:sz="4" w:space="0" w:color="000000"/>
              <w:bottom w:val="single" w:sz="4" w:space="0" w:color="000000"/>
              <w:right w:val="single" w:sz="4" w:space="0" w:color="000000"/>
            </w:tcBorders>
            <w:vAlign w:val="center"/>
          </w:tcPr>
          <w:p w14:paraId="0B636DBC"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b/>
                <w:bCs/>
                <w:color w:val="1A1A19"/>
                <w:sz w:val="16"/>
                <w:szCs w:val="16"/>
              </w:rPr>
              <w:lastRenderedPageBreak/>
              <w:t>IEC 61513 [37]</w:t>
            </w:r>
          </w:p>
        </w:tc>
        <w:tc>
          <w:tcPr>
            <w:tcW w:w="1035" w:type="dxa"/>
            <w:tcBorders>
              <w:top w:val="single" w:sz="4" w:space="0" w:color="000000"/>
              <w:left w:val="single" w:sz="4" w:space="0" w:color="000000"/>
              <w:bottom w:val="single" w:sz="4" w:space="0" w:color="000000"/>
              <w:right w:val="single" w:sz="4" w:space="0" w:color="000000"/>
            </w:tcBorders>
            <w:vAlign w:val="center"/>
          </w:tcPr>
          <w:p w14:paraId="00756E23"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2026 (éd. 3.0)</w:t>
            </w:r>
          </w:p>
        </w:tc>
        <w:tc>
          <w:tcPr>
            <w:tcW w:w="1819" w:type="dxa"/>
            <w:tcBorders>
              <w:top w:val="single" w:sz="4" w:space="0" w:color="000000"/>
              <w:left w:val="single" w:sz="4" w:space="0" w:color="000000"/>
              <w:bottom w:val="single" w:sz="4" w:space="0" w:color="000000"/>
              <w:right w:val="single" w:sz="4" w:space="0" w:color="000000"/>
            </w:tcBorders>
            <w:vAlign w:val="center"/>
          </w:tcPr>
          <w:p w14:paraId="340EE7F8"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Systèmes I&amp;C importants pour la sûreté</w:t>
            </w:r>
          </w:p>
        </w:tc>
        <w:tc>
          <w:tcPr>
            <w:tcW w:w="1637" w:type="dxa"/>
            <w:tcBorders>
              <w:top w:val="single" w:sz="4" w:space="0" w:color="000000"/>
              <w:left w:val="single" w:sz="4" w:space="0" w:color="000000"/>
              <w:bottom w:val="single" w:sz="4" w:space="0" w:color="000000"/>
              <w:right w:val="single" w:sz="4" w:space="0" w:color="000000"/>
            </w:tcBorders>
            <w:vAlign w:val="center"/>
          </w:tcPr>
          <w:p w14:paraId="3AE5D1DD"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Architecture, exigences, cycle de vie</w:t>
            </w:r>
          </w:p>
        </w:tc>
        <w:tc>
          <w:tcPr>
            <w:tcW w:w="2779" w:type="dxa"/>
            <w:tcBorders>
              <w:top w:val="single" w:sz="4" w:space="0" w:color="000000"/>
              <w:left w:val="single" w:sz="4" w:space="0" w:color="000000"/>
              <w:bottom w:val="single" w:sz="4" w:space="0" w:color="000000"/>
              <w:right w:val="single" w:sz="4" w:space="0" w:color="000000"/>
            </w:tcBorders>
            <w:vAlign w:val="center"/>
          </w:tcPr>
          <w:p w14:paraId="1DB0D62E"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Référence pour l’architecture, la définition des fonctions et la validation du système simulé.</w:t>
            </w:r>
          </w:p>
        </w:tc>
      </w:tr>
      <w:tr w:rsidR="00F50D70" w:rsidRPr="00BE4F47" w14:paraId="022CA0B0" w14:textId="77777777">
        <w:trPr>
          <w:cantSplit/>
          <w:trHeight w:val="1105"/>
        </w:trPr>
        <w:tc>
          <w:tcPr>
            <w:tcW w:w="1287" w:type="dxa"/>
            <w:tcBorders>
              <w:top w:val="single" w:sz="4" w:space="0" w:color="000000"/>
              <w:left w:val="single" w:sz="4" w:space="0" w:color="000000"/>
              <w:bottom w:val="single" w:sz="4" w:space="0" w:color="000000"/>
              <w:right w:val="single" w:sz="4" w:space="0" w:color="000000"/>
            </w:tcBorders>
            <w:vAlign w:val="center"/>
          </w:tcPr>
          <w:p w14:paraId="61E01DE0"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b/>
                <w:bCs/>
                <w:color w:val="1A1A19"/>
                <w:sz w:val="16"/>
                <w:szCs w:val="16"/>
              </w:rPr>
              <w:t>IEC 60880 [38]</w:t>
            </w:r>
          </w:p>
        </w:tc>
        <w:tc>
          <w:tcPr>
            <w:tcW w:w="1035" w:type="dxa"/>
            <w:tcBorders>
              <w:top w:val="single" w:sz="4" w:space="0" w:color="000000"/>
              <w:left w:val="single" w:sz="4" w:space="0" w:color="000000"/>
              <w:bottom w:val="single" w:sz="4" w:space="0" w:color="000000"/>
              <w:right w:val="single" w:sz="4" w:space="0" w:color="000000"/>
            </w:tcBorders>
            <w:vAlign w:val="center"/>
          </w:tcPr>
          <w:p w14:paraId="6DE6FFD3"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2006</w:t>
            </w:r>
          </w:p>
        </w:tc>
        <w:tc>
          <w:tcPr>
            <w:tcW w:w="1819" w:type="dxa"/>
            <w:tcBorders>
              <w:top w:val="single" w:sz="4" w:space="0" w:color="000000"/>
              <w:left w:val="single" w:sz="4" w:space="0" w:color="000000"/>
              <w:bottom w:val="single" w:sz="4" w:space="0" w:color="000000"/>
              <w:right w:val="single" w:sz="4" w:space="0" w:color="000000"/>
            </w:tcBorders>
            <w:vAlign w:val="center"/>
          </w:tcPr>
          <w:p w14:paraId="51F13F9B"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Logiciels des fonctions de catégorie A</w:t>
            </w:r>
          </w:p>
        </w:tc>
        <w:tc>
          <w:tcPr>
            <w:tcW w:w="1637" w:type="dxa"/>
            <w:tcBorders>
              <w:top w:val="single" w:sz="4" w:space="0" w:color="000000"/>
              <w:left w:val="single" w:sz="4" w:space="0" w:color="000000"/>
              <w:bottom w:val="single" w:sz="4" w:space="0" w:color="000000"/>
              <w:right w:val="single" w:sz="4" w:space="0" w:color="000000"/>
            </w:tcBorders>
            <w:vAlign w:val="center"/>
          </w:tcPr>
          <w:p w14:paraId="2F220430"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Développement, vérification, validation</w:t>
            </w:r>
          </w:p>
        </w:tc>
        <w:tc>
          <w:tcPr>
            <w:tcW w:w="2779" w:type="dxa"/>
            <w:tcBorders>
              <w:top w:val="single" w:sz="4" w:space="0" w:color="000000"/>
              <w:left w:val="single" w:sz="4" w:space="0" w:color="000000"/>
              <w:bottom w:val="single" w:sz="4" w:space="0" w:color="000000"/>
              <w:right w:val="single" w:sz="4" w:space="0" w:color="000000"/>
            </w:tcBorders>
            <w:vAlign w:val="center"/>
          </w:tcPr>
          <w:p w14:paraId="470767F9"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Référence de rigueur pour la vérification, la validation et la traçabilité des fonctions logicielles.</w:t>
            </w:r>
          </w:p>
        </w:tc>
      </w:tr>
      <w:tr w:rsidR="00F50D70" w:rsidRPr="00BE4F47" w14:paraId="4B09B0A9" w14:textId="77777777">
        <w:trPr>
          <w:cantSplit/>
          <w:trHeight w:val="833"/>
        </w:trPr>
        <w:tc>
          <w:tcPr>
            <w:tcW w:w="1287" w:type="dxa"/>
            <w:tcBorders>
              <w:top w:val="single" w:sz="4" w:space="0" w:color="000000"/>
              <w:left w:val="single" w:sz="4" w:space="0" w:color="000000"/>
              <w:bottom w:val="single" w:sz="4" w:space="0" w:color="000000"/>
              <w:right w:val="single" w:sz="4" w:space="0" w:color="000000"/>
            </w:tcBorders>
            <w:vAlign w:val="center"/>
          </w:tcPr>
          <w:p w14:paraId="051D42A1"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b/>
                <w:bCs/>
                <w:color w:val="1A1A19"/>
                <w:sz w:val="16"/>
                <w:szCs w:val="16"/>
              </w:rPr>
              <w:t>IEC 62138 [39]</w:t>
            </w:r>
          </w:p>
        </w:tc>
        <w:tc>
          <w:tcPr>
            <w:tcW w:w="1035" w:type="dxa"/>
            <w:tcBorders>
              <w:top w:val="single" w:sz="4" w:space="0" w:color="000000"/>
              <w:left w:val="single" w:sz="4" w:space="0" w:color="000000"/>
              <w:bottom w:val="single" w:sz="4" w:space="0" w:color="000000"/>
              <w:right w:val="single" w:sz="4" w:space="0" w:color="000000"/>
            </w:tcBorders>
            <w:vAlign w:val="center"/>
          </w:tcPr>
          <w:p w14:paraId="4E91C0EE"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2018</w:t>
            </w:r>
          </w:p>
        </w:tc>
        <w:tc>
          <w:tcPr>
            <w:tcW w:w="1819" w:type="dxa"/>
            <w:tcBorders>
              <w:top w:val="single" w:sz="4" w:space="0" w:color="000000"/>
              <w:left w:val="single" w:sz="4" w:space="0" w:color="000000"/>
              <w:bottom w:val="single" w:sz="4" w:space="0" w:color="000000"/>
              <w:right w:val="single" w:sz="4" w:space="0" w:color="000000"/>
            </w:tcBorders>
            <w:vAlign w:val="center"/>
          </w:tcPr>
          <w:p w14:paraId="48A33BE6" w14:textId="77777777" w:rsidR="00F50D70" w:rsidRPr="00BE4F47" w:rsidRDefault="00137D7F" w:rsidP="008E113B">
            <w:pPr>
              <w:spacing w:before="20" w:after="20"/>
              <w:ind w:left="0"/>
              <w:outlineLvl w:val="9"/>
              <w:rPr>
                <w:rFonts w:ascii="Aptos" w:hAnsi="Aptos"/>
              </w:rPr>
            </w:pPr>
            <w:r w:rsidRPr="00BE4F47">
              <w:rPr>
                <w:rFonts w:ascii="Aptos" w:eastAsia="Calibri" w:hAnsi="Aptos" w:cs="Calibri"/>
                <w:color w:val="1A1A19"/>
                <w:sz w:val="16"/>
                <w:szCs w:val="16"/>
              </w:rPr>
              <w:t>Logiciels des fonctions de catégorie B ou C</w:t>
            </w:r>
          </w:p>
        </w:tc>
        <w:tc>
          <w:tcPr>
            <w:tcW w:w="1637" w:type="dxa"/>
            <w:tcBorders>
              <w:top w:val="single" w:sz="4" w:space="0" w:color="000000"/>
              <w:left w:val="single" w:sz="4" w:space="0" w:color="000000"/>
              <w:bottom w:val="single" w:sz="4" w:space="0" w:color="000000"/>
              <w:right w:val="single" w:sz="4" w:space="0" w:color="000000"/>
            </w:tcBorders>
            <w:vAlign w:val="center"/>
          </w:tcPr>
          <w:p w14:paraId="393DC21E"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Développement, essais, documentation</w:t>
            </w:r>
          </w:p>
        </w:tc>
        <w:tc>
          <w:tcPr>
            <w:tcW w:w="2779" w:type="dxa"/>
            <w:tcBorders>
              <w:top w:val="single" w:sz="4" w:space="0" w:color="000000"/>
              <w:left w:val="single" w:sz="4" w:space="0" w:color="000000"/>
              <w:bottom w:val="single" w:sz="4" w:space="0" w:color="000000"/>
              <w:right w:val="single" w:sz="4" w:space="0" w:color="000000"/>
            </w:tcBorders>
            <w:vAlign w:val="center"/>
          </w:tcPr>
          <w:p w14:paraId="114CD164"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Encadre les essais, la documentation et la validation des modules logiciels.</w:t>
            </w:r>
          </w:p>
        </w:tc>
      </w:tr>
      <w:tr w:rsidR="00F50D70" w:rsidRPr="00BE4F47" w14:paraId="56ABA15E" w14:textId="77777777">
        <w:trPr>
          <w:cantSplit/>
          <w:trHeight w:val="1105"/>
        </w:trPr>
        <w:tc>
          <w:tcPr>
            <w:tcW w:w="1287" w:type="dxa"/>
            <w:tcBorders>
              <w:top w:val="single" w:sz="4" w:space="0" w:color="000000"/>
              <w:left w:val="single" w:sz="4" w:space="0" w:color="000000"/>
              <w:bottom w:val="single" w:sz="4" w:space="0" w:color="000000"/>
              <w:right w:val="single" w:sz="4" w:space="0" w:color="000000"/>
            </w:tcBorders>
            <w:vAlign w:val="center"/>
          </w:tcPr>
          <w:p w14:paraId="4DCB1A3C"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b/>
                <w:bCs/>
                <w:color w:val="1A1A19"/>
                <w:sz w:val="16"/>
                <w:szCs w:val="16"/>
              </w:rPr>
              <w:t>ISO/IEC 27001 [40]</w:t>
            </w:r>
          </w:p>
        </w:tc>
        <w:tc>
          <w:tcPr>
            <w:tcW w:w="1035" w:type="dxa"/>
            <w:tcBorders>
              <w:top w:val="single" w:sz="4" w:space="0" w:color="000000"/>
              <w:left w:val="single" w:sz="4" w:space="0" w:color="000000"/>
              <w:bottom w:val="single" w:sz="4" w:space="0" w:color="000000"/>
              <w:right w:val="single" w:sz="4" w:space="0" w:color="000000"/>
            </w:tcBorders>
            <w:vAlign w:val="center"/>
          </w:tcPr>
          <w:p w14:paraId="03BA5DA5"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2022</w:t>
            </w:r>
          </w:p>
        </w:tc>
        <w:tc>
          <w:tcPr>
            <w:tcW w:w="1819" w:type="dxa"/>
            <w:tcBorders>
              <w:top w:val="single" w:sz="4" w:space="0" w:color="000000"/>
              <w:left w:val="single" w:sz="4" w:space="0" w:color="000000"/>
              <w:bottom w:val="single" w:sz="4" w:space="0" w:color="000000"/>
              <w:right w:val="single" w:sz="4" w:space="0" w:color="000000"/>
            </w:tcBorders>
            <w:vAlign w:val="center"/>
          </w:tcPr>
          <w:p w14:paraId="1FA7415C"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Management de la sécurité de l’information</w:t>
            </w:r>
          </w:p>
        </w:tc>
        <w:tc>
          <w:tcPr>
            <w:tcW w:w="1637" w:type="dxa"/>
            <w:tcBorders>
              <w:top w:val="single" w:sz="4" w:space="0" w:color="000000"/>
              <w:left w:val="single" w:sz="4" w:space="0" w:color="000000"/>
              <w:bottom w:val="single" w:sz="4" w:space="0" w:color="000000"/>
              <w:right w:val="single" w:sz="4" w:space="0" w:color="000000"/>
            </w:tcBorders>
            <w:vAlign w:val="center"/>
          </w:tcPr>
          <w:p w14:paraId="6E8325A9"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Accès, intégrité, disponibilité</w:t>
            </w:r>
          </w:p>
        </w:tc>
        <w:tc>
          <w:tcPr>
            <w:tcW w:w="2779" w:type="dxa"/>
            <w:tcBorders>
              <w:top w:val="single" w:sz="4" w:space="0" w:color="000000"/>
              <w:left w:val="single" w:sz="4" w:space="0" w:color="000000"/>
              <w:bottom w:val="single" w:sz="4" w:space="0" w:color="000000"/>
              <w:right w:val="single" w:sz="4" w:space="0" w:color="000000"/>
            </w:tcBorders>
            <w:vAlign w:val="center"/>
          </w:tcPr>
          <w:p w14:paraId="3848A9EC"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Prise en compte de la disponibilité des données, de leur intégrité et de la gestion des accès au prototype.</w:t>
            </w:r>
          </w:p>
        </w:tc>
      </w:tr>
      <w:tr w:rsidR="00F50D70" w:rsidRPr="00BE4F47" w14:paraId="535BCC7C" w14:textId="77777777">
        <w:trPr>
          <w:cantSplit/>
          <w:trHeight w:val="1096"/>
        </w:trPr>
        <w:tc>
          <w:tcPr>
            <w:tcW w:w="1287" w:type="dxa"/>
            <w:tcBorders>
              <w:top w:val="single" w:sz="4" w:space="0" w:color="000000"/>
              <w:left w:val="single" w:sz="4" w:space="0" w:color="000000"/>
              <w:bottom w:val="single" w:sz="4" w:space="0" w:color="000000"/>
              <w:right w:val="single" w:sz="4" w:space="0" w:color="000000"/>
            </w:tcBorders>
            <w:vAlign w:val="center"/>
          </w:tcPr>
          <w:p w14:paraId="115A7CCD"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b/>
                <w:bCs/>
                <w:color w:val="1A1A19"/>
                <w:sz w:val="16"/>
                <w:szCs w:val="16"/>
              </w:rPr>
              <w:t>ISO/IEC 27005 [41]</w:t>
            </w:r>
          </w:p>
        </w:tc>
        <w:tc>
          <w:tcPr>
            <w:tcW w:w="1035" w:type="dxa"/>
            <w:tcBorders>
              <w:top w:val="single" w:sz="4" w:space="0" w:color="000000"/>
              <w:left w:val="single" w:sz="4" w:space="0" w:color="000000"/>
              <w:bottom w:val="single" w:sz="4" w:space="0" w:color="000000"/>
              <w:right w:val="single" w:sz="4" w:space="0" w:color="000000"/>
            </w:tcBorders>
            <w:vAlign w:val="center"/>
          </w:tcPr>
          <w:p w14:paraId="57727C4B"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2022</w:t>
            </w:r>
          </w:p>
        </w:tc>
        <w:tc>
          <w:tcPr>
            <w:tcW w:w="1819" w:type="dxa"/>
            <w:tcBorders>
              <w:top w:val="single" w:sz="4" w:space="0" w:color="000000"/>
              <w:left w:val="single" w:sz="4" w:space="0" w:color="000000"/>
              <w:bottom w:val="single" w:sz="4" w:space="0" w:color="000000"/>
              <w:right w:val="single" w:sz="4" w:space="0" w:color="000000"/>
            </w:tcBorders>
            <w:vAlign w:val="center"/>
          </w:tcPr>
          <w:p w14:paraId="5E172F72"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Gestion des risques de sécurité de l’information</w:t>
            </w:r>
          </w:p>
        </w:tc>
        <w:tc>
          <w:tcPr>
            <w:tcW w:w="1637" w:type="dxa"/>
            <w:tcBorders>
              <w:top w:val="single" w:sz="4" w:space="0" w:color="000000"/>
              <w:left w:val="single" w:sz="4" w:space="0" w:color="000000"/>
              <w:bottom w:val="single" w:sz="4" w:space="0" w:color="000000"/>
              <w:right w:val="single" w:sz="4" w:space="0" w:color="000000"/>
            </w:tcBorders>
            <w:vAlign w:val="center"/>
          </w:tcPr>
          <w:p w14:paraId="3A841F53"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Identification, analyse et traitement des risques</w:t>
            </w:r>
          </w:p>
        </w:tc>
        <w:tc>
          <w:tcPr>
            <w:tcW w:w="2779" w:type="dxa"/>
            <w:tcBorders>
              <w:top w:val="single" w:sz="4" w:space="0" w:color="000000"/>
              <w:left w:val="single" w:sz="4" w:space="0" w:color="000000"/>
              <w:bottom w:val="single" w:sz="4" w:space="0" w:color="000000"/>
              <w:right w:val="single" w:sz="4" w:space="0" w:color="000000"/>
            </w:tcBorders>
            <w:vAlign w:val="center"/>
          </w:tcPr>
          <w:p w14:paraId="79B2971A" w14:textId="77777777" w:rsidR="00F50D70" w:rsidRPr="00BE4F47" w:rsidRDefault="00137D7F" w:rsidP="008E113B">
            <w:pPr>
              <w:spacing w:before="20" w:after="20"/>
              <w:ind w:left="0"/>
              <w:outlineLvl w:val="9"/>
              <w:rPr>
                <w:rFonts w:ascii="Aptos" w:hAnsi="Aptos"/>
              </w:rPr>
            </w:pPr>
            <w:r w:rsidRPr="00BE4F47">
              <w:rPr>
                <w:rFonts w:ascii="Aptos" w:eastAsia="Calibri" w:hAnsi="Aptos" w:cs="Calibri"/>
                <w:color w:val="1A1A19"/>
                <w:sz w:val="16"/>
                <w:szCs w:val="16"/>
              </w:rPr>
              <w:t>Structure l’analyse des risques liés aux données, aux communications et aux fonctions numériques.</w:t>
            </w:r>
          </w:p>
        </w:tc>
      </w:tr>
    </w:tbl>
    <w:p w14:paraId="0F6B97CF" w14:textId="77777777" w:rsidR="00F50D70" w:rsidRPr="00B03F2E" w:rsidRDefault="00137D7F" w:rsidP="008E113B">
      <w:pPr>
        <w:pStyle w:val="Titre2"/>
        <w:spacing w:line="360" w:lineRule="auto"/>
      </w:pPr>
      <w:bookmarkStart w:id="757" w:name="_Toc241707883"/>
      <w:bookmarkStart w:id="758" w:name="_Toc241791832"/>
      <w:r w:rsidRPr="00B03F2E">
        <w:t>Esprit des normes et dépassement</w:t>
      </w:r>
      <w:bookmarkEnd w:id="757"/>
      <w:bookmarkEnd w:id="758"/>
    </w:p>
    <w:p w14:paraId="2DAB98C6" w14:textId="77777777" w:rsidR="00F50D70" w:rsidRPr="00BE4F47" w:rsidRDefault="00137D7F" w:rsidP="008E113B">
      <w:pPr>
        <w:spacing w:before="200" w:after="130" w:line="360" w:lineRule="auto"/>
        <w:ind w:left="360"/>
        <w:rPr>
          <w:rFonts w:ascii="Aptos" w:hAnsi="Aptos"/>
        </w:rPr>
      </w:pPr>
      <w:bookmarkStart w:id="759" w:name="_Toc241083008"/>
      <w:bookmarkStart w:id="760" w:name="_Toc241670176"/>
      <w:bookmarkStart w:id="761" w:name="_Toc241707884"/>
      <w:bookmarkStart w:id="762" w:name="_Toc241791833"/>
      <w:r w:rsidRPr="00BE4F47">
        <w:rPr>
          <w:rFonts w:ascii="Aptos" w:hAnsi="Aptos"/>
          <w:color w:val="1A1A19"/>
          <w:sz w:val="20"/>
          <w:szCs w:val="20"/>
        </w:rPr>
        <w:t>Le guide de pratique professionnelle de l’Ordre des ingénieurs du Québec [42] demande trois choses en plus du respect des normes : comprendre la valeur qu’elles visent, les dépasser quand cette valeur l’exige, et se conduire par jugement quand aucune norme ne couvre la situation.</w:t>
      </w:r>
      <w:bookmarkEnd w:id="759"/>
      <w:bookmarkEnd w:id="760"/>
      <w:bookmarkEnd w:id="761"/>
      <w:bookmarkEnd w:id="762"/>
    </w:p>
    <w:p w14:paraId="2B109CBA" w14:textId="77777777" w:rsidR="00F50D70" w:rsidRPr="00BE4F47" w:rsidRDefault="00137D7F" w:rsidP="008E113B">
      <w:pPr>
        <w:spacing w:after="130" w:line="360" w:lineRule="auto"/>
        <w:ind w:left="360"/>
        <w:rPr>
          <w:rFonts w:ascii="Aptos" w:hAnsi="Aptos"/>
        </w:rPr>
      </w:pPr>
      <w:bookmarkStart w:id="763" w:name="_Toc241083009"/>
      <w:bookmarkStart w:id="764" w:name="_Toc241670177"/>
      <w:bookmarkStart w:id="765" w:name="_Toc241707885"/>
      <w:bookmarkStart w:id="766" w:name="_Toc241791834"/>
      <w:r w:rsidRPr="00BE4F47">
        <w:rPr>
          <w:rFonts w:ascii="Aptos" w:hAnsi="Aptos"/>
          <w:b/>
          <w:color w:val="1A1A19"/>
          <w:sz w:val="20"/>
          <w:szCs w:val="20"/>
        </w:rPr>
        <w:t xml:space="preserve">L’esprit des normes retenues. </w:t>
      </w:r>
      <w:r w:rsidRPr="00BE4F47">
        <w:rPr>
          <w:rFonts w:ascii="Aptos" w:hAnsi="Aptos"/>
          <w:color w:val="1A1A19"/>
          <w:sz w:val="20"/>
          <w:szCs w:val="20"/>
        </w:rPr>
        <w:t>Les normes de sûreté et de cybersécurité du tableau précédent visent toutes la même chose : qu’un système ne laisse jamais croire que tout va bien quand on ne sait pas. Le projet traduit cette valeur en une exigence fonctionnelle, EX-F-06, qui impose un état « incertain » explicite. Cette exigence ne vient pas d’un article de norme précis. Elle vient de ce que les normes cherchent à protéger.</w:t>
      </w:r>
      <w:bookmarkEnd w:id="763"/>
      <w:bookmarkEnd w:id="764"/>
      <w:bookmarkEnd w:id="765"/>
      <w:bookmarkEnd w:id="766"/>
    </w:p>
    <w:p w14:paraId="37595946" w14:textId="4CEFC57D" w:rsidR="00F50D70" w:rsidRPr="00BE4F47" w:rsidRDefault="00137D7F" w:rsidP="008E113B">
      <w:pPr>
        <w:pStyle w:val="Lgende"/>
        <w:keepNext/>
        <w:spacing w:line="360" w:lineRule="auto"/>
        <w:rPr>
          <w:rFonts w:ascii="Aptos" w:hAnsi="Aptos"/>
        </w:rPr>
      </w:pPr>
      <w:bookmarkStart w:id="767" w:name="_Toc241083010"/>
      <w:bookmarkStart w:id="768" w:name="_Toc241670178"/>
      <w:bookmarkStart w:id="769" w:name="_Toc241707886"/>
      <w:bookmarkStart w:id="770" w:name="_Toc241791835"/>
      <w:r w:rsidRPr="00BE4F47">
        <w:rPr>
          <w:rFonts w:ascii="Aptos" w:hAnsi="Aptos"/>
        </w:rPr>
        <w:t xml:space="preserve">Tableau 6-4. </w:t>
      </w:r>
      <w:bookmarkEnd w:id="767"/>
      <w:bookmarkEnd w:id="768"/>
      <w:bookmarkEnd w:id="769"/>
      <w:bookmarkEnd w:id="770"/>
      <w:r w:rsidR="00F4666D" w:rsidRPr="00F4666D">
        <w:rPr>
          <w:rFonts w:ascii="Aptos" w:hAnsi="Aptos"/>
        </w:rPr>
        <w:t>Mesures complémentaires retenues par le projet</w:t>
      </w:r>
    </w:p>
    <w:tbl>
      <w:tblPr>
        <w:tblW w:w="8557" w:type="dxa"/>
        <w:tblInd w:w="413" w:type="dxa"/>
        <w:tblLayout w:type="fixed"/>
        <w:tblCellMar>
          <w:top w:w="60" w:type="dxa"/>
          <w:left w:w="90" w:type="dxa"/>
          <w:bottom w:w="60" w:type="dxa"/>
          <w:right w:w="90" w:type="dxa"/>
        </w:tblCellMar>
        <w:tblLook w:val="04A0" w:firstRow="1" w:lastRow="0" w:firstColumn="1" w:lastColumn="0" w:noHBand="0" w:noVBand="1"/>
      </w:tblPr>
      <w:tblGrid>
        <w:gridCol w:w="2000"/>
        <w:gridCol w:w="2600"/>
        <w:gridCol w:w="3957"/>
      </w:tblGrid>
      <w:tr w:rsidR="00F50D70" w:rsidRPr="00BE4F47" w14:paraId="4FF7EE83" w14:textId="77777777" w:rsidTr="0036725C">
        <w:trPr>
          <w:trHeight w:val="227"/>
          <w:tblHeader/>
        </w:trPr>
        <w:tc>
          <w:tcPr>
            <w:tcW w:w="200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79C293C4"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Norme retenue</w:t>
            </w:r>
          </w:p>
        </w:tc>
        <w:tc>
          <w:tcPr>
            <w:tcW w:w="260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38ABAF07"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Ce qu’elle impose</w:t>
            </w:r>
          </w:p>
        </w:tc>
        <w:tc>
          <w:tcPr>
            <w:tcW w:w="3957"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2D667DE1"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Ce que le projet fait au-delà</w:t>
            </w:r>
          </w:p>
        </w:tc>
      </w:tr>
      <w:tr w:rsidR="00F50D70" w:rsidRPr="00BE4F47" w14:paraId="00F1FB1F" w14:textId="77777777">
        <w:trPr>
          <w:cantSplit/>
          <w:trHeight w:val="415"/>
        </w:trPr>
        <w:tc>
          <w:tcPr>
            <w:tcW w:w="2000" w:type="dxa"/>
            <w:tcBorders>
              <w:top w:val="single" w:sz="4" w:space="0" w:color="000000"/>
              <w:left w:val="single" w:sz="4" w:space="0" w:color="000000"/>
              <w:bottom w:val="single" w:sz="4" w:space="0" w:color="000000"/>
              <w:right w:val="single" w:sz="4" w:space="0" w:color="000000"/>
            </w:tcBorders>
          </w:tcPr>
          <w:p w14:paraId="75860642"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IEEE 1012 sur la vérification et la validation</w:t>
            </w:r>
          </w:p>
        </w:tc>
        <w:tc>
          <w:tcPr>
            <w:tcW w:w="2600" w:type="dxa"/>
            <w:tcBorders>
              <w:top w:val="single" w:sz="4" w:space="0" w:color="000000"/>
              <w:left w:val="single" w:sz="4" w:space="0" w:color="000000"/>
              <w:bottom w:val="single" w:sz="4" w:space="0" w:color="000000"/>
              <w:right w:val="single" w:sz="4" w:space="0" w:color="000000"/>
            </w:tcBorders>
          </w:tcPr>
          <w:p w14:paraId="31AAF6AE"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Un plan de V&amp;V dont le contenu est fixé.</w:t>
            </w:r>
          </w:p>
        </w:tc>
        <w:tc>
          <w:tcPr>
            <w:tcW w:w="3957" w:type="dxa"/>
            <w:tcBorders>
              <w:top w:val="single" w:sz="4" w:space="0" w:color="000000"/>
              <w:left w:val="single" w:sz="4" w:space="0" w:color="000000"/>
              <w:bottom w:val="single" w:sz="4" w:space="0" w:color="000000"/>
              <w:right w:val="single" w:sz="4" w:space="0" w:color="000000"/>
            </w:tcBorders>
          </w:tcPr>
          <w:p w14:paraId="06C64FD9"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Chaque essai est rattaché à la version exacte du modèle et du jeu de données qui l’a produit, de sorte qu’un tiers puisse le rejouer. La norme n’exige pas cette reproductibilité intégrale.</w:t>
            </w:r>
          </w:p>
        </w:tc>
      </w:tr>
      <w:tr w:rsidR="00F50D70" w:rsidRPr="00BE4F47" w14:paraId="2D2B8244" w14:textId="77777777">
        <w:trPr>
          <w:cantSplit/>
          <w:trHeight w:val="415"/>
        </w:trPr>
        <w:tc>
          <w:tcPr>
            <w:tcW w:w="2000" w:type="dxa"/>
            <w:tcBorders>
              <w:top w:val="single" w:sz="4" w:space="0" w:color="000000"/>
              <w:left w:val="single" w:sz="4" w:space="0" w:color="000000"/>
              <w:bottom w:val="single" w:sz="4" w:space="0" w:color="000000"/>
              <w:right w:val="single" w:sz="4" w:space="0" w:color="000000"/>
            </w:tcBorders>
          </w:tcPr>
          <w:p w14:paraId="5E3B8C15"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ISO 9241-210 sur la conception centrée sur l’humain</w:t>
            </w:r>
          </w:p>
        </w:tc>
        <w:tc>
          <w:tcPr>
            <w:tcW w:w="2600" w:type="dxa"/>
            <w:tcBorders>
              <w:top w:val="single" w:sz="4" w:space="0" w:color="000000"/>
              <w:left w:val="single" w:sz="4" w:space="0" w:color="000000"/>
              <w:bottom w:val="single" w:sz="4" w:space="0" w:color="000000"/>
              <w:right w:val="single" w:sz="4" w:space="0" w:color="000000"/>
            </w:tcBorders>
          </w:tcPr>
          <w:p w14:paraId="2D79E7D5"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Associer l’utilisateur à la conception de l’interface.</w:t>
            </w:r>
          </w:p>
        </w:tc>
        <w:tc>
          <w:tcPr>
            <w:tcW w:w="3957" w:type="dxa"/>
            <w:tcBorders>
              <w:top w:val="single" w:sz="4" w:space="0" w:color="000000"/>
              <w:left w:val="single" w:sz="4" w:space="0" w:color="000000"/>
              <w:bottom w:val="single" w:sz="4" w:space="0" w:color="000000"/>
              <w:right w:val="single" w:sz="4" w:space="0" w:color="000000"/>
            </w:tcBorders>
          </w:tcPr>
          <w:p w14:paraId="38BFB264"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L’interface affiche les variables qui ont contribué au diagnostic, et pas seulement le verdict. La norme demande l’utilisabilité, le projet vise l’explicabilité.</w:t>
            </w:r>
          </w:p>
        </w:tc>
      </w:tr>
      <w:tr w:rsidR="00F50D70" w:rsidRPr="00BE4F47" w14:paraId="5DE3AD14" w14:textId="77777777">
        <w:trPr>
          <w:cantSplit/>
          <w:trHeight w:val="415"/>
        </w:trPr>
        <w:tc>
          <w:tcPr>
            <w:tcW w:w="2000" w:type="dxa"/>
            <w:tcBorders>
              <w:top w:val="single" w:sz="4" w:space="0" w:color="000000"/>
              <w:left w:val="single" w:sz="4" w:space="0" w:color="000000"/>
              <w:bottom w:val="single" w:sz="4" w:space="0" w:color="000000"/>
              <w:right w:val="single" w:sz="4" w:space="0" w:color="000000"/>
            </w:tcBorders>
          </w:tcPr>
          <w:p w14:paraId="79313FAB"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ISO/IEC 27001 et les normes de cybersécurité nucléaire</w:t>
            </w:r>
          </w:p>
        </w:tc>
        <w:tc>
          <w:tcPr>
            <w:tcW w:w="2600" w:type="dxa"/>
            <w:tcBorders>
              <w:top w:val="single" w:sz="4" w:space="0" w:color="000000"/>
              <w:left w:val="single" w:sz="4" w:space="0" w:color="000000"/>
              <w:bottom w:val="single" w:sz="4" w:space="0" w:color="000000"/>
              <w:right w:val="single" w:sz="4" w:space="0" w:color="000000"/>
            </w:tcBorders>
          </w:tcPr>
          <w:p w14:paraId="71648292"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Protéger la confidentialité, l’intégrité et la disponibilité.</w:t>
            </w:r>
          </w:p>
        </w:tc>
        <w:tc>
          <w:tcPr>
            <w:tcW w:w="3957" w:type="dxa"/>
            <w:tcBorders>
              <w:top w:val="single" w:sz="4" w:space="0" w:color="000000"/>
              <w:left w:val="single" w:sz="4" w:space="0" w:color="000000"/>
              <w:bottom w:val="single" w:sz="4" w:space="0" w:color="000000"/>
              <w:right w:val="single" w:sz="4" w:space="0" w:color="000000"/>
            </w:tcBorders>
          </w:tcPr>
          <w:p w14:paraId="37F21A31"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Le projet traite la donnée falsifiée comme un mode de défaillance à détecter, et non seulement comme une menace à repousser. Une donnée altérée doit produire un état « incertain », pas un état « normal ».</w:t>
            </w:r>
          </w:p>
        </w:tc>
      </w:tr>
      <w:tr w:rsidR="00F50D70" w:rsidRPr="00BE4F47" w14:paraId="47ADFB16" w14:textId="77777777">
        <w:trPr>
          <w:cantSplit/>
          <w:trHeight w:val="415"/>
        </w:trPr>
        <w:tc>
          <w:tcPr>
            <w:tcW w:w="2000" w:type="dxa"/>
            <w:tcBorders>
              <w:top w:val="single" w:sz="4" w:space="0" w:color="000000"/>
              <w:left w:val="single" w:sz="4" w:space="0" w:color="000000"/>
              <w:bottom w:val="single" w:sz="4" w:space="0" w:color="000000"/>
              <w:right w:val="single" w:sz="4" w:space="0" w:color="000000"/>
            </w:tcBorders>
          </w:tcPr>
          <w:p w14:paraId="0273CBF6"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lastRenderedPageBreak/>
              <w:t>ASME V&amp;V 20 sur la validation en thermohydraulique</w:t>
            </w:r>
          </w:p>
        </w:tc>
        <w:tc>
          <w:tcPr>
            <w:tcW w:w="2600" w:type="dxa"/>
            <w:tcBorders>
              <w:top w:val="single" w:sz="4" w:space="0" w:color="000000"/>
              <w:left w:val="single" w:sz="4" w:space="0" w:color="000000"/>
              <w:bottom w:val="single" w:sz="4" w:space="0" w:color="000000"/>
              <w:right w:val="single" w:sz="4" w:space="0" w:color="000000"/>
            </w:tcBorders>
          </w:tcPr>
          <w:p w14:paraId="2F643ADD"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Décomposer l’écart entre modèle et référence.</w:t>
            </w:r>
          </w:p>
        </w:tc>
        <w:tc>
          <w:tcPr>
            <w:tcW w:w="3957" w:type="dxa"/>
            <w:tcBorders>
              <w:top w:val="single" w:sz="4" w:space="0" w:color="000000"/>
              <w:left w:val="single" w:sz="4" w:space="0" w:color="000000"/>
              <w:bottom w:val="single" w:sz="4" w:space="0" w:color="000000"/>
              <w:right w:val="single" w:sz="4" w:space="0" w:color="000000"/>
            </w:tcBorders>
          </w:tcPr>
          <w:p w14:paraId="3333075B"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Le projet publie l’écart et son domaine de validité dans le livrable remis au client, et non seulement dans ses notes internes.</w:t>
            </w:r>
          </w:p>
        </w:tc>
      </w:tr>
    </w:tbl>
    <w:p w14:paraId="78864A57" w14:textId="77777777" w:rsidR="00F50D70" w:rsidRPr="00BE4F47" w:rsidRDefault="00137D7F" w:rsidP="008E113B">
      <w:pPr>
        <w:spacing w:before="200" w:after="130" w:line="360" w:lineRule="auto"/>
        <w:ind w:left="360"/>
        <w:rPr>
          <w:rFonts w:ascii="Aptos" w:hAnsi="Aptos"/>
        </w:rPr>
      </w:pPr>
      <w:bookmarkStart w:id="771" w:name="_Toc241083011"/>
      <w:bookmarkStart w:id="772" w:name="_Toc241670179"/>
      <w:bookmarkStart w:id="773" w:name="_Toc241707887"/>
      <w:bookmarkStart w:id="774" w:name="_Toc241791836"/>
      <w:r w:rsidRPr="00BE4F47">
        <w:rPr>
          <w:rFonts w:ascii="Aptos" w:hAnsi="Aptos"/>
          <w:b/>
          <w:color w:val="1A1A19"/>
          <w:sz w:val="20"/>
          <w:szCs w:val="20"/>
        </w:rPr>
        <w:t xml:space="preserve">Là où aucune norme ne tranche. </w:t>
      </w:r>
      <w:r w:rsidRPr="00BE4F47">
        <w:rPr>
          <w:rFonts w:ascii="Aptos" w:hAnsi="Aptos"/>
          <w:color w:val="1A1A19"/>
          <w:sz w:val="20"/>
          <w:szCs w:val="20"/>
        </w:rPr>
        <w:t>Deux situations du projet ne sont couvertes par aucun des textes retenus. Aucune norme ne fixe le niveau de confiance en dessous duquel un outil d’aide à la décision doit se taire plutôt que de proposer une conclusion. Aucune n’indique non plus comment présenter une incertitude à un opérateur pressé sans qu’il la lise comme un défaut de l’outil.</w:t>
      </w:r>
      <w:bookmarkEnd w:id="771"/>
      <w:bookmarkEnd w:id="772"/>
      <w:bookmarkEnd w:id="773"/>
      <w:bookmarkEnd w:id="774"/>
    </w:p>
    <w:p w14:paraId="52DED328" w14:textId="6ED4381F" w:rsidR="00F50D70" w:rsidRPr="00BE4F47" w:rsidRDefault="00137D7F" w:rsidP="008E113B">
      <w:pPr>
        <w:spacing w:after="130" w:line="360" w:lineRule="auto"/>
        <w:ind w:left="360"/>
        <w:rPr>
          <w:rFonts w:ascii="Aptos" w:hAnsi="Aptos"/>
        </w:rPr>
      </w:pPr>
      <w:bookmarkStart w:id="775" w:name="_Toc241083012"/>
      <w:bookmarkStart w:id="776" w:name="_Toc241670180"/>
      <w:bookmarkStart w:id="777" w:name="_Toc241707888"/>
      <w:bookmarkStart w:id="778" w:name="_Toc241791837"/>
      <w:r w:rsidRPr="00BE4F47">
        <w:rPr>
          <w:rFonts w:ascii="Aptos" w:hAnsi="Aptos"/>
          <w:color w:val="1A1A19"/>
          <w:sz w:val="20"/>
          <w:szCs w:val="20"/>
        </w:rPr>
        <w:t xml:space="preserve">Dans ces deux cas, l’équipe retient la même règle : en l’absence de norme, le système annonce son incertitude plutôt que de produire un résultat, et la décision reste humaine. Cette règle découle de l’obligation d’informer </w:t>
      </w:r>
      <w:proofErr w:type="gramStart"/>
      <w:r w:rsidRPr="00BE4F47">
        <w:rPr>
          <w:rFonts w:ascii="Aptos" w:hAnsi="Aptos"/>
          <w:color w:val="1A1A19"/>
          <w:sz w:val="20"/>
          <w:szCs w:val="20"/>
        </w:rPr>
        <w:t>le client inscrite</w:t>
      </w:r>
      <w:proofErr w:type="gramEnd"/>
      <w:r w:rsidRPr="00BE4F47">
        <w:rPr>
          <w:rFonts w:ascii="Aptos" w:hAnsi="Aptos"/>
          <w:color w:val="1A1A19"/>
          <w:sz w:val="20"/>
          <w:szCs w:val="20"/>
        </w:rPr>
        <w:t xml:space="preserve"> au Code de déontologie des ingénieurs [43], et elle est inscrite dans les exigences EX-F-06, EX-F-08 et EX-C-01.</w:t>
      </w:r>
      <w:bookmarkEnd w:id="775"/>
      <w:bookmarkEnd w:id="776"/>
      <w:bookmarkEnd w:id="777"/>
      <w:bookmarkEnd w:id="778"/>
    </w:p>
    <w:p w14:paraId="49578092" w14:textId="77777777" w:rsidR="00F50D70" w:rsidRPr="00BE4F47" w:rsidRDefault="00137D7F" w:rsidP="008E113B">
      <w:pPr>
        <w:spacing w:after="130" w:line="360" w:lineRule="auto"/>
        <w:ind w:left="360"/>
        <w:rPr>
          <w:rFonts w:ascii="Aptos" w:hAnsi="Aptos"/>
        </w:rPr>
      </w:pPr>
      <w:bookmarkStart w:id="779" w:name="_Toc241083013"/>
      <w:bookmarkStart w:id="780" w:name="_Toc241670181"/>
      <w:bookmarkStart w:id="781" w:name="_Toc241707889"/>
      <w:bookmarkStart w:id="782" w:name="_Toc241791838"/>
      <w:r w:rsidRPr="00BE4F47">
        <w:rPr>
          <w:rFonts w:ascii="Aptos" w:hAnsi="Aptos"/>
          <w:color w:val="1A1A19"/>
          <w:sz w:val="20"/>
          <w:szCs w:val="20"/>
        </w:rPr>
        <w:t>Un point reste ouvert. Un prototype universitaire portant sur un contexte nucléaire peut être lu hors de son cadre. C’est pourquoi le domaine de validité de la section 2 et les limites d’emploi du rapport final comptent comme un livrable à part entière.</w:t>
      </w:r>
      <w:bookmarkEnd w:id="779"/>
      <w:bookmarkEnd w:id="780"/>
      <w:bookmarkEnd w:id="781"/>
      <w:bookmarkEnd w:id="782"/>
    </w:p>
    <w:p w14:paraId="3CEC2F1D" w14:textId="77777777" w:rsidR="00F50D70" w:rsidRPr="00B03F2E" w:rsidRDefault="00137D7F" w:rsidP="008E113B">
      <w:pPr>
        <w:pStyle w:val="Titre2"/>
        <w:spacing w:line="360" w:lineRule="auto"/>
      </w:pPr>
      <w:bookmarkStart w:id="783" w:name="__RefHeading___Toc240715219"/>
      <w:bookmarkStart w:id="784" w:name="_Toc241707890"/>
      <w:bookmarkStart w:id="785" w:name="_Toc241791839"/>
      <w:bookmarkEnd w:id="783"/>
      <w:r w:rsidRPr="00B03F2E">
        <w:t>Incidence sur la conception</w:t>
      </w:r>
      <w:bookmarkEnd w:id="784"/>
      <w:bookmarkEnd w:id="785"/>
    </w:p>
    <w:p w14:paraId="4476F3B3" w14:textId="77777777" w:rsidR="00F50D70" w:rsidRPr="00BE4F47" w:rsidRDefault="00137D7F" w:rsidP="008E113B">
      <w:pPr>
        <w:spacing w:after="130" w:line="360" w:lineRule="auto"/>
        <w:ind w:left="360"/>
        <w:outlineLvl w:val="9"/>
        <w:rPr>
          <w:rFonts w:ascii="Aptos" w:hAnsi="Aptos" w:cs="Calibri"/>
        </w:rPr>
      </w:pPr>
      <w:r w:rsidRPr="00BE4F47">
        <w:rPr>
          <w:rFonts w:ascii="Aptos" w:hAnsi="Aptos"/>
          <w:color w:val="1A1A19"/>
          <w:sz w:val="20"/>
          <w:szCs w:val="20"/>
        </w:rPr>
        <w:t>Les textes retenus se traduiront en contraintes techniques et en critères de validation vérifiables.</w:t>
      </w:r>
    </w:p>
    <w:p w14:paraId="3CDCD275" w14:textId="77777777" w:rsidR="00F50D70" w:rsidRPr="00BE4F47" w:rsidRDefault="00137D7F" w:rsidP="008E113B">
      <w:pPr>
        <w:spacing w:after="130" w:line="360" w:lineRule="auto"/>
        <w:ind w:left="360"/>
        <w:outlineLvl w:val="9"/>
        <w:rPr>
          <w:rFonts w:ascii="Aptos" w:hAnsi="Aptos"/>
        </w:rPr>
      </w:pPr>
      <w:r w:rsidRPr="00BE4F47">
        <w:rPr>
          <w:rFonts w:ascii="Aptos" w:hAnsi="Aptos"/>
          <w:b/>
          <w:color w:val="1A1A19"/>
          <w:sz w:val="20"/>
          <w:szCs w:val="20"/>
        </w:rPr>
        <w:t xml:space="preserve">La modélisation. </w:t>
      </w:r>
      <w:r w:rsidRPr="00BE4F47">
        <w:rPr>
          <w:rFonts w:ascii="Aptos" w:hAnsi="Aptos"/>
          <w:color w:val="1A1A19"/>
          <w:sz w:val="20"/>
          <w:szCs w:val="20"/>
        </w:rPr>
        <w:t>Les dispositions de la Loi sur les ingénieurs relatives aux modèles et aux calculs [19] s’appliquent à la boucle thermohydraulique simulée. Les variables de température, de pression et de débit devront reposer sur un modèle cohérent, documenté et vérifiable. Les hypothèses du modèle devront être énoncées, pour distinguer la simulation universitaire d’un modèle représentant réellement Gentilly-2.</w:t>
      </w:r>
    </w:p>
    <w:p w14:paraId="305F63F0" w14:textId="77777777" w:rsidR="00F50D70" w:rsidRPr="00BE4F47" w:rsidRDefault="00137D7F" w:rsidP="008E113B">
      <w:pPr>
        <w:spacing w:after="130" w:line="360" w:lineRule="auto"/>
        <w:ind w:left="360"/>
        <w:outlineLvl w:val="9"/>
        <w:rPr>
          <w:rFonts w:ascii="Aptos" w:hAnsi="Aptos"/>
        </w:rPr>
      </w:pPr>
      <w:r w:rsidRPr="00BE4F47">
        <w:rPr>
          <w:rFonts w:ascii="Aptos" w:hAnsi="Aptos"/>
          <w:b/>
          <w:color w:val="1A1A19"/>
          <w:sz w:val="20"/>
          <w:szCs w:val="20"/>
        </w:rPr>
        <w:t xml:space="preserve">La crédibilité du modèle. </w:t>
      </w:r>
      <w:r w:rsidRPr="00BE4F47">
        <w:rPr>
          <w:rFonts w:ascii="Aptos" w:hAnsi="Aptos"/>
          <w:color w:val="1A1A19"/>
          <w:sz w:val="20"/>
          <w:szCs w:val="20"/>
        </w:rPr>
        <w:t>La vérification montre que le programme est correct. La validation montre que le modèle représente le système physique. Les deux sont nécessaires. ASME V&amp;V 20 [31] décompose l’écart entre le modèle et la référence en erreur numérique, erreur de modélisation et incertitude des données de référence, puis donne la méthode pour les combiner en une incertitude de validation. Cette méthode suppose des données expérimentales, dont le projet ne dispose pas : la comparaison entre deux modèles numériques établit leur cohérence, pas la fidélité au système physique réel. Les conclusions du rapport final s’en tiendront donc à la vérification numérique et à la cohérence avec une référence justifiée. L’incertitude ainsi obtenue servira à interpréter un écart et déterminera le contenu de la campagne d’essais.</w:t>
      </w:r>
    </w:p>
    <w:p w14:paraId="45CBD80C" w14:textId="77777777" w:rsidR="00F50D70" w:rsidRPr="00BE4F47" w:rsidRDefault="00137D7F" w:rsidP="008E113B">
      <w:pPr>
        <w:spacing w:after="130" w:line="360" w:lineRule="auto"/>
        <w:ind w:left="360"/>
        <w:outlineLvl w:val="9"/>
        <w:rPr>
          <w:rFonts w:ascii="Aptos" w:hAnsi="Aptos" w:cs="Calibri"/>
        </w:rPr>
      </w:pPr>
      <w:r w:rsidRPr="00BE4F47">
        <w:rPr>
          <w:rFonts w:ascii="Aptos" w:hAnsi="Aptos"/>
          <w:color w:val="1A1A19"/>
          <w:sz w:val="20"/>
          <w:szCs w:val="20"/>
        </w:rPr>
        <w:t>La norme IEEE 1012 [32] fixe le contenu du plan de vérification et de validation, ainsi que le degré d’indépendance exigé entre la personne qui développe une fonction et celle qui la vérifie.</w:t>
      </w:r>
    </w:p>
    <w:p w14:paraId="525FEC34" w14:textId="77777777" w:rsidR="00F50D70" w:rsidRPr="00BE4F47" w:rsidRDefault="00137D7F" w:rsidP="008E113B">
      <w:pPr>
        <w:spacing w:after="130" w:line="360" w:lineRule="auto"/>
        <w:ind w:left="360"/>
        <w:outlineLvl w:val="9"/>
        <w:rPr>
          <w:rFonts w:ascii="Aptos" w:hAnsi="Aptos"/>
        </w:rPr>
      </w:pPr>
      <w:r w:rsidRPr="00BE4F47">
        <w:rPr>
          <w:rFonts w:ascii="Aptos" w:hAnsi="Aptos"/>
          <w:b/>
          <w:color w:val="1A1A19"/>
          <w:sz w:val="20"/>
          <w:szCs w:val="20"/>
        </w:rPr>
        <w:t xml:space="preserve">L’architecture. </w:t>
      </w:r>
      <w:r w:rsidRPr="00BE4F47">
        <w:rPr>
          <w:rFonts w:ascii="Aptos" w:hAnsi="Aptos"/>
          <w:color w:val="1A1A19"/>
          <w:sz w:val="20"/>
          <w:szCs w:val="20"/>
        </w:rPr>
        <w:t xml:space="preserve">Les normes relatives au cycle de vie des systèmes [26], au cycle de vie du logiciel [3] et au cadre du jumeau numérique [27] conduiront à séparer les fonctions du prototype : boucle simulée, acquisition des données, jumeau numérique, analyse, interface d’aide à la décision. Cette </w:t>
      </w:r>
      <w:r w:rsidRPr="00BE4F47">
        <w:rPr>
          <w:rFonts w:ascii="Aptos" w:hAnsi="Aptos"/>
          <w:color w:val="1A1A19"/>
          <w:sz w:val="20"/>
          <w:szCs w:val="20"/>
        </w:rPr>
        <w:lastRenderedPageBreak/>
        <w:t>séparation facilitera le développement, les essais et la validation de chaque fonction indépendamment.</w:t>
      </w:r>
    </w:p>
    <w:p w14:paraId="0EC1B511" w14:textId="77777777" w:rsidR="00F50D70" w:rsidRPr="00B03F2E" w:rsidRDefault="00137D7F" w:rsidP="008E113B">
      <w:pPr>
        <w:spacing w:after="130" w:line="360" w:lineRule="auto"/>
        <w:ind w:left="360"/>
        <w:rPr>
          <w:rFonts w:ascii="Aptos" w:eastAsia="Calibri" w:hAnsi="Aptos" w:cs="Calibri"/>
          <w:color w:val="1A1A19"/>
          <w:sz w:val="20"/>
          <w:szCs w:val="20"/>
        </w:rPr>
      </w:pPr>
      <w:bookmarkStart w:id="786" w:name="_Toc241083015"/>
      <w:bookmarkStart w:id="787" w:name="_Toc241670183"/>
      <w:bookmarkStart w:id="788" w:name="_Toc241707891"/>
      <w:bookmarkStart w:id="789" w:name="_Toc241791840"/>
      <w:r w:rsidRPr="00BE4F47">
        <w:rPr>
          <w:rFonts w:ascii="Aptos" w:hAnsi="Aptos"/>
          <w:b/>
          <w:color w:val="1A1A19"/>
          <w:sz w:val="20"/>
          <w:szCs w:val="20"/>
        </w:rPr>
        <w:t xml:space="preserve">La cybersécurité. </w:t>
      </w:r>
      <w:r w:rsidRPr="00BE4F47">
        <w:rPr>
          <w:rFonts w:ascii="Aptos" w:hAnsi="Aptos"/>
          <w:color w:val="1A1A19"/>
          <w:sz w:val="20"/>
          <w:szCs w:val="20"/>
        </w:rPr>
        <w:t>Les normes de cybersécurité [24], [34], [35], [40] conduiront à intégrer plusieurs principes dans la conception :</w:t>
      </w:r>
      <w:bookmarkEnd w:id="786"/>
      <w:bookmarkEnd w:id="787"/>
      <w:bookmarkEnd w:id="788"/>
      <w:bookmarkEnd w:id="789"/>
    </w:p>
    <w:p w14:paraId="384C0440" w14:textId="77777777" w:rsidR="00F50D70" w:rsidRPr="00B03F2E" w:rsidRDefault="00137D7F" w:rsidP="008E113B">
      <w:pPr>
        <w:numPr>
          <w:ilvl w:val="0"/>
          <w:numId w:val="20"/>
        </w:numPr>
        <w:spacing w:after="130" w:line="360" w:lineRule="auto"/>
        <w:ind w:left="720"/>
        <w:rPr>
          <w:rFonts w:ascii="Aptos" w:eastAsia="Calibri" w:hAnsi="Aptos" w:cs="Calibri"/>
          <w:color w:val="1A1A19"/>
          <w:sz w:val="20"/>
          <w:szCs w:val="20"/>
        </w:rPr>
      </w:pPr>
      <w:bookmarkStart w:id="790" w:name="_Toc241083016"/>
      <w:bookmarkStart w:id="791" w:name="_Toc241670184"/>
      <w:bookmarkStart w:id="792" w:name="_Toc241707892"/>
      <w:bookmarkStart w:id="793" w:name="_Toc241791841"/>
      <w:proofErr w:type="gramStart"/>
      <w:r w:rsidRPr="00BE4F47">
        <w:rPr>
          <w:rFonts w:ascii="Aptos" w:hAnsi="Aptos"/>
          <w:color w:val="1A1A19"/>
          <w:sz w:val="20"/>
          <w:szCs w:val="20"/>
        </w:rPr>
        <w:t>protection</w:t>
      </w:r>
      <w:proofErr w:type="gramEnd"/>
      <w:r w:rsidRPr="00BE4F47">
        <w:rPr>
          <w:rFonts w:ascii="Aptos" w:hAnsi="Aptos"/>
          <w:color w:val="1A1A19"/>
          <w:sz w:val="20"/>
          <w:szCs w:val="20"/>
        </w:rPr>
        <w:t xml:space="preserve"> de l’intégrité des données.</w:t>
      </w:r>
      <w:bookmarkEnd w:id="790"/>
      <w:bookmarkEnd w:id="791"/>
      <w:bookmarkEnd w:id="792"/>
      <w:bookmarkEnd w:id="793"/>
    </w:p>
    <w:p w14:paraId="710CFDBF" w14:textId="77777777" w:rsidR="00F50D70" w:rsidRPr="00B03F2E" w:rsidRDefault="00137D7F" w:rsidP="008E113B">
      <w:pPr>
        <w:numPr>
          <w:ilvl w:val="0"/>
          <w:numId w:val="20"/>
        </w:numPr>
        <w:spacing w:after="130" w:line="360" w:lineRule="auto"/>
        <w:ind w:left="720"/>
        <w:rPr>
          <w:rFonts w:ascii="Aptos" w:eastAsia="Calibri" w:hAnsi="Aptos" w:cs="Calibri"/>
          <w:color w:val="1A1A19"/>
          <w:sz w:val="20"/>
          <w:szCs w:val="20"/>
        </w:rPr>
      </w:pPr>
      <w:bookmarkStart w:id="794" w:name="_Toc241083017"/>
      <w:bookmarkStart w:id="795" w:name="_Toc241670185"/>
      <w:bookmarkStart w:id="796" w:name="_Toc241707893"/>
      <w:bookmarkStart w:id="797" w:name="_Toc241791842"/>
      <w:proofErr w:type="gramStart"/>
      <w:r w:rsidRPr="00BE4F47">
        <w:rPr>
          <w:rFonts w:ascii="Aptos" w:hAnsi="Aptos"/>
          <w:color w:val="1A1A19"/>
          <w:sz w:val="20"/>
          <w:szCs w:val="20"/>
        </w:rPr>
        <w:t>contrôle</w:t>
      </w:r>
      <w:proofErr w:type="gramEnd"/>
      <w:r w:rsidRPr="00BE4F47">
        <w:rPr>
          <w:rFonts w:ascii="Aptos" w:hAnsi="Aptos"/>
          <w:color w:val="1A1A19"/>
          <w:sz w:val="20"/>
          <w:szCs w:val="20"/>
        </w:rPr>
        <w:t xml:space="preserve"> des accès.</w:t>
      </w:r>
      <w:bookmarkEnd w:id="794"/>
      <w:bookmarkEnd w:id="795"/>
      <w:bookmarkEnd w:id="796"/>
      <w:bookmarkEnd w:id="797"/>
    </w:p>
    <w:p w14:paraId="12C935C0" w14:textId="77777777" w:rsidR="00F50D70" w:rsidRPr="00B03F2E" w:rsidRDefault="00137D7F" w:rsidP="008E113B">
      <w:pPr>
        <w:numPr>
          <w:ilvl w:val="0"/>
          <w:numId w:val="20"/>
        </w:numPr>
        <w:spacing w:after="130" w:line="360" w:lineRule="auto"/>
        <w:ind w:left="720"/>
        <w:rPr>
          <w:rFonts w:ascii="Aptos" w:eastAsia="Calibri" w:hAnsi="Aptos" w:cs="Calibri"/>
          <w:color w:val="1A1A19"/>
          <w:sz w:val="20"/>
          <w:szCs w:val="20"/>
        </w:rPr>
      </w:pPr>
      <w:bookmarkStart w:id="798" w:name="_Toc241083018"/>
      <w:bookmarkStart w:id="799" w:name="_Toc241670186"/>
      <w:bookmarkStart w:id="800" w:name="_Toc241707894"/>
      <w:bookmarkStart w:id="801" w:name="_Toc241791843"/>
      <w:proofErr w:type="gramStart"/>
      <w:r w:rsidRPr="00BE4F47">
        <w:rPr>
          <w:rFonts w:ascii="Aptos" w:hAnsi="Aptos"/>
          <w:color w:val="1A1A19"/>
          <w:sz w:val="20"/>
          <w:szCs w:val="20"/>
        </w:rPr>
        <w:t>journalisation</w:t>
      </w:r>
      <w:proofErr w:type="gramEnd"/>
      <w:r w:rsidRPr="00BE4F47">
        <w:rPr>
          <w:rFonts w:ascii="Aptos" w:hAnsi="Aptos"/>
          <w:color w:val="1A1A19"/>
          <w:sz w:val="20"/>
          <w:szCs w:val="20"/>
        </w:rPr>
        <w:t xml:space="preserve"> des événements.</w:t>
      </w:r>
      <w:bookmarkEnd w:id="798"/>
      <w:bookmarkEnd w:id="799"/>
      <w:bookmarkEnd w:id="800"/>
      <w:bookmarkEnd w:id="801"/>
    </w:p>
    <w:p w14:paraId="4C1FC098" w14:textId="77777777" w:rsidR="00F50D70" w:rsidRPr="00B03F2E" w:rsidRDefault="00137D7F" w:rsidP="008E113B">
      <w:pPr>
        <w:numPr>
          <w:ilvl w:val="0"/>
          <w:numId w:val="20"/>
        </w:numPr>
        <w:spacing w:after="130" w:line="360" w:lineRule="auto"/>
        <w:ind w:left="720"/>
        <w:rPr>
          <w:rFonts w:ascii="Aptos" w:eastAsia="Calibri" w:hAnsi="Aptos" w:cs="Calibri"/>
          <w:color w:val="1A1A19"/>
          <w:sz w:val="20"/>
          <w:szCs w:val="20"/>
        </w:rPr>
      </w:pPr>
      <w:bookmarkStart w:id="802" w:name="_Toc241083019"/>
      <w:bookmarkStart w:id="803" w:name="_Toc241670187"/>
      <w:bookmarkStart w:id="804" w:name="_Toc241707895"/>
      <w:bookmarkStart w:id="805" w:name="_Toc241791844"/>
      <w:proofErr w:type="gramStart"/>
      <w:r w:rsidRPr="00BE4F47">
        <w:rPr>
          <w:rFonts w:ascii="Aptos" w:hAnsi="Aptos"/>
          <w:color w:val="1A1A19"/>
          <w:sz w:val="20"/>
          <w:szCs w:val="20"/>
        </w:rPr>
        <w:t>surveillance</w:t>
      </w:r>
      <w:proofErr w:type="gramEnd"/>
      <w:r w:rsidRPr="00BE4F47">
        <w:rPr>
          <w:rFonts w:ascii="Aptos" w:hAnsi="Aptos"/>
          <w:color w:val="1A1A19"/>
          <w:sz w:val="20"/>
          <w:szCs w:val="20"/>
        </w:rPr>
        <w:t xml:space="preserve"> des communications.</w:t>
      </w:r>
      <w:bookmarkEnd w:id="802"/>
      <w:bookmarkEnd w:id="803"/>
      <w:bookmarkEnd w:id="804"/>
      <w:bookmarkEnd w:id="805"/>
    </w:p>
    <w:p w14:paraId="792C69BF" w14:textId="77777777" w:rsidR="00F50D70" w:rsidRPr="00B03F2E" w:rsidRDefault="00137D7F" w:rsidP="008E113B">
      <w:pPr>
        <w:numPr>
          <w:ilvl w:val="0"/>
          <w:numId w:val="20"/>
        </w:numPr>
        <w:spacing w:after="130" w:line="360" w:lineRule="auto"/>
        <w:ind w:left="720"/>
        <w:rPr>
          <w:rFonts w:ascii="Aptos" w:eastAsia="Calibri" w:hAnsi="Aptos" w:cs="Calibri"/>
          <w:color w:val="1A1A19"/>
          <w:sz w:val="20"/>
          <w:szCs w:val="20"/>
        </w:rPr>
      </w:pPr>
      <w:bookmarkStart w:id="806" w:name="_Toc241083020"/>
      <w:bookmarkStart w:id="807" w:name="_Toc241670188"/>
      <w:bookmarkStart w:id="808" w:name="_Toc241707896"/>
      <w:bookmarkStart w:id="809" w:name="_Toc241791845"/>
      <w:proofErr w:type="gramStart"/>
      <w:r w:rsidRPr="00BE4F47">
        <w:rPr>
          <w:rFonts w:ascii="Aptos" w:hAnsi="Aptos"/>
          <w:color w:val="1A1A19"/>
          <w:sz w:val="20"/>
          <w:szCs w:val="20"/>
        </w:rPr>
        <w:t>identification</w:t>
      </w:r>
      <w:proofErr w:type="gramEnd"/>
      <w:r w:rsidRPr="00BE4F47">
        <w:rPr>
          <w:rFonts w:ascii="Aptos" w:hAnsi="Aptos"/>
          <w:color w:val="1A1A19"/>
          <w:sz w:val="20"/>
          <w:szCs w:val="20"/>
        </w:rPr>
        <w:t xml:space="preserve"> des données incohérentes.</w:t>
      </w:r>
      <w:bookmarkEnd w:id="806"/>
      <w:bookmarkEnd w:id="807"/>
      <w:bookmarkEnd w:id="808"/>
      <w:bookmarkEnd w:id="809"/>
    </w:p>
    <w:p w14:paraId="37E1BF1F" w14:textId="77777777" w:rsidR="00F50D70" w:rsidRPr="00B03F2E" w:rsidRDefault="00137D7F" w:rsidP="008E113B">
      <w:pPr>
        <w:numPr>
          <w:ilvl w:val="0"/>
          <w:numId w:val="20"/>
        </w:numPr>
        <w:spacing w:after="130" w:line="360" w:lineRule="auto"/>
        <w:ind w:left="720"/>
        <w:rPr>
          <w:rFonts w:ascii="Aptos" w:eastAsia="Calibri" w:hAnsi="Aptos" w:cs="Calibri"/>
          <w:color w:val="1A1A19"/>
          <w:sz w:val="20"/>
          <w:szCs w:val="20"/>
        </w:rPr>
      </w:pPr>
      <w:bookmarkStart w:id="810" w:name="_Toc241083021"/>
      <w:bookmarkStart w:id="811" w:name="_Toc241670189"/>
      <w:bookmarkStart w:id="812" w:name="_Toc241707897"/>
      <w:bookmarkStart w:id="813" w:name="_Toc241791846"/>
      <w:proofErr w:type="gramStart"/>
      <w:r w:rsidRPr="00BE4F47">
        <w:rPr>
          <w:rFonts w:ascii="Aptos" w:hAnsi="Aptos"/>
          <w:color w:val="1A1A19"/>
          <w:sz w:val="20"/>
          <w:szCs w:val="20"/>
        </w:rPr>
        <w:t>détection</w:t>
      </w:r>
      <w:proofErr w:type="gramEnd"/>
      <w:r w:rsidRPr="00BE4F47">
        <w:rPr>
          <w:rFonts w:ascii="Aptos" w:hAnsi="Aptos"/>
          <w:color w:val="1A1A19"/>
          <w:sz w:val="20"/>
          <w:szCs w:val="20"/>
        </w:rPr>
        <w:t xml:space="preserve"> d’une perte de communication.</w:t>
      </w:r>
      <w:bookmarkEnd w:id="810"/>
      <w:bookmarkEnd w:id="811"/>
      <w:bookmarkEnd w:id="812"/>
      <w:bookmarkEnd w:id="813"/>
    </w:p>
    <w:p w14:paraId="6A6DD01E" w14:textId="77777777" w:rsidR="00F50D70" w:rsidRPr="00B03F2E" w:rsidRDefault="00137D7F" w:rsidP="008E113B">
      <w:pPr>
        <w:numPr>
          <w:ilvl w:val="0"/>
          <w:numId w:val="20"/>
        </w:numPr>
        <w:spacing w:after="130" w:line="360" w:lineRule="auto"/>
        <w:ind w:left="720"/>
        <w:rPr>
          <w:rFonts w:ascii="Aptos" w:eastAsia="Calibri" w:hAnsi="Aptos" w:cs="Calibri"/>
          <w:color w:val="1A1A19"/>
          <w:sz w:val="20"/>
          <w:szCs w:val="20"/>
        </w:rPr>
      </w:pPr>
      <w:bookmarkStart w:id="814" w:name="_Toc241083022"/>
      <w:bookmarkStart w:id="815" w:name="_Toc241670190"/>
      <w:bookmarkStart w:id="816" w:name="_Toc241707898"/>
      <w:bookmarkStart w:id="817" w:name="_Toc241791847"/>
      <w:proofErr w:type="gramStart"/>
      <w:r w:rsidRPr="00BE4F47">
        <w:rPr>
          <w:rFonts w:ascii="Aptos" w:hAnsi="Aptos"/>
          <w:color w:val="1A1A19"/>
          <w:sz w:val="20"/>
          <w:szCs w:val="20"/>
        </w:rPr>
        <w:t>fonctionnement</w:t>
      </w:r>
      <w:proofErr w:type="gramEnd"/>
      <w:r w:rsidRPr="00BE4F47">
        <w:rPr>
          <w:rFonts w:ascii="Aptos" w:hAnsi="Aptos"/>
          <w:color w:val="1A1A19"/>
          <w:sz w:val="20"/>
          <w:szCs w:val="20"/>
        </w:rPr>
        <w:t xml:space="preserve"> contrôlé lorsque certaines informations deviennent indisponibles.</w:t>
      </w:r>
      <w:bookmarkEnd w:id="814"/>
      <w:bookmarkEnd w:id="815"/>
      <w:bookmarkEnd w:id="816"/>
      <w:bookmarkEnd w:id="817"/>
    </w:p>
    <w:p w14:paraId="1A6F77BC" w14:textId="77777777" w:rsidR="00F50D70" w:rsidRPr="00BE4F47" w:rsidRDefault="00137D7F" w:rsidP="008E113B">
      <w:pPr>
        <w:spacing w:after="130" w:line="360" w:lineRule="auto"/>
        <w:ind w:left="360"/>
        <w:rPr>
          <w:rFonts w:ascii="Aptos" w:hAnsi="Aptos"/>
        </w:rPr>
      </w:pPr>
      <w:bookmarkStart w:id="818" w:name="_Toc241083023"/>
      <w:bookmarkStart w:id="819" w:name="_Toc241670191"/>
      <w:bookmarkStart w:id="820" w:name="_Toc241707899"/>
      <w:bookmarkStart w:id="821" w:name="_Toc241791848"/>
      <w:r w:rsidRPr="00BE4F47">
        <w:rPr>
          <w:rFonts w:ascii="Aptos" w:hAnsi="Aptos"/>
          <w:color w:val="1A1A19"/>
          <w:sz w:val="20"/>
          <w:szCs w:val="20"/>
        </w:rPr>
        <w:t>Le prototype devra signaler une information incertaine ou indisponible au lieu de la présenter comme fiable (EX-F-06). La norme IEC 62859 [36] ajoute une contrainte que les autres n’imposent pas : une mesure de cybersécurité ne doit jamais empêcher l’opérateur de percevoir l’état réel du système. Une coupure de flux décidée pour des motifs de sécurité doit donc être signalée, et non silencieuse.</w:t>
      </w:r>
      <w:bookmarkEnd w:id="818"/>
      <w:bookmarkEnd w:id="819"/>
      <w:bookmarkEnd w:id="820"/>
      <w:bookmarkEnd w:id="821"/>
    </w:p>
    <w:p w14:paraId="4378735E" w14:textId="77777777" w:rsidR="00F50D70" w:rsidRPr="00B03F2E" w:rsidRDefault="00137D7F" w:rsidP="008E113B">
      <w:pPr>
        <w:spacing w:after="130" w:line="360" w:lineRule="auto"/>
        <w:ind w:left="360"/>
        <w:rPr>
          <w:rFonts w:ascii="Aptos" w:eastAsia="Calibri" w:hAnsi="Aptos" w:cs="Calibri"/>
          <w:color w:val="1A1A19"/>
          <w:sz w:val="20"/>
          <w:szCs w:val="20"/>
        </w:rPr>
      </w:pPr>
      <w:bookmarkStart w:id="822" w:name="_Toc241083024"/>
      <w:bookmarkStart w:id="823" w:name="_Toc241670192"/>
      <w:bookmarkStart w:id="824" w:name="_Toc241707900"/>
      <w:bookmarkStart w:id="825" w:name="_Toc241791849"/>
      <w:r w:rsidRPr="00BE4F47">
        <w:rPr>
          <w:rFonts w:ascii="Aptos" w:hAnsi="Aptos"/>
          <w:b/>
          <w:color w:val="1A1A19"/>
          <w:sz w:val="20"/>
          <w:szCs w:val="20"/>
        </w:rPr>
        <w:t xml:space="preserve">L’interface. </w:t>
      </w:r>
      <w:r w:rsidRPr="00BE4F47">
        <w:rPr>
          <w:rFonts w:ascii="Aptos" w:hAnsi="Aptos"/>
          <w:color w:val="1A1A19"/>
          <w:sz w:val="20"/>
          <w:szCs w:val="20"/>
        </w:rPr>
        <w:t>Le jumeau numérique reste un outil d’aide à la décision. Selon les principes de conception centrée sur l’humain [33], l’interface devra présenter clairement :</w:t>
      </w:r>
      <w:bookmarkEnd w:id="822"/>
      <w:bookmarkEnd w:id="823"/>
      <w:bookmarkEnd w:id="824"/>
      <w:bookmarkEnd w:id="825"/>
    </w:p>
    <w:p w14:paraId="7EEEA587" w14:textId="77777777" w:rsidR="00F50D70" w:rsidRPr="00B03F2E" w:rsidRDefault="00137D7F" w:rsidP="008E113B">
      <w:pPr>
        <w:numPr>
          <w:ilvl w:val="0"/>
          <w:numId w:val="20"/>
        </w:numPr>
        <w:spacing w:after="130" w:line="360" w:lineRule="auto"/>
        <w:ind w:left="720"/>
        <w:rPr>
          <w:rFonts w:ascii="Aptos" w:eastAsia="Calibri" w:hAnsi="Aptos" w:cs="Calibri"/>
          <w:color w:val="1A1A19"/>
          <w:sz w:val="20"/>
          <w:szCs w:val="20"/>
        </w:rPr>
      </w:pPr>
      <w:bookmarkStart w:id="826" w:name="_Toc241083025"/>
      <w:bookmarkStart w:id="827" w:name="_Toc241670193"/>
      <w:bookmarkStart w:id="828" w:name="_Toc241707901"/>
      <w:bookmarkStart w:id="829" w:name="_Toc241791850"/>
      <w:proofErr w:type="gramStart"/>
      <w:r w:rsidRPr="00BE4F47">
        <w:rPr>
          <w:rFonts w:ascii="Aptos" w:hAnsi="Aptos"/>
          <w:color w:val="1A1A19"/>
          <w:sz w:val="20"/>
          <w:szCs w:val="20"/>
        </w:rPr>
        <w:t>l’état</w:t>
      </w:r>
      <w:proofErr w:type="gramEnd"/>
      <w:r w:rsidRPr="00BE4F47">
        <w:rPr>
          <w:rFonts w:ascii="Aptos" w:hAnsi="Aptos"/>
          <w:color w:val="1A1A19"/>
          <w:sz w:val="20"/>
          <w:szCs w:val="20"/>
        </w:rPr>
        <w:t xml:space="preserve"> de la boucle simulée.</w:t>
      </w:r>
      <w:bookmarkEnd w:id="826"/>
      <w:bookmarkEnd w:id="827"/>
      <w:bookmarkEnd w:id="828"/>
      <w:bookmarkEnd w:id="829"/>
    </w:p>
    <w:p w14:paraId="245117B8" w14:textId="77777777" w:rsidR="00F50D70" w:rsidRPr="00B03F2E" w:rsidRDefault="00137D7F" w:rsidP="008E113B">
      <w:pPr>
        <w:numPr>
          <w:ilvl w:val="0"/>
          <w:numId w:val="20"/>
        </w:numPr>
        <w:spacing w:after="130" w:line="360" w:lineRule="auto"/>
        <w:ind w:left="720"/>
        <w:rPr>
          <w:rFonts w:ascii="Aptos" w:eastAsia="Calibri" w:hAnsi="Aptos" w:cs="Calibri"/>
          <w:color w:val="1A1A19"/>
          <w:sz w:val="20"/>
          <w:szCs w:val="20"/>
        </w:rPr>
      </w:pPr>
      <w:bookmarkStart w:id="830" w:name="_Toc241083026"/>
      <w:bookmarkStart w:id="831" w:name="_Toc241670194"/>
      <w:bookmarkStart w:id="832" w:name="_Toc241707902"/>
      <w:bookmarkStart w:id="833" w:name="_Toc241791851"/>
      <w:proofErr w:type="gramStart"/>
      <w:r w:rsidRPr="00BE4F47">
        <w:rPr>
          <w:rFonts w:ascii="Aptos" w:hAnsi="Aptos"/>
          <w:color w:val="1A1A19"/>
          <w:sz w:val="20"/>
          <w:szCs w:val="20"/>
        </w:rPr>
        <w:t>les</w:t>
      </w:r>
      <w:proofErr w:type="gramEnd"/>
      <w:r w:rsidRPr="00BE4F47">
        <w:rPr>
          <w:rFonts w:ascii="Aptos" w:hAnsi="Aptos"/>
          <w:color w:val="1A1A19"/>
          <w:sz w:val="20"/>
          <w:szCs w:val="20"/>
        </w:rPr>
        <w:t xml:space="preserve"> valeurs importantes.</w:t>
      </w:r>
      <w:bookmarkEnd w:id="830"/>
      <w:bookmarkEnd w:id="831"/>
      <w:bookmarkEnd w:id="832"/>
      <w:bookmarkEnd w:id="833"/>
    </w:p>
    <w:p w14:paraId="5607A211" w14:textId="77777777" w:rsidR="00F50D70" w:rsidRPr="00B03F2E" w:rsidRDefault="00137D7F" w:rsidP="008E113B">
      <w:pPr>
        <w:numPr>
          <w:ilvl w:val="0"/>
          <w:numId w:val="20"/>
        </w:numPr>
        <w:spacing w:after="130" w:line="360" w:lineRule="auto"/>
        <w:ind w:left="720"/>
        <w:rPr>
          <w:rFonts w:ascii="Aptos" w:eastAsia="Calibri" w:hAnsi="Aptos" w:cs="Calibri"/>
          <w:color w:val="1A1A19"/>
          <w:sz w:val="20"/>
          <w:szCs w:val="20"/>
        </w:rPr>
      </w:pPr>
      <w:bookmarkStart w:id="834" w:name="_Toc241083027"/>
      <w:bookmarkStart w:id="835" w:name="_Toc241670195"/>
      <w:bookmarkStart w:id="836" w:name="_Toc241707903"/>
      <w:bookmarkStart w:id="837" w:name="_Toc241791852"/>
      <w:proofErr w:type="gramStart"/>
      <w:r w:rsidRPr="00BE4F47">
        <w:rPr>
          <w:rFonts w:ascii="Aptos" w:hAnsi="Aptos"/>
          <w:color w:val="1A1A19"/>
          <w:sz w:val="20"/>
          <w:szCs w:val="20"/>
        </w:rPr>
        <w:t>les</w:t>
      </w:r>
      <w:proofErr w:type="gramEnd"/>
      <w:r w:rsidRPr="00BE4F47">
        <w:rPr>
          <w:rFonts w:ascii="Aptos" w:hAnsi="Aptos"/>
          <w:color w:val="1A1A19"/>
          <w:sz w:val="20"/>
          <w:szCs w:val="20"/>
        </w:rPr>
        <w:t xml:space="preserve"> anomalies détectées.</w:t>
      </w:r>
      <w:bookmarkEnd w:id="834"/>
      <w:bookmarkEnd w:id="835"/>
      <w:bookmarkEnd w:id="836"/>
      <w:bookmarkEnd w:id="837"/>
    </w:p>
    <w:p w14:paraId="7DE1572A" w14:textId="77777777" w:rsidR="00F50D70" w:rsidRPr="00B03F2E" w:rsidRDefault="00137D7F" w:rsidP="008E113B">
      <w:pPr>
        <w:numPr>
          <w:ilvl w:val="0"/>
          <w:numId w:val="20"/>
        </w:numPr>
        <w:spacing w:after="130" w:line="360" w:lineRule="auto"/>
        <w:ind w:left="720"/>
        <w:rPr>
          <w:rFonts w:ascii="Aptos" w:eastAsia="Calibri" w:hAnsi="Aptos" w:cs="Calibri"/>
          <w:color w:val="1A1A19"/>
          <w:sz w:val="20"/>
          <w:szCs w:val="20"/>
        </w:rPr>
      </w:pPr>
      <w:bookmarkStart w:id="838" w:name="_Toc241083028"/>
      <w:bookmarkStart w:id="839" w:name="_Toc241670196"/>
      <w:bookmarkStart w:id="840" w:name="_Toc241707904"/>
      <w:bookmarkStart w:id="841" w:name="_Toc241791853"/>
      <w:proofErr w:type="gramStart"/>
      <w:r w:rsidRPr="00BE4F47">
        <w:rPr>
          <w:rFonts w:ascii="Aptos" w:hAnsi="Aptos"/>
          <w:color w:val="1A1A19"/>
          <w:sz w:val="20"/>
          <w:szCs w:val="20"/>
        </w:rPr>
        <w:t>les</w:t>
      </w:r>
      <w:proofErr w:type="gramEnd"/>
      <w:r w:rsidRPr="00BE4F47">
        <w:rPr>
          <w:rFonts w:ascii="Aptos" w:hAnsi="Aptos"/>
          <w:color w:val="1A1A19"/>
          <w:sz w:val="20"/>
          <w:szCs w:val="20"/>
        </w:rPr>
        <w:t xml:space="preserve"> alertes.</w:t>
      </w:r>
      <w:bookmarkEnd w:id="838"/>
      <w:bookmarkEnd w:id="839"/>
      <w:bookmarkEnd w:id="840"/>
      <w:bookmarkEnd w:id="841"/>
    </w:p>
    <w:p w14:paraId="48D9E32A" w14:textId="77777777" w:rsidR="00F50D70" w:rsidRPr="00B03F2E" w:rsidRDefault="00137D7F" w:rsidP="008E113B">
      <w:pPr>
        <w:numPr>
          <w:ilvl w:val="0"/>
          <w:numId w:val="20"/>
        </w:numPr>
        <w:spacing w:after="130" w:line="360" w:lineRule="auto"/>
        <w:ind w:left="720"/>
        <w:rPr>
          <w:rFonts w:ascii="Aptos" w:eastAsia="Calibri" w:hAnsi="Aptos" w:cs="Calibri"/>
          <w:color w:val="1A1A19"/>
          <w:sz w:val="20"/>
          <w:szCs w:val="20"/>
        </w:rPr>
      </w:pPr>
      <w:bookmarkStart w:id="842" w:name="_Toc241083029"/>
      <w:bookmarkStart w:id="843" w:name="_Toc241670197"/>
      <w:bookmarkStart w:id="844" w:name="_Toc241707905"/>
      <w:bookmarkStart w:id="845" w:name="_Toc241791854"/>
      <w:proofErr w:type="gramStart"/>
      <w:r w:rsidRPr="00BE4F47">
        <w:rPr>
          <w:rFonts w:ascii="Aptos" w:hAnsi="Aptos"/>
          <w:color w:val="1A1A19"/>
          <w:sz w:val="20"/>
          <w:szCs w:val="20"/>
        </w:rPr>
        <w:t>les</w:t>
      </w:r>
      <w:proofErr w:type="gramEnd"/>
      <w:r w:rsidRPr="00BE4F47">
        <w:rPr>
          <w:rFonts w:ascii="Aptos" w:hAnsi="Aptos"/>
          <w:color w:val="1A1A19"/>
          <w:sz w:val="20"/>
          <w:szCs w:val="20"/>
        </w:rPr>
        <w:t xml:space="preserve"> informations manquantes.</w:t>
      </w:r>
      <w:bookmarkEnd w:id="842"/>
      <w:bookmarkEnd w:id="843"/>
      <w:bookmarkEnd w:id="844"/>
      <w:bookmarkEnd w:id="845"/>
    </w:p>
    <w:p w14:paraId="69EC944D" w14:textId="77777777" w:rsidR="00F50D70" w:rsidRPr="00B03F2E" w:rsidRDefault="00137D7F" w:rsidP="008E113B">
      <w:pPr>
        <w:numPr>
          <w:ilvl w:val="0"/>
          <w:numId w:val="20"/>
        </w:numPr>
        <w:spacing w:after="130" w:line="360" w:lineRule="auto"/>
        <w:ind w:left="720"/>
        <w:rPr>
          <w:rFonts w:ascii="Aptos" w:eastAsia="Calibri" w:hAnsi="Aptos" w:cs="Calibri"/>
          <w:color w:val="1A1A19"/>
          <w:sz w:val="20"/>
          <w:szCs w:val="20"/>
        </w:rPr>
      </w:pPr>
      <w:bookmarkStart w:id="846" w:name="_Toc241083030"/>
      <w:bookmarkStart w:id="847" w:name="_Toc241670198"/>
      <w:bookmarkStart w:id="848" w:name="_Toc241707906"/>
      <w:bookmarkStart w:id="849" w:name="_Toc241791855"/>
      <w:proofErr w:type="gramStart"/>
      <w:r w:rsidRPr="00BE4F47">
        <w:rPr>
          <w:rFonts w:ascii="Aptos" w:hAnsi="Aptos"/>
          <w:color w:val="1A1A19"/>
          <w:sz w:val="20"/>
          <w:szCs w:val="20"/>
        </w:rPr>
        <w:t>le</w:t>
      </w:r>
      <w:proofErr w:type="gramEnd"/>
      <w:r w:rsidRPr="00BE4F47">
        <w:rPr>
          <w:rFonts w:ascii="Aptos" w:hAnsi="Aptos"/>
          <w:color w:val="1A1A19"/>
          <w:sz w:val="20"/>
          <w:szCs w:val="20"/>
        </w:rPr>
        <w:t xml:space="preserve"> niveau d’incertitude lorsqu’il est pertinent.</w:t>
      </w:r>
      <w:bookmarkEnd w:id="846"/>
      <w:bookmarkEnd w:id="847"/>
      <w:bookmarkEnd w:id="848"/>
      <w:bookmarkEnd w:id="849"/>
    </w:p>
    <w:p w14:paraId="34024A34" w14:textId="77777777" w:rsidR="00F50D70" w:rsidRPr="00B03F2E" w:rsidRDefault="00137D7F" w:rsidP="008E113B">
      <w:pPr>
        <w:spacing w:after="130" w:line="360" w:lineRule="auto"/>
        <w:ind w:left="360"/>
        <w:rPr>
          <w:rFonts w:ascii="Aptos" w:eastAsia="Calibri" w:hAnsi="Aptos" w:cs="Calibri"/>
          <w:color w:val="1A1A19"/>
          <w:sz w:val="20"/>
          <w:szCs w:val="20"/>
        </w:rPr>
      </w:pPr>
      <w:bookmarkStart w:id="850" w:name="_Toc241083031"/>
      <w:bookmarkStart w:id="851" w:name="_Toc241670199"/>
      <w:bookmarkStart w:id="852" w:name="_Toc241707907"/>
      <w:bookmarkStart w:id="853" w:name="_Toc241791856"/>
      <w:r w:rsidRPr="00BE4F47">
        <w:rPr>
          <w:rFonts w:ascii="Aptos" w:hAnsi="Aptos"/>
          <w:color w:val="1A1A19"/>
          <w:sz w:val="20"/>
          <w:szCs w:val="20"/>
        </w:rPr>
        <w:t>La décision finale reste celle de l’opérateur (EX-F-08) et le prototype ne commandera aucune installation.</w:t>
      </w:r>
      <w:bookmarkEnd w:id="850"/>
      <w:bookmarkEnd w:id="851"/>
      <w:bookmarkEnd w:id="852"/>
      <w:bookmarkEnd w:id="853"/>
    </w:p>
    <w:p w14:paraId="03964FBD" w14:textId="77777777" w:rsidR="00F50D70" w:rsidRPr="00B03F2E" w:rsidRDefault="00137D7F" w:rsidP="008E113B">
      <w:pPr>
        <w:spacing w:after="130" w:line="360" w:lineRule="auto"/>
        <w:ind w:left="360"/>
        <w:rPr>
          <w:rFonts w:ascii="Aptos" w:eastAsia="Calibri" w:hAnsi="Aptos" w:cs="Calibri"/>
          <w:color w:val="1A1A19"/>
          <w:sz w:val="20"/>
          <w:szCs w:val="20"/>
        </w:rPr>
      </w:pPr>
      <w:bookmarkStart w:id="854" w:name="_Toc241083032"/>
      <w:bookmarkStart w:id="855" w:name="_Toc241670200"/>
      <w:bookmarkStart w:id="856" w:name="_Toc241707908"/>
      <w:bookmarkStart w:id="857" w:name="_Toc241791857"/>
      <w:r w:rsidRPr="00BE4F47">
        <w:rPr>
          <w:rFonts w:ascii="Aptos" w:hAnsi="Aptos"/>
          <w:b/>
          <w:color w:val="1A1A19"/>
          <w:sz w:val="20"/>
          <w:szCs w:val="20"/>
        </w:rPr>
        <w:t xml:space="preserve">La vérification et la validation. </w:t>
      </w:r>
      <w:r w:rsidRPr="00BE4F47">
        <w:rPr>
          <w:rFonts w:ascii="Aptos" w:hAnsi="Aptos"/>
          <w:color w:val="1A1A19"/>
          <w:sz w:val="20"/>
          <w:szCs w:val="20"/>
        </w:rPr>
        <w:t>Les exigences liées à la qualité logicielle [29], à la sûreté [37], [38], [39], à la gestion des risques [30] et à la validation des modèles [31], [32] conduiront à prévoir une campagne d’essais structurée :</w:t>
      </w:r>
      <w:bookmarkEnd w:id="854"/>
      <w:bookmarkEnd w:id="855"/>
      <w:bookmarkEnd w:id="856"/>
      <w:bookmarkEnd w:id="857"/>
    </w:p>
    <w:p w14:paraId="387DA5E1" w14:textId="77777777" w:rsidR="00F50D70" w:rsidRPr="00B03F2E" w:rsidRDefault="00137D7F" w:rsidP="008E113B">
      <w:pPr>
        <w:numPr>
          <w:ilvl w:val="0"/>
          <w:numId w:val="20"/>
        </w:numPr>
        <w:spacing w:after="130" w:line="360" w:lineRule="auto"/>
        <w:ind w:left="720"/>
        <w:rPr>
          <w:rFonts w:ascii="Aptos" w:eastAsia="Calibri" w:hAnsi="Aptos" w:cs="Calibri"/>
          <w:color w:val="1A1A19"/>
          <w:sz w:val="20"/>
          <w:szCs w:val="20"/>
        </w:rPr>
      </w:pPr>
      <w:bookmarkStart w:id="858" w:name="_Toc241083033"/>
      <w:bookmarkStart w:id="859" w:name="_Toc241670201"/>
      <w:bookmarkStart w:id="860" w:name="_Toc241707909"/>
      <w:bookmarkStart w:id="861" w:name="_Toc241791858"/>
      <w:proofErr w:type="gramStart"/>
      <w:r w:rsidRPr="00BE4F47">
        <w:rPr>
          <w:rFonts w:ascii="Aptos" w:hAnsi="Aptos"/>
          <w:color w:val="1A1A19"/>
          <w:sz w:val="20"/>
          <w:szCs w:val="20"/>
        </w:rPr>
        <w:t>essais</w:t>
      </w:r>
      <w:proofErr w:type="gramEnd"/>
      <w:r w:rsidRPr="00BE4F47">
        <w:rPr>
          <w:rFonts w:ascii="Aptos" w:hAnsi="Aptos"/>
          <w:color w:val="1A1A19"/>
          <w:sz w:val="20"/>
          <w:szCs w:val="20"/>
        </w:rPr>
        <w:t xml:space="preserve"> du fonctionnement normal.</w:t>
      </w:r>
      <w:bookmarkEnd w:id="858"/>
      <w:bookmarkEnd w:id="859"/>
      <w:bookmarkEnd w:id="860"/>
      <w:bookmarkEnd w:id="861"/>
    </w:p>
    <w:p w14:paraId="475186A0" w14:textId="77777777" w:rsidR="00F50D70" w:rsidRPr="00B03F2E" w:rsidRDefault="00137D7F" w:rsidP="008E113B">
      <w:pPr>
        <w:numPr>
          <w:ilvl w:val="0"/>
          <w:numId w:val="20"/>
        </w:numPr>
        <w:spacing w:after="130" w:line="360" w:lineRule="auto"/>
        <w:ind w:left="720"/>
        <w:rPr>
          <w:rFonts w:ascii="Aptos" w:eastAsia="Calibri" w:hAnsi="Aptos" w:cs="Calibri"/>
          <w:color w:val="1A1A19"/>
          <w:sz w:val="20"/>
          <w:szCs w:val="20"/>
        </w:rPr>
      </w:pPr>
      <w:bookmarkStart w:id="862" w:name="_Toc241083034"/>
      <w:bookmarkStart w:id="863" w:name="_Toc241670202"/>
      <w:bookmarkStart w:id="864" w:name="_Toc241707910"/>
      <w:bookmarkStart w:id="865" w:name="_Toc241791859"/>
      <w:proofErr w:type="gramStart"/>
      <w:r w:rsidRPr="00BE4F47">
        <w:rPr>
          <w:rFonts w:ascii="Aptos" w:hAnsi="Aptos"/>
          <w:color w:val="1A1A19"/>
          <w:sz w:val="20"/>
          <w:szCs w:val="20"/>
        </w:rPr>
        <w:t>essais</w:t>
      </w:r>
      <w:proofErr w:type="gramEnd"/>
      <w:r w:rsidRPr="00BE4F47">
        <w:rPr>
          <w:rFonts w:ascii="Aptos" w:hAnsi="Aptos"/>
          <w:color w:val="1A1A19"/>
          <w:sz w:val="20"/>
          <w:szCs w:val="20"/>
        </w:rPr>
        <w:t xml:space="preserve"> avec données anormales.</w:t>
      </w:r>
      <w:bookmarkEnd w:id="862"/>
      <w:bookmarkEnd w:id="863"/>
      <w:bookmarkEnd w:id="864"/>
      <w:bookmarkEnd w:id="865"/>
    </w:p>
    <w:p w14:paraId="1DA67275" w14:textId="77777777" w:rsidR="00F50D70" w:rsidRPr="00B03F2E" w:rsidRDefault="00137D7F" w:rsidP="008E113B">
      <w:pPr>
        <w:numPr>
          <w:ilvl w:val="0"/>
          <w:numId w:val="20"/>
        </w:numPr>
        <w:spacing w:after="130" w:line="360" w:lineRule="auto"/>
        <w:ind w:left="720"/>
        <w:rPr>
          <w:rFonts w:ascii="Aptos" w:eastAsia="Calibri" w:hAnsi="Aptos" w:cs="Calibri"/>
          <w:color w:val="1A1A19"/>
          <w:sz w:val="20"/>
          <w:szCs w:val="20"/>
        </w:rPr>
      </w:pPr>
      <w:bookmarkStart w:id="866" w:name="_Toc241083035"/>
      <w:bookmarkStart w:id="867" w:name="_Toc241670203"/>
      <w:bookmarkStart w:id="868" w:name="_Toc241707911"/>
      <w:bookmarkStart w:id="869" w:name="_Toc241791860"/>
      <w:proofErr w:type="gramStart"/>
      <w:r w:rsidRPr="00BE4F47">
        <w:rPr>
          <w:rFonts w:ascii="Aptos" w:hAnsi="Aptos"/>
          <w:color w:val="1A1A19"/>
          <w:sz w:val="20"/>
          <w:szCs w:val="20"/>
        </w:rPr>
        <w:lastRenderedPageBreak/>
        <w:t>essais</w:t>
      </w:r>
      <w:proofErr w:type="gramEnd"/>
      <w:r w:rsidRPr="00BE4F47">
        <w:rPr>
          <w:rFonts w:ascii="Aptos" w:hAnsi="Aptos"/>
          <w:color w:val="1A1A19"/>
          <w:sz w:val="20"/>
          <w:szCs w:val="20"/>
        </w:rPr>
        <w:t xml:space="preserve"> de perte de données ou de communication.</w:t>
      </w:r>
      <w:bookmarkEnd w:id="866"/>
      <w:bookmarkEnd w:id="867"/>
      <w:bookmarkEnd w:id="868"/>
      <w:bookmarkEnd w:id="869"/>
    </w:p>
    <w:p w14:paraId="1581AD2D" w14:textId="77777777" w:rsidR="00F50D70" w:rsidRPr="00B03F2E" w:rsidRDefault="00137D7F" w:rsidP="008E113B">
      <w:pPr>
        <w:numPr>
          <w:ilvl w:val="0"/>
          <w:numId w:val="20"/>
        </w:numPr>
        <w:spacing w:after="130" w:line="360" w:lineRule="auto"/>
        <w:ind w:left="720"/>
        <w:rPr>
          <w:rFonts w:ascii="Aptos" w:eastAsia="Calibri" w:hAnsi="Aptos" w:cs="Calibri"/>
          <w:color w:val="1A1A19"/>
          <w:sz w:val="20"/>
          <w:szCs w:val="20"/>
        </w:rPr>
      </w:pPr>
      <w:bookmarkStart w:id="870" w:name="_Toc241083036"/>
      <w:bookmarkStart w:id="871" w:name="_Toc241670204"/>
      <w:bookmarkStart w:id="872" w:name="_Toc241707912"/>
      <w:bookmarkStart w:id="873" w:name="_Toc241791861"/>
      <w:proofErr w:type="gramStart"/>
      <w:r w:rsidRPr="00BE4F47">
        <w:rPr>
          <w:rFonts w:ascii="Aptos" w:hAnsi="Aptos"/>
          <w:color w:val="1A1A19"/>
          <w:sz w:val="20"/>
          <w:szCs w:val="20"/>
        </w:rPr>
        <w:t>essais</w:t>
      </w:r>
      <w:proofErr w:type="gramEnd"/>
      <w:r w:rsidRPr="00BE4F47">
        <w:rPr>
          <w:rFonts w:ascii="Aptos" w:hAnsi="Aptos"/>
          <w:color w:val="1A1A19"/>
          <w:sz w:val="20"/>
          <w:szCs w:val="20"/>
        </w:rPr>
        <w:t xml:space="preserve"> des fonctions de détection et des alertes.</w:t>
      </w:r>
      <w:bookmarkEnd w:id="870"/>
      <w:bookmarkEnd w:id="871"/>
      <w:bookmarkEnd w:id="872"/>
      <w:bookmarkEnd w:id="873"/>
    </w:p>
    <w:p w14:paraId="2ADD5371" w14:textId="77777777" w:rsidR="00F50D70" w:rsidRPr="00B03F2E" w:rsidRDefault="00137D7F" w:rsidP="008E113B">
      <w:pPr>
        <w:numPr>
          <w:ilvl w:val="0"/>
          <w:numId w:val="20"/>
        </w:numPr>
        <w:spacing w:after="130" w:line="360" w:lineRule="auto"/>
        <w:ind w:left="720"/>
        <w:rPr>
          <w:rFonts w:ascii="Aptos" w:eastAsia="Calibri" w:hAnsi="Aptos" w:cs="Calibri"/>
          <w:color w:val="1A1A19"/>
          <w:sz w:val="20"/>
          <w:szCs w:val="20"/>
        </w:rPr>
      </w:pPr>
      <w:bookmarkStart w:id="874" w:name="_Toc241083037"/>
      <w:bookmarkStart w:id="875" w:name="_Toc241670205"/>
      <w:bookmarkStart w:id="876" w:name="_Toc241707913"/>
      <w:bookmarkStart w:id="877" w:name="_Toc241791862"/>
      <w:proofErr w:type="gramStart"/>
      <w:r w:rsidRPr="00BE4F47">
        <w:rPr>
          <w:rFonts w:ascii="Aptos" w:hAnsi="Aptos"/>
          <w:color w:val="1A1A19"/>
          <w:sz w:val="20"/>
          <w:szCs w:val="20"/>
        </w:rPr>
        <w:t>essais</w:t>
      </w:r>
      <w:proofErr w:type="gramEnd"/>
      <w:r w:rsidRPr="00BE4F47">
        <w:rPr>
          <w:rFonts w:ascii="Aptos" w:hAnsi="Aptos"/>
          <w:color w:val="1A1A19"/>
          <w:sz w:val="20"/>
          <w:szCs w:val="20"/>
        </w:rPr>
        <w:t xml:space="preserve"> de l’interface.</w:t>
      </w:r>
      <w:bookmarkEnd w:id="874"/>
      <w:bookmarkEnd w:id="875"/>
      <w:bookmarkEnd w:id="876"/>
      <w:bookmarkEnd w:id="877"/>
    </w:p>
    <w:p w14:paraId="59E0A4F8" w14:textId="77777777" w:rsidR="00F50D70" w:rsidRPr="00B03F2E" w:rsidRDefault="00137D7F" w:rsidP="008E113B">
      <w:pPr>
        <w:numPr>
          <w:ilvl w:val="0"/>
          <w:numId w:val="20"/>
        </w:numPr>
        <w:spacing w:after="130" w:line="360" w:lineRule="auto"/>
        <w:ind w:left="720"/>
        <w:rPr>
          <w:rFonts w:ascii="Aptos" w:eastAsia="Calibri" w:hAnsi="Aptos" w:cs="Calibri"/>
          <w:color w:val="1A1A19"/>
          <w:sz w:val="20"/>
          <w:szCs w:val="20"/>
        </w:rPr>
      </w:pPr>
      <w:bookmarkStart w:id="878" w:name="_Toc241083039"/>
      <w:bookmarkStart w:id="879" w:name="_Toc241670206"/>
      <w:bookmarkStart w:id="880" w:name="_Toc241707914"/>
      <w:bookmarkStart w:id="881" w:name="_Toc241791863"/>
      <w:proofErr w:type="gramStart"/>
      <w:r w:rsidRPr="00BE4F47">
        <w:rPr>
          <w:rFonts w:ascii="Aptos" w:hAnsi="Aptos"/>
          <w:color w:val="1A1A19"/>
          <w:sz w:val="20"/>
          <w:szCs w:val="20"/>
        </w:rPr>
        <w:t>quantification</w:t>
      </w:r>
      <w:proofErr w:type="gramEnd"/>
      <w:r w:rsidRPr="00BE4F47">
        <w:rPr>
          <w:rFonts w:ascii="Aptos" w:hAnsi="Aptos"/>
          <w:color w:val="1A1A19"/>
          <w:sz w:val="20"/>
          <w:szCs w:val="20"/>
        </w:rPr>
        <w:t xml:space="preserve"> de l’incertitude de validation.</w:t>
      </w:r>
      <w:bookmarkEnd w:id="878"/>
      <w:bookmarkEnd w:id="879"/>
      <w:bookmarkEnd w:id="880"/>
      <w:bookmarkEnd w:id="881"/>
    </w:p>
    <w:p w14:paraId="03873C97" w14:textId="77777777" w:rsidR="00F50D70" w:rsidRPr="00B03F2E" w:rsidRDefault="00137D7F" w:rsidP="008E113B">
      <w:pPr>
        <w:spacing w:after="130" w:line="360" w:lineRule="auto"/>
        <w:ind w:left="360"/>
        <w:rPr>
          <w:rFonts w:ascii="Aptos" w:eastAsia="Calibri" w:hAnsi="Aptos" w:cs="Calibri"/>
          <w:color w:val="1A1A19"/>
          <w:sz w:val="20"/>
          <w:szCs w:val="20"/>
        </w:rPr>
      </w:pPr>
      <w:bookmarkStart w:id="882" w:name="_Toc241083042"/>
      <w:bookmarkStart w:id="883" w:name="_Toc241670207"/>
      <w:bookmarkStart w:id="884" w:name="_Toc241707915"/>
      <w:bookmarkStart w:id="885" w:name="_Toc241791864"/>
      <w:r w:rsidRPr="00BE4F47">
        <w:rPr>
          <w:rFonts w:ascii="Aptos" w:hAnsi="Aptos"/>
          <w:color w:val="1A1A19"/>
          <w:sz w:val="20"/>
          <w:szCs w:val="20"/>
        </w:rPr>
        <w:t>Les résultats serviront à déterminer si le système répond aux besoins définis et à produire les recommandations finales.</w:t>
      </w:r>
      <w:bookmarkEnd w:id="882"/>
      <w:bookmarkEnd w:id="883"/>
      <w:bookmarkEnd w:id="884"/>
      <w:bookmarkEnd w:id="885"/>
    </w:p>
    <w:p w14:paraId="762C189C" w14:textId="77777777" w:rsidR="00F50D70" w:rsidRPr="00B36301" w:rsidRDefault="00137D7F" w:rsidP="008E113B">
      <w:pPr>
        <w:pStyle w:val="Titre1"/>
        <w:spacing w:line="360" w:lineRule="auto"/>
      </w:pPr>
      <w:bookmarkStart w:id="886" w:name="__RefHeading___Toc240715220"/>
      <w:bookmarkStart w:id="887" w:name="_Toc241707916"/>
      <w:bookmarkStart w:id="888" w:name="_Toc241791865"/>
      <w:bookmarkEnd w:id="886"/>
      <w:r w:rsidRPr="00B36301">
        <w:t>Impacts et gestion des risques</w:t>
      </w:r>
      <w:bookmarkEnd w:id="887"/>
      <w:bookmarkEnd w:id="888"/>
    </w:p>
    <w:p w14:paraId="14B91BE0" w14:textId="77777777" w:rsidR="00F50D70" w:rsidRPr="00BE4F47" w:rsidRDefault="00137D7F" w:rsidP="008E113B">
      <w:pPr>
        <w:spacing w:after="130" w:line="360" w:lineRule="auto"/>
        <w:ind w:left="360"/>
        <w:rPr>
          <w:rFonts w:ascii="Aptos" w:hAnsi="Aptos"/>
        </w:rPr>
      </w:pPr>
      <w:bookmarkStart w:id="889" w:name="_Toc241083044"/>
      <w:bookmarkStart w:id="890" w:name="_Toc241670209"/>
      <w:bookmarkStart w:id="891" w:name="_Toc241707917"/>
      <w:bookmarkStart w:id="892" w:name="_Toc241791866"/>
      <w:r w:rsidRPr="00BE4F47">
        <w:rPr>
          <w:rFonts w:ascii="Aptos" w:hAnsi="Aptos"/>
          <w:color w:val="1A1A19"/>
          <w:sz w:val="20"/>
          <w:szCs w:val="20"/>
        </w:rPr>
        <w:t>Le cadre normatif est posé. Cette section examine les effets que le projet produit, puis ce qui peut l’empêcher d’aboutir. Chaque risque est rattaché à une exigence, à un lot de travail ou à un jalon.</w:t>
      </w:r>
      <w:bookmarkEnd w:id="889"/>
      <w:bookmarkEnd w:id="890"/>
      <w:bookmarkEnd w:id="891"/>
      <w:bookmarkEnd w:id="892"/>
    </w:p>
    <w:p w14:paraId="6CA9E03E" w14:textId="77777777" w:rsidR="00F50D70" w:rsidRPr="00BE4F47" w:rsidRDefault="00137D7F" w:rsidP="008E113B">
      <w:pPr>
        <w:spacing w:after="130" w:line="360" w:lineRule="auto"/>
        <w:ind w:left="360"/>
        <w:rPr>
          <w:rFonts w:ascii="Aptos" w:hAnsi="Aptos"/>
        </w:rPr>
      </w:pPr>
      <w:bookmarkStart w:id="893" w:name="_Toc241083046"/>
      <w:bookmarkStart w:id="894" w:name="_Toc241670210"/>
      <w:bookmarkStart w:id="895" w:name="_Toc241707918"/>
      <w:bookmarkStart w:id="896" w:name="_Toc241791867"/>
      <w:r w:rsidRPr="00BE4F47">
        <w:rPr>
          <w:rFonts w:ascii="Aptos" w:hAnsi="Aptos"/>
          <w:color w:val="1A1A19"/>
          <w:sz w:val="20"/>
          <w:szCs w:val="20"/>
        </w:rPr>
        <w:t>Le projet et son périmètre sont décrits à la section 1. Deux caractéristiques comptent ici. Le prototype est un outil d’aide à la décision : il fournit l’état estimé, les variables qui ont contribué au diagnostic et le niveau de confiance associé. Il ne commande aucune installation : la décision finale reste celle de l’opérateur (EX-F-08). Quand les données ne permettent pas de conclure, il signale son incertitude au lieu d’afficher un état normal (EX-F-06). Ces deux règles reviennent dans tout ce qui suit.</w:t>
      </w:r>
      <w:bookmarkEnd w:id="893"/>
      <w:bookmarkEnd w:id="894"/>
      <w:bookmarkEnd w:id="895"/>
      <w:bookmarkEnd w:id="896"/>
    </w:p>
    <w:p w14:paraId="1CE1B49D" w14:textId="77777777" w:rsidR="00F50D70" w:rsidRPr="00BE4F47" w:rsidRDefault="00137D7F" w:rsidP="008E113B">
      <w:pPr>
        <w:spacing w:after="130" w:line="360" w:lineRule="auto"/>
        <w:ind w:left="360"/>
        <w:rPr>
          <w:rFonts w:ascii="Aptos" w:hAnsi="Aptos"/>
        </w:rPr>
      </w:pPr>
      <w:bookmarkStart w:id="897" w:name="_Toc241083049"/>
      <w:bookmarkStart w:id="898" w:name="_Toc241670211"/>
      <w:bookmarkStart w:id="899" w:name="_Toc241707919"/>
      <w:bookmarkStart w:id="900" w:name="_Toc241791868"/>
      <w:r w:rsidRPr="00BE4F47">
        <w:rPr>
          <w:rFonts w:ascii="Aptos" w:hAnsi="Aptos"/>
          <w:color w:val="1A1A19"/>
          <w:sz w:val="20"/>
          <w:szCs w:val="20"/>
        </w:rPr>
        <w:t>Les impacts relevés ci-dessous sont ceux du problème considéré, non ceux de l’objet livré. Un prototype entièrement simulé n’a presque aucune incidence environnementale ou sanitaire par lui-même. Ce qui en a, c’est l’usage auquel il est destiné.</w:t>
      </w:r>
      <w:bookmarkEnd w:id="897"/>
      <w:bookmarkEnd w:id="898"/>
      <w:bookmarkEnd w:id="899"/>
      <w:bookmarkEnd w:id="900"/>
    </w:p>
    <w:p w14:paraId="19DAA7E1" w14:textId="77777777" w:rsidR="00F50D70" w:rsidRPr="00B36301" w:rsidRDefault="00137D7F" w:rsidP="008E113B">
      <w:pPr>
        <w:pStyle w:val="Titre2"/>
        <w:spacing w:line="360" w:lineRule="auto"/>
      </w:pPr>
      <w:bookmarkStart w:id="901" w:name="__RefHeading___Toc240715226"/>
      <w:bookmarkStart w:id="902" w:name="_Toc241707920"/>
      <w:bookmarkStart w:id="903" w:name="_Toc241791869"/>
      <w:bookmarkEnd w:id="901"/>
      <w:r w:rsidRPr="00B36301">
        <w:t>Impacts du projet</w:t>
      </w:r>
      <w:bookmarkEnd w:id="902"/>
      <w:bookmarkEnd w:id="903"/>
    </w:p>
    <w:p w14:paraId="34A06D10" w14:textId="77777777" w:rsidR="00F50D70" w:rsidRPr="00BE4F47" w:rsidRDefault="00137D7F" w:rsidP="008E113B">
      <w:pPr>
        <w:spacing w:after="130" w:line="360" w:lineRule="auto"/>
        <w:ind w:left="360"/>
        <w:rPr>
          <w:rFonts w:ascii="Aptos" w:eastAsia="Calibri" w:hAnsi="Aptos" w:cs="Calibri"/>
          <w:color w:val="1A1A19"/>
          <w:sz w:val="20"/>
          <w:szCs w:val="20"/>
        </w:rPr>
      </w:pPr>
      <w:bookmarkStart w:id="904" w:name="_Toc241083051"/>
      <w:bookmarkStart w:id="905" w:name="_Toc241670213"/>
      <w:bookmarkStart w:id="906" w:name="_Toc241707921"/>
      <w:bookmarkStart w:id="907" w:name="_Toc241791870"/>
      <w:r w:rsidRPr="00BE4F47">
        <w:rPr>
          <w:rFonts w:ascii="Aptos" w:hAnsi="Aptos"/>
          <w:b/>
          <w:color w:val="1A1A19"/>
          <w:sz w:val="20"/>
          <w:szCs w:val="20"/>
        </w:rPr>
        <w:t xml:space="preserve">Les impacts techniques. </w:t>
      </w:r>
      <w:r w:rsidRPr="00BE4F47">
        <w:rPr>
          <w:rFonts w:ascii="Aptos" w:hAnsi="Aptos"/>
          <w:color w:val="1A1A19"/>
          <w:sz w:val="20"/>
          <w:szCs w:val="20"/>
        </w:rPr>
        <w:t>Le principal effet positif est de pouvoir étudier des états de fonctionnement et des scénarios de défaillance sans les provoquer sur une installation réelle. La simulation permet de rejouer les essais à l’identique et de soumettre le prototype à une campagne structurée de vérification et de validation (EX-F-02).</w:t>
      </w:r>
      <w:bookmarkEnd w:id="904"/>
      <w:bookmarkEnd w:id="905"/>
      <w:bookmarkEnd w:id="906"/>
      <w:bookmarkEnd w:id="907"/>
    </w:p>
    <w:p w14:paraId="0984D5A8" w14:textId="77777777" w:rsidR="00F50D70" w:rsidRPr="00BE4F47" w:rsidRDefault="00137D7F" w:rsidP="008E113B">
      <w:pPr>
        <w:spacing w:after="130" w:line="360" w:lineRule="auto"/>
        <w:ind w:left="360"/>
        <w:rPr>
          <w:rFonts w:ascii="Aptos" w:hAnsi="Aptos"/>
        </w:rPr>
      </w:pPr>
      <w:bookmarkStart w:id="908" w:name="_Toc241083052"/>
      <w:bookmarkStart w:id="909" w:name="_Toc241670214"/>
      <w:bookmarkStart w:id="910" w:name="_Toc241707922"/>
      <w:bookmarkStart w:id="911" w:name="_Toc241791871"/>
      <w:r w:rsidRPr="00BE4F47">
        <w:rPr>
          <w:rFonts w:ascii="Aptos" w:hAnsi="Aptos"/>
          <w:color w:val="1A1A19"/>
          <w:sz w:val="20"/>
          <w:szCs w:val="20"/>
        </w:rPr>
        <w:t>En contrepartie, le projet dépend de la qualité des données et de la fidélité du modèle. Une mesure incorrecte, une donnée indisponible ou une désynchronisation donnent une représentation erronée de l’état de la boucle.</w:t>
      </w:r>
      <w:bookmarkEnd w:id="908"/>
      <w:bookmarkEnd w:id="909"/>
      <w:bookmarkEnd w:id="910"/>
      <w:bookmarkEnd w:id="911"/>
    </w:p>
    <w:p w14:paraId="0FAE675F" w14:textId="77777777" w:rsidR="00F50D70" w:rsidRPr="00BE4F47" w:rsidRDefault="00137D7F" w:rsidP="008E113B">
      <w:pPr>
        <w:spacing w:after="130" w:line="360" w:lineRule="auto"/>
        <w:ind w:left="360"/>
        <w:rPr>
          <w:rFonts w:ascii="Aptos" w:hAnsi="Aptos"/>
        </w:rPr>
      </w:pPr>
      <w:bookmarkStart w:id="912" w:name="_Toc241083053"/>
      <w:bookmarkStart w:id="913" w:name="_Toc241670215"/>
      <w:bookmarkStart w:id="914" w:name="_Toc241707923"/>
      <w:bookmarkStart w:id="915" w:name="_Toc241791872"/>
      <w:r w:rsidRPr="00BE4F47">
        <w:rPr>
          <w:rFonts w:ascii="Aptos" w:hAnsi="Aptos"/>
          <w:b/>
          <w:color w:val="1A1A19"/>
          <w:sz w:val="20"/>
          <w:szCs w:val="20"/>
        </w:rPr>
        <w:t xml:space="preserve">La sûreté et la cybersécurité. </w:t>
      </w:r>
      <w:r w:rsidRPr="00BE4F47">
        <w:rPr>
          <w:rFonts w:ascii="Aptos" w:hAnsi="Aptos"/>
          <w:color w:val="1A1A19"/>
          <w:sz w:val="20"/>
          <w:szCs w:val="20"/>
        </w:rPr>
        <w:t>La difficulté la plus sérieuse est un système qui reste fonctionnel tout en affichant une information crédible mais incorrecte. Une donnée falsifiée, corrompue ou erronée peut masquer une anomalie réelle ou provoquer une fausse alarme. Le premier cas retire une information à l’opérateur, le second lui fait perdre confiance dans l’outil.</w:t>
      </w:r>
      <w:bookmarkEnd w:id="912"/>
      <w:bookmarkEnd w:id="913"/>
      <w:bookmarkEnd w:id="914"/>
      <w:bookmarkEnd w:id="915"/>
    </w:p>
    <w:p w14:paraId="30C066C1" w14:textId="77777777" w:rsidR="00F50D70" w:rsidRPr="00BE4F47" w:rsidRDefault="00137D7F" w:rsidP="008E113B">
      <w:pPr>
        <w:spacing w:after="130" w:line="360" w:lineRule="auto"/>
        <w:ind w:left="360"/>
        <w:rPr>
          <w:rFonts w:ascii="Aptos" w:hAnsi="Aptos"/>
        </w:rPr>
      </w:pPr>
      <w:bookmarkStart w:id="916" w:name="_Toc241083054"/>
      <w:bookmarkStart w:id="917" w:name="_Toc241670216"/>
      <w:bookmarkStart w:id="918" w:name="_Toc241707924"/>
      <w:bookmarkStart w:id="919" w:name="_Toc241791873"/>
      <w:r w:rsidRPr="00BE4F47">
        <w:rPr>
          <w:rFonts w:ascii="Aptos" w:hAnsi="Aptos"/>
          <w:color w:val="1A1A19"/>
          <w:sz w:val="20"/>
          <w:szCs w:val="20"/>
        </w:rPr>
        <w:t>Les mesures prévues devront donc protéger l’intégrité, la disponibilité et la traçabilité des données : contrôle des accès, authentification, journalisation, validation des entrées et segmentation de l’environnement d’essai (EX-Q-04). La norme IEC 62859 ajoute une contrainte, développée en 6.5.</w:t>
      </w:r>
      <w:bookmarkEnd w:id="916"/>
      <w:bookmarkEnd w:id="917"/>
      <w:bookmarkEnd w:id="918"/>
      <w:bookmarkEnd w:id="919"/>
    </w:p>
    <w:p w14:paraId="7158DA60" w14:textId="77777777" w:rsidR="00F50D70" w:rsidRPr="00BE4F47" w:rsidRDefault="00137D7F" w:rsidP="008E113B">
      <w:pPr>
        <w:spacing w:after="130" w:line="360" w:lineRule="auto"/>
        <w:ind w:left="360"/>
        <w:rPr>
          <w:rFonts w:ascii="Aptos" w:hAnsi="Aptos"/>
        </w:rPr>
      </w:pPr>
      <w:bookmarkStart w:id="920" w:name="_Toc241083056"/>
      <w:bookmarkStart w:id="921" w:name="_Toc241670217"/>
      <w:bookmarkStart w:id="922" w:name="_Toc241707925"/>
      <w:bookmarkStart w:id="923" w:name="_Toc241791874"/>
      <w:r w:rsidRPr="00BE4F47">
        <w:rPr>
          <w:rFonts w:ascii="Aptos" w:hAnsi="Aptos"/>
          <w:b/>
          <w:color w:val="1A1A19"/>
          <w:sz w:val="20"/>
          <w:szCs w:val="20"/>
        </w:rPr>
        <w:lastRenderedPageBreak/>
        <w:t xml:space="preserve">Les impacts humains et organisationnels. </w:t>
      </w:r>
      <w:r w:rsidRPr="00BE4F47">
        <w:rPr>
          <w:rFonts w:ascii="Aptos" w:hAnsi="Aptos"/>
          <w:color w:val="1A1A19"/>
          <w:sz w:val="20"/>
          <w:szCs w:val="20"/>
        </w:rPr>
        <w:t>L’interface détermine la façon dont les ingénieurs et les opérateurs interprètent l’état estimé. Elle devra présenter les variables contributives et le niveau de confiance (EX-F-05, EX-F-07).</w:t>
      </w:r>
      <w:bookmarkEnd w:id="920"/>
      <w:bookmarkEnd w:id="921"/>
      <w:bookmarkEnd w:id="922"/>
      <w:bookmarkEnd w:id="923"/>
    </w:p>
    <w:p w14:paraId="78BE772E" w14:textId="77777777" w:rsidR="00F50D70" w:rsidRPr="00BE4F47" w:rsidRDefault="00137D7F" w:rsidP="008E113B">
      <w:pPr>
        <w:spacing w:after="130" w:line="360" w:lineRule="auto"/>
        <w:ind w:left="360"/>
        <w:rPr>
          <w:rFonts w:ascii="Aptos" w:hAnsi="Aptos"/>
        </w:rPr>
      </w:pPr>
      <w:bookmarkStart w:id="924" w:name="_Toc241083057"/>
      <w:bookmarkStart w:id="925" w:name="_Toc241670218"/>
      <w:bookmarkStart w:id="926" w:name="_Toc241707926"/>
      <w:bookmarkStart w:id="927" w:name="_Toc241791875"/>
      <w:r w:rsidRPr="00BE4F47">
        <w:rPr>
          <w:rFonts w:ascii="Aptos" w:hAnsi="Aptos"/>
          <w:color w:val="1A1A19"/>
          <w:sz w:val="20"/>
          <w:szCs w:val="20"/>
        </w:rPr>
        <w:t>Le principal effet défavorable est la confiance excessive envers le jumeau numérique, appelée biais d’automatisation dans la littérature. Un opérateur qui s’habitue à un outil fiable finit par lui accorder plus de crédit qu’à ses propres instruments.</w:t>
      </w:r>
      <w:bookmarkEnd w:id="924"/>
      <w:bookmarkEnd w:id="925"/>
      <w:bookmarkEnd w:id="926"/>
      <w:bookmarkEnd w:id="927"/>
    </w:p>
    <w:p w14:paraId="15B45348" w14:textId="77777777" w:rsidR="00F50D70" w:rsidRPr="00BE4F47" w:rsidRDefault="00137D7F" w:rsidP="008E113B">
      <w:pPr>
        <w:spacing w:after="130" w:line="360" w:lineRule="auto"/>
        <w:ind w:left="360"/>
        <w:rPr>
          <w:rFonts w:ascii="Aptos" w:hAnsi="Aptos"/>
        </w:rPr>
      </w:pPr>
      <w:bookmarkStart w:id="928" w:name="_Toc241083058"/>
      <w:bookmarkStart w:id="929" w:name="_Toc241670219"/>
      <w:bookmarkStart w:id="930" w:name="_Toc241707927"/>
      <w:bookmarkStart w:id="931" w:name="_Toc241791876"/>
      <w:r w:rsidRPr="00BE4F47">
        <w:rPr>
          <w:rFonts w:ascii="Aptos" w:hAnsi="Aptos"/>
          <w:b/>
          <w:color w:val="1A1A19"/>
          <w:sz w:val="20"/>
          <w:szCs w:val="20"/>
        </w:rPr>
        <w:t xml:space="preserve">La santé et la sécurité des personnes. </w:t>
      </w:r>
      <w:r w:rsidRPr="00BE4F47">
        <w:rPr>
          <w:rFonts w:ascii="Aptos" w:hAnsi="Aptos"/>
          <w:color w:val="1A1A19"/>
          <w:sz w:val="20"/>
          <w:szCs w:val="20"/>
        </w:rPr>
        <w:t>Le prototype ne présente aucun danger par lui-même : il est entièrement simulé, ne manipule aucun fluide, aucune énergie et aucune donnée réelle. Le travail de l’équipe se fait devant un poste informatique.</w:t>
      </w:r>
      <w:bookmarkEnd w:id="928"/>
      <w:bookmarkEnd w:id="929"/>
      <w:bookmarkEnd w:id="930"/>
      <w:bookmarkEnd w:id="931"/>
    </w:p>
    <w:p w14:paraId="41EBA3F5" w14:textId="77777777" w:rsidR="00F50D70" w:rsidRPr="00BE4F47" w:rsidRDefault="00137D7F" w:rsidP="008E113B">
      <w:pPr>
        <w:spacing w:after="130" w:line="360" w:lineRule="auto"/>
        <w:ind w:left="360"/>
        <w:rPr>
          <w:rFonts w:ascii="Aptos" w:hAnsi="Aptos"/>
        </w:rPr>
      </w:pPr>
      <w:bookmarkStart w:id="932" w:name="_Toc241083059"/>
      <w:bookmarkStart w:id="933" w:name="_Toc241670220"/>
      <w:bookmarkStart w:id="934" w:name="_Toc241707928"/>
      <w:bookmarkStart w:id="935" w:name="_Toc241791877"/>
      <w:r w:rsidRPr="00BE4F47">
        <w:rPr>
          <w:rFonts w:ascii="Aptos" w:hAnsi="Aptos"/>
          <w:color w:val="1A1A19"/>
          <w:sz w:val="20"/>
          <w:szCs w:val="20"/>
        </w:rPr>
        <w:t>L’incidence sur la santé et la sécurité vient du problème considéré. Un outil d’aide à la décision destiné à une installation nucléaire participe à une chaîne qui aboutit à une décision humaine d’exploitation. Les trois modes de dysfonctionnement qui conduisent à un risque pour les personnes sont analysés en 6.1, où ils fondent l’applicabilité de l’article 3 (3°) de la Loi sur les ingénieurs.</w:t>
      </w:r>
      <w:bookmarkEnd w:id="932"/>
      <w:bookmarkEnd w:id="933"/>
      <w:bookmarkEnd w:id="934"/>
      <w:bookmarkEnd w:id="935"/>
    </w:p>
    <w:p w14:paraId="1A8B52A3" w14:textId="77777777" w:rsidR="00F50D70" w:rsidRPr="00BE4F47" w:rsidRDefault="00137D7F" w:rsidP="008E113B">
      <w:pPr>
        <w:spacing w:after="130" w:line="360" w:lineRule="auto"/>
        <w:ind w:left="360"/>
        <w:rPr>
          <w:rFonts w:ascii="Aptos" w:hAnsi="Aptos"/>
        </w:rPr>
      </w:pPr>
      <w:bookmarkStart w:id="936" w:name="_Toc241083061"/>
      <w:bookmarkStart w:id="937" w:name="_Toc241670221"/>
      <w:bookmarkStart w:id="938" w:name="_Toc241707929"/>
      <w:bookmarkStart w:id="939" w:name="_Toc241791878"/>
      <w:r w:rsidRPr="00BE4F47">
        <w:rPr>
          <w:rFonts w:ascii="Aptos" w:hAnsi="Aptos"/>
          <w:b/>
          <w:color w:val="1A1A19"/>
          <w:sz w:val="20"/>
          <w:szCs w:val="20"/>
        </w:rPr>
        <w:t xml:space="preserve">Les impacts économiques. </w:t>
      </w:r>
      <w:r w:rsidRPr="00BE4F47">
        <w:rPr>
          <w:rFonts w:ascii="Aptos" w:hAnsi="Aptos"/>
          <w:color w:val="1A1A19"/>
          <w:sz w:val="20"/>
          <w:szCs w:val="20"/>
        </w:rPr>
        <w:t>Le projet mobilise surtout des ressources humaines et informatiques. Le mandat est limité à 1 080 heures d’ingénierie facturables, et les infrastructures, logiciels et ressources de l’UQAC sont privilégiés pour limiter les dépenses. Cette enveloppe est la contrainte de planification la plus structurante du projet, et elle fait l’objet du risque RP2.</w:t>
      </w:r>
      <w:bookmarkEnd w:id="936"/>
      <w:bookmarkEnd w:id="937"/>
      <w:bookmarkEnd w:id="938"/>
      <w:bookmarkEnd w:id="939"/>
    </w:p>
    <w:p w14:paraId="6DEDFCD2" w14:textId="77777777" w:rsidR="00F50D70" w:rsidRPr="00BE4F47" w:rsidRDefault="00137D7F" w:rsidP="008E113B">
      <w:pPr>
        <w:spacing w:after="130" w:line="360" w:lineRule="auto"/>
        <w:ind w:left="360"/>
        <w:rPr>
          <w:rFonts w:ascii="Aptos" w:eastAsia="Calibri" w:hAnsi="Aptos" w:cs="Calibri"/>
          <w:color w:val="1A1A19"/>
          <w:sz w:val="20"/>
          <w:szCs w:val="20"/>
        </w:rPr>
      </w:pPr>
      <w:bookmarkStart w:id="940" w:name="_Toc241083062"/>
      <w:bookmarkStart w:id="941" w:name="_Toc241670222"/>
      <w:bookmarkStart w:id="942" w:name="_Toc241707930"/>
      <w:bookmarkStart w:id="943" w:name="_Toc241791879"/>
      <w:r w:rsidRPr="00BE4F47">
        <w:rPr>
          <w:rFonts w:ascii="Aptos" w:hAnsi="Aptos"/>
          <w:color w:val="1A1A19"/>
          <w:sz w:val="20"/>
          <w:szCs w:val="20"/>
        </w:rPr>
        <w:t>L’intérêt économique de ce type d’outil est indirect. Étudier un scénario de défaillance en simulation coûte une fraction de ce que coûterait sa reproduction sur une installation, et n’immobilise aucun équipement. L’argument vaut pour la classe d’outils, pas pour le prototype universitaire, qui ne produit aucune valeur marchande.</w:t>
      </w:r>
      <w:bookmarkEnd w:id="940"/>
      <w:bookmarkEnd w:id="941"/>
      <w:bookmarkEnd w:id="942"/>
      <w:bookmarkEnd w:id="943"/>
    </w:p>
    <w:p w14:paraId="19859864" w14:textId="77777777" w:rsidR="00F50D70" w:rsidRPr="00BE4F47" w:rsidRDefault="00137D7F" w:rsidP="008E113B">
      <w:pPr>
        <w:spacing w:after="130" w:line="360" w:lineRule="auto"/>
        <w:ind w:left="360"/>
        <w:rPr>
          <w:rFonts w:ascii="Aptos" w:hAnsi="Aptos"/>
        </w:rPr>
      </w:pPr>
      <w:bookmarkStart w:id="944" w:name="_Toc241083063"/>
      <w:bookmarkStart w:id="945" w:name="_Toc241670223"/>
      <w:bookmarkStart w:id="946" w:name="_Toc241707931"/>
      <w:bookmarkStart w:id="947" w:name="_Toc241791880"/>
      <w:r w:rsidRPr="00BE4F47">
        <w:rPr>
          <w:rFonts w:ascii="Aptos" w:hAnsi="Aptos"/>
          <w:b/>
          <w:color w:val="1A1A19"/>
          <w:sz w:val="20"/>
          <w:szCs w:val="20"/>
        </w:rPr>
        <w:t xml:space="preserve">L’équité, la diversité et l’inclusion. </w:t>
      </w:r>
      <w:r w:rsidRPr="00BE4F47">
        <w:rPr>
          <w:rFonts w:ascii="Aptos" w:hAnsi="Aptos"/>
          <w:color w:val="1A1A19"/>
          <w:sz w:val="20"/>
          <w:szCs w:val="20"/>
        </w:rPr>
        <w:t xml:space="preserve">Le projet retient un second critère à côté des objectifs de développement durable : l’équité, la diversité et l’inclusion, qui </w:t>
      </w:r>
      <w:proofErr w:type="gramStart"/>
      <w:r w:rsidRPr="00BE4F47">
        <w:rPr>
          <w:rFonts w:ascii="Aptos" w:hAnsi="Aptos"/>
          <w:color w:val="1A1A19"/>
          <w:sz w:val="20"/>
          <w:szCs w:val="20"/>
        </w:rPr>
        <w:t>a</w:t>
      </w:r>
      <w:proofErr w:type="gramEnd"/>
      <w:r w:rsidRPr="00BE4F47">
        <w:rPr>
          <w:rFonts w:ascii="Aptos" w:hAnsi="Aptos"/>
          <w:color w:val="1A1A19"/>
          <w:sz w:val="20"/>
          <w:szCs w:val="20"/>
        </w:rPr>
        <w:t xml:space="preserve"> des conséquences vérifiables sur l’interface et sur la conduite de l’équipe.</w:t>
      </w:r>
      <w:bookmarkEnd w:id="944"/>
      <w:bookmarkEnd w:id="945"/>
      <w:bookmarkEnd w:id="946"/>
      <w:bookmarkEnd w:id="947"/>
    </w:p>
    <w:p w14:paraId="3533EA21" w14:textId="77777777" w:rsidR="00F50D70" w:rsidRPr="00BE4F47" w:rsidRDefault="00137D7F" w:rsidP="008E113B">
      <w:pPr>
        <w:spacing w:after="130" w:line="360" w:lineRule="auto"/>
        <w:ind w:left="360"/>
        <w:rPr>
          <w:rFonts w:ascii="Aptos" w:hAnsi="Aptos"/>
        </w:rPr>
      </w:pPr>
      <w:bookmarkStart w:id="948" w:name="_Toc241083064"/>
      <w:bookmarkStart w:id="949" w:name="_Toc241670224"/>
      <w:bookmarkStart w:id="950" w:name="_Toc241707932"/>
      <w:bookmarkStart w:id="951" w:name="_Toc241791881"/>
      <w:r w:rsidRPr="00BE4F47">
        <w:rPr>
          <w:rFonts w:ascii="Aptos" w:hAnsi="Aptos"/>
          <w:color w:val="1A1A19"/>
          <w:sz w:val="20"/>
          <w:szCs w:val="20"/>
        </w:rPr>
        <w:t>L’interface est destinée à des opérateurs dont l’expérience, la formation et les conditions de travail varient. Trois orientations en découlent :</w:t>
      </w:r>
      <w:bookmarkEnd w:id="948"/>
      <w:bookmarkEnd w:id="949"/>
      <w:bookmarkEnd w:id="950"/>
      <w:bookmarkEnd w:id="951"/>
    </w:p>
    <w:p w14:paraId="19699A9B" w14:textId="77777777" w:rsidR="00F50D70" w:rsidRPr="00B36301" w:rsidRDefault="00137D7F" w:rsidP="008E113B">
      <w:pPr>
        <w:numPr>
          <w:ilvl w:val="0"/>
          <w:numId w:val="20"/>
        </w:numPr>
        <w:spacing w:after="130" w:line="360" w:lineRule="auto"/>
        <w:ind w:left="720"/>
        <w:rPr>
          <w:rFonts w:ascii="Aptos" w:hAnsi="Aptos" w:cs="Calibri"/>
          <w:color w:val="1A1A19"/>
          <w:sz w:val="20"/>
          <w:szCs w:val="20"/>
        </w:rPr>
      </w:pPr>
      <w:bookmarkStart w:id="952" w:name="_Toc241670225"/>
      <w:bookmarkStart w:id="953" w:name="_Toc241707933"/>
      <w:bookmarkStart w:id="954" w:name="_Toc241791882"/>
      <w:proofErr w:type="gramStart"/>
      <w:r w:rsidRPr="00B36301">
        <w:rPr>
          <w:rFonts w:ascii="Aptos" w:hAnsi="Aptos"/>
          <w:color w:val="1A1A19"/>
          <w:sz w:val="20"/>
          <w:szCs w:val="20"/>
        </w:rPr>
        <w:t>le</w:t>
      </w:r>
      <w:proofErr w:type="gramEnd"/>
      <w:r w:rsidRPr="00B36301">
        <w:rPr>
          <w:rFonts w:ascii="Aptos" w:hAnsi="Aptos"/>
          <w:color w:val="1A1A19"/>
          <w:sz w:val="20"/>
          <w:szCs w:val="20"/>
        </w:rPr>
        <w:t xml:space="preserve"> résultat est présenté en texte et par une forme, jamais par la couleur seule, ce qui le rend lisible pour une personne daltonienne et sur une impression en noir et blanc.</w:t>
      </w:r>
      <w:bookmarkEnd w:id="952"/>
      <w:bookmarkEnd w:id="953"/>
      <w:bookmarkEnd w:id="954"/>
    </w:p>
    <w:p w14:paraId="415117C7" w14:textId="77777777" w:rsidR="00F50D70" w:rsidRPr="00B36301" w:rsidRDefault="00137D7F" w:rsidP="008E113B">
      <w:pPr>
        <w:numPr>
          <w:ilvl w:val="0"/>
          <w:numId w:val="20"/>
        </w:numPr>
        <w:spacing w:after="130" w:line="360" w:lineRule="auto"/>
        <w:ind w:left="720"/>
        <w:rPr>
          <w:rFonts w:ascii="Aptos" w:hAnsi="Aptos" w:cs="Calibri"/>
          <w:color w:val="1A1A19"/>
          <w:sz w:val="20"/>
          <w:szCs w:val="20"/>
        </w:rPr>
      </w:pPr>
      <w:bookmarkStart w:id="955" w:name="_Toc241670226"/>
      <w:bookmarkStart w:id="956" w:name="_Toc241707934"/>
      <w:bookmarkStart w:id="957" w:name="_Toc241791883"/>
      <w:proofErr w:type="gramStart"/>
      <w:r w:rsidRPr="00B36301">
        <w:rPr>
          <w:rFonts w:ascii="Aptos" w:hAnsi="Aptos"/>
          <w:color w:val="1A1A19"/>
          <w:sz w:val="20"/>
          <w:szCs w:val="20"/>
        </w:rPr>
        <w:t>le</w:t>
      </w:r>
      <w:proofErr w:type="gramEnd"/>
      <w:r w:rsidRPr="00B36301">
        <w:rPr>
          <w:rFonts w:ascii="Aptos" w:hAnsi="Aptos"/>
          <w:color w:val="1A1A19"/>
          <w:sz w:val="20"/>
          <w:szCs w:val="20"/>
        </w:rPr>
        <w:t xml:space="preserve"> vocabulaire affiché est celui du métier, sans acronyme non défini.</w:t>
      </w:r>
      <w:bookmarkEnd w:id="955"/>
      <w:bookmarkEnd w:id="956"/>
      <w:bookmarkEnd w:id="957"/>
    </w:p>
    <w:p w14:paraId="5F09F4C6" w14:textId="77777777" w:rsidR="00F50D70" w:rsidRPr="00B36301" w:rsidRDefault="00137D7F" w:rsidP="008E113B">
      <w:pPr>
        <w:numPr>
          <w:ilvl w:val="0"/>
          <w:numId w:val="20"/>
        </w:numPr>
        <w:spacing w:after="130" w:line="360" w:lineRule="auto"/>
        <w:ind w:left="720"/>
        <w:rPr>
          <w:rFonts w:ascii="Aptos" w:hAnsi="Aptos" w:cs="Calibri"/>
          <w:color w:val="1A1A19"/>
          <w:sz w:val="20"/>
          <w:szCs w:val="20"/>
        </w:rPr>
      </w:pPr>
      <w:bookmarkStart w:id="958" w:name="_Toc241670227"/>
      <w:bookmarkStart w:id="959" w:name="_Toc241707935"/>
      <w:bookmarkStart w:id="960" w:name="_Toc241791884"/>
      <w:proofErr w:type="gramStart"/>
      <w:r w:rsidRPr="00B36301">
        <w:rPr>
          <w:rFonts w:ascii="Aptos" w:hAnsi="Aptos"/>
          <w:color w:val="1A1A19"/>
          <w:sz w:val="20"/>
          <w:szCs w:val="20"/>
        </w:rPr>
        <w:t>le</w:t>
      </w:r>
      <w:proofErr w:type="gramEnd"/>
      <w:r w:rsidRPr="00B36301">
        <w:rPr>
          <w:rFonts w:ascii="Aptos" w:hAnsi="Aptos"/>
          <w:color w:val="1A1A19"/>
          <w:sz w:val="20"/>
          <w:szCs w:val="20"/>
        </w:rPr>
        <w:t xml:space="preserve"> niveau de confiance est annoncé en clair plutôt que sous forme d’un score que seul un spécialiste saurait interpréter.</w:t>
      </w:r>
      <w:bookmarkEnd w:id="958"/>
      <w:bookmarkEnd w:id="959"/>
      <w:bookmarkEnd w:id="960"/>
    </w:p>
    <w:p w14:paraId="23A9B780" w14:textId="77777777" w:rsidR="00F50D70" w:rsidRPr="00BE4F47" w:rsidRDefault="00137D7F" w:rsidP="008E113B">
      <w:pPr>
        <w:spacing w:after="130" w:line="360" w:lineRule="auto"/>
        <w:ind w:left="360"/>
        <w:rPr>
          <w:rFonts w:ascii="Aptos" w:hAnsi="Aptos"/>
        </w:rPr>
      </w:pPr>
      <w:bookmarkStart w:id="961" w:name="_Toc241670228"/>
      <w:bookmarkStart w:id="962" w:name="_Toc241707936"/>
      <w:bookmarkStart w:id="963" w:name="_Toc241791885"/>
      <w:r w:rsidRPr="00BE4F47">
        <w:rPr>
          <w:rFonts w:ascii="Aptos" w:hAnsi="Aptos"/>
          <w:color w:val="1A1A19"/>
          <w:sz w:val="20"/>
          <w:szCs w:val="20"/>
        </w:rPr>
        <w:t>Ces trois orientations rejoignent la norme ISO 9241-210 et l’exigence EX-Q-03.</w:t>
      </w:r>
      <w:bookmarkEnd w:id="961"/>
      <w:bookmarkEnd w:id="962"/>
      <w:bookmarkEnd w:id="963"/>
    </w:p>
    <w:p w14:paraId="1C0034B6" w14:textId="77777777" w:rsidR="00F50D70" w:rsidRPr="00BE4F47" w:rsidRDefault="00137D7F" w:rsidP="008E113B">
      <w:pPr>
        <w:spacing w:after="130" w:line="360" w:lineRule="auto"/>
        <w:ind w:left="360"/>
        <w:rPr>
          <w:rFonts w:ascii="Aptos" w:hAnsi="Aptos"/>
        </w:rPr>
      </w:pPr>
      <w:bookmarkStart w:id="964" w:name="_Toc241083065"/>
      <w:bookmarkStart w:id="965" w:name="_Toc241670229"/>
      <w:bookmarkStart w:id="966" w:name="_Toc241707937"/>
      <w:bookmarkStart w:id="967" w:name="_Toc241791886"/>
      <w:r w:rsidRPr="00BE4F47">
        <w:rPr>
          <w:rFonts w:ascii="Aptos" w:hAnsi="Aptos"/>
          <w:color w:val="1A1A19"/>
          <w:sz w:val="20"/>
          <w:szCs w:val="20"/>
        </w:rPr>
        <w:lastRenderedPageBreak/>
        <w:t>L’équipe est composée de personnes venant de plusieurs pays et de plusieurs parcours. L’affectation suit les compétences du tableau des lots et non l’aisance à s’exprimer en réunion. Toute décision engageant le périmètre est consignée par écrit dans une issue du dépôt, ce qui permet d’y contribuer en différé.</w:t>
      </w:r>
      <w:bookmarkEnd w:id="964"/>
      <w:bookmarkEnd w:id="965"/>
      <w:bookmarkEnd w:id="966"/>
      <w:bookmarkEnd w:id="967"/>
    </w:p>
    <w:p w14:paraId="40F1763A" w14:textId="79A528BF" w:rsidR="00F50D70" w:rsidRPr="00BE4F47" w:rsidRDefault="009C0602" w:rsidP="008E113B">
      <w:pPr>
        <w:spacing w:after="130" w:line="360" w:lineRule="auto"/>
        <w:ind w:left="360"/>
        <w:rPr>
          <w:rFonts w:ascii="Aptos" w:hAnsi="Aptos"/>
        </w:rPr>
      </w:pPr>
      <w:bookmarkStart w:id="968" w:name="_Toc241083066"/>
      <w:bookmarkStart w:id="969" w:name="_Toc241670230"/>
      <w:bookmarkStart w:id="970" w:name="_Toc241707938"/>
      <w:bookmarkStart w:id="971" w:name="_Toc241791887"/>
      <w:r w:rsidRPr="009C0602">
        <w:rPr>
          <w:rFonts w:ascii="Aptos" w:hAnsi="Aptos"/>
          <w:color w:val="1A1A19"/>
          <w:sz w:val="20"/>
          <w:szCs w:val="20"/>
        </w:rPr>
        <w:t>Les outils libres ou disponibles présentés à la section 8.5</w:t>
      </w:r>
      <w:r w:rsidRPr="009C0602">
        <w:rPr>
          <w:rFonts w:ascii="Aptos" w:hAnsi="Aptos"/>
          <w:b/>
          <w:bCs/>
          <w:color w:val="1A1A19"/>
          <w:sz w:val="20"/>
          <w:szCs w:val="20"/>
        </w:rPr>
        <w:t xml:space="preserve"> </w:t>
      </w:r>
      <w:r w:rsidR="00137D7F" w:rsidRPr="00BE4F47">
        <w:rPr>
          <w:rFonts w:ascii="Aptos" w:hAnsi="Aptos"/>
          <w:color w:val="1A1A19"/>
          <w:sz w:val="20"/>
          <w:szCs w:val="20"/>
        </w:rPr>
        <w:t>permettent à chaque membre de travailler depuis son propre poste, sans licence payante ni accès privilégié à un laboratoire. Retenus pour le budget et la reproductibilité, ils servent aussi l’équité d’accès au travail.</w:t>
      </w:r>
      <w:bookmarkEnd w:id="968"/>
      <w:bookmarkEnd w:id="969"/>
      <w:bookmarkEnd w:id="970"/>
      <w:bookmarkEnd w:id="971"/>
    </w:p>
    <w:p w14:paraId="5D0AF0D0" w14:textId="77777777" w:rsidR="00F50D70" w:rsidRPr="00BE4F47" w:rsidRDefault="00137D7F" w:rsidP="008E113B">
      <w:pPr>
        <w:spacing w:after="130" w:line="360" w:lineRule="auto"/>
        <w:ind w:left="360"/>
        <w:rPr>
          <w:rFonts w:ascii="Aptos" w:hAnsi="Aptos"/>
        </w:rPr>
      </w:pPr>
      <w:bookmarkStart w:id="972" w:name="_Toc241083067"/>
      <w:bookmarkStart w:id="973" w:name="_Toc241670231"/>
      <w:bookmarkStart w:id="974" w:name="_Toc241707939"/>
      <w:bookmarkStart w:id="975" w:name="_Toc241791888"/>
      <w:r w:rsidRPr="00BE4F47">
        <w:rPr>
          <w:rFonts w:ascii="Aptos" w:hAnsi="Aptos"/>
          <w:b/>
          <w:color w:val="1A1A19"/>
          <w:sz w:val="20"/>
          <w:szCs w:val="20"/>
        </w:rPr>
        <w:t xml:space="preserve">L’environnement et le développement durable. </w:t>
      </w:r>
      <w:r w:rsidRPr="00BE4F47">
        <w:rPr>
          <w:rFonts w:ascii="Aptos" w:hAnsi="Aptos"/>
          <w:color w:val="1A1A19"/>
          <w:sz w:val="20"/>
          <w:szCs w:val="20"/>
        </w:rPr>
        <w:t>Les incidences environnementales directes du prototype sont faibles : la consommation de ressources informatiques pendant le développement et les essais.</w:t>
      </w:r>
      <w:bookmarkEnd w:id="972"/>
      <w:bookmarkEnd w:id="973"/>
      <w:bookmarkEnd w:id="974"/>
      <w:bookmarkEnd w:id="975"/>
    </w:p>
    <w:p w14:paraId="07C5503B" w14:textId="77777777" w:rsidR="00F50D70" w:rsidRPr="00BE4F47" w:rsidRDefault="00137D7F" w:rsidP="008E113B">
      <w:pPr>
        <w:spacing w:after="130" w:line="360" w:lineRule="auto"/>
        <w:ind w:left="360"/>
        <w:rPr>
          <w:rFonts w:ascii="Aptos" w:eastAsia="Calibri" w:hAnsi="Aptos" w:cs="Calibri"/>
          <w:color w:val="1A1A19"/>
          <w:sz w:val="20"/>
          <w:szCs w:val="20"/>
        </w:rPr>
      </w:pPr>
      <w:bookmarkStart w:id="976" w:name="_Toc241083068"/>
      <w:bookmarkStart w:id="977" w:name="_Toc241670232"/>
      <w:bookmarkStart w:id="978" w:name="_Toc241707940"/>
      <w:bookmarkStart w:id="979" w:name="_Toc241791889"/>
      <w:r w:rsidRPr="00BE4F47">
        <w:rPr>
          <w:rFonts w:ascii="Aptos" w:hAnsi="Aptos"/>
          <w:color w:val="1A1A19"/>
          <w:sz w:val="20"/>
          <w:szCs w:val="20"/>
        </w:rPr>
        <w:t>L’apport au développement durable est indirect. Deux objectifs de développement durable des Nations unies [44] s’y rattachent :</w:t>
      </w:r>
      <w:bookmarkEnd w:id="976"/>
      <w:bookmarkEnd w:id="977"/>
      <w:bookmarkEnd w:id="978"/>
      <w:bookmarkEnd w:id="979"/>
    </w:p>
    <w:p w14:paraId="37A393CB" w14:textId="77777777" w:rsidR="00F50D70" w:rsidRPr="00BE4F47" w:rsidRDefault="00137D7F" w:rsidP="008E113B">
      <w:pPr>
        <w:numPr>
          <w:ilvl w:val="0"/>
          <w:numId w:val="20"/>
        </w:numPr>
        <w:spacing w:after="130" w:line="360" w:lineRule="auto"/>
        <w:ind w:left="720"/>
        <w:rPr>
          <w:rFonts w:ascii="Aptos" w:hAnsi="Aptos"/>
        </w:rPr>
      </w:pPr>
      <w:bookmarkStart w:id="980" w:name="_Toc241670233"/>
      <w:bookmarkStart w:id="981" w:name="_Toc241707941"/>
      <w:bookmarkStart w:id="982" w:name="_Toc241791890"/>
      <w:r w:rsidRPr="00BE4F47">
        <w:rPr>
          <w:rFonts w:ascii="Aptos" w:hAnsi="Aptos"/>
          <w:b/>
          <w:color w:val="1A1A19"/>
          <w:sz w:val="20"/>
          <w:szCs w:val="20"/>
        </w:rPr>
        <w:t xml:space="preserve">ODD 7, énergie propre et d’un coût abordable. </w:t>
      </w:r>
      <w:r w:rsidRPr="00BE4F47">
        <w:rPr>
          <w:rFonts w:ascii="Aptos" w:hAnsi="Aptos"/>
          <w:color w:val="1A1A19"/>
          <w:sz w:val="20"/>
          <w:szCs w:val="20"/>
        </w:rPr>
        <w:t>Un outil qui contribue à l’exploitation sûre d’une source de production à faibles émissions soutient indirectement cet objectif. La contribution du prototype est celle d’un démonstrateur, non celle d’un système exploité.</w:t>
      </w:r>
      <w:bookmarkEnd w:id="980"/>
      <w:bookmarkEnd w:id="981"/>
      <w:bookmarkEnd w:id="982"/>
    </w:p>
    <w:p w14:paraId="4EF2E95B" w14:textId="77777777" w:rsidR="00F50D70" w:rsidRPr="00B36301" w:rsidRDefault="00137D7F" w:rsidP="008E113B">
      <w:pPr>
        <w:numPr>
          <w:ilvl w:val="0"/>
          <w:numId w:val="20"/>
        </w:numPr>
        <w:spacing w:after="130" w:line="360" w:lineRule="auto"/>
        <w:ind w:left="720"/>
        <w:rPr>
          <w:rFonts w:ascii="Aptos" w:hAnsi="Aptos" w:cs="Calibri"/>
          <w:color w:val="1A1A19"/>
          <w:sz w:val="20"/>
          <w:szCs w:val="20"/>
        </w:rPr>
      </w:pPr>
      <w:bookmarkStart w:id="983" w:name="_Toc241670234"/>
      <w:bookmarkStart w:id="984" w:name="_Toc241707942"/>
      <w:bookmarkStart w:id="985" w:name="_Toc241791891"/>
      <w:r w:rsidRPr="00B36301">
        <w:rPr>
          <w:rFonts w:ascii="Aptos" w:hAnsi="Aptos"/>
          <w:b/>
          <w:color w:val="1A1A19"/>
          <w:sz w:val="20"/>
          <w:szCs w:val="20"/>
        </w:rPr>
        <w:t xml:space="preserve">ODD 9, industrie, innovation et infrastructure. </w:t>
      </w:r>
      <w:r w:rsidRPr="00B36301">
        <w:rPr>
          <w:rFonts w:ascii="Aptos" w:hAnsi="Aptos"/>
          <w:color w:val="1A1A19"/>
          <w:sz w:val="20"/>
          <w:szCs w:val="20"/>
        </w:rPr>
        <w:t>Le projet porte sur la résilience d’une infrastructure existante et sur la modernisation de ses moyens de surveillance.</w:t>
      </w:r>
      <w:bookmarkEnd w:id="983"/>
      <w:bookmarkEnd w:id="984"/>
      <w:bookmarkEnd w:id="985"/>
    </w:p>
    <w:p w14:paraId="035CE735" w14:textId="77777777" w:rsidR="00F50D70" w:rsidRPr="00BE4F47" w:rsidRDefault="00137D7F" w:rsidP="008E113B">
      <w:pPr>
        <w:spacing w:after="130" w:line="360" w:lineRule="auto"/>
        <w:ind w:left="360"/>
        <w:rPr>
          <w:rFonts w:ascii="Aptos" w:eastAsia="Calibri" w:hAnsi="Aptos" w:cs="Calibri"/>
          <w:color w:val="1A1A19"/>
          <w:sz w:val="20"/>
          <w:szCs w:val="20"/>
        </w:rPr>
      </w:pPr>
      <w:bookmarkStart w:id="986" w:name="_Toc241083069"/>
      <w:bookmarkStart w:id="987" w:name="_Toc241670235"/>
      <w:bookmarkStart w:id="988" w:name="_Toc241707943"/>
      <w:bookmarkStart w:id="989" w:name="_Toc241791892"/>
      <w:r w:rsidRPr="00BE4F47">
        <w:rPr>
          <w:rFonts w:ascii="Aptos" w:hAnsi="Aptos"/>
          <w:color w:val="1A1A19"/>
          <w:sz w:val="20"/>
          <w:szCs w:val="20"/>
        </w:rPr>
        <w:t>L’ODD 12, sur la consommation et la production responsables, pourrait s’y ajouter au titre des essais évités. L’équipe s’en tient aux deux premiers.</w:t>
      </w:r>
      <w:bookmarkEnd w:id="986"/>
      <w:bookmarkEnd w:id="987"/>
      <w:bookmarkEnd w:id="988"/>
      <w:bookmarkEnd w:id="989"/>
    </w:p>
    <w:p w14:paraId="142999DE" w14:textId="77777777" w:rsidR="00F50D70" w:rsidRPr="00BE4F47" w:rsidRDefault="00137D7F" w:rsidP="008E113B">
      <w:pPr>
        <w:spacing w:after="130" w:line="360" w:lineRule="auto"/>
        <w:ind w:left="360"/>
        <w:rPr>
          <w:rFonts w:ascii="Aptos" w:hAnsi="Aptos"/>
        </w:rPr>
      </w:pPr>
      <w:bookmarkStart w:id="990" w:name="_Toc241083070"/>
      <w:bookmarkStart w:id="991" w:name="_Toc241670236"/>
      <w:bookmarkStart w:id="992" w:name="_Toc241707944"/>
      <w:bookmarkStart w:id="993" w:name="_Toc241791893"/>
      <w:r w:rsidRPr="00BE4F47">
        <w:rPr>
          <w:rFonts w:ascii="Aptos" w:hAnsi="Aptos"/>
          <w:b/>
          <w:color w:val="1A1A19"/>
          <w:sz w:val="20"/>
          <w:szCs w:val="20"/>
        </w:rPr>
        <w:t xml:space="preserve">La confiance, la transparence et la responsabilité. </w:t>
      </w:r>
      <w:r w:rsidRPr="00BE4F47">
        <w:rPr>
          <w:rFonts w:ascii="Aptos" w:hAnsi="Aptos"/>
          <w:color w:val="1A1A19"/>
          <w:sz w:val="20"/>
          <w:szCs w:val="20"/>
        </w:rPr>
        <w:t>La population concernée par une éventuelle remise en service n’a pas accès au détail technique. Elle juge sur la clarté avec laquelle les capacités et les limites de l’outil sont énoncées.</w:t>
      </w:r>
      <w:bookmarkEnd w:id="990"/>
      <w:bookmarkEnd w:id="991"/>
      <w:bookmarkEnd w:id="992"/>
      <w:bookmarkEnd w:id="993"/>
    </w:p>
    <w:p w14:paraId="1B00A69A" w14:textId="77777777" w:rsidR="00F50D70" w:rsidRPr="00BE4F47" w:rsidRDefault="00137D7F" w:rsidP="008E113B">
      <w:pPr>
        <w:spacing w:after="130" w:line="360" w:lineRule="auto"/>
        <w:ind w:left="360"/>
        <w:rPr>
          <w:rFonts w:ascii="Aptos" w:hAnsi="Aptos"/>
        </w:rPr>
      </w:pPr>
      <w:bookmarkStart w:id="994" w:name="_Toc241083071"/>
      <w:bookmarkStart w:id="995" w:name="_Toc241670237"/>
      <w:bookmarkStart w:id="996" w:name="_Toc241707945"/>
      <w:bookmarkStart w:id="997" w:name="_Toc241791894"/>
      <w:r w:rsidRPr="00BE4F47">
        <w:rPr>
          <w:rFonts w:ascii="Aptos" w:hAnsi="Aptos"/>
          <w:color w:val="1A1A19"/>
          <w:sz w:val="20"/>
          <w:szCs w:val="20"/>
        </w:rPr>
        <w:t>Deux engagements en découlent : documenter le domaine de validité du prototype et les limites au-delà desquelles ses résultats ne sont pas valides (EX-C-01), et maintenir la responsabilité de la décision chez l’opérateur (EX-F-08).</w:t>
      </w:r>
      <w:bookmarkEnd w:id="994"/>
      <w:bookmarkEnd w:id="995"/>
      <w:bookmarkEnd w:id="996"/>
      <w:bookmarkEnd w:id="997"/>
    </w:p>
    <w:p w14:paraId="51D89DD3" w14:textId="77777777" w:rsidR="00F50D70" w:rsidRPr="00B36301" w:rsidRDefault="00137D7F" w:rsidP="008E113B">
      <w:pPr>
        <w:pStyle w:val="Titre2"/>
        <w:spacing w:line="360" w:lineRule="auto"/>
      </w:pPr>
      <w:bookmarkStart w:id="998" w:name="__RefHeading___Toc240715252"/>
      <w:bookmarkStart w:id="999" w:name="_Toc241707946"/>
      <w:bookmarkStart w:id="1000" w:name="_Toc241791895"/>
      <w:bookmarkEnd w:id="998"/>
      <w:r w:rsidRPr="00B36301">
        <w:t>Bénéfices, inconvénients et rôle de l’équipe</w:t>
      </w:r>
      <w:bookmarkEnd w:id="999"/>
      <w:bookmarkEnd w:id="1000"/>
    </w:p>
    <w:p w14:paraId="7E2B822A" w14:textId="77777777" w:rsidR="00F50D70" w:rsidRDefault="00137D7F" w:rsidP="008E113B">
      <w:pPr>
        <w:spacing w:after="130" w:line="360" w:lineRule="auto"/>
        <w:ind w:left="360"/>
        <w:rPr>
          <w:rFonts w:ascii="Aptos" w:eastAsia="Calibri" w:hAnsi="Aptos" w:cs="Calibri"/>
          <w:color w:val="1A1A19"/>
          <w:sz w:val="20"/>
          <w:szCs w:val="20"/>
        </w:rPr>
      </w:pPr>
      <w:bookmarkStart w:id="1001" w:name="_Toc241083073"/>
      <w:bookmarkStart w:id="1002" w:name="_Toc241670239"/>
      <w:bookmarkStart w:id="1003" w:name="_Toc241707947"/>
      <w:bookmarkStart w:id="1004" w:name="_Toc241791896"/>
      <w:r w:rsidRPr="00BE4F47">
        <w:rPr>
          <w:rFonts w:ascii="Aptos" w:hAnsi="Aptos"/>
          <w:color w:val="1A1A19"/>
          <w:sz w:val="20"/>
          <w:szCs w:val="20"/>
        </w:rPr>
        <w:t>Le tableau 7-1 met en regard ce que le projet apporte et ce qu’il coûte ou fait courir comme risque.</w:t>
      </w:r>
      <w:bookmarkEnd w:id="1001"/>
      <w:bookmarkEnd w:id="1002"/>
      <w:bookmarkEnd w:id="1003"/>
      <w:bookmarkEnd w:id="1004"/>
    </w:p>
    <w:p w14:paraId="4930C110" w14:textId="77777777" w:rsidR="00F50D70" w:rsidRPr="00BE4F47" w:rsidRDefault="00137D7F" w:rsidP="008E113B">
      <w:pPr>
        <w:pStyle w:val="Lgende"/>
        <w:keepNext/>
        <w:spacing w:line="360" w:lineRule="auto"/>
        <w:rPr>
          <w:rFonts w:ascii="Aptos" w:hAnsi="Aptos"/>
        </w:rPr>
      </w:pPr>
      <w:bookmarkStart w:id="1005" w:name="_Toc241083074"/>
      <w:bookmarkStart w:id="1006" w:name="_Toc241670240"/>
      <w:bookmarkStart w:id="1007" w:name="_Toc241707948"/>
      <w:bookmarkStart w:id="1008" w:name="_Toc241791897"/>
      <w:r w:rsidRPr="00BE4F47">
        <w:rPr>
          <w:rFonts w:ascii="Aptos" w:hAnsi="Aptos"/>
        </w:rPr>
        <w:t>Tableau 7-1. Bénéfices et inconvénients du projet</w:t>
      </w:r>
      <w:bookmarkEnd w:id="1005"/>
      <w:bookmarkEnd w:id="1006"/>
      <w:bookmarkEnd w:id="1007"/>
      <w:bookmarkEnd w:id="1008"/>
    </w:p>
    <w:tbl>
      <w:tblPr>
        <w:tblW w:w="8557" w:type="dxa"/>
        <w:tblInd w:w="413" w:type="dxa"/>
        <w:tblLayout w:type="fixed"/>
        <w:tblCellMar>
          <w:top w:w="55" w:type="dxa"/>
          <w:left w:w="85" w:type="dxa"/>
          <w:bottom w:w="55" w:type="dxa"/>
          <w:right w:w="85" w:type="dxa"/>
        </w:tblCellMar>
        <w:tblLook w:val="04A0" w:firstRow="1" w:lastRow="0" w:firstColumn="1" w:lastColumn="0" w:noHBand="0" w:noVBand="1"/>
      </w:tblPr>
      <w:tblGrid>
        <w:gridCol w:w="4064"/>
        <w:gridCol w:w="4493"/>
      </w:tblGrid>
      <w:tr w:rsidR="00F50D70" w:rsidRPr="00BE4F47" w14:paraId="15EA8DE4" w14:textId="77777777" w:rsidTr="0036725C">
        <w:trPr>
          <w:trHeight w:val="223"/>
          <w:tblHeader/>
        </w:trPr>
        <w:tc>
          <w:tcPr>
            <w:tcW w:w="4064"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6E6B4D10"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Bénéfices</w:t>
            </w:r>
          </w:p>
        </w:tc>
        <w:tc>
          <w:tcPr>
            <w:tcW w:w="4493"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25785F3E"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Inconvénients</w:t>
            </w:r>
          </w:p>
        </w:tc>
      </w:tr>
      <w:tr w:rsidR="00F50D70" w:rsidRPr="00BE4F47" w14:paraId="02CFA37B" w14:textId="77777777">
        <w:trPr>
          <w:cantSplit/>
          <w:trHeight w:val="429"/>
        </w:trPr>
        <w:tc>
          <w:tcPr>
            <w:tcW w:w="4064" w:type="dxa"/>
            <w:tcBorders>
              <w:top w:val="single" w:sz="4" w:space="0" w:color="000000"/>
              <w:left w:val="single" w:sz="4" w:space="0" w:color="000000"/>
              <w:bottom w:val="single" w:sz="4" w:space="0" w:color="000000"/>
              <w:right w:val="single" w:sz="4" w:space="0" w:color="000000"/>
            </w:tcBorders>
          </w:tcPr>
          <w:p w14:paraId="6252186D"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Étudier des scénarios de défaillance sans les provoquer sur une installation réelle.</w:t>
            </w:r>
          </w:p>
        </w:tc>
        <w:tc>
          <w:tcPr>
            <w:tcW w:w="4493" w:type="dxa"/>
            <w:tcBorders>
              <w:top w:val="single" w:sz="4" w:space="0" w:color="000000"/>
              <w:left w:val="single" w:sz="4" w:space="0" w:color="000000"/>
              <w:bottom w:val="single" w:sz="4" w:space="0" w:color="000000"/>
              <w:right w:val="single" w:sz="4" w:space="0" w:color="000000"/>
            </w:tcBorders>
          </w:tcPr>
          <w:p w14:paraId="027FFB12"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Introduction d’un biais d’automatisation : l’opérateur peut accorder au modèle plus de crédit qu’à ses instruments (RT10).</w:t>
            </w:r>
          </w:p>
        </w:tc>
      </w:tr>
      <w:tr w:rsidR="00F50D70" w:rsidRPr="00BE4F47" w14:paraId="12ED062E" w14:textId="77777777">
        <w:trPr>
          <w:cantSplit/>
          <w:trHeight w:val="429"/>
        </w:trPr>
        <w:tc>
          <w:tcPr>
            <w:tcW w:w="4064" w:type="dxa"/>
            <w:tcBorders>
              <w:top w:val="single" w:sz="4" w:space="0" w:color="000000"/>
              <w:left w:val="single" w:sz="4" w:space="0" w:color="000000"/>
              <w:bottom w:val="single" w:sz="4" w:space="0" w:color="000000"/>
              <w:right w:val="single" w:sz="4" w:space="0" w:color="000000"/>
            </w:tcBorders>
          </w:tcPr>
          <w:p w14:paraId="72BF532A"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Reproductibilité des essais : un scénario peut être rejoué à l’identique et comparé.</w:t>
            </w:r>
          </w:p>
        </w:tc>
        <w:tc>
          <w:tcPr>
            <w:tcW w:w="4493" w:type="dxa"/>
            <w:tcBorders>
              <w:top w:val="single" w:sz="4" w:space="0" w:color="000000"/>
              <w:left w:val="single" w:sz="4" w:space="0" w:color="000000"/>
              <w:bottom w:val="single" w:sz="4" w:space="0" w:color="000000"/>
              <w:right w:val="single" w:sz="4" w:space="0" w:color="000000"/>
            </w:tcBorders>
          </w:tcPr>
          <w:p w14:paraId="30E66CE9"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Fausse assurance si le modèle est présenté comme la réalité plutôt que comme une représentation assortie d’une incertitude (RT4).</w:t>
            </w:r>
          </w:p>
        </w:tc>
      </w:tr>
      <w:tr w:rsidR="00F50D70" w:rsidRPr="00BE4F47" w14:paraId="0E0AED70" w14:textId="77777777">
        <w:trPr>
          <w:cantSplit/>
          <w:trHeight w:val="419"/>
        </w:trPr>
        <w:tc>
          <w:tcPr>
            <w:tcW w:w="4064" w:type="dxa"/>
            <w:tcBorders>
              <w:top w:val="single" w:sz="4" w:space="0" w:color="000000"/>
              <w:left w:val="single" w:sz="4" w:space="0" w:color="000000"/>
              <w:bottom w:val="single" w:sz="4" w:space="0" w:color="000000"/>
              <w:right w:val="single" w:sz="4" w:space="0" w:color="000000"/>
            </w:tcBorders>
          </w:tcPr>
          <w:p w14:paraId="2A12DCE4"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lastRenderedPageBreak/>
              <w:t>Détection précoce des dérives lentes, difficiles à percevoir sur des relevés instantanés.</w:t>
            </w:r>
          </w:p>
        </w:tc>
        <w:tc>
          <w:tcPr>
            <w:tcW w:w="4493" w:type="dxa"/>
            <w:tcBorders>
              <w:top w:val="single" w:sz="4" w:space="0" w:color="000000"/>
              <w:left w:val="single" w:sz="4" w:space="0" w:color="000000"/>
              <w:bottom w:val="single" w:sz="4" w:space="0" w:color="000000"/>
              <w:right w:val="single" w:sz="4" w:space="0" w:color="000000"/>
            </w:tcBorders>
          </w:tcPr>
          <w:p w14:paraId="30B0E9ED"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Banalisation des alarmes si le taux de fausses détections est élevé (RT6).</w:t>
            </w:r>
          </w:p>
        </w:tc>
      </w:tr>
      <w:tr w:rsidR="00F50D70" w:rsidRPr="00BE4F47" w14:paraId="2FF1E018" w14:textId="77777777">
        <w:trPr>
          <w:cantSplit/>
          <w:trHeight w:val="429"/>
        </w:trPr>
        <w:tc>
          <w:tcPr>
            <w:tcW w:w="4064" w:type="dxa"/>
            <w:tcBorders>
              <w:top w:val="single" w:sz="4" w:space="0" w:color="000000"/>
              <w:left w:val="single" w:sz="4" w:space="0" w:color="000000"/>
              <w:bottom w:val="single" w:sz="4" w:space="0" w:color="000000"/>
              <w:right w:val="single" w:sz="4" w:space="0" w:color="000000"/>
            </w:tcBorders>
          </w:tcPr>
          <w:p w14:paraId="544387FA"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Quantification de l’incertitude : une estimation est accompagnée de son degré de confiance (EX-F-07).</w:t>
            </w:r>
          </w:p>
        </w:tc>
        <w:tc>
          <w:tcPr>
            <w:tcW w:w="4493" w:type="dxa"/>
            <w:tcBorders>
              <w:top w:val="single" w:sz="4" w:space="0" w:color="000000"/>
              <w:left w:val="single" w:sz="4" w:space="0" w:color="000000"/>
              <w:bottom w:val="single" w:sz="4" w:space="0" w:color="000000"/>
              <w:right w:val="single" w:sz="4" w:space="0" w:color="000000"/>
            </w:tcBorders>
          </w:tcPr>
          <w:p w14:paraId="3DC454B1"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Surface d’attaque ajoutée par la chaîne d’acquisition, qui n’existait pas avant sa construction (RT7, RT8).</w:t>
            </w:r>
          </w:p>
        </w:tc>
      </w:tr>
      <w:tr w:rsidR="00F50D70" w:rsidRPr="00BE4F47" w14:paraId="47B5E56E" w14:textId="77777777">
        <w:trPr>
          <w:cantSplit/>
          <w:trHeight w:val="429"/>
        </w:trPr>
        <w:tc>
          <w:tcPr>
            <w:tcW w:w="4064" w:type="dxa"/>
            <w:tcBorders>
              <w:top w:val="single" w:sz="4" w:space="0" w:color="000000"/>
              <w:left w:val="single" w:sz="4" w:space="0" w:color="000000"/>
              <w:bottom w:val="single" w:sz="4" w:space="0" w:color="000000"/>
              <w:right w:val="single" w:sz="4" w:space="0" w:color="000000"/>
            </w:tcBorders>
          </w:tcPr>
          <w:p w14:paraId="6D2ED1BB"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Environnement d’apprentissage sans conséquence réelle pour la formation des intervenants.</w:t>
            </w:r>
          </w:p>
        </w:tc>
        <w:tc>
          <w:tcPr>
            <w:tcW w:w="4493" w:type="dxa"/>
            <w:tcBorders>
              <w:top w:val="single" w:sz="4" w:space="0" w:color="000000"/>
              <w:left w:val="single" w:sz="4" w:space="0" w:color="000000"/>
              <w:bottom w:val="single" w:sz="4" w:space="0" w:color="000000"/>
              <w:right w:val="single" w:sz="4" w:space="0" w:color="000000"/>
            </w:tcBorders>
          </w:tcPr>
          <w:p w14:paraId="3830EB0B"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Dérive du modèle dans le temps si celui-ci n’est pas entretenu ni revalidé (RT3, RT4).</w:t>
            </w:r>
          </w:p>
        </w:tc>
      </w:tr>
      <w:tr w:rsidR="00F50D70" w:rsidRPr="00BE4F47" w14:paraId="276F57A0" w14:textId="77777777">
        <w:trPr>
          <w:cantSplit/>
          <w:trHeight w:val="429"/>
        </w:trPr>
        <w:tc>
          <w:tcPr>
            <w:tcW w:w="4064" w:type="dxa"/>
            <w:tcBorders>
              <w:top w:val="single" w:sz="4" w:space="0" w:color="000000"/>
              <w:left w:val="single" w:sz="4" w:space="0" w:color="000000"/>
              <w:bottom w:val="single" w:sz="4" w:space="0" w:color="000000"/>
              <w:right w:val="single" w:sz="4" w:space="0" w:color="000000"/>
            </w:tcBorders>
          </w:tcPr>
          <w:p w14:paraId="282F7E09"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Traçabilité : chaque acquisition et chaque changement d’état sont journalisés (EX-F-10).</w:t>
            </w:r>
          </w:p>
        </w:tc>
        <w:tc>
          <w:tcPr>
            <w:tcW w:w="4493" w:type="dxa"/>
            <w:tcBorders>
              <w:top w:val="single" w:sz="4" w:space="0" w:color="000000"/>
              <w:left w:val="single" w:sz="4" w:space="0" w:color="000000"/>
              <w:bottom w:val="single" w:sz="4" w:space="0" w:color="000000"/>
              <w:right w:val="single" w:sz="4" w:space="0" w:color="000000"/>
            </w:tcBorders>
          </w:tcPr>
          <w:p w14:paraId="4102E747"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Coût de maintien du modèle et des compétences nécessaires pour l’interpréter.</w:t>
            </w:r>
          </w:p>
        </w:tc>
      </w:tr>
    </w:tbl>
    <w:p w14:paraId="1A552AE0" w14:textId="77777777" w:rsidR="00F50D70" w:rsidRPr="00BE4F47" w:rsidRDefault="00137D7F" w:rsidP="008E113B">
      <w:pPr>
        <w:spacing w:before="200" w:after="130" w:line="360" w:lineRule="auto"/>
        <w:ind w:left="360"/>
        <w:rPr>
          <w:rFonts w:ascii="Aptos" w:eastAsia="Calibri" w:hAnsi="Aptos" w:cs="Calibri"/>
          <w:color w:val="1A1A19"/>
          <w:sz w:val="20"/>
          <w:szCs w:val="20"/>
        </w:rPr>
      </w:pPr>
      <w:bookmarkStart w:id="1009" w:name="_Toc241083076"/>
      <w:bookmarkStart w:id="1010" w:name="_Toc241670241"/>
      <w:bookmarkStart w:id="1011" w:name="_Toc241707949"/>
      <w:bookmarkStart w:id="1012" w:name="_Toc241791898"/>
      <w:r w:rsidRPr="00BE4F47">
        <w:rPr>
          <w:rFonts w:ascii="Aptos" w:hAnsi="Aptos"/>
          <w:b/>
          <w:color w:val="1A1A19"/>
          <w:sz w:val="20"/>
          <w:szCs w:val="20"/>
        </w:rPr>
        <w:t xml:space="preserve">Le rôle de l’équipe. </w:t>
      </w:r>
      <w:r w:rsidRPr="00BE4F47">
        <w:rPr>
          <w:rFonts w:ascii="Aptos" w:hAnsi="Aptos"/>
          <w:color w:val="1A1A19"/>
          <w:sz w:val="20"/>
          <w:szCs w:val="20"/>
        </w:rPr>
        <w:t>La protection du public est la mission première du système professionnel québécois et la raison d’être de l’encadrement légal de la section 6. La question posée par le mandat est de savoir comment l’équipe exerce ce rôle.</w:t>
      </w:r>
      <w:bookmarkEnd w:id="1009"/>
      <w:bookmarkEnd w:id="1010"/>
      <w:bookmarkEnd w:id="1011"/>
      <w:bookmarkEnd w:id="1012"/>
    </w:p>
    <w:p w14:paraId="505A874D" w14:textId="77777777" w:rsidR="00F50D70" w:rsidRPr="00BE4F47" w:rsidRDefault="00137D7F" w:rsidP="008E113B">
      <w:pPr>
        <w:spacing w:after="130" w:line="360" w:lineRule="auto"/>
        <w:ind w:left="360"/>
        <w:rPr>
          <w:rFonts w:ascii="Aptos" w:eastAsia="Calibri" w:hAnsi="Aptos" w:cs="Calibri"/>
          <w:color w:val="1A1A19"/>
          <w:sz w:val="20"/>
          <w:szCs w:val="20"/>
        </w:rPr>
      </w:pPr>
      <w:bookmarkStart w:id="1013" w:name="_Toc241083077"/>
      <w:bookmarkStart w:id="1014" w:name="_Toc241670242"/>
      <w:bookmarkStart w:id="1015" w:name="_Toc241707950"/>
      <w:bookmarkStart w:id="1016" w:name="_Toc241791899"/>
      <w:r w:rsidRPr="00BE4F47">
        <w:rPr>
          <w:rFonts w:ascii="Aptos" w:hAnsi="Aptos"/>
          <w:color w:val="1A1A19"/>
          <w:sz w:val="20"/>
          <w:szCs w:val="20"/>
        </w:rPr>
        <w:t>L’équipe n’est pas encore composée d’ingénieurs. Le rôle s’exerce par trois pratiques concrètes :</w:t>
      </w:r>
      <w:bookmarkEnd w:id="1013"/>
      <w:bookmarkEnd w:id="1014"/>
      <w:bookmarkEnd w:id="1015"/>
      <w:bookmarkEnd w:id="1016"/>
    </w:p>
    <w:p w14:paraId="3C056A17" w14:textId="77777777" w:rsidR="00F50D70" w:rsidRPr="00BE4F47" w:rsidRDefault="00137D7F" w:rsidP="008E113B">
      <w:pPr>
        <w:spacing w:after="130" w:line="360" w:lineRule="auto"/>
        <w:ind w:left="360"/>
        <w:rPr>
          <w:rFonts w:ascii="Aptos" w:hAnsi="Aptos"/>
        </w:rPr>
      </w:pPr>
      <w:bookmarkStart w:id="1017" w:name="_Toc241083078"/>
      <w:bookmarkStart w:id="1018" w:name="_Toc241670243"/>
      <w:bookmarkStart w:id="1019" w:name="_Toc241707951"/>
      <w:bookmarkStart w:id="1020" w:name="_Toc241791900"/>
      <w:r w:rsidRPr="00BE4F47">
        <w:rPr>
          <w:rFonts w:ascii="Aptos" w:hAnsi="Aptos"/>
          <w:color w:val="1A1A19"/>
          <w:sz w:val="20"/>
          <w:szCs w:val="20"/>
        </w:rPr>
        <w:t>Ne pas surestimer ce que le modèle sait faire. Un prototype universitaire de 1 080 heures ne reproduit pas une centrale. Le rapport final devra énoncer le domaine de validité et les limites au-delà desquelles les résultats ne sont pas valides (EX-C-01).</w:t>
      </w:r>
      <w:bookmarkEnd w:id="1017"/>
      <w:bookmarkEnd w:id="1018"/>
      <w:bookmarkEnd w:id="1019"/>
      <w:bookmarkEnd w:id="1020"/>
    </w:p>
    <w:p w14:paraId="36C3DB62" w14:textId="77777777" w:rsidR="00F50D70" w:rsidRPr="00BE4F47" w:rsidRDefault="00137D7F" w:rsidP="008E113B">
      <w:pPr>
        <w:spacing w:after="130" w:line="360" w:lineRule="auto"/>
        <w:ind w:left="360"/>
        <w:rPr>
          <w:rFonts w:ascii="Aptos" w:hAnsi="Aptos"/>
        </w:rPr>
      </w:pPr>
      <w:bookmarkStart w:id="1021" w:name="_Toc241083079"/>
      <w:bookmarkStart w:id="1022" w:name="_Toc241670244"/>
      <w:bookmarkStart w:id="1023" w:name="_Toc241707952"/>
      <w:bookmarkStart w:id="1024" w:name="_Toc241791901"/>
      <w:r w:rsidRPr="00BE4F47">
        <w:rPr>
          <w:rFonts w:ascii="Aptos" w:hAnsi="Aptos"/>
          <w:color w:val="1A1A19"/>
          <w:sz w:val="20"/>
          <w:szCs w:val="20"/>
        </w:rPr>
        <w:t>Rendre l’incertitude visible plutôt que la dissimuler. Une erreur silencieuse ne se voit pas, contrairement à une panne. C’est la raison d’être des exigences EX-F-06 et EX-F-07, et de l’état D2 du GEMMA.</w:t>
      </w:r>
      <w:bookmarkEnd w:id="1021"/>
      <w:bookmarkEnd w:id="1022"/>
      <w:bookmarkEnd w:id="1023"/>
      <w:bookmarkEnd w:id="1024"/>
    </w:p>
    <w:p w14:paraId="12C40F14" w14:textId="77777777" w:rsidR="00F50D70" w:rsidRPr="00BE4F47" w:rsidRDefault="00137D7F" w:rsidP="008E113B">
      <w:pPr>
        <w:spacing w:after="130" w:line="360" w:lineRule="auto"/>
        <w:ind w:left="360"/>
        <w:rPr>
          <w:rFonts w:ascii="Aptos" w:hAnsi="Aptos"/>
        </w:rPr>
      </w:pPr>
      <w:bookmarkStart w:id="1025" w:name="_Toc241083080"/>
      <w:bookmarkStart w:id="1026" w:name="_Toc241670245"/>
      <w:bookmarkStart w:id="1027" w:name="_Toc241707953"/>
      <w:bookmarkStart w:id="1028" w:name="_Toc241791902"/>
      <w:r w:rsidRPr="00BE4F47">
        <w:rPr>
          <w:rFonts w:ascii="Aptos" w:hAnsi="Aptos"/>
          <w:color w:val="1A1A19"/>
          <w:sz w:val="20"/>
          <w:szCs w:val="20"/>
        </w:rPr>
        <w:t>Maintenir la décision chez l’humain. Le prototype n’émet aucune commande (EX-F-08). Le passage en fonctionnement dégradé exigera une confirmation explicite de l’opérateur et sera journalisé (EX-F-09, état D3 du GEMMA).</w:t>
      </w:r>
      <w:bookmarkEnd w:id="1025"/>
      <w:bookmarkEnd w:id="1026"/>
      <w:bookmarkEnd w:id="1027"/>
      <w:bookmarkEnd w:id="1028"/>
    </w:p>
    <w:p w14:paraId="068328E4" w14:textId="77777777" w:rsidR="00F50D70" w:rsidRPr="00BE4F47" w:rsidRDefault="00137D7F" w:rsidP="008E113B">
      <w:pPr>
        <w:spacing w:after="130" w:line="360" w:lineRule="auto"/>
        <w:ind w:left="360"/>
        <w:rPr>
          <w:rFonts w:ascii="Aptos" w:hAnsi="Aptos"/>
        </w:rPr>
      </w:pPr>
      <w:bookmarkStart w:id="1029" w:name="_Toc241083081"/>
      <w:bookmarkStart w:id="1030" w:name="_Toc241670246"/>
      <w:bookmarkStart w:id="1031" w:name="_Toc241707954"/>
      <w:bookmarkStart w:id="1032" w:name="_Toc241791903"/>
      <w:r w:rsidRPr="00BE4F47">
        <w:rPr>
          <w:rFonts w:ascii="Aptos" w:hAnsi="Aptos"/>
          <w:color w:val="1A1A19"/>
          <w:sz w:val="20"/>
          <w:szCs w:val="20"/>
        </w:rPr>
        <w:t>Ces trois pratiques se voient le mieux dans le traitement du risque RT5, la non-détection d’une anomalie réelle. Sa probabilité se réduit par les essais, sa gravité beaucoup moins. Elle ne descend de 5 à 4 que grâce à l’affichage du niveau de confiance et à la déclaration de l’incertitude, qui donnent à l’opérateur un signal indépendant du diagnostic.</w:t>
      </w:r>
      <w:bookmarkEnd w:id="1029"/>
      <w:bookmarkEnd w:id="1030"/>
      <w:bookmarkEnd w:id="1031"/>
      <w:bookmarkEnd w:id="1032"/>
    </w:p>
    <w:p w14:paraId="7A5890E6" w14:textId="77777777" w:rsidR="00F50D70" w:rsidRPr="00BE4F47" w:rsidRDefault="00137D7F" w:rsidP="008E113B">
      <w:pPr>
        <w:spacing w:after="130" w:line="360" w:lineRule="auto"/>
        <w:ind w:left="360"/>
        <w:rPr>
          <w:rFonts w:ascii="Aptos" w:hAnsi="Aptos"/>
        </w:rPr>
      </w:pPr>
      <w:bookmarkStart w:id="1033" w:name="_Toc241083083"/>
      <w:bookmarkStart w:id="1034" w:name="_Toc241670247"/>
      <w:bookmarkStart w:id="1035" w:name="_Toc241707955"/>
      <w:bookmarkStart w:id="1036" w:name="_Toc241791904"/>
      <w:r w:rsidRPr="00BE4F47">
        <w:rPr>
          <w:rFonts w:ascii="Aptos" w:hAnsi="Aptos"/>
          <w:b/>
          <w:color w:val="1A1A19"/>
          <w:sz w:val="20"/>
          <w:szCs w:val="20"/>
        </w:rPr>
        <w:t xml:space="preserve">L’arbitrage retenu. </w:t>
      </w:r>
      <w:r w:rsidRPr="00BE4F47">
        <w:rPr>
          <w:rFonts w:ascii="Aptos" w:hAnsi="Aptos"/>
          <w:color w:val="1A1A19"/>
          <w:sz w:val="20"/>
          <w:szCs w:val="20"/>
        </w:rPr>
        <w:t>Quatre orientations structurent cet arbitrage.</w:t>
      </w:r>
      <w:bookmarkEnd w:id="1033"/>
      <w:bookmarkEnd w:id="1034"/>
      <w:bookmarkEnd w:id="1035"/>
      <w:bookmarkEnd w:id="1036"/>
    </w:p>
    <w:p w14:paraId="68AED203" w14:textId="77777777" w:rsidR="00F50D70" w:rsidRPr="00BE4F47" w:rsidRDefault="00137D7F" w:rsidP="008E113B">
      <w:pPr>
        <w:pStyle w:val="Lgende"/>
        <w:keepNext/>
        <w:spacing w:line="360" w:lineRule="auto"/>
        <w:rPr>
          <w:rFonts w:ascii="Aptos" w:hAnsi="Aptos"/>
        </w:rPr>
      </w:pPr>
      <w:bookmarkStart w:id="1037" w:name="_Toc241083084"/>
      <w:bookmarkStart w:id="1038" w:name="_Toc241670248"/>
      <w:bookmarkStart w:id="1039" w:name="_Toc241707956"/>
      <w:bookmarkStart w:id="1040" w:name="_Toc241791905"/>
      <w:r w:rsidRPr="00BE4F47">
        <w:rPr>
          <w:rFonts w:ascii="Aptos" w:hAnsi="Aptos"/>
        </w:rPr>
        <w:t>Tableau 7-2. Orientations retenues et ce qu’elles visent</w:t>
      </w:r>
      <w:bookmarkEnd w:id="1037"/>
      <w:bookmarkEnd w:id="1038"/>
      <w:bookmarkEnd w:id="1039"/>
      <w:bookmarkEnd w:id="1040"/>
    </w:p>
    <w:tbl>
      <w:tblPr>
        <w:tblW w:w="8557" w:type="dxa"/>
        <w:tblInd w:w="413" w:type="dxa"/>
        <w:tblLayout w:type="fixed"/>
        <w:tblCellMar>
          <w:top w:w="55" w:type="dxa"/>
          <w:left w:w="85" w:type="dxa"/>
          <w:bottom w:w="55" w:type="dxa"/>
          <w:right w:w="85" w:type="dxa"/>
        </w:tblCellMar>
        <w:tblLook w:val="04A0" w:firstRow="1" w:lastRow="0" w:firstColumn="1" w:lastColumn="0" w:noHBand="0" w:noVBand="1"/>
      </w:tblPr>
      <w:tblGrid>
        <w:gridCol w:w="2611"/>
        <w:gridCol w:w="3040"/>
        <w:gridCol w:w="2906"/>
      </w:tblGrid>
      <w:tr w:rsidR="00F50D70" w:rsidRPr="00BE4F47" w14:paraId="60A08D4F" w14:textId="77777777">
        <w:trPr>
          <w:trHeight w:val="216"/>
          <w:tblHeader/>
        </w:trPr>
        <w:tc>
          <w:tcPr>
            <w:tcW w:w="2611" w:type="dxa"/>
            <w:tcBorders>
              <w:top w:val="single" w:sz="4" w:space="0" w:color="000000"/>
              <w:left w:val="single" w:sz="4" w:space="0" w:color="000000"/>
              <w:bottom w:val="single" w:sz="4" w:space="0" w:color="000000"/>
              <w:right w:val="single" w:sz="4" w:space="0" w:color="000000"/>
            </w:tcBorders>
            <w:shd w:val="clear" w:color="auto" w:fill="EFF4FB"/>
          </w:tcPr>
          <w:p w14:paraId="15BBAE3C"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Orientation</w:t>
            </w:r>
          </w:p>
        </w:tc>
        <w:tc>
          <w:tcPr>
            <w:tcW w:w="3040" w:type="dxa"/>
            <w:tcBorders>
              <w:top w:val="single" w:sz="4" w:space="0" w:color="000000"/>
              <w:left w:val="single" w:sz="4" w:space="0" w:color="000000"/>
              <w:bottom w:val="single" w:sz="4" w:space="0" w:color="000000"/>
              <w:right w:val="single" w:sz="4" w:space="0" w:color="000000"/>
            </w:tcBorders>
            <w:shd w:val="clear" w:color="auto" w:fill="EFF4FB"/>
          </w:tcPr>
          <w:p w14:paraId="5C17F1E9"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Ce qu’elle maximise</w:t>
            </w:r>
          </w:p>
        </w:tc>
        <w:tc>
          <w:tcPr>
            <w:tcW w:w="2906" w:type="dxa"/>
            <w:tcBorders>
              <w:top w:val="single" w:sz="4" w:space="0" w:color="000000"/>
              <w:left w:val="single" w:sz="4" w:space="0" w:color="000000"/>
              <w:bottom w:val="single" w:sz="4" w:space="0" w:color="000000"/>
              <w:right w:val="single" w:sz="4" w:space="0" w:color="000000"/>
            </w:tcBorders>
            <w:shd w:val="clear" w:color="auto" w:fill="EFF4FB"/>
          </w:tcPr>
          <w:p w14:paraId="1DA867BD"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Ce qu’elle minimise</w:t>
            </w:r>
          </w:p>
        </w:tc>
      </w:tr>
      <w:tr w:rsidR="00F50D70" w:rsidRPr="00BE4F47" w14:paraId="4AF21404" w14:textId="77777777">
        <w:trPr>
          <w:cantSplit/>
          <w:trHeight w:val="612"/>
        </w:trPr>
        <w:tc>
          <w:tcPr>
            <w:tcW w:w="2611" w:type="dxa"/>
            <w:tcBorders>
              <w:top w:val="single" w:sz="4" w:space="0" w:color="000000"/>
              <w:left w:val="single" w:sz="4" w:space="0" w:color="000000"/>
              <w:bottom w:val="single" w:sz="4" w:space="0" w:color="000000"/>
              <w:right w:val="single" w:sz="4" w:space="0" w:color="000000"/>
            </w:tcBorders>
          </w:tcPr>
          <w:p w14:paraId="0A59ECC4"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État D3 du GEMMA, fonctionnement dégradé autorisé sous surveillance renforcée et validation humaine.</w:t>
            </w:r>
          </w:p>
        </w:tc>
        <w:tc>
          <w:tcPr>
            <w:tcW w:w="3040" w:type="dxa"/>
            <w:tcBorders>
              <w:top w:val="single" w:sz="4" w:space="0" w:color="000000"/>
              <w:left w:val="single" w:sz="4" w:space="0" w:color="000000"/>
              <w:bottom w:val="single" w:sz="4" w:space="0" w:color="000000"/>
              <w:right w:val="single" w:sz="4" w:space="0" w:color="000000"/>
            </w:tcBorders>
          </w:tcPr>
          <w:p w14:paraId="36DCBF3F"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La disponibilité de l’outil : une donnée partiellement dégradée n’entraîne pas l’arrêt complet de la surveillance.</w:t>
            </w:r>
          </w:p>
        </w:tc>
        <w:tc>
          <w:tcPr>
            <w:tcW w:w="2906" w:type="dxa"/>
            <w:tcBorders>
              <w:top w:val="single" w:sz="4" w:space="0" w:color="000000"/>
              <w:left w:val="single" w:sz="4" w:space="0" w:color="000000"/>
              <w:bottom w:val="single" w:sz="4" w:space="0" w:color="000000"/>
              <w:right w:val="single" w:sz="4" w:space="0" w:color="000000"/>
            </w:tcBorders>
          </w:tcPr>
          <w:p w14:paraId="4DA19586"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Le risque d’exploiter un diagnostic non fiable, puisque le passage exige une confirmation explicite (EX-F-09).</w:t>
            </w:r>
          </w:p>
        </w:tc>
      </w:tr>
      <w:tr w:rsidR="00F50D70" w:rsidRPr="00BE4F47" w14:paraId="6D03F76B" w14:textId="77777777">
        <w:trPr>
          <w:cantSplit/>
          <w:trHeight w:val="612"/>
        </w:trPr>
        <w:tc>
          <w:tcPr>
            <w:tcW w:w="2611" w:type="dxa"/>
            <w:tcBorders>
              <w:top w:val="single" w:sz="4" w:space="0" w:color="000000"/>
              <w:left w:val="single" w:sz="4" w:space="0" w:color="000000"/>
              <w:bottom w:val="single" w:sz="4" w:space="0" w:color="000000"/>
              <w:right w:val="single" w:sz="4" w:space="0" w:color="000000"/>
            </w:tcBorders>
          </w:tcPr>
          <w:p w14:paraId="43F6AB3B"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Signalement de l’incertitude plutôt qu’affichage d’un état normal par défaut (EX-F-06).</w:t>
            </w:r>
          </w:p>
        </w:tc>
        <w:tc>
          <w:tcPr>
            <w:tcW w:w="3040" w:type="dxa"/>
            <w:tcBorders>
              <w:top w:val="single" w:sz="4" w:space="0" w:color="000000"/>
              <w:left w:val="single" w:sz="4" w:space="0" w:color="000000"/>
              <w:bottom w:val="single" w:sz="4" w:space="0" w:color="000000"/>
              <w:right w:val="single" w:sz="4" w:space="0" w:color="000000"/>
            </w:tcBorders>
          </w:tcPr>
          <w:p w14:paraId="6913BEBD"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L’information utile réellement transmise à l’opérateur.</w:t>
            </w:r>
          </w:p>
        </w:tc>
        <w:tc>
          <w:tcPr>
            <w:tcW w:w="2906" w:type="dxa"/>
            <w:tcBorders>
              <w:top w:val="single" w:sz="4" w:space="0" w:color="000000"/>
              <w:left w:val="single" w:sz="4" w:space="0" w:color="000000"/>
              <w:bottom w:val="single" w:sz="4" w:space="0" w:color="000000"/>
              <w:right w:val="single" w:sz="4" w:space="0" w:color="000000"/>
            </w:tcBorders>
          </w:tcPr>
          <w:p w14:paraId="35893D5D"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Le biais d’automatisation et l’erreur silencieuse (RT10, RT5).</w:t>
            </w:r>
          </w:p>
        </w:tc>
      </w:tr>
      <w:tr w:rsidR="00F50D70" w:rsidRPr="00BE4F47" w14:paraId="5FEE6EB8" w14:textId="77777777">
        <w:trPr>
          <w:cantSplit/>
          <w:trHeight w:val="601"/>
        </w:trPr>
        <w:tc>
          <w:tcPr>
            <w:tcW w:w="2611" w:type="dxa"/>
            <w:tcBorders>
              <w:top w:val="single" w:sz="4" w:space="0" w:color="000000"/>
              <w:left w:val="single" w:sz="4" w:space="0" w:color="000000"/>
              <w:bottom w:val="single" w:sz="4" w:space="0" w:color="000000"/>
              <w:right w:val="single" w:sz="4" w:space="0" w:color="000000"/>
            </w:tcBorders>
          </w:tcPr>
          <w:p w14:paraId="4C37AD85"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Interdiction de redémarrage direct depuis l’état D1, imposant le passage par D2, A5, A6 et A1.</w:t>
            </w:r>
          </w:p>
        </w:tc>
        <w:tc>
          <w:tcPr>
            <w:tcW w:w="3040" w:type="dxa"/>
            <w:tcBorders>
              <w:top w:val="single" w:sz="4" w:space="0" w:color="000000"/>
              <w:left w:val="single" w:sz="4" w:space="0" w:color="000000"/>
              <w:bottom w:val="single" w:sz="4" w:space="0" w:color="000000"/>
              <w:right w:val="single" w:sz="4" w:space="0" w:color="000000"/>
            </w:tcBorders>
          </w:tcPr>
          <w:p w14:paraId="0F08A5A8"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La maîtrise de la reprise après un événement.</w:t>
            </w:r>
          </w:p>
        </w:tc>
        <w:tc>
          <w:tcPr>
            <w:tcW w:w="2906" w:type="dxa"/>
            <w:tcBorders>
              <w:top w:val="single" w:sz="4" w:space="0" w:color="000000"/>
              <w:left w:val="single" w:sz="4" w:space="0" w:color="000000"/>
              <w:bottom w:val="single" w:sz="4" w:space="0" w:color="000000"/>
              <w:right w:val="single" w:sz="4" w:space="0" w:color="000000"/>
            </w:tcBorders>
          </w:tcPr>
          <w:p w14:paraId="59C7C571"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Le redémarrage d’un système dont la cause de défaillance n’a pas été traitée.</w:t>
            </w:r>
          </w:p>
        </w:tc>
      </w:tr>
      <w:tr w:rsidR="00F50D70" w:rsidRPr="00BE4F47" w14:paraId="19404E6C" w14:textId="77777777">
        <w:trPr>
          <w:cantSplit/>
          <w:trHeight w:val="612"/>
        </w:trPr>
        <w:tc>
          <w:tcPr>
            <w:tcW w:w="2611" w:type="dxa"/>
            <w:tcBorders>
              <w:top w:val="single" w:sz="4" w:space="0" w:color="000000"/>
              <w:left w:val="single" w:sz="4" w:space="0" w:color="000000"/>
              <w:bottom w:val="single" w:sz="4" w:space="0" w:color="000000"/>
              <w:right w:val="single" w:sz="4" w:space="0" w:color="000000"/>
            </w:tcBorders>
          </w:tcPr>
          <w:p w14:paraId="591A6D8C"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lastRenderedPageBreak/>
              <w:t>Priorité de réduction du contenu ajustable avant toute réduction des activités de V&amp;V (RP2).</w:t>
            </w:r>
          </w:p>
        </w:tc>
        <w:tc>
          <w:tcPr>
            <w:tcW w:w="3040" w:type="dxa"/>
            <w:tcBorders>
              <w:top w:val="single" w:sz="4" w:space="0" w:color="000000"/>
              <w:left w:val="single" w:sz="4" w:space="0" w:color="000000"/>
              <w:bottom w:val="single" w:sz="4" w:space="0" w:color="000000"/>
              <w:right w:val="single" w:sz="4" w:space="0" w:color="000000"/>
            </w:tcBorders>
          </w:tcPr>
          <w:p w14:paraId="65E9727E"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La valeur démontrable du livrable à ressources constantes.</w:t>
            </w:r>
          </w:p>
        </w:tc>
        <w:tc>
          <w:tcPr>
            <w:tcW w:w="2906" w:type="dxa"/>
            <w:tcBorders>
              <w:top w:val="single" w:sz="4" w:space="0" w:color="000000"/>
              <w:left w:val="single" w:sz="4" w:space="0" w:color="000000"/>
              <w:bottom w:val="single" w:sz="4" w:space="0" w:color="000000"/>
              <w:right w:val="single" w:sz="4" w:space="0" w:color="000000"/>
            </w:tcBorders>
          </w:tcPr>
          <w:p w14:paraId="47DA356C"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Le risque de remettre un prototype dont la qualité n’a pas été vérifiée.</w:t>
            </w:r>
          </w:p>
        </w:tc>
      </w:tr>
    </w:tbl>
    <w:p w14:paraId="3F1FBA73" w14:textId="77777777" w:rsidR="00F50D70" w:rsidRPr="00BE4F47" w:rsidRDefault="00137D7F" w:rsidP="008E113B">
      <w:pPr>
        <w:spacing w:before="200" w:after="130" w:line="360" w:lineRule="auto"/>
        <w:ind w:left="360"/>
        <w:rPr>
          <w:rFonts w:ascii="Aptos" w:eastAsia="Calibri" w:hAnsi="Aptos" w:cs="Calibri"/>
          <w:color w:val="1A1A19"/>
          <w:sz w:val="20"/>
          <w:szCs w:val="20"/>
        </w:rPr>
      </w:pPr>
      <w:bookmarkStart w:id="1041" w:name="_Toc241083085"/>
      <w:bookmarkStart w:id="1042" w:name="_Toc241670249"/>
      <w:bookmarkStart w:id="1043" w:name="_Toc241707957"/>
      <w:bookmarkStart w:id="1044" w:name="_Toc241791906"/>
      <w:r w:rsidRPr="00BE4F47">
        <w:rPr>
          <w:rFonts w:ascii="Aptos" w:hAnsi="Aptos"/>
          <w:color w:val="1A1A19"/>
          <w:sz w:val="20"/>
          <w:szCs w:val="20"/>
        </w:rPr>
        <w:t>S’y ajoute une règle de suivi : les risques sont réévalués à chaque jalon et à chaque modification importante du périmètre, des exigences ou des hypothèses.</w:t>
      </w:r>
      <w:bookmarkEnd w:id="1041"/>
      <w:bookmarkEnd w:id="1042"/>
      <w:bookmarkEnd w:id="1043"/>
      <w:bookmarkEnd w:id="1044"/>
    </w:p>
    <w:p w14:paraId="2FEF389D" w14:textId="77777777" w:rsidR="00F50D70" w:rsidRPr="00B36301" w:rsidRDefault="00137D7F" w:rsidP="008E113B">
      <w:pPr>
        <w:pStyle w:val="Titre2"/>
        <w:spacing w:line="360" w:lineRule="auto"/>
      </w:pPr>
      <w:bookmarkStart w:id="1045" w:name="__RefHeading___Toc240715264"/>
      <w:bookmarkStart w:id="1046" w:name="_Toc241707958"/>
      <w:bookmarkStart w:id="1047" w:name="_Toc241791907"/>
      <w:bookmarkEnd w:id="1045"/>
      <w:r w:rsidRPr="00B36301">
        <w:t>Méthode d’analyse des risques</w:t>
      </w:r>
      <w:bookmarkEnd w:id="1046"/>
      <w:bookmarkEnd w:id="1047"/>
    </w:p>
    <w:p w14:paraId="4C0CA9FA" w14:textId="77777777" w:rsidR="00F50D70" w:rsidRPr="00BE4F47" w:rsidRDefault="00137D7F" w:rsidP="008E113B">
      <w:pPr>
        <w:spacing w:after="130" w:line="360" w:lineRule="auto"/>
        <w:ind w:left="360"/>
        <w:rPr>
          <w:rFonts w:ascii="Aptos" w:hAnsi="Aptos"/>
        </w:rPr>
      </w:pPr>
      <w:bookmarkStart w:id="1048" w:name="_Toc241083048"/>
      <w:bookmarkStart w:id="1049" w:name="_Toc241670251"/>
      <w:bookmarkStart w:id="1050" w:name="_Toc241707959"/>
      <w:bookmarkStart w:id="1051" w:name="_Toc241791908"/>
      <w:r w:rsidRPr="00BE4F47">
        <w:rPr>
          <w:rFonts w:ascii="Aptos" w:hAnsi="Aptos"/>
          <w:color w:val="1A1A19"/>
          <w:sz w:val="20"/>
          <w:szCs w:val="20"/>
        </w:rPr>
        <w:t>La portée de l’analyse. L’analyse porte sur les risques du prototype universitaire, de son développement, de son modèle de référence, de sa chaîne de données et de son interface. Elle ne constitue pas une analyse probabiliste de sûreté de Gentilly-2, et les niveaux d’impact ne représentent pas les conséquences d’un accident nucléaire réel.</w:t>
      </w:r>
      <w:bookmarkEnd w:id="1048"/>
      <w:bookmarkEnd w:id="1049"/>
      <w:bookmarkEnd w:id="1050"/>
      <w:bookmarkEnd w:id="1051"/>
    </w:p>
    <w:p w14:paraId="61DC3D0F" w14:textId="77777777" w:rsidR="00F50D70" w:rsidRPr="00BE4F47" w:rsidRDefault="00137D7F" w:rsidP="008E113B">
      <w:pPr>
        <w:spacing w:after="130" w:line="360" w:lineRule="auto"/>
        <w:ind w:left="360"/>
        <w:rPr>
          <w:rFonts w:ascii="Aptos" w:hAnsi="Aptos"/>
        </w:rPr>
      </w:pPr>
      <w:bookmarkStart w:id="1052" w:name="_Toc241083087"/>
      <w:bookmarkStart w:id="1053" w:name="_Toc241670252"/>
      <w:bookmarkStart w:id="1054" w:name="_Toc241707960"/>
      <w:bookmarkStart w:id="1055" w:name="_Toc241791909"/>
      <w:r w:rsidRPr="00BE4F47">
        <w:rPr>
          <w:rFonts w:ascii="Aptos" w:hAnsi="Aptos"/>
          <w:color w:val="1A1A19"/>
          <w:sz w:val="20"/>
          <w:szCs w:val="20"/>
        </w:rPr>
        <w:t>Le cadre de référence. La démarche suit le processus de management du risque d’ISO 31000 [30], retenue au tableau 6-3 : identification, analyse, évaluation, traitement, puis surveillance et revue. Les quatre étapes demandées par le mandat, identification, évaluation, atténuation et tolérance, correspondent à ce processus.</w:t>
      </w:r>
      <w:bookmarkEnd w:id="1052"/>
      <w:bookmarkEnd w:id="1053"/>
      <w:bookmarkEnd w:id="1054"/>
      <w:bookmarkEnd w:id="1055"/>
    </w:p>
    <w:p w14:paraId="591F4B81" w14:textId="77777777" w:rsidR="00F50D70" w:rsidRPr="00BE4F47" w:rsidRDefault="00137D7F" w:rsidP="008E113B">
      <w:pPr>
        <w:spacing w:after="130" w:line="360" w:lineRule="auto"/>
        <w:ind w:left="360"/>
        <w:rPr>
          <w:rFonts w:ascii="Aptos" w:hAnsi="Aptos"/>
        </w:rPr>
      </w:pPr>
      <w:bookmarkStart w:id="1056" w:name="_Toc241083088"/>
      <w:bookmarkStart w:id="1057" w:name="_Toc241670253"/>
      <w:bookmarkStart w:id="1058" w:name="_Toc241707961"/>
      <w:bookmarkStart w:id="1059" w:name="_Toc241791910"/>
      <w:r w:rsidRPr="00BE4F47">
        <w:rPr>
          <w:rFonts w:ascii="Aptos" w:hAnsi="Aptos"/>
          <w:color w:val="1A1A19"/>
          <w:sz w:val="20"/>
          <w:szCs w:val="20"/>
        </w:rPr>
        <w:t>Deux registres sont distingués. Les risques de projet touchent l’échéancier, les ressources, les coûts et le périmètre. Les risques du produit concernent le fonctionnement, la fiabilité, les données, la cybersécurité et l’utilisation du jumeau numérique. Les deux familles n’ont ni les mêmes propriétaires, ni les mêmes moyens de traitement, ni les mêmes échéances.</w:t>
      </w:r>
      <w:bookmarkEnd w:id="1056"/>
      <w:bookmarkEnd w:id="1057"/>
      <w:bookmarkEnd w:id="1058"/>
      <w:bookmarkEnd w:id="1059"/>
    </w:p>
    <w:p w14:paraId="303BDFFD" w14:textId="77777777" w:rsidR="00F50D70" w:rsidRPr="00BE4F47" w:rsidRDefault="00137D7F" w:rsidP="008E113B">
      <w:pPr>
        <w:spacing w:after="130" w:line="360" w:lineRule="auto"/>
        <w:ind w:left="360"/>
        <w:rPr>
          <w:rFonts w:ascii="Aptos" w:eastAsia="Calibri" w:hAnsi="Aptos" w:cs="Calibri"/>
          <w:color w:val="1A1A19"/>
          <w:sz w:val="20"/>
          <w:szCs w:val="20"/>
        </w:rPr>
      </w:pPr>
      <w:bookmarkStart w:id="1060" w:name="_Toc241083089"/>
      <w:bookmarkStart w:id="1061" w:name="_Toc241670254"/>
      <w:bookmarkStart w:id="1062" w:name="_Toc241707962"/>
      <w:bookmarkStart w:id="1063" w:name="_Toc241791911"/>
      <w:r w:rsidRPr="00BE4F47">
        <w:rPr>
          <w:rFonts w:ascii="Aptos" w:hAnsi="Aptos"/>
          <w:b/>
          <w:color w:val="1A1A19"/>
          <w:sz w:val="20"/>
          <w:szCs w:val="20"/>
        </w:rPr>
        <w:t xml:space="preserve">Les méthodes d’identification. </w:t>
      </w:r>
      <w:r w:rsidRPr="00BE4F47">
        <w:rPr>
          <w:rFonts w:ascii="Aptos" w:hAnsi="Aptos"/>
          <w:color w:val="1A1A19"/>
          <w:sz w:val="20"/>
          <w:szCs w:val="20"/>
        </w:rPr>
        <w:t>Deux méthodes, parmi celles recensées par l’Ordre des ingénieurs du Québec [42], ont été employées :</w:t>
      </w:r>
      <w:bookmarkEnd w:id="1060"/>
      <w:bookmarkEnd w:id="1061"/>
      <w:bookmarkEnd w:id="1062"/>
      <w:bookmarkEnd w:id="1063"/>
    </w:p>
    <w:p w14:paraId="040CAD81" w14:textId="77777777" w:rsidR="00F50D70" w:rsidRPr="00BE4F47" w:rsidRDefault="00137D7F" w:rsidP="008E113B">
      <w:pPr>
        <w:numPr>
          <w:ilvl w:val="0"/>
          <w:numId w:val="20"/>
        </w:numPr>
        <w:spacing w:after="130" w:line="360" w:lineRule="auto"/>
        <w:ind w:left="720"/>
        <w:rPr>
          <w:rFonts w:ascii="Aptos" w:hAnsi="Aptos"/>
        </w:rPr>
      </w:pPr>
      <w:bookmarkStart w:id="1064" w:name="_Toc241670255"/>
      <w:bookmarkStart w:id="1065" w:name="_Toc241707963"/>
      <w:bookmarkStart w:id="1066" w:name="_Toc241791912"/>
      <w:r w:rsidRPr="00BE4F47">
        <w:rPr>
          <w:rFonts w:ascii="Aptos" w:hAnsi="Aptos"/>
          <w:color w:val="1A1A19"/>
          <w:sz w:val="20"/>
          <w:szCs w:val="20"/>
        </w:rPr>
        <w:t>Analyse préliminaire des risques (APR). Balayage large conduit en séance d’équipe à partir du périmètre, des exigences et des hypothèses. Elle a produit les familles du RBS présenté en 7.4.</w:t>
      </w:r>
      <w:bookmarkEnd w:id="1064"/>
      <w:bookmarkEnd w:id="1065"/>
      <w:bookmarkEnd w:id="1066"/>
    </w:p>
    <w:p w14:paraId="7568D100" w14:textId="77777777" w:rsidR="00F50D70" w:rsidRPr="00BE4F47" w:rsidRDefault="00137D7F" w:rsidP="008E113B">
      <w:pPr>
        <w:numPr>
          <w:ilvl w:val="0"/>
          <w:numId w:val="20"/>
        </w:numPr>
        <w:spacing w:after="130" w:line="360" w:lineRule="auto"/>
        <w:ind w:left="720"/>
        <w:rPr>
          <w:rFonts w:ascii="Aptos" w:hAnsi="Aptos"/>
        </w:rPr>
      </w:pPr>
      <w:bookmarkStart w:id="1067" w:name="_Toc241670256"/>
      <w:bookmarkStart w:id="1068" w:name="_Toc241707964"/>
      <w:bookmarkStart w:id="1069" w:name="_Toc241791913"/>
      <w:r w:rsidRPr="00BE4F47">
        <w:rPr>
          <w:rFonts w:ascii="Aptos" w:hAnsi="Aptos"/>
          <w:color w:val="1A1A19"/>
          <w:sz w:val="20"/>
          <w:szCs w:val="20"/>
        </w:rPr>
        <w:t>Analyse simplifiée inspirée de l’AMDEC, appliquée à la chaîne de détection. Pour chaque mode de défaillance identifié (capteur muet, dérive lente, donnée altérée, perte de communication), l’effet sur la décision de l’opérateur et la classe de risque correspondante ont été examinés. Elle a produit les risques RT1 à RT6.</w:t>
      </w:r>
      <w:bookmarkEnd w:id="1067"/>
      <w:bookmarkEnd w:id="1068"/>
      <w:bookmarkEnd w:id="1069"/>
    </w:p>
    <w:p w14:paraId="5126F478" w14:textId="05827812" w:rsidR="00F50D70" w:rsidRPr="00BE4F47" w:rsidRDefault="00137D7F" w:rsidP="008E113B">
      <w:pPr>
        <w:spacing w:after="130" w:line="360" w:lineRule="auto"/>
        <w:ind w:left="360"/>
        <w:rPr>
          <w:rFonts w:ascii="Aptos" w:eastAsia="Calibri" w:hAnsi="Aptos" w:cs="Calibri"/>
          <w:color w:val="1A1A19"/>
          <w:sz w:val="20"/>
          <w:szCs w:val="20"/>
        </w:rPr>
      </w:pPr>
      <w:bookmarkStart w:id="1070" w:name="_Toc241083090"/>
      <w:bookmarkStart w:id="1071" w:name="_Toc241670257"/>
      <w:bookmarkStart w:id="1072" w:name="_Toc241707965"/>
      <w:bookmarkStart w:id="1073" w:name="_Toc241791914"/>
      <w:r w:rsidRPr="00BE4F47">
        <w:rPr>
          <w:rFonts w:ascii="Aptos" w:hAnsi="Aptos"/>
          <w:color w:val="1A1A19"/>
          <w:sz w:val="20"/>
          <w:szCs w:val="20"/>
        </w:rPr>
        <w:t xml:space="preserve">Les méthodes plus lourdes recensées par la même source, notamment l’étude de risques et d’exploitabilité (HAZOP) et l’analyse quantitative des risques, n’ont pas été employées : elles sont disproportionnées pour un prototype simulé et l’équipe ne dispose ni des données ni </w:t>
      </w:r>
      <w:proofErr w:type="gramStart"/>
      <w:r w:rsidRPr="00BE4F47">
        <w:rPr>
          <w:rFonts w:ascii="Aptos" w:hAnsi="Aptos"/>
          <w:color w:val="1A1A19"/>
          <w:sz w:val="20"/>
          <w:szCs w:val="20"/>
        </w:rPr>
        <w:t>du temps nécessaires</w:t>
      </w:r>
      <w:proofErr w:type="gramEnd"/>
      <w:r w:rsidRPr="00BE4F47">
        <w:rPr>
          <w:rFonts w:ascii="Aptos" w:hAnsi="Aptos"/>
          <w:color w:val="1A1A19"/>
          <w:sz w:val="20"/>
          <w:szCs w:val="20"/>
        </w:rPr>
        <w:t>.</w:t>
      </w:r>
      <w:bookmarkEnd w:id="1070"/>
      <w:bookmarkEnd w:id="1071"/>
      <w:bookmarkEnd w:id="1072"/>
      <w:bookmarkEnd w:id="1073"/>
    </w:p>
    <w:p w14:paraId="0706E14A" w14:textId="77777777" w:rsidR="00F50D70" w:rsidRPr="00BE4F47" w:rsidRDefault="00137D7F" w:rsidP="008E113B">
      <w:pPr>
        <w:spacing w:after="130" w:line="360" w:lineRule="auto"/>
        <w:ind w:left="360"/>
        <w:rPr>
          <w:rFonts w:ascii="Aptos" w:hAnsi="Aptos"/>
        </w:rPr>
      </w:pPr>
      <w:bookmarkStart w:id="1074" w:name="_Toc241083091"/>
      <w:bookmarkStart w:id="1075" w:name="_Toc241670258"/>
      <w:bookmarkStart w:id="1076" w:name="_Toc241707966"/>
      <w:bookmarkStart w:id="1077" w:name="_Toc241791915"/>
      <w:r w:rsidRPr="00BE4F47">
        <w:rPr>
          <w:rFonts w:ascii="Aptos" w:hAnsi="Aptos"/>
          <w:b/>
          <w:color w:val="1A1A19"/>
          <w:sz w:val="20"/>
          <w:szCs w:val="20"/>
        </w:rPr>
        <w:t xml:space="preserve">Les échelles de cotation. </w:t>
      </w:r>
      <w:r w:rsidRPr="00BE4F47">
        <w:rPr>
          <w:rFonts w:ascii="Aptos" w:hAnsi="Aptos"/>
          <w:color w:val="1A1A19"/>
          <w:sz w:val="20"/>
          <w:szCs w:val="20"/>
        </w:rPr>
        <w:t>Les risques sont cotés selon l’échelle de la grille d’analyse de risque employée dans le cours. La gravité va de 1 à 5, la probabilité de A à E. Les définitions de probabilité de la grille sont exprimées pour la durée de vie d’une installation ; la dernière colonne en donne la lecture retenue pour un mandat d’un trimestre.</w:t>
      </w:r>
      <w:bookmarkEnd w:id="1074"/>
      <w:bookmarkEnd w:id="1075"/>
      <w:bookmarkEnd w:id="1076"/>
      <w:bookmarkEnd w:id="1077"/>
    </w:p>
    <w:p w14:paraId="2DFD7CF2" w14:textId="77777777" w:rsidR="00F50D70" w:rsidRPr="00BE4F47" w:rsidRDefault="00137D7F" w:rsidP="008E113B">
      <w:pPr>
        <w:pStyle w:val="Lgende"/>
        <w:keepNext/>
        <w:spacing w:line="360" w:lineRule="auto"/>
        <w:rPr>
          <w:rFonts w:ascii="Aptos" w:hAnsi="Aptos"/>
        </w:rPr>
      </w:pPr>
      <w:bookmarkStart w:id="1078" w:name="_Toc241083092"/>
      <w:bookmarkStart w:id="1079" w:name="_Toc241670259"/>
      <w:bookmarkStart w:id="1080" w:name="_Toc241707967"/>
      <w:bookmarkStart w:id="1081" w:name="_Toc241791916"/>
      <w:r w:rsidRPr="00BE4F47">
        <w:rPr>
          <w:rFonts w:ascii="Aptos" w:hAnsi="Aptos"/>
        </w:rPr>
        <w:lastRenderedPageBreak/>
        <w:t>Tableau 7-3. Échelles de gravité et de probabilité</w:t>
      </w:r>
      <w:bookmarkEnd w:id="1078"/>
      <w:bookmarkEnd w:id="1079"/>
      <w:bookmarkEnd w:id="1080"/>
      <w:bookmarkEnd w:id="1081"/>
    </w:p>
    <w:tbl>
      <w:tblPr>
        <w:tblW w:w="8557" w:type="dxa"/>
        <w:tblInd w:w="413" w:type="dxa"/>
        <w:tblLayout w:type="fixed"/>
        <w:tblCellMar>
          <w:top w:w="55" w:type="dxa"/>
          <w:left w:w="85" w:type="dxa"/>
          <w:bottom w:w="55" w:type="dxa"/>
          <w:right w:w="85" w:type="dxa"/>
        </w:tblCellMar>
        <w:tblLook w:val="04A0" w:firstRow="1" w:lastRow="0" w:firstColumn="1" w:lastColumn="0" w:noHBand="0" w:noVBand="1"/>
      </w:tblPr>
      <w:tblGrid>
        <w:gridCol w:w="917"/>
        <w:gridCol w:w="3667"/>
        <w:gridCol w:w="3973"/>
      </w:tblGrid>
      <w:tr w:rsidR="00F50D70" w:rsidRPr="00BE4F47" w14:paraId="4DF6A442" w14:textId="77777777">
        <w:trPr>
          <w:trHeight w:val="235"/>
          <w:tblHeader/>
        </w:trPr>
        <w:tc>
          <w:tcPr>
            <w:tcW w:w="917" w:type="dxa"/>
            <w:tcBorders>
              <w:top w:val="single" w:sz="4" w:space="0" w:color="000000"/>
              <w:left w:val="single" w:sz="4" w:space="0" w:color="000000"/>
              <w:bottom w:val="single" w:sz="4" w:space="0" w:color="000000"/>
              <w:right w:val="single" w:sz="4" w:space="0" w:color="000000"/>
            </w:tcBorders>
            <w:shd w:val="clear" w:color="auto" w:fill="EFF4FB"/>
          </w:tcPr>
          <w:p w14:paraId="70AF1811"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Niveau</w:t>
            </w:r>
          </w:p>
        </w:tc>
        <w:tc>
          <w:tcPr>
            <w:tcW w:w="3667" w:type="dxa"/>
            <w:tcBorders>
              <w:top w:val="single" w:sz="4" w:space="0" w:color="000000"/>
              <w:left w:val="single" w:sz="4" w:space="0" w:color="000000"/>
              <w:bottom w:val="single" w:sz="4" w:space="0" w:color="000000"/>
              <w:right w:val="single" w:sz="4" w:space="0" w:color="000000"/>
            </w:tcBorders>
            <w:shd w:val="clear" w:color="auto" w:fill="EFF4FB"/>
          </w:tcPr>
          <w:p w14:paraId="083B414F"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Gravité</w:t>
            </w:r>
          </w:p>
        </w:tc>
        <w:tc>
          <w:tcPr>
            <w:tcW w:w="3973" w:type="dxa"/>
            <w:tcBorders>
              <w:top w:val="single" w:sz="4" w:space="0" w:color="000000"/>
              <w:left w:val="single" w:sz="4" w:space="0" w:color="000000"/>
              <w:bottom w:val="single" w:sz="4" w:space="0" w:color="000000"/>
              <w:right w:val="single" w:sz="4" w:space="0" w:color="000000"/>
            </w:tcBorders>
            <w:shd w:val="clear" w:color="auto" w:fill="EFF4FB"/>
          </w:tcPr>
          <w:p w14:paraId="6445345C"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Probabilité</w:t>
            </w:r>
          </w:p>
        </w:tc>
      </w:tr>
      <w:tr w:rsidR="00F50D70" w:rsidRPr="00BE4F47" w14:paraId="4E0A4546" w14:textId="77777777">
        <w:trPr>
          <w:cantSplit/>
          <w:trHeight w:val="259"/>
        </w:trPr>
        <w:tc>
          <w:tcPr>
            <w:tcW w:w="917" w:type="dxa"/>
            <w:tcBorders>
              <w:top w:val="single" w:sz="4" w:space="0" w:color="000000"/>
              <w:left w:val="single" w:sz="4" w:space="0" w:color="000000"/>
              <w:bottom w:val="single" w:sz="4" w:space="0" w:color="000000"/>
              <w:right w:val="single" w:sz="4" w:space="0" w:color="000000"/>
            </w:tcBorders>
          </w:tcPr>
          <w:p w14:paraId="0A0854F7"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1 et A</w:t>
            </w:r>
          </w:p>
        </w:tc>
        <w:tc>
          <w:tcPr>
            <w:tcW w:w="3667" w:type="dxa"/>
            <w:tcBorders>
              <w:top w:val="single" w:sz="4" w:space="0" w:color="000000"/>
              <w:left w:val="single" w:sz="4" w:space="0" w:color="000000"/>
              <w:bottom w:val="single" w:sz="4" w:space="0" w:color="000000"/>
              <w:right w:val="single" w:sz="4" w:space="0" w:color="000000"/>
            </w:tcBorders>
          </w:tcPr>
          <w:p w14:paraId="7CB04B2A"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Négligeable. Aucun effet sur le livrable ni sur l’échéancier.</w:t>
            </w:r>
          </w:p>
        </w:tc>
        <w:tc>
          <w:tcPr>
            <w:tcW w:w="3973" w:type="dxa"/>
            <w:tcBorders>
              <w:top w:val="single" w:sz="4" w:space="0" w:color="000000"/>
              <w:left w:val="single" w:sz="4" w:space="0" w:color="000000"/>
              <w:bottom w:val="single" w:sz="4" w:space="0" w:color="000000"/>
              <w:right w:val="single" w:sz="4" w:space="0" w:color="000000"/>
            </w:tcBorders>
          </w:tcPr>
          <w:p w14:paraId="12407662"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A, presque certain. Plus de 50 %. Se produira sans mesure de traitement.</w:t>
            </w:r>
          </w:p>
        </w:tc>
      </w:tr>
      <w:tr w:rsidR="00F50D70" w:rsidRPr="00BE4F47" w14:paraId="7694788F" w14:textId="77777777">
        <w:trPr>
          <w:cantSplit/>
          <w:trHeight w:val="259"/>
        </w:trPr>
        <w:tc>
          <w:tcPr>
            <w:tcW w:w="917" w:type="dxa"/>
            <w:tcBorders>
              <w:top w:val="single" w:sz="4" w:space="0" w:color="000000"/>
              <w:left w:val="single" w:sz="4" w:space="0" w:color="000000"/>
              <w:bottom w:val="single" w:sz="4" w:space="0" w:color="000000"/>
              <w:right w:val="single" w:sz="4" w:space="0" w:color="000000"/>
            </w:tcBorders>
          </w:tcPr>
          <w:p w14:paraId="7B1066B1"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2 et B</w:t>
            </w:r>
          </w:p>
        </w:tc>
        <w:tc>
          <w:tcPr>
            <w:tcW w:w="3667" w:type="dxa"/>
            <w:tcBorders>
              <w:top w:val="single" w:sz="4" w:space="0" w:color="000000"/>
              <w:left w:val="single" w:sz="4" w:space="0" w:color="000000"/>
              <w:bottom w:val="single" w:sz="4" w:space="0" w:color="000000"/>
              <w:right w:val="single" w:sz="4" w:space="0" w:color="000000"/>
            </w:tcBorders>
          </w:tcPr>
          <w:p w14:paraId="3F409374"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Faible. Effet absorbable sans modification du plan.</w:t>
            </w:r>
          </w:p>
        </w:tc>
        <w:tc>
          <w:tcPr>
            <w:tcW w:w="3973" w:type="dxa"/>
            <w:tcBorders>
              <w:top w:val="single" w:sz="4" w:space="0" w:color="000000"/>
              <w:left w:val="single" w:sz="4" w:space="0" w:color="000000"/>
              <w:bottom w:val="single" w:sz="4" w:space="0" w:color="000000"/>
              <w:right w:val="single" w:sz="4" w:space="0" w:color="000000"/>
            </w:tcBorders>
          </w:tcPr>
          <w:p w14:paraId="2B65AC6C"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B, probablement. De 25 à 50 %. Attendu au moins une fois durant le mandat.</w:t>
            </w:r>
          </w:p>
        </w:tc>
      </w:tr>
      <w:tr w:rsidR="00F50D70" w:rsidRPr="00BE4F47" w14:paraId="4059837A" w14:textId="77777777">
        <w:trPr>
          <w:cantSplit/>
          <w:trHeight w:val="259"/>
        </w:trPr>
        <w:tc>
          <w:tcPr>
            <w:tcW w:w="917" w:type="dxa"/>
            <w:tcBorders>
              <w:top w:val="single" w:sz="4" w:space="0" w:color="000000"/>
              <w:left w:val="single" w:sz="4" w:space="0" w:color="000000"/>
              <w:bottom w:val="single" w:sz="4" w:space="0" w:color="000000"/>
              <w:right w:val="single" w:sz="4" w:space="0" w:color="000000"/>
            </w:tcBorders>
          </w:tcPr>
          <w:p w14:paraId="38E1F12C"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3 et C</w:t>
            </w:r>
          </w:p>
        </w:tc>
        <w:tc>
          <w:tcPr>
            <w:tcW w:w="3667" w:type="dxa"/>
            <w:tcBorders>
              <w:top w:val="single" w:sz="4" w:space="0" w:color="000000"/>
              <w:left w:val="single" w:sz="4" w:space="0" w:color="000000"/>
              <w:bottom w:val="single" w:sz="4" w:space="0" w:color="000000"/>
              <w:right w:val="single" w:sz="4" w:space="0" w:color="000000"/>
            </w:tcBorders>
          </w:tcPr>
          <w:p w14:paraId="4EEDFC20"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Sérieux. Retard ou reprise partielle d’une activité.</w:t>
            </w:r>
          </w:p>
        </w:tc>
        <w:tc>
          <w:tcPr>
            <w:tcW w:w="3973" w:type="dxa"/>
            <w:tcBorders>
              <w:top w:val="single" w:sz="4" w:space="0" w:color="000000"/>
              <w:left w:val="single" w:sz="4" w:space="0" w:color="000000"/>
              <w:bottom w:val="single" w:sz="4" w:space="0" w:color="000000"/>
              <w:right w:val="single" w:sz="4" w:space="0" w:color="000000"/>
            </w:tcBorders>
          </w:tcPr>
          <w:p w14:paraId="1AEE3AFC"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 possible. De 10 à 25 %. Plausible et déjà observé dans des projets comparables.</w:t>
            </w:r>
          </w:p>
        </w:tc>
      </w:tr>
      <w:tr w:rsidR="00F50D70" w:rsidRPr="00BE4F47" w14:paraId="78D05570" w14:textId="77777777">
        <w:trPr>
          <w:cantSplit/>
          <w:trHeight w:val="259"/>
        </w:trPr>
        <w:tc>
          <w:tcPr>
            <w:tcW w:w="917" w:type="dxa"/>
            <w:tcBorders>
              <w:top w:val="single" w:sz="4" w:space="0" w:color="000000"/>
              <w:left w:val="single" w:sz="4" w:space="0" w:color="000000"/>
              <w:bottom w:val="single" w:sz="4" w:space="0" w:color="000000"/>
              <w:right w:val="single" w:sz="4" w:space="0" w:color="000000"/>
            </w:tcBorders>
          </w:tcPr>
          <w:p w14:paraId="4515C66C"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4 et D</w:t>
            </w:r>
          </w:p>
        </w:tc>
        <w:tc>
          <w:tcPr>
            <w:tcW w:w="3667" w:type="dxa"/>
            <w:tcBorders>
              <w:top w:val="single" w:sz="4" w:space="0" w:color="000000"/>
              <w:left w:val="single" w:sz="4" w:space="0" w:color="000000"/>
              <w:bottom w:val="single" w:sz="4" w:space="0" w:color="000000"/>
              <w:right w:val="single" w:sz="4" w:space="0" w:color="000000"/>
            </w:tcBorders>
          </w:tcPr>
          <w:p w14:paraId="6F69F4AC"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Critique. Remise en cause d’un livrable ou d’un jalon.</w:t>
            </w:r>
          </w:p>
        </w:tc>
        <w:tc>
          <w:tcPr>
            <w:tcW w:w="3973" w:type="dxa"/>
            <w:tcBorders>
              <w:top w:val="single" w:sz="4" w:space="0" w:color="000000"/>
              <w:left w:val="single" w:sz="4" w:space="0" w:color="000000"/>
              <w:bottom w:val="single" w:sz="4" w:space="0" w:color="000000"/>
              <w:right w:val="single" w:sz="4" w:space="0" w:color="000000"/>
            </w:tcBorders>
          </w:tcPr>
          <w:p w14:paraId="4EDC69B6"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D, improbable. De 1 à 10 %. Plausible mais sans indice actuel.</w:t>
            </w:r>
          </w:p>
        </w:tc>
      </w:tr>
      <w:tr w:rsidR="00F50D70" w:rsidRPr="00BE4F47" w14:paraId="2E03F6A0" w14:textId="77777777">
        <w:trPr>
          <w:cantSplit/>
          <w:trHeight w:val="259"/>
        </w:trPr>
        <w:tc>
          <w:tcPr>
            <w:tcW w:w="917" w:type="dxa"/>
            <w:tcBorders>
              <w:top w:val="single" w:sz="4" w:space="0" w:color="000000"/>
              <w:left w:val="single" w:sz="4" w:space="0" w:color="000000"/>
              <w:bottom w:val="single" w:sz="4" w:space="0" w:color="000000"/>
              <w:right w:val="single" w:sz="4" w:space="0" w:color="000000"/>
            </w:tcBorders>
          </w:tcPr>
          <w:p w14:paraId="6B6AA039"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5 et E</w:t>
            </w:r>
          </w:p>
        </w:tc>
        <w:tc>
          <w:tcPr>
            <w:tcW w:w="3667" w:type="dxa"/>
            <w:tcBorders>
              <w:top w:val="single" w:sz="4" w:space="0" w:color="000000"/>
              <w:left w:val="single" w:sz="4" w:space="0" w:color="000000"/>
              <w:bottom w:val="single" w:sz="4" w:space="0" w:color="000000"/>
              <w:right w:val="single" w:sz="4" w:space="0" w:color="000000"/>
            </w:tcBorders>
          </w:tcPr>
          <w:p w14:paraId="74919254"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Catastrophique. Remise en cause du mandat ou de la validité des résultats.</w:t>
            </w:r>
          </w:p>
        </w:tc>
        <w:tc>
          <w:tcPr>
            <w:tcW w:w="3973" w:type="dxa"/>
            <w:tcBorders>
              <w:top w:val="single" w:sz="4" w:space="0" w:color="000000"/>
              <w:left w:val="single" w:sz="4" w:space="0" w:color="000000"/>
              <w:bottom w:val="single" w:sz="4" w:space="0" w:color="000000"/>
              <w:right w:val="single" w:sz="4" w:space="0" w:color="000000"/>
            </w:tcBorders>
          </w:tcPr>
          <w:p w14:paraId="0FA7A8D0"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E, très improbable. Moins de 1 %. Non anticipé dans le cadre du mandat.</w:t>
            </w:r>
          </w:p>
        </w:tc>
      </w:tr>
    </w:tbl>
    <w:p w14:paraId="69192167" w14:textId="77777777" w:rsidR="00F50D70" w:rsidRPr="00BE4F47" w:rsidRDefault="00137D7F" w:rsidP="008E113B">
      <w:pPr>
        <w:spacing w:before="200" w:after="130" w:line="360" w:lineRule="auto"/>
        <w:ind w:left="360"/>
        <w:rPr>
          <w:rFonts w:ascii="Aptos" w:hAnsi="Aptos"/>
        </w:rPr>
      </w:pPr>
      <w:bookmarkStart w:id="1082" w:name="_Toc241083093"/>
      <w:bookmarkStart w:id="1083" w:name="_Toc241670260"/>
      <w:bookmarkStart w:id="1084" w:name="_Toc241707968"/>
      <w:bookmarkStart w:id="1085" w:name="_Toc241791917"/>
      <w:r w:rsidRPr="00BE4F47">
        <w:rPr>
          <w:rFonts w:ascii="Aptos" w:hAnsi="Aptos"/>
          <w:color w:val="1A1A19"/>
          <w:sz w:val="20"/>
          <w:szCs w:val="20"/>
        </w:rPr>
        <w:t>La classe de risque se lit à l’intersection de la gravité et de la probabilité, selon la matrice de la grille. Elle remplace le produit des deux notes : deux risques de même produit n’appellent pas la même conduite selon que la gravité ou la probabilité domine.</w:t>
      </w:r>
      <w:bookmarkEnd w:id="1082"/>
      <w:bookmarkEnd w:id="1083"/>
      <w:bookmarkEnd w:id="1084"/>
      <w:bookmarkEnd w:id="1085"/>
    </w:p>
    <w:p w14:paraId="04235EFD" w14:textId="77777777" w:rsidR="00F50D70" w:rsidRPr="00BE4F47" w:rsidRDefault="00137D7F" w:rsidP="008E113B">
      <w:pPr>
        <w:pStyle w:val="Lgende"/>
        <w:keepNext/>
        <w:spacing w:line="360" w:lineRule="auto"/>
        <w:rPr>
          <w:rFonts w:ascii="Aptos" w:hAnsi="Aptos"/>
        </w:rPr>
      </w:pPr>
      <w:bookmarkStart w:id="1086" w:name="_Toc241083094"/>
      <w:bookmarkStart w:id="1087" w:name="_Toc241670261"/>
      <w:bookmarkStart w:id="1088" w:name="_Toc241707969"/>
      <w:bookmarkStart w:id="1089" w:name="_Toc241791918"/>
      <w:r w:rsidRPr="00BE4F47">
        <w:rPr>
          <w:rFonts w:ascii="Aptos" w:hAnsi="Aptos"/>
        </w:rPr>
        <w:t>Tableau 7-4. Classes de risque et conduite à tenir</w:t>
      </w:r>
      <w:bookmarkEnd w:id="1086"/>
      <w:bookmarkEnd w:id="1087"/>
      <w:bookmarkEnd w:id="1088"/>
      <w:bookmarkEnd w:id="1089"/>
    </w:p>
    <w:tbl>
      <w:tblPr>
        <w:tblW w:w="8557" w:type="dxa"/>
        <w:tblInd w:w="413" w:type="dxa"/>
        <w:tblLayout w:type="fixed"/>
        <w:tblCellMar>
          <w:top w:w="55" w:type="dxa"/>
          <w:left w:w="85" w:type="dxa"/>
          <w:bottom w:w="55" w:type="dxa"/>
          <w:right w:w="85" w:type="dxa"/>
        </w:tblCellMar>
        <w:tblLook w:val="04A0" w:firstRow="1" w:lastRow="0" w:firstColumn="1" w:lastColumn="0" w:noHBand="0" w:noVBand="1"/>
      </w:tblPr>
      <w:tblGrid>
        <w:gridCol w:w="815"/>
        <w:gridCol w:w="1528"/>
        <w:gridCol w:w="6214"/>
      </w:tblGrid>
      <w:tr w:rsidR="00F50D70" w:rsidRPr="00BE4F47" w14:paraId="56FAD87F" w14:textId="77777777" w:rsidTr="0036725C">
        <w:trPr>
          <w:trHeight w:val="234"/>
          <w:tblHeader/>
        </w:trPr>
        <w:tc>
          <w:tcPr>
            <w:tcW w:w="815" w:type="dxa"/>
            <w:tcBorders>
              <w:top w:val="single" w:sz="4" w:space="0" w:color="000000"/>
              <w:left w:val="single" w:sz="4" w:space="0" w:color="000000"/>
              <w:bottom w:val="single" w:sz="4" w:space="0" w:color="000000"/>
              <w:right w:val="single" w:sz="4" w:space="0" w:color="000000"/>
            </w:tcBorders>
            <w:shd w:val="clear" w:color="auto" w:fill="EFF4FB"/>
          </w:tcPr>
          <w:p w14:paraId="5BFFB8F8"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Classe</w:t>
            </w:r>
          </w:p>
        </w:tc>
        <w:tc>
          <w:tcPr>
            <w:tcW w:w="1528" w:type="dxa"/>
            <w:tcBorders>
              <w:top w:val="single" w:sz="4" w:space="0" w:color="000000"/>
              <w:left w:val="single" w:sz="4" w:space="0" w:color="000000"/>
              <w:bottom w:val="single" w:sz="4" w:space="0" w:color="000000"/>
              <w:right w:val="single" w:sz="4" w:space="0" w:color="000000"/>
            </w:tcBorders>
            <w:shd w:val="clear" w:color="auto" w:fill="EFF4FB"/>
          </w:tcPr>
          <w:p w14:paraId="7C67F09C"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Couleur de la matrice</w:t>
            </w:r>
          </w:p>
        </w:tc>
        <w:tc>
          <w:tcPr>
            <w:tcW w:w="6214" w:type="dxa"/>
            <w:tcBorders>
              <w:top w:val="single" w:sz="4" w:space="0" w:color="000000"/>
              <w:left w:val="single" w:sz="4" w:space="0" w:color="000000"/>
              <w:bottom w:val="single" w:sz="4" w:space="0" w:color="000000"/>
              <w:right w:val="single" w:sz="4" w:space="0" w:color="000000"/>
            </w:tcBorders>
            <w:shd w:val="clear" w:color="auto" w:fill="EFF4FB"/>
          </w:tcPr>
          <w:p w14:paraId="3A868DCE"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Conduite à tenir</w:t>
            </w:r>
          </w:p>
        </w:tc>
      </w:tr>
      <w:tr w:rsidR="00F50D70" w:rsidRPr="00BE4F47" w14:paraId="2B786BD3" w14:textId="77777777" w:rsidTr="0036725C">
        <w:trPr>
          <w:cantSplit/>
          <w:trHeight w:val="257"/>
        </w:trPr>
        <w:tc>
          <w:tcPr>
            <w:tcW w:w="815" w:type="dxa"/>
            <w:tcBorders>
              <w:top w:val="single" w:sz="4" w:space="0" w:color="000000"/>
              <w:left w:val="single" w:sz="4" w:space="0" w:color="000000"/>
              <w:bottom w:val="single" w:sz="4" w:space="0" w:color="000000"/>
              <w:right w:val="single" w:sz="4" w:space="0" w:color="000000"/>
            </w:tcBorders>
          </w:tcPr>
          <w:p w14:paraId="705076F8"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IV</w:t>
            </w:r>
          </w:p>
        </w:tc>
        <w:tc>
          <w:tcPr>
            <w:tcW w:w="1528" w:type="dxa"/>
            <w:tcBorders>
              <w:top w:val="single" w:sz="4" w:space="0" w:color="000000"/>
              <w:left w:val="single" w:sz="4" w:space="0" w:color="000000"/>
              <w:bottom w:val="single" w:sz="4" w:space="0" w:color="000000"/>
              <w:right w:val="single" w:sz="4" w:space="0" w:color="000000"/>
            </w:tcBorders>
          </w:tcPr>
          <w:p w14:paraId="59F10B71"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Rouge</w:t>
            </w:r>
          </w:p>
        </w:tc>
        <w:tc>
          <w:tcPr>
            <w:tcW w:w="6214" w:type="dxa"/>
            <w:tcBorders>
              <w:top w:val="single" w:sz="4" w:space="0" w:color="000000"/>
              <w:left w:val="single" w:sz="4" w:space="0" w:color="000000"/>
              <w:bottom w:val="single" w:sz="4" w:space="0" w:color="000000"/>
              <w:right w:val="single" w:sz="4" w:space="0" w:color="000000"/>
            </w:tcBorders>
          </w:tcPr>
          <w:p w14:paraId="0F50D7EE"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Risque qui excède de façon significative les limites acceptables. Attention immédiate. Non acceptable en l’état à la fin du traitement.</w:t>
            </w:r>
          </w:p>
        </w:tc>
      </w:tr>
      <w:tr w:rsidR="00F50D70" w:rsidRPr="00BE4F47" w14:paraId="24646123" w14:textId="77777777" w:rsidTr="0036725C">
        <w:trPr>
          <w:cantSplit/>
          <w:trHeight w:val="257"/>
        </w:trPr>
        <w:tc>
          <w:tcPr>
            <w:tcW w:w="815" w:type="dxa"/>
            <w:tcBorders>
              <w:top w:val="single" w:sz="4" w:space="0" w:color="000000"/>
              <w:left w:val="single" w:sz="4" w:space="0" w:color="000000"/>
              <w:bottom w:val="single" w:sz="4" w:space="0" w:color="000000"/>
              <w:right w:val="single" w:sz="4" w:space="0" w:color="000000"/>
            </w:tcBorders>
          </w:tcPr>
          <w:p w14:paraId="45CD577E"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III</w:t>
            </w:r>
          </w:p>
        </w:tc>
        <w:tc>
          <w:tcPr>
            <w:tcW w:w="1528" w:type="dxa"/>
            <w:tcBorders>
              <w:top w:val="single" w:sz="4" w:space="0" w:color="000000"/>
              <w:left w:val="single" w:sz="4" w:space="0" w:color="000000"/>
              <w:bottom w:val="single" w:sz="4" w:space="0" w:color="000000"/>
              <w:right w:val="single" w:sz="4" w:space="0" w:color="000000"/>
            </w:tcBorders>
          </w:tcPr>
          <w:p w14:paraId="71A24E71"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Orange</w:t>
            </w:r>
          </w:p>
        </w:tc>
        <w:tc>
          <w:tcPr>
            <w:tcW w:w="6214" w:type="dxa"/>
            <w:tcBorders>
              <w:top w:val="single" w:sz="4" w:space="0" w:color="000000"/>
              <w:left w:val="single" w:sz="4" w:space="0" w:color="000000"/>
              <w:bottom w:val="single" w:sz="4" w:space="0" w:color="000000"/>
              <w:right w:val="single" w:sz="4" w:space="0" w:color="000000"/>
            </w:tcBorders>
          </w:tcPr>
          <w:p w14:paraId="7AA844CD"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Risque qui excède les limites acceptables. Gestion proactive, mesure de traitement définie et mesure compensatoire nommée.</w:t>
            </w:r>
          </w:p>
        </w:tc>
      </w:tr>
      <w:tr w:rsidR="00F50D70" w:rsidRPr="00BE4F47" w14:paraId="68B56450" w14:textId="77777777" w:rsidTr="0036725C">
        <w:trPr>
          <w:cantSplit/>
          <w:trHeight w:val="257"/>
        </w:trPr>
        <w:tc>
          <w:tcPr>
            <w:tcW w:w="815" w:type="dxa"/>
            <w:tcBorders>
              <w:top w:val="single" w:sz="4" w:space="0" w:color="000000"/>
              <w:left w:val="single" w:sz="4" w:space="0" w:color="000000"/>
              <w:bottom w:val="single" w:sz="4" w:space="0" w:color="000000"/>
              <w:right w:val="single" w:sz="4" w:space="0" w:color="000000"/>
            </w:tcBorders>
          </w:tcPr>
          <w:p w14:paraId="39EF4E83"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II</w:t>
            </w:r>
          </w:p>
        </w:tc>
        <w:tc>
          <w:tcPr>
            <w:tcW w:w="1528" w:type="dxa"/>
            <w:tcBorders>
              <w:top w:val="single" w:sz="4" w:space="0" w:color="000000"/>
              <w:left w:val="single" w:sz="4" w:space="0" w:color="000000"/>
              <w:bottom w:val="single" w:sz="4" w:space="0" w:color="000000"/>
              <w:right w:val="single" w:sz="4" w:space="0" w:color="000000"/>
            </w:tcBorders>
          </w:tcPr>
          <w:p w14:paraId="2CA3C66A"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Jaune</w:t>
            </w:r>
          </w:p>
        </w:tc>
        <w:tc>
          <w:tcPr>
            <w:tcW w:w="6214" w:type="dxa"/>
            <w:tcBorders>
              <w:top w:val="single" w:sz="4" w:space="0" w:color="000000"/>
              <w:left w:val="single" w:sz="4" w:space="0" w:color="000000"/>
              <w:bottom w:val="single" w:sz="4" w:space="0" w:color="000000"/>
              <w:right w:val="single" w:sz="4" w:space="0" w:color="000000"/>
            </w:tcBorders>
          </w:tcPr>
          <w:p w14:paraId="21FFADA5"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Risque requérant une surveillance périodique. Revue à chaque jalon.</w:t>
            </w:r>
          </w:p>
        </w:tc>
      </w:tr>
      <w:tr w:rsidR="00F50D70" w:rsidRPr="00BE4F47" w14:paraId="6B378548" w14:textId="77777777" w:rsidTr="0036725C">
        <w:trPr>
          <w:cantSplit/>
          <w:trHeight w:val="257"/>
        </w:trPr>
        <w:tc>
          <w:tcPr>
            <w:tcW w:w="815" w:type="dxa"/>
            <w:tcBorders>
              <w:top w:val="single" w:sz="4" w:space="0" w:color="000000"/>
              <w:left w:val="single" w:sz="4" w:space="0" w:color="000000"/>
              <w:bottom w:val="single" w:sz="4" w:space="0" w:color="000000"/>
              <w:right w:val="single" w:sz="4" w:space="0" w:color="000000"/>
            </w:tcBorders>
          </w:tcPr>
          <w:p w14:paraId="11D634F2"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I</w:t>
            </w:r>
          </w:p>
        </w:tc>
        <w:tc>
          <w:tcPr>
            <w:tcW w:w="1528" w:type="dxa"/>
            <w:tcBorders>
              <w:top w:val="single" w:sz="4" w:space="0" w:color="000000"/>
              <w:left w:val="single" w:sz="4" w:space="0" w:color="000000"/>
              <w:bottom w:val="single" w:sz="4" w:space="0" w:color="000000"/>
              <w:right w:val="single" w:sz="4" w:space="0" w:color="000000"/>
            </w:tcBorders>
          </w:tcPr>
          <w:p w14:paraId="61B9E042"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Vert</w:t>
            </w:r>
          </w:p>
        </w:tc>
        <w:tc>
          <w:tcPr>
            <w:tcW w:w="6214" w:type="dxa"/>
            <w:tcBorders>
              <w:top w:val="single" w:sz="4" w:space="0" w:color="000000"/>
              <w:left w:val="single" w:sz="4" w:space="0" w:color="000000"/>
              <w:bottom w:val="single" w:sz="4" w:space="0" w:color="000000"/>
              <w:right w:val="single" w:sz="4" w:space="0" w:color="000000"/>
            </w:tcBorders>
          </w:tcPr>
          <w:p w14:paraId="32DD3498"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Risque n’exigeant pas d’action corrective. Suivi ordinaire.</w:t>
            </w:r>
          </w:p>
        </w:tc>
      </w:tr>
    </w:tbl>
    <w:p w14:paraId="4C0101BC" w14:textId="77777777" w:rsidR="00F50D70" w:rsidRPr="00BE4F47" w:rsidRDefault="00137D7F" w:rsidP="008E113B">
      <w:pPr>
        <w:spacing w:before="200" w:after="130" w:line="360" w:lineRule="auto"/>
        <w:ind w:left="360"/>
        <w:rPr>
          <w:rFonts w:ascii="Aptos" w:hAnsi="Aptos"/>
        </w:rPr>
      </w:pPr>
      <w:bookmarkStart w:id="1090" w:name="_Toc241083095"/>
      <w:bookmarkStart w:id="1091" w:name="_Toc241670262"/>
      <w:bookmarkStart w:id="1092" w:name="_Toc241707970"/>
      <w:bookmarkStart w:id="1093" w:name="_Toc241791919"/>
      <w:r w:rsidRPr="00BE4F47">
        <w:rPr>
          <w:rFonts w:ascii="Aptos" w:hAnsi="Aptos"/>
          <w:color w:val="1A1A19"/>
          <w:sz w:val="20"/>
          <w:szCs w:val="20"/>
        </w:rPr>
        <w:t>Cette cotation sert à prioriser. Un événement peu probable mais de gravité 5 appelle une mesure, là où un événement fréquent de gravité 1 n’en appelle pas.</w:t>
      </w:r>
      <w:bookmarkEnd w:id="1090"/>
      <w:bookmarkEnd w:id="1091"/>
      <w:bookmarkEnd w:id="1092"/>
      <w:bookmarkEnd w:id="1093"/>
    </w:p>
    <w:p w14:paraId="377B5D5F" w14:textId="77777777" w:rsidR="00F50D70" w:rsidRPr="00BE4F47" w:rsidRDefault="00137D7F" w:rsidP="008E113B">
      <w:pPr>
        <w:spacing w:after="130" w:line="360" w:lineRule="auto"/>
        <w:ind w:left="360"/>
        <w:rPr>
          <w:rFonts w:ascii="Aptos" w:hAnsi="Aptos"/>
        </w:rPr>
      </w:pPr>
      <w:bookmarkStart w:id="1094" w:name="_Toc241083096"/>
      <w:bookmarkStart w:id="1095" w:name="_Toc241670263"/>
      <w:bookmarkStart w:id="1096" w:name="_Toc241707971"/>
      <w:bookmarkStart w:id="1097" w:name="_Toc241791920"/>
      <w:r w:rsidRPr="00BE4F47">
        <w:rPr>
          <w:rFonts w:ascii="Aptos" w:hAnsi="Aptos"/>
          <w:b/>
          <w:color w:val="1A1A19"/>
          <w:sz w:val="20"/>
          <w:szCs w:val="20"/>
        </w:rPr>
        <w:t xml:space="preserve">Le traitement et la tolérance. </w:t>
      </w:r>
      <w:r w:rsidRPr="00BE4F47">
        <w:rPr>
          <w:rFonts w:ascii="Aptos" w:hAnsi="Aptos"/>
          <w:color w:val="1A1A19"/>
          <w:sz w:val="20"/>
          <w:szCs w:val="20"/>
        </w:rPr>
        <w:t>À chaque risque correspond une mesure de traitement, puis une nouvelle cotation après traitement, appelée cotation résiduelle. Le registre indique les deux, de sorte que l’effet de chaque mesure soit mesurable plutôt que supposé.</w:t>
      </w:r>
      <w:bookmarkEnd w:id="1094"/>
      <w:bookmarkEnd w:id="1095"/>
      <w:bookmarkEnd w:id="1096"/>
      <w:bookmarkEnd w:id="1097"/>
    </w:p>
    <w:p w14:paraId="12B9E8F2" w14:textId="77777777" w:rsidR="00F50D70" w:rsidRPr="00BE4F47" w:rsidRDefault="00137D7F" w:rsidP="008E113B">
      <w:pPr>
        <w:spacing w:after="130" w:line="360" w:lineRule="auto"/>
        <w:ind w:left="360"/>
        <w:rPr>
          <w:rFonts w:ascii="Aptos" w:hAnsi="Aptos"/>
        </w:rPr>
      </w:pPr>
      <w:bookmarkStart w:id="1098" w:name="_Toc241083097"/>
      <w:bookmarkStart w:id="1099" w:name="_Toc241670264"/>
      <w:bookmarkStart w:id="1100" w:name="_Toc241707972"/>
      <w:bookmarkStart w:id="1101" w:name="_Toc241791921"/>
      <w:r w:rsidRPr="00BE4F47">
        <w:rPr>
          <w:rFonts w:ascii="Aptos" w:hAnsi="Aptos"/>
          <w:color w:val="1A1A19"/>
          <w:sz w:val="20"/>
          <w:szCs w:val="20"/>
        </w:rPr>
        <w:t>Le seuil d’acceptation retenu est le suivant : aucun risque ne demeure en classe IV après traitement. Un risque de classe III est accepté à condition qu’une mesure compensatoire soit nommée et qu’un responsable en accepte le résidu par écrit. Les classes II et I sont acceptées sans condition, avec revue à chaque jalon.</w:t>
      </w:r>
      <w:bookmarkEnd w:id="1098"/>
      <w:bookmarkEnd w:id="1099"/>
      <w:bookmarkEnd w:id="1100"/>
      <w:bookmarkEnd w:id="1101"/>
    </w:p>
    <w:p w14:paraId="012A40D1" w14:textId="77777777" w:rsidR="00F50D70" w:rsidRPr="00B36301" w:rsidRDefault="00137D7F" w:rsidP="008E113B">
      <w:pPr>
        <w:pStyle w:val="Titre2"/>
        <w:spacing w:line="360" w:lineRule="auto"/>
      </w:pPr>
      <w:bookmarkStart w:id="1102" w:name="__RefHeading___Toc240715278"/>
      <w:bookmarkStart w:id="1103" w:name="_Toc241707973"/>
      <w:bookmarkStart w:id="1104" w:name="_Toc241791922"/>
      <w:bookmarkEnd w:id="1102"/>
      <w:r w:rsidRPr="00B36301">
        <w:t>Registres des risques et profil</w:t>
      </w:r>
      <w:bookmarkEnd w:id="1103"/>
      <w:bookmarkEnd w:id="1104"/>
    </w:p>
    <w:p w14:paraId="4D054E8B" w14:textId="77777777" w:rsidR="00F50D70" w:rsidRPr="00BE4F47" w:rsidRDefault="00137D7F" w:rsidP="008E113B">
      <w:pPr>
        <w:spacing w:after="130" w:line="360" w:lineRule="auto"/>
        <w:ind w:left="360"/>
        <w:rPr>
          <w:rFonts w:ascii="Aptos" w:eastAsia="Calibri" w:hAnsi="Aptos" w:cs="Calibri"/>
          <w:color w:val="1A1A19"/>
          <w:sz w:val="20"/>
          <w:szCs w:val="20"/>
        </w:rPr>
      </w:pPr>
      <w:bookmarkStart w:id="1105" w:name="_Toc241083099"/>
      <w:bookmarkStart w:id="1106" w:name="_Toc241670266"/>
      <w:bookmarkStart w:id="1107" w:name="_Toc241707974"/>
      <w:bookmarkStart w:id="1108" w:name="_Toc241791923"/>
      <w:r w:rsidRPr="00BE4F47">
        <w:rPr>
          <w:rFonts w:ascii="Aptos" w:hAnsi="Aptos"/>
          <w:b/>
          <w:color w:val="1A1A19"/>
          <w:sz w:val="20"/>
          <w:szCs w:val="20"/>
        </w:rPr>
        <w:t xml:space="preserve">Les familles de risques. </w:t>
      </w:r>
      <w:r w:rsidRPr="00BE4F47">
        <w:rPr>
          <w:rFonts w:ascii="Aptos" w:hAnsi="Aptos"/>
          <w:color w:val="1A1A19"/>
          <w:sz w:val="20"/>
          <w:szCs w:val="20"/>
        </w:rPr>
        <w:t>La structure de découpage des risques les classe selon leur origine. Elle sert à vérifier qu’aucune famille n’a été oubliée lors de l’identification.</w:t>
      </w:r>
      <w:bookmarkEnd w:id="1105"/>
      <w:bookmarkEnd w:id="1106"/>
      <w:bookmarkEnd w:id="1107"/>
      <w:bookmarkEnd w:id="1108"/>
    </w:p>
    <w:p w14:paraId="5FA30250" w14:textId="77777777" w:rsidR="00F50D70" w:rsidRPr="00BE4F47" w:rsidRDefault="002A1CE1" w:rsidP="008E113B">
      <w:pPr>
        <w:keepNext/>
        <w:spacing w:line="360" w:lineRule="auto"/>
        <w:ind w:left="0"/>
        <w:rPr>
          <w:rFonts w:ascii="Aptos" w:hAnsi="Aptos"/>
        </w:rPr>
      </w:pPr>
      <w:bookmarkStart w:id="1109" w:name="_Toc241083100"/>
      <w:bookmarkStart w:id="1110" w:name="_Toc241670267"/>
      <w:bookmarkStart w:id="1111" w:name="_Toc241707975"/>
      <w:bookmarkStart w:id="1112" w:name="_Toc241791924"/>
      <w:r>
        <w:rPr>
          <w:rFonts w:ascii="Aptos" w:hAnsi="Aptos"/>
          <w:noProof/>
        </w:rPr>
        <w:lastRenderedPageBreak/>
        <w:drawing>
          <wp:inline distT="0" distB="0" distL="0" distR="0" wp14:anchorId="54198AC8" wp14:editId="2E6775C5">
            <wp:extent cx="4297680" cy="4139159"/>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
                    <pic:cNvPicPr>
                      <a:picLocks noChangeAspect="1" noChangeArrowheads="1"/>
                    </pic:cNvPicPr>
                  </pic:nvPicPr>
                  <pic:blipFill>
                    <a:blip r:embed="rId15" cstate="print">
                      <a:extLst>
                        <a:ext uri="{28A0092B-C50C-407E-A947-70E740481C1C}">
                          <a14:useLocalDpi xmlns:a14="http://schemas.microsoft.com/office/drawing/2010/main" val="0"/>
                        </a:ext>
                      </a:extLst>
                    </a:blip>
                    <a:srcRect l="-2" t="-5" r="-2" b="-5"/>
                    <a:stretch>
                      <a:fillRect/>
                    </a:stretch>
                  </pic:blipFill>
                  <pic:spPr bwMode="auto">
                    <a:xfrm>
                      <a:off x="0" y="0"/>
                      <a:ext cx="4297680" cy="4139159"/>
                    </a:xfrm>
                    <a:prstGeom prst="rect">
                      <a:avLst/>
                    </a:prstGeom>
                    <a:noFill/>
                    <a:ln>
                      <a:noFill/>
                    </a:ln>
                  </pic:spPr>
                </pic:pic>
              </a:graphicData>
            </a:graphic>
          </wp:inline>
        </w:drawing>
      </w:r>
      <w:bookmarkEnd w:id="1109"/>
      <w:bookmarkEnd w:id="1110"/>
      <w:bookmarkEnd w:id="1111"/>
      <w:bookmarkEnd w:id="1112"/>
    </w:p>
    <w:p w14:paraId="0B9C97E0" w14:textId="77777777" w:rsidR="00F50D70" w:rsidRPr="00BE4F47" w:rsidRDefault="00137D7F" w:rsidP="008E113B">
      <w:pPr>
        <w:pStyle w:val="Lgende"/>
        <w:spacing w:line="360" w:lineRule="auto"/>
        <w:rPr>
          <w:rFonts w:ascii="Aptos" w:hAnsi="Aptos"/>
        </w:rPr>
      </w:pPr>
      <w:bookmarkStart w:id="1113" w:name="_Toc241083101"/>
      <w:bookmarkStart w:id="1114" w:name="_Toc241670268"/>
      <w:bookmarkStart w:id="1115" w:name="_Toc241707976"/>
      <w:bookmarkStart w:id="1116" w:name="_Toc241791925"/>
      <w:r w:rsidRPr="00BE4F47">
        <w:rPr>
          <w:rFonts w:ascii="Aptos" w:hAnsi="Aptos"/>
        </w:rPr>
        <w:t>Figure 7-1. Arbre de découpage des risques du projet</w:t>
      </w:r>
      <w:bookmarkEnd w:id="1113"/>
      <w:bookmarkEnd w:id="1114"/>
      <w:bookmarkEnd w:id="1115"/>
      <w:bookmarkEnd w:id="1116"/>
    </w:p>
    <w:p w14:paraId="39AA5514" w14:textId="77777777" w:rsidR="00F50D70" w:rsidRPr="00BE4F47" w:rsidRDefault="00137D7F" w:rsidP="008E113B">
      <w:pPr>
        <w:pStyle w:val="Lgende"/>
        <w:keepNext/>
        <w:spacing w:line="360" w:lineRule="auto"/>
        <w:rPr>
          <w:rFonts w:ascii="Aptos" w:hAnsi="Aptos"/>
        </w:rPr>
      </w:pPr>
      <w:bookmarkStart w:id="1117" w:name="_Toc241083102"/>
      <w:bookmarkStart w:id="1118" w:name="_Toc241670269"/>
      <w:bookmarkStart w:id="1119" w:name="_Toc241707977"/>
      <w:bookmarkStart w:id="1120" w:name="_Toc241791926"/>
      <w:r w:rsidRPr="00BE4F47">
        <w:rPr>
          <w:rFonts w:ascii="Aptos" w:hAnsi="Aptos"/>
        </w:rPr>
        <w:t>Tableau 7-5. Structure de découpage des risques</w:t>
      </w:r>
      <w:bookmarkEnd w:id="1117"/>
      <w:bookmarkEnd w:id="1118"/>
      <w:bookmarkEnd w:id="1119"/>
      <w:bookmarkEnd w:id="1120"/>
    </w:p>
    <w:tbl>
      <w:tblPr>
        <w:tblW w:w="8557" w:type="dxa"/>
        <w:tblInd w:w="413" w:type="dxa"/>
        <w:tblLayout w:type="fixed"/>
        <w:tblCellMar>
          <w:top w:w="55" w:type="dxa"/>
          <w:left w:w="85" w:type="dxa"/>
          <w:bottom w:w="55" w:type="dxa"/>
          <w:right w:w="85" w:type="dxa"/>
        </w:tblCellMar>
        <w:tblLook w:val="04A0" w:firstRow="1" w:lastRow="0" w:firstColumn="1" w:lastColumn="0" w:noHBand="0" w:noVBand="1"/>
      </w:tblPr>
      <w:tblGrid>
        <w:gridCol w:w="1737"/>
        <w:gridCol w:w="2377"/>
        <w:gridCol w:w="2981"/>
        <w:gridCol w:w="1462"/>
      </w:tblGrid>
      <w:tr w:rsidR="00F50D70" w:rsidRPr="00BE4F47" w14:paraId="55B12B34" w14:textId="77777777">
        <w:trPr>
          <w:trHeight w:val="246"/>
          <w:tblHeader/>
        </w:trPr>
        <w:tc>
          <w:tcPr>
            <w:tcW w:w="1737" w:type="dxa"/>
            <w:tcBorders>
              <w:top w:val="single" w:sz="4" w:space="0" w:color="000000"/>
              <w:left w:val="single" w:sz="4" w:space="0" w:color="000000"/>
              <w:bottom w:val="single" w:sz="4" w:space="0" w:color="000000"/>
              <w:right w:val="single" w:sz="4" w:space="0" w:color="000000"/>
            </w:tcBorders>
            <w:shd w:val="clear" w:color="auto" w:fill="EFF4FB"/>
          </w:tcPr>
          <w:p w14:paraId="568EAAF8"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Famille</w:t>
            </w:r>
          </w:p>
        </w:tc>
        <w:tc>
          <w:tcPr>
            <w:tcW w:w="2377" w:type="dxa"/>
            <w:tcBorders>
              <w:top w:val="single" w:sz="4" w:space="0" w:color="000000"/>
              <w:left w:val="single" w:sz="4" w:space="0" w:color="000000"/>
              <w:bottom w:val="single" w:sz="4" w:space="0" w:color="000000"/>
              <w:right w:val="single" w:sz="4" w:space="0" w:color="000000"/>
            </w:tcBorders>
            <w:shd w:val="clear" w:color="auto" w:fill="EFF4FB"/>
          </w:tcPr>
          <w:p w14:paraId="3A41C99B"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Catégorie</w:t>
            </w:r>
          </w:p>
        </w:tc>
        <w:tc>
          <w:tcPr>
            <w:tcW w:w="2981" w:type="dxa"/>
            <w:tcBorders>
              <w:top w:val="single" w:sz="4" w:space="0" w:color="000000"/>
              <w:left w:val="single" w:sz="4" w:space="0" w:color="000000"/>
              <w:bottom w:val="single" w:sz="4" w:space="0" w:color="000000"/>
              <w:right w:val="single" w:sz="4" w:space="0" w:color="000000"/>
            </w:tcBorders>
            <w:shd w:val="clear" w:color="auto" w:fill="EFF4FB"/>
          </w:tcPr>
          <w:p w14:paraId="08E00D2A"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Exemples de risques</w:t>
            </w:r>
          </w:p>
        </w:tc>
        <w:tc>
          <w:tcPr>
            <w:tcW w:w="1462" w:type="dxa"/>
            <w:tcBorders>
              <w:top w:val="single" w:sz="4" w:space="0" w:color="000000"/>
              <w:left w:val="single" w:sz="4" w:space="0" w:color="000000"/>
              <w:bottom w:val="single" w:sz="4" w:space="0" w:color="000000"/>
              <w:right w:val="single" w:sz="4" w:space="0" w:color="000000"/>
            </w:tcBorders>
            <w:shd w:val="clear" w:color="auto" w:fill="EFF4FB"/>
          </w:tcPr>
          <w:p w14:paraId="1665AD2C"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Identifiants</w:t>
            </w:r>
          </w:p>
        </w:tc>
      </w:tr>
      <w:tr w:rsidR="00F50D70" w:rsidRPr="00BE4F47" w14:paraId="7B48E3D3" w14:textId="77777777">
        <w:trPr>
          <w:cantSplit/>
          <w:trHeight w:val="461"/>
        </w:trPr>
        <w:tc>
          <w:tcPr>
            <w:tcW w:w="1737" w:type="dxa"/>
            <w:tcBorders>
              <w:top w:val="single" w:sz="4" w:space="0" w:color="000000"/>
              <w:left w:val="single" w:sz="4" w:space="0" w:color="000000"/>
              <w:bottom w:val="single" w:sz="4" w:space="0" w:color="000000"/>
              <w:right w:val="single" w:sz="4" w:space="0" w:color="000000"/>
            </w:tcBorders>
          </w:tcPr>
          <w:p w14:paraId="08D348E7"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Risques de projet</w:t>
            </w:r>
          </w:p>
        </w:tc>
        <w:tc>
          <w:tcPr>
            <w:tcW w:w="2377" w:type="dxa"/>
            <w:tcBorders>
              <w:top w:val="single" w:sz="4" w:space="0" w:color="000000"/>
              <w:left w:val="single" w:sz="4" w:space="0" w:color="000000"/>
              <w:bottom w:val="single" w:sz="4" w:space="0" w:color="000000"/>
              <w:right w:val="single" w:sz="4" w:space="0" w:color="000000"/>
            </w:tcBorders>
          </w:tcPr>
          <w:p w14:paraId="2CA085AF"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Échéancier et ressources</w:t>
            </w:r>
          </w:p>
        </w:tc>
        <w:tc>
          <w:tcPr>
            <w:tcW w:w="2981" w:type="dxa"/>
            <w:tcBorders>
              <w:top w:val="single" w:sz="4" w:space="0" w:color="000000"/>
              <w:left w:val="single" w:sz="4" w:space="0" w:color="000000"/>
              <w:bottom w:val="single" w:sz="4" w:space="0" w:color="000000"/>
              <w:right w:val="single" w:sz="4" w:space="0" w:color="000000"/>
            </w:tcBorders>
          </w:tcPr>
          <w:p w14:paraId="25355428"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Retard de développement ou d’essais ; dépassement de l’enveloppe de 1 080 h ; absentéisme ou indisponibilité prolongée d’un membre</w:t>
            </w:r>
          </w:p>
        </w:tc>
        <w:tc>
          <w:tcPr>
            <w:tcW w:w="1462" w:type="dxa"/>
            <w:tcBorders>
              <w:top w:val="single" w:sz="4" w:space="0" w:color="000000"/>
              <w:left w:val="single" w:sz="4" w:space="0" w:color="000000"/>
              <w:bottom w:val="single" w:sz="4" w:space="0" w:color="000000"/>
              <w:right w:val="single" w:sz="4" w:space="0" w:color="000000"/>
            </w:tcBorders>
          </w:tcPr>
          <w:p w14:paraId="09EA443F"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RP1, RP2, RP4</w:t>
            </w:r>
          </w:p>
        </w:tc>
      </w:tr>
      <w:tr w:rsidR="00F50D70" w:rsidRPr="00BE4F47" w14:paraId="7350DBFD" w14:textId="77777777">
        <w:trPr>
          <w:cantSplit/>
          <w:trHeight w:val="461"/>
        </w:trPr>
        <w:tc>
          <w:tcPr>
            <w:tcW w:w="1737" w:type="dxa"/>
            <w:tcBorders>
              <w:top w:val="single" w:sz="4" w:space="0" w:color="000000"/>
              <w:left w:val="single" w:sz="4" w:space="0" w:color="000000"/>
              <w:bottom w:val="single" w:sz="4" w:space="0" w:color="000000"/>
              <w:right w:val="single" w:sz="4" w:space="0" w:color="000000"/>
            </w:tcBorders>
          </w:tcPr>
          <w:p w14:paraId="365905AC"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Risques de projet</w:t>
            </w:r>
          </w:p>
        </w:tc>
        <w:tc>
          <w:tcPr>
            <w:tcW w:w="2377" w:type="dxa"/>
            <w:tcBorders>
              <w:top w:val="single" w:sz="4" w:space="0" w:color="000000"/>
              <w:left w:val="single" w:sz="4" w:space="0" w:color="000000"/>
              <w:bottom w:val="single" w:sz="4" w:space="0" w:color="000000"/>
              <w:right w:val="single" w:sz="4" w:space="0" w:color="000000"/>
            </w:tcBorders>
          </w:tcPr>
          <w:p w14:paraId="103B603E"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Périmètre</w:t>
            </w:r>
          </w:p>
        </w:tc>
        <w:tc>
          <w:tcPr>
            <w:tcW w:w="2981" w:type="dxa"/>
            <w:tcBorders>
              <w:top w:val="single" w:sz="4" w:space="0" w:color="000000"/>
              <w:left w:val="single" w:sz="4" w:space="0" w:color="000000"/>
              <w:bottom w:val="single" w:sz="4" w:space="0" w:color="000000"/>
              <w:right w:val="single" w:sz="4" w:space="0" w:color="000000"/>
            </w:tcBorders>
          </w:tcPr>
          <w:p w14:paraId="50E7EC4F"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Modification tardive du mandat ; ajout d’un banc thermohydraulique physique</w:t>
            </w:r>
          </w:p>
        </w:tc>
        <w:tc>
          <w:tcPr>
            <w:tcW w:w="1462" w:type="dxa"/>
            <w:tcBorders>
              <w:top w:val="single" w:sz="4" w:space="0" w:color="000000"/>
              <w:left w:val="single" w:sz="4" w:space="0" w:color="000000"/>
              <w:bottom w:val="single" w:sz="4" w:space="0" w:color="000000"/>
              <w:right w:val="single" w:sz="4" w:space="0" w:color="000000"/>
            </w:tcBorders>
          </w:tcPr>
          <w:p w14:paraId="6C617EF8"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RP3</w:t>
            </w:r>
          </w:p>
        </w:tc>
      </w:tr>
      <w:tr w:rsidR="00F50D70" w:rsidRPr="00BE4F47" w14:paraId="1080E076" w14:textId="77777777">
        <w:trPr>
          <w:cantSplit/>
          <w:trHeight w:val="461"/>
        </w:trPr>
        <w:tc>
          <w:tcPr>
            <w:tcW w:w="1737" w:type="dxa"/>
            <w:tcBorders>
              <w:top w:val="single" w:sz="4" w:space="0" w:color="000000"/>
              <w:left w:val="single" w:sz="4" w:space="0" w:color="000000"/>
              <w:bottom w:val="single" w:sz="4" w:space="0" w:color="000000"/>
              <w:right w:val="single" w:sz="4" w:space="0" w:color="000000"/>
            </w:tcBorders>
          </w:tcPr>
          <w:p w14:paraId="00146855"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Risques du produit</w:t>
            </w:r>
          </w:p>
        </w:tc>
        <w:tc>
          <w:tcPr>
            <w:tcW w:w="2377" w:type="dxa"/>
            <w:tcBorders>
              <w:top w:val="single" w:sz="4" w:space="0" w:color="000000"/>
              <w:left w:val="single" w:sz="4" w:space="0" w:color="000000"/>
              <w:bottom w:val="single" w:sz="4" w:space="0" w:color="000000"/>
              <w:right w:val="single" w:sz="4" w:space="0" w:color="000000"/>
            </w:tcBorders>
          </w:tcPr>
          <w:p w14:paraId="29F33C41"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Données et acquisition</w:t>
            </w:r>
          </w:p>
        </w:tc>
        <w:tc>
          <w:tcPr>
            <w:tcW w:w="2981" w:type="dxa"/>
            <w:tcBorders>
              <w:top w:val="single" w:sz="4" w:space="0" w:color="000000"/>
              <w:left w:val="single" w:sz="4" w:space="0" w:color="000000"/>
              <w:bottom w:val="single" w:sz="4" w:space="0" w:color="000000"/>
              <w:right w:val="single" w:sz="4" w:space="0" w:color="000000"/>
            </w:tcBorders>
          </w:tcPr>
          <w:p w14:paraId="735B4601"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Mesure erronée ; donnée indisponible ; désynchronisation</w:t>
            </w:r>
          </w:p>
        </w:tc>
        <w:tc>
          <w:tcPr>
            <w:tcW w:w="1462" w:type="dxa"/>
            <w:tcBorders>
              <w:top w:val="single" w:sz="4" w:space="0" w:color="000000"/>
              <w:left w:val="single" w:sz="4" w:space="0" w:color="000000"/>
              <w:bottom w:val="single" w:sz="4" w:space="0" w:color="000000"/>
              <w:right w:val="single" w:sz="4" w:space="0" w:color="000000"/>
            </w:tcBorders>
          </w:tcPr>
          <w:p w14:paraId="0F998B47"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RT1, RT2, RT3</w:t>
            </w:r>
          </w:p>
        </w:tc>
      </w:tr>
      <w:tr w:rsidR="00F50D70" w:rsidRPr="00BE4F47" w14:paraId="60368A28" w14:textId="77777777">
        <w:trPr>
          <w:cantSplit/>
          <w:trHeight w:val="461"/>
        </w:trPr>
        <w:tc>
          <w:tcPr>
            <w:tcW w:w="1737" w:type="dxa"/>
            <w:tcBorders>
              <w:top w:val="single" w:sz="4" w:space="0" w:color="000000"/>
              <w:left w:val="single" w:sz="4" w:space="0" w:color="000000"/>
              <w:bottom w:val="single" w:sz="4" w:space="0" w:color="000000"/>
              <w:right w:val="single" w:sz="4" w:space="0" w:color="000000"/>
            </w:tcBorders>
          </w:tcPr>
          <w:p w14:paraId="3B2FD527"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Risques du produit</w:t>
            </w:r>
          </w:p>
        </w:tc>
        <w:tc>
          <w:tcPr>
            <w:tcW w:w="2377" w:type="dxa"/>
            <w:tcBorders>
              <w:top w:val="single" w:sz="4" w:space="0" w:color="000000"/>
              <w:left w:val="single" w:sz="4" w:space="0" w:color="000000"/>
              <w:bottom w:val="single" w:sz="4" w:space="0" w:color="000000"/>
              <w:right w:val="single" w:sz="4" w:space="0" w:color="000000"/>
            </w:tcBorders>
          </w:tcPr>
          <w:p w14:paraId="3510FB2E"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Modélisation et diagnostic</w:t>
            </w:r>
          </w:p>
        </w:tc>
        <w:tc>
          <w:tcPr>
            <w:tcW w:w="2981" w:type="dxa"/>
            <w:tcBorders>
              <w:top w:val="single" w:sz="4" w:space="0" w:color="000000"/>
              <w:left w:val="single" w:sz="4" w:space="0" w:color="000000"/>
              <w:bottom w:val="single" w:sz="4" w:space="0" w:color="000000"/>
              <w:right w:val="single" w:sz="4" w:space="0" w:color="000000"/>
            </w:tcBorders>
          </w:tcPr>
          <w:p w14:paraId="6780EE86"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Modèle insuffisamment représentatif ; faux négatif ; faux positif</w:t>
            </w:r>
          </w:p>
        </w:tc>
        <w:tc>
          <w:tcPr>
            <w:tcW w:w="1462" w:type="dxa"/>
            <w:tcBorders>
              <w:top w:val="single" w:sz="4" w:space="0" w:color="000000"/>
              <w:left w:val="single" w:sz="4" w:space="0" w:color="000000"/>
              <w:bottom w:val="single" w:sz="4" w:space="0" w:color="000000"/>
              <w:right w:val="single" w:sz="4" w:space="0" w:color="000000"/>
            </w:tcBorders>
          </w:tcPr>
          <w:p w14:paraId="584B6A36"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RT4, RT5, RT6</w:t>
            </w:r>
          </w:p>
        </w:tc>
      </w:tr>
      <w:tr w:rsidR="00F50D70" w:rsidRPr="00BE4F47" w14:paraId="4C1DF4F9" w14:textId="77777777">
        <w:trPr>
          <w:cantSplit/>
          <w:trHeight w:val="256"/>
        </w:trPr>
        <w:tc>
          <w:tcPr>
            <w:tcW w:w="1737" w:type="dxa"/>
            <w:tcBorders>
              <w:top w:val="single" w:sz="4" w:space="0" w:color="000000"/>
              <w:left w:val="single" w:sz="4" w:space="0" w:color="000000"/>
              <w:bottom w:val="single" w:sz="4" w:space="0" w:color="000000"/>
              <w:right w:val="single" w:sz="4" w:space="0" w:color="000000"/>
            </w:tcBorders>
          </w:tcPr>
          <w:p w14:paraId="275F19FE"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Risques du produit</w:t>
            </w:r>
          </w:p>
        </w:tc>
        <w:tc>
          <w:tcPr>
            <w:tcW w:w="2377" w:type="dxa"/>
            <w:tcBorders>
              <w:top w:val="single" w:sz="4" w:space="0" w:color="000000"/>
              <w:left w:val="single" w:sz="4" w:space="0" w:color="000000"/>
              <w:bottom w:val="single" w:sz="4" w:space="0" w:color="000000"/>
              <w:right w:val="single" w:sz="4" w:space="0" w:color="000000"/>
            </w:tcBorders>
          </w:tcPr>
          <w:p w14:paraId="0674E99D"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Cybersécurité</w:t>
            </w:r>
          </w:p>
        </w:tc>
        <w:tc>
          <w:tcPr>
            <w:tcW w:w="2981" w:type="dxa"/>
            <w:tcBorders>
              <w:top w:val="single" w:sz="4" w:space="0" w:color="000000"/>
              <w:left w:val="single" w:sz="4" w:space="0" w:color="000000"/>
              <w:bottom w:val="single" w:sz="4" w:space="0" w:color="000000"/>
              <w:right w:val="single" w:sz="4" w:space="0" w:color="000000"/>
            </w:tcBorders>
          </w:tcPr>
          <w:p w14:paraId="4E32D253"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Accès non autorisé ; altération des données</w:t>
            </w:r>
          </w:p>
        </w:tc>
        <w:tc>
          <w:tcPr>
            <w:tcW w:w="1462" w:type="dxa"/>
            <w:tcBorders>
              <w:top w:val="single" w:sz="4" w:space="0" w:color="000000"/>
              <w:left w:val="single" w:sz="4" w:space="0" w:color="000000"/>
              <w:bottom w:val="single" w:sz="4" w:space="0" w:color="000000"/>
              <w:right w:val="single" w:sz="4" w:space="0" w:color="000000"/>
            </w:tcBorders>
          </w:tcPr>
          <w:p w14:paraId="0EBB8D07"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RT7, RT8</w:t>
            </w:r>
          </w:p>
        </w:tc>
      </w:tr>
      <w:tr w:rsidR="00F50D70" w:rsidRPr="00BE4F47" w14:paraId="18CF0DB0" w14:textId="77777777">
        <w:trPr>
          <w:cantSplit/>
          <w:trHeight w:val="266"/>
        </w:trPr>
        <w:tc>
          <w:tcPr>
            <w:tcW w:w="1737" w:type="dxa"/>
            <w:tcBorders>
              <w:top w:val="single" w:sz="4" w:space="0" w:color="000000"/>
              <w:left w:val="single" w:sz="4" w:space="0" w:color="000000"/>
              <w:bottom w:val="single" w:sz="4" w:space="0" w:color="000000"/>
              <w:right w:val="single" w:sz="4" w:space="0" w:color="000000"/>
            </w:tcBorders>
          </w:tcPr>
          <w:p w14:paraId="344BCD79"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Risques du produit</w:t>
            </w:r>
          </w:p>
        </w:tc>
        <w:tc>
          <w:tcPr>
            <w:tcW w:w="2377" w:type="dxa"/>
            <w:tcBorders>
              <w:top w:val="single" w:sz="4" w:space="0" w:color="000000"/>
              <w:left w:val="single" w:sz="4" w:space="0" w:color="000000"/>
              <w:bottom w:val="single" w:sz="4" w:space="0" w:color="000000"/>
              <w:right w:val="single" w:sz="4" w:space="0" w:color="000000"/>
            </w:tcBorders>
          </w:tcPr>
          <w:p w14:paraId="5B166CB4"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Disponibilité</w:t>
            </w:r>
          </w:p>
        </w:tc>
        <w:tc>
          <w:tcPr>
            <w:tcW w:w="2981" w:type="dxa"/>
            <w:tcBorders>
              <w:top w:val="single" w:sz="4" w:space="0" w:color="000000"/>
              <w:left w:val="single" w:sz="4" w:space="0" w:color="000000"/>
              <w:bottom w:val="single" w:sz="4" w:space="0" w:color="000000"/>
              <w:right w:val="single" w:sz="4" w:space="0" w:color="000000"/>
            </w:tcBorders>
          </w:tcPr>
          <w:p w14:paraId="065515C1"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Indisponibilité du prototype</w:t>
            </w:r>
          </w:p>
        </w:tc>
        <w:tc>
          <w:tcPr>
            <w:tcW w:w="1462" w:type="dxa"/>
            <w:tcBorders>
              <w:top w:val="single" w:sz="4" w:space="0" w:color="000000"/>
              <w:left w:val="single" w:sz="4" w:space="0" w:color="000000"/>
              <w:bottom w:val="single" w:sz="4" w:space="0" w:color="000000"/>
              <w:right w:val="single" w:sz="4" w:space="0" w:color="000000"/>
            </w:tcBorders>
          </w:tcPr>
          <w:p w14:paraId="093030DC"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RT9</w:t>
            </w:r>
          </w:p>
        </w:tc>
      </w:tr>
      <w:tr w:rsidR="00F50D70" w:rsidRPr="00BE4F47" w14:paraId="3171668F" w14:textId="77777777">
        <w:trPr>
          <w:cantSplit/>
          <w:trHeight w:val="256"/>
        </w:trPr>
        <w:tc>
          <w:tcPr>
            <w:tcW w:w="1737" w:type="dxa"/>
            <w:tcBorders>
              <w:top w:val="single" w:sz="4" w:space="0" w:color="000000"/>
              <w:left w:val="single" w:sz="4" w:space="0" w:color="000000"/>
              <w:bottom w:val="single" w:sz="4" w:space="0" w:color="000000"/>
              <w:right w:val="single" w:sz="4" w:space="0" w:color="000000"/>
            </w:tcBorders>
          </w:tcPr>
          <w:p w14:paraId="5A4CE164"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Risques du produit</w:t>
            </w:r>
          </w:p>
        </w:tc>
        <w:tc>
          <w:tcPr>
            <w:tcW w:w="2377" w:type="dxa"/>
            <w:tcBorders>
              <w:top w:val="single" w:sz="4" w:space="0" w:color="000000"/>
              <w:left w:val="single" w:sz="4" w:space="0" w:color="000000"/>
              <w:bottom w:val="single" w:sz="4" w:space="0" w:color="000000"/>
              <w:right w:val="single" w:sz="4" w:space="0" w:color="000000"/>
            </w:tcBorders>
          </w:tcPr>
          <w:p w14:paraId="526FABF8"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Facteurs humains</w:t>
            </w:r>
          </w:p>
        </w:tc>
        <w:tc>
          <w:tcPr>
            <w:tcW w:w="2981" w:type="dxa"/>
            <w:tcBorders>
              <w:top w:val="single" w:sz="4" w:space="0" w:color="000000"/>
              <w:left w:val="single" w:sz="4" w:space="0" w:color="000000"/>
              <w:bottom w:val="single" w:sz="4" w:space="0" w:color="000000"/>
              <w:right w:val="single" w:sz="4" w:space="0" w:color="000000"/>
            </w:tcBorders>
          </w:tcPr>
          <w:p w14:paraId="21251F7D"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Confiance excessive de l’opérateur</w:t>
            </w:r>
          </w:p>
        </w:tc>
        <w:tc>
          <w:tcPr>
            <w:tcW w:w="1462" w:type="dxa"/>
            <w:tcBorders>
              <w:top w:val="single" w:sz="4" w:space="0" w:color="000000"/>
              <w:left w:val="single" w:sz="4" w:space="0" w:color="000000"/>
              <w:bottom w:val="single" w:sz="4" w:space="0" w:color="000000"/>
              <w:right w:val="single" w:sz="4" w:space="0" w:color="000000"/>
            </w:tcBorders>
          </w:tcPr>
          <w:p w14:paraId="2835C272"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RT10</w:t>
            </w:r>
          </w:p>
        </w:tc>
      </w:tr>
    </w:tbl>
    <w:p w14:paraId="3D76CA92" w14:textId="77777777" w:rsidR="00F50D70" w:rsidRPr="00BE4F47" w:rsidRDefault="00137D7F" w:rsidP="008E113B">
      <w:pPr>
        <w:spacing w:before="200" w:after="130" w:line="360" w:lineRule="auto"/>
        <w:ind w:left="360"/>
        <w:rPr>
          <w:rFonts w:ascii="Aptos" w:eastAsia="Calibri" w:hAnsi="Aptos" w:cs="Calibri"/>
          <w:color w:val="1A1A19"/>
          <w:sz w:val="20"/>
          <w:szCs w:val="20"/>
        </w:rPr>
      </w:pPr>
      <w:bookmarkStart w:id="1121" w:name="_Toc241083104"/>
      <w:bookmarkStart w:id="1122" w:name="_Toc241670270"/>
      <w:bookmarkStart w:id="1123" w:name="_Toc241707978"/>
      <w:bookmarkStart w:id="1124" w:name="_Toc241791927"/>
      <w:r w:rsidRPr="00BE4F47">
        <w:rPr>
          <w:rFonts w:ascii="Aptos" w:hAnsi="Aptos"/>
          <w:color w:val="1A1A19"/>
          <w:sz w:val="20"/>
          <w:szCs w:val="20"/>
        </w:rPr>
        <w:t>Évaluation datée du 18 septembre 2026. À réviser à chaque jalon. Les colonnes « Avant » et « Après » donnent la gravité, la probabilité et la classe de risque, avant puis après traitement.</w:t>
      </w:r>
      <w:bookmarkEnd w:id="1121"/>
      <w:bookmarkEnd w:id="1122"/>
      <w:bookmarkEnd w:id="1123"/>
      <w:bookmarkEnd w:id="1124"/>
    </w:p>
    <w:p w14:paraId="11461A7C" w14:textId="77777777" w:rsidR="00F50D70" w:rsidRPr="00BE4F47" w:rsidRDefault="00137D7F" w:rsidP="008E113B">
      <w:pPr>
        <w:pStyle w:val="Lgende"/>
        <w:keepNext/>
        <w:spacing w:line="360" w:lineRule="auto"/>
        <w:rPr>
          <w:rFonts w:ascii="Aptos" w:hAnsi="Aptos"/>
        </w:rPr>
      </w:pPr>
      <w:bookmarkStart w:id="1125" w:name="_Toc241083105"/>
      <w:bookmarkStart w:id="1126" w:name="_Toc241670271"/>
      <w:bookmarkStart w:id="1127" w:name="_Toc241707979"/>
      <w:bookmarkStart w:id="1128" w:name="_Toc241791928"/>
      <w:r w:rsidRPr="00BE4F47">
        <w:rPr>
          <w:rFonts w:ascii="Aptos" w:hAnsi="Aptos"/>
        </w:rPr>
        <w:lastRenderedPageBreak/>
        <w:t>Tableau 7-6. Registre des risques de projet</w:t>
      </w:r>
      <w:bookmarkEnd w:id="1125"/>
      <w:bookmarkEnd w:id="1126"/>
      <w:bookmarkEnd w:id="1127"/>
      <w:bookmarkEnd w:id="1128"/>
    </w:p>
    <w:tbl>
      <w:tblPr>
        <w:tblW w:w="8557" w:type="dxa"/>
        <w:tblInd w:w="413" w:type="dxa"/>
        <w:tblLayout w:type="fixed"/>
        <w:tblCellMar>
          <w:top w:w="55" w:type="dxa"/>
          <w:left w:w="85" w:type="dxa"/>
          <w:bottom w:w="55" w:type="dxa"/>
          <w:right w:w="85" w:type="dxa"/>
        </w:tblCellMar>
        <w:tblLook w:val="04A0" w:firstRow="1" w:lastRow="0" w:firstColumn="1" w:lastColumn="0" w:noHBand="0" w:noVBand="1"/>
      </w:tblPr>
      <w:tblGrid>
        <w:gridCol w:w="652"/>
        <w:gridCol w:w="2608"/>
        <w:gridCol w:w="774"/>
        <w:gridCol w:w="2608"/>
        <w:gridCol w:w="774"/>
        <w:gridCol w:w="1141"/>
      </w:tblGrid>
      <w:tr w:rsidR="00F50D70" w:rsidRPr="00BE4F47" w14:paraId="7F245D52" w14:textId="77777777">
        <w:trPr>
          <w:tblHeader/>
        </w:trPr>
        <w:tc>
          <w:tcPr>
            <w:tcW w:w="652" w:type="dxa"/>
            <w:tcBorders>
              <w:top w:val="single" w:sz="4" w:space="0" w:color="000000"/>
              <w:left w:val="single" w:sz="4" w:space="0" w:color="000000"/>
              <w:bottom w:val="single" w:sz="4" w:space="0" w:color="000000"/>
              <w:right w:val="single" w:sz="4" w:space="0" w:color="000000"/>
            </w:tcBorders>
            <w:shd w:val="clear" w:color="auto" w:fill="EFF4FB"/>
          </w:tcPr>
          <w:p w14:paraId="4972B98C"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Repère</w:t>
            </w:r>
          </w:p>
        </w:tc>
        <w:tc>
          <w:tcPr>
            <w:tcW w:w="2608" w:type="dxa"/>
            <w:tcBorders>
              <w:top w:val="single" w:sz="4" w:space="0" w:color="000000"/>
              <w:left w:val="single" w:sz="4" w:space="0" w:color="000000"/>
              <w:bottom w:val="single" w:sz="4" w:space="0" w:color="000000"/>
              <w:right w:val="single" w:sz="4" w:space="0" w:color="000000"/>
            </w:tcBorders>
            <w:shd w:val="clear" w:color="auto" w:fill="EFF4FB"/>
          </w:tcPr>
          <w:p w14:paraId="51451A08"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Risque et justification de la cotation</w:t>
            </w:r>
          </w:p>
        </w:tc>
        <w:tc>
          <w:tcPr>
            <w:tcW w:w="774" w:type="dxa"/>
            <w:tcBorders>
              <w:top w:val="single" w:sz="4" w:space="0" w:color="000000"/>
              <w:left w:val="single" w:sz="4" w:space="0" w:color="000000"/>
              <w:bottom w:val="single" w:sz="4" w:space="0" w:color="000000"/>
              <w:right w:val="single" w:sz="4" w:space="0" w:color="000000"/>
            </w:tcBorders>
            <w:shd w:val="clear" w:color="auto" w:fill="EFF4FB"/>
          </w:tcPr>
          <w:p w14:paraId="63048D81"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Avant</w:t>
            </w:r>
          </w:p>
        </w:tc>
        <w:tc>
          <w:tcPr>
            <w:tcW w:w="2608" w:type="dxa"/>
            <w:tcBorders>
              <w:top w:val="single" w:sz="4" w:space="0" w:color="000000"/>
              <w:left w:val="single" w:sz="4" w:space="0" w:color="000000"/>
              <w:bottom w:val="single" w:sz="4" w:space="0" w:color="000000"/>
              <w:right w:val="single" w:sz="4" w:space="0" w:color="000000"/>
            </w:tcBorders>
            <w:shd w:val="clear" w:color="auto" w:fill="EFF4FB"/>
          </w:tcPr>
          <w:p w14:paraId="40B57D95"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Traitement et mesure compensatoire</w:t>
            </w:r>
          </w:p>
        </w:tc>
        <w:tc>
          <w:tcPr>
            <w:tcW w:w="774" w:type="dxa"/>
            <w:tcBorders>
              <w:top w:val="single" w:sz="4" w:space="0" w:color="000000"/>
              <w:left w:val="single" w:sz="4" w:space="0" w:color="000000"/>
              <w:bottom w:val="single" w:sz="4" w:space="0" w:color="000000"/>
              <w:right w:val="single" w:sz="4" w:space="0" w:color="000000"/>
            </w:tcBorders>
            <w:shd w:val="clear" w:color="auto" w:fill="EFF4FB"/>
          </w:tcPr>
          <w:p w14:paraId="0D9F904D"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Après</w:t>
            </w:r>
          </w:p>
        </w:tc>
        <w:tc>
          <w:tcPr>
            <w:tcW w:w="1141" w:type="dxa"/>
            <w:tcBorders>
              <w:top w:val="single" w:sz="4" w:space="0" w:color="000000"/>
              <w:left w:val="single" w:sz="4" w:space="0" w:color="000000"/>
              <w:bottom w:val="single" w:sz="4" w:space="0" w:color="000000"/>
              <w:right w:val="single" w:sz="4" w:space="0" w:color="000000"/>
            </w:tcBorders>
            <w:shd w:val="clear" w:color="auto" w:fill="EFF4FB"/>
          </w:tcPr>
          <w:p w14:paraId="3D6FA547"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Resp.</w:t>
            </w:r>
          </w:p>
        </w:tc>
      </w:tr>
      <w:tr w:rsidR="00F50D70" w:rsidRPr="00BE4F47" w14:paraId="4ED006A9" w14:textId="77777777">
        <w:trPr>
          <w:cantSplit/>
        </w:trPr>
        <w:tc>
          <w:tcPr>
            <w:tcW w:w="652" w:type="dxa"/>
            <w:tcBorders>
              <w:top w:val="single" w:sz="4" w:space="0" w:color="000000"/>
              <w:left w:val="single" w:sz="4" w:space="0" w:color="000000"/>
              <w:bottom w:val="single" w:sz="4" w:space="0" w:color="000000"/>
              <w:right w:val="single" w:sz="4" w:space="0" w:color="000000"/>
            </w:tcBorders>
          </w:tcPr>
          <w:p w14:paraId="311D0C66"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1.1</w:t>
            </w:r>
          </w:p>
        </w:tc>
        <w:tc>
          <w:tcPr>
            <w:tcW w:w="2608" w:type="dxa"/>
            <w:tcBorders>
              <w:top w:val="single" w:sz="4" w:space="0" w:color="000000"/>
              <w:left w:val="single" w:sz="4" w:space="0" w:color="000000"/>
              <w:bottom w:val="single" w:sz="4" w:space="0" w:color="000000"/>
              <w:right w:val="single" w:sz="4" w:space="0" w:color="000000"/>
            </w:tcBorders>
          </w:tcPr>
          <w:p w14:paraId="42717767"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RP1. Retard dans le développement, l’intégration ou les essais. Justification : mandat de 1 080 h réparti sur huit personnes menant six cours en parallèle ; un glissement partiel est plausible et observé dans des projets comparables.</w:t>
            </w:r>
          </w:p>
        </w:tc>
        <w:tc>
          <w:tcPr>
            <w:tcW w:w="774" w:type="dxa"/>
            <w:tcBorders>
              <w:top w:val="single" w:sz="4" w:space="0" w:color="000000"/>
              <w:left w:val="single" w:sz="4" w:space="0" w:color="000000"/>
              <w:bottom w:val="single" w:sz="4" w:space="0" w:color="000000"/>
              <w:right w:val="single" w:sz="4" w:space="0" w:color="000000"/>
            </w:tcBorders>
          </w:tcPr>
          <w:p w14:paraId="15FE75CC"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G3 · PC</w:t>
            </w:r>
          </w:p>
          <w:p w14:paraId="5DF9E29B"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Classe III</w:t>
            </w:r>
          </w:p>
        </w:tc>
        <w:tc>
          <w:tcPr>
            <w:tcW w:w="2608" w:type="dxa"/>
            <w:tcBorders>
              <w:top w:val="single" w:sz="4" w:space="0" w:color="000000"/>
              <w:left w:val="single" w:sz="4" w:space="0" w:color="000000"/>
              <w:bottom w:val="single" w:sz="4" w:space="0" w:color="000000"/>
              <w:right w:val="single" w:sz="4" w:space="0" w:color="000000"/>
            </w:tcBorders>
          </w:tcPr>
          <w:p w14:paraId="567749CC"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Jalons intermédiaires J0 à J5, suivi de l’avancement et priorisation des fonctions essentielles. Réserve de cinq jours conservée pour absorber un glissement des phases P3 ou P4.</w:t>
            </w:r>
          </w:p>
        </w:tc>
        <w:tc>
          <w:tcPr>
            <w:tcW w:w="774" w:type="dxa"/>
            <w:tcBorders>
              <w:top w:val="single" w:sz="4" w:space="0" w:color="000000"/>
              <w:left w:val="single" w:sz="4" w:space="0" w:color="000000"/>
              <w:bottom w:val="single" w:sz="4" w:space="0" w:color="000000"/>
              <w:right w:val="single" w:sz="4" w:space="0" w:color="000000"/>
            </w:tcBorders>
          </w:tcPr>
          <w:p w14:paraId="3956E9C2"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G3 · PD</w:t>
            </w:r>
          </w:p>
          <w:p w14:paraId="5652785D"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Classe II</w:t>
            </w:r>
          </w:p>
        </w:tc>
        <w:tc>
          <w:tcPr>
            <w:tcW w:w="1141" w:type="dxa"/>
            <w:tcBorders>
              <w:top w:val="single" w:sz="4" w:space="0" w:color="000000"/>
              <w:left w:val="single" w:sz="4" w:space="0" w:color="000000"/>
              <w:bottom w:val="single" w:sz="4" w:space="0" w:color="000000"/>
              <w:right w:val="single" w:sz="4" w:space="0" w:color="000000"/>
            </w:tcBorders>
          </w:tcPr>
          <w:p w14:paraId="34E06D2A"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Chargé de projet.</w:t>
            </w:r>
          </w:p>
          <w:p w14:paraId="20C8B4E2"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Accepté, suivi aux jalons.</w:t>
            </w:r>
          </w:p>
        </w:tc>
      </w:tr>
      <w:tr w:rsidR="00F50D70" w:rsidRPr="00BE4F47" w14:paraId="1BA5C618" w14:textId="77777777">
        <w:trPr>
          <w:cantSplit/>
        </w:trPr>
        <w:tc>
          <w:tcPr>
            <w:tcW w:w="652" w:type="dxa"/>
            <w:tcBorders>
              <w:top w:val="single" w:sz="4" w:space="0" w:color="000000"/>
              <w:left w:val="single" w:sz="4" w:space="0" w:color="000000"/>
              <w:bottom w:val="single" w:sz="4" w:space="0" w:color="000000"/>
              <w:right w:val="single" w:sz="4" w:space="0" w:color="000000"/>
            </w:tcBorders>
          </w:tcPr>
          <w:p w14:paraId="1D9C62F4"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1.2</w:t>
            </w:r>
          </w:p>
        </w:tc>
        <w:tc>
          <w:tcPr>
            <w:tcW w:w="2608" w:type="dxa"/>
            <w:tcBorders>
              <w:top w:val="single" w:sz="4" w:space="0" w:color="000000"/>
              <w:left w:val="single" w:sz="4" w:space="0" w:color="000000"/>
              <w:bottom w:val="single" w:sz="4" w:space="0" w:color="000000"/>
              <w:right w:val="single" w:sz="4" w:space="0" w:color="000000"/>
            </w:tcBorders>
          </w:tcPr>
          <w:p w14:paraId="138CF127"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RP2. Dépassement de l’enveloppe de 1 080 heures. Justification : l’enveloppe est une contrainte de mandat et non une estimation ; la gravité est critique car le dépassement remet en cause un livrable, sans remettre en cause le mandat.</w:t>
            </w:r>
          </w:p>
        </w:tc>
        <w:tc>
          <w:tcPr>
            <w:tcW w:w="774" w:type="dxa"/>
            <w:tcBorders>
              <w:top w:val="single" w:sz="4" w:space="0" w:color="000000"/>
              <w:left w:val="single" w:sz="4" w:space="0" w:color="000000"/>
              <w:bottom w:val="single" w:sz="4" w:space="0" w:color="000000"/>
              <w:right w:val="single" w:sz="4" w:space="0" w:color="000000"/>
            </w:tcBorders>
          </w:tcPr>
          <w:p w14:paraId="210C15B9"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G4 · PC</w:t>
            </w:r>
          </w:p>
          <w:p w14:paraId="67AA28A8"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Classe IV</w:t>
            </w:r>
          </w:p>
        </w:tc>
        <w:tc>
          <w:tcPr>
            <w:tcW w:w="2608" w:type="dxa"/>
            <w:tcBorders>
              <w:top w:val="single" w:sz="4" w:space="0" w:color="000000"/>
              <w:left w:val="single" w:sz="4" w:space="0" w:color="000000"/>
              <w:bottom w:val="single" w:sz="4" w:space="0" w:color="000000"/>
              <w:right w:val="single" w:sz="4" w:space="0" w:color="000000"/>
            </w:tcBorders>
          </w:tcPr>
          <w:p w14:paraId="05E695B1"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Suivi périodique des heures consommées par lot. Réduction du contenu ajustable avant toute réduction des activités de vérification et de validation. Mesure compensatoire : liste du contenu ajustable arrêtée au jalon J1.</w:t>
            </w:r>
          </w:p>
        </w:tc>
        <w:tc>
          <w:tcPr>
            <w:tcW w:w="774" w:type="dxa"/>
            <w:tcBorders>
              <w:top w:val="single" w:sz="4" w:space="0" w:color="000000"/>
              <w:left w:val="single" w:sz="4" w:space="0" w:color="000000"/>
              <w:bottom w:val="single" w:sz="4" w:space="0" w:color="000000"/>
              <w:right w:val="single" w:sz="4" w:space="0" w:color="000000"/>
            </w:tcBorders>
          </w:tcPr>
          <w:p w14:paraId="7A0966E9"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G3 · PD</w:t>
            </w:r>
          </w:p>
          <w:p w14:paraId="55BE0103"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Classe II</w:t>
            </w:r>
          </w:p>
        </w:tc>
        <w:tc>
          <w:tcPr>
            <w:tcW w:w="1141" w:type="dxa"/>
            <w:tcBorders>
              <w:top w:val="single" w:sz="4" w:space="0" w:color="000000"/>
              <w:left w:val="single" w:sz="4" w:space="0" w:color="000000"/>
              <w:bottom w:val="single" w:sz="4" w:space="0" w:color="000000"/>
              <w:right w:val="single" w:sz="4" w:space="0" w:color="000000"/>
            </w:tcBorders>
          </w:tcPr>
          <w:p w14:paraId="7539C068"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Chargé de projet.</w:t>
            </w:r>
          </w:p>
          <w:p w14:paraId="43973A56"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Accepté, suivi périodique.</w:t>
            </w:r>
          </w:p>
        </w:tc>
      </w:tr>
      <w:tr w:rsidR="00F50D70" w:rsidRPr="00BE4F47" w14:paraId="2E9C7C2E" w14:textId="77777777">
        <w:trPr>
          <w:cantSplit/>
        </w:trPr>
        <w:tc>
          <w:tcPr>
            <w:tcW w:w="652" w:type="dxa"/>
            <w:tcBorders>
              <w:top w:val="single" w:sz="4" w:space="0" w:color="000000"/>
              <w:left w:val="single" w:sz="4" w:space="0" w:color="000000"/>
              <w:bottom w:val="single" w:sz="4" w:space="0" w:color="000000"/>
              <w:right w:val="single" w:sz="4" w:space="0" w:color="000000"/>
            </w:tcBorders>
          </w:tcPr>
          <w:p w14:paraId="41AD39D2"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1.3</w:t>
            </w:r>
          </w:p>
        </w:tc>
        <w:tc>
          <w:tcPr>
            <w:tcW w:w="2608" w:type="dxa"/>
            <w:tcBorders>
              <w:top w:val="single" w:sz="4" w:space="0" w:color="000000"/>
              <w:left w:val="single" w:sz="4" w:space="0" w:color="000000"/>
              <w:bottom w:val="single" w:sz="4" w:space="0" w:color="000000"/>
              <w:right w:val="single" w:sz="4" w:space="0" w:color="000000"/>
            </w:tcBorders>
          </w:tcPr>
          <w:p w14:paraId="2D90027C" w14:textId="0026490A"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 xml:space="preserve">RP4. Absentéisme ou indisponibilité prolongée d’un membre. Justification : neuf lots sont répartis entre huit membres, deux d’entre eux étant partagés ; l’arrêt prolongé d’un seul retire </w:t>
            </w:r>
            <w:r w:rsidR="00A5527D">
              <w:rPr>
                <w:rFonts w:ascii="Aptos" w:eastAsia="Calibri" w:hAnsi="Aptos" w:cs="Calibri"/>
                <w:color w:val="1A1A19"/>
                <w:sz w:val="16"/>
                <w:szCs w:val="16"/>
                <w:lang w:val="fr-FR"/>
              </w:rPr>
              <w:t xml:space="preserve">12.5 </w:t>
            </w:r>
            <w:r w:rsidRPr="00BE4F47">
              <w:rPr>
                <w:rFonts w:ascii="Aptos" w:eastAsia="Calibri" w:hAnsi="Aptos" w:cs="Calibri"/>
                <w:color w:val="1A1A19"/>
                <w:sz w:val="16"/>
                <w:szCs w:val="16"/>
                <w:lang w:val="fr-FR"/>
              </w:rPr>
              <w:t xml:space="preserve">% de la capacité et laisse une section sans rédacteur, sur un trimestre de </w:t>
            </w:r>
            <w:proofErr w:type="gramStart"/>
            <w:r w:rsidRPr="00BE4F47">
              <w:rPr>
                <w:rFonts w:ascii="Aptos" w:eastAsia="Calibri" w:hAnsi="Aptos" w:cs="Calibri"/>
                <w:color w:val="1A1A19"/>
                <w:sz w:val="16"/>
                <w:szCs w:val="16"/>
                <w:lang w:val="fr-FR"/>
              </w:rPr>
              <w:t>quatorze semaines mené</w:t>
            </w:r>
            <w:proofErr w:type="gramEnd"/>
            <w:r w:rsidRPr="00BE4F47">
              <w:rPr>
                <w:rFonts w:ascii="Aptos" w:eastAsia="Calibri" w:hAnsi="Aptos" w:cs="Calibri"/>
                <w:color w:val="1A1A19"/>
                <w:sz w:val="16"/>
                <w:szCs w:val="16"/>
                <w:lang w:val="fr-FR"/>
              </w:rPr>
              <w:t xml:space="preserve"> en parallèle de cinq autres cours.</w:t>
            </w:r>
          </w:p>
        </w:tc>
        <w:tc>
          <w:tcPr>
            <w:tcW w:w="774" w:type="dxa"/>
            <w:tcBorders>
              <w:top w:val="single" w:sz="4" w:space="0" w:color="000000"/>
              <w:left w:val="single" w:sz="4" w:space="0" w:color="000000"/>
              <w:bottom w:val="single" w:sz="4" w:space="0" w:color="000000"/>
              <w:right w:val="single" w:sz="4" w:space="0" w:color="000000"/>
            </w:tcBorders>
          </w:tcPr>
          <w:p w14:paraId="08BC16AF"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G4 · PC</w:t>
            </w:r>
          </w:p>
          <w:p w14:paraId="32BEDD90"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Classe IV</w:t>
            </w:r>
          </w:p>
        </w:tc>
        <w:tc>
          <w:tcPr>
            <w:tcW w:w="2608" w:type="dxa"/>
            <w:tcBorders>
              <w:top w:val="single" w:sz="4" w:space="0" w:color="000000"/>
              <w:left w:val="single" w:sz="4" w:space="0" w:color="000000"/>
              <w:bottom w:val="single" w:sz="4" w:space="0" w:color="000000"/>
              <w:right w:val="single" w:sz="4" w:space="0" w:color="000000"/>
            </w:tcBorders>
          </w:tcPr>
          <w:p w14:paraId="5F46BAAC"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Binôme de secours désigné pour chaque lot, de sorte qu’aucun lot ne repose sur une seule personne. Documentation au dépôt permettant la reprise par un tiers, selon la section 4. Réallocation de la charge à partir du tableau des lots. Mesure compensatoire : la relecture croisée fait qu’au moins deux membres connaissent chaque section.</w:t>
            </w:r>
          </w:p>
        </w:tc>
        <w:tc>
          <w:tcPr>
            <w:tcW w:w="774" w:type="dxa"/>
            <w:tcBorders>
              <w:top w:val="single" w:sz="4" w:space="0" w:color="000000"/>
              <w:left w:val="single" w:sz="4" w:space="0" w:color="000000"/>
              <w:bottom w:val="single" w:sz="4" w:space="0" w:color="000000"/>
              <w:right w:val="single" w:sz="4" w:space="0" w:color="000000"/>
            </w:tcBorders>
          </w:tcPr>
          <w:p w14:paraId="37743EC3"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G2 · PC</w:t>
            </w:r>
          </w:p>
          <w:p w14:paraId="0198965C"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Classe II</w:t>
            </w:r>
          </w:p>
        </w:tc>
        <w:tc>
          <w:tcPr>
            <w:tcW w:w="1141" w:type="dxa"/>
            <w:tcBorders>
              <w:top w:val="single" w:sz="4" w:space="0" w:color="000000"/>
              <w:left w:val="single" w:sz="4" w:space="0" w:color="000000"/>
              <w:bottom w:val="single" w:sz="4" w:space="0" w:color="000000"/>
              <w:right w:val="single" w:sz="4" w:space="0" w:color="000000"/>
            </w:tcBorders>
          </w:tcPr>
          <w:p w14:paraId="55CD00E4"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Chargé de projet.</w:t>
            </w:r>
          </w:p>
          <w:p w14:paraId="34A810E2"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Binômes désignés à J1.</w:t>
            </w:r>
          </w:p>
        </w:tc>
      </w:tr>
      <w:tr w:rsidR="00F50D70" w:rsidRPr="00BE4F47" w14:paraId="7E8FF9DF" w14:textId="77777777">
        <w:trPr>
          <w:cantSplit/>
        </w:trPr>
        <w:tc>
          <w:tcPr>
            <w:tcW w:w="652" w:type="dxa"/>
            <w:tcBorders>
              <w:top w:val="single" w:sz="4" w:space="0" w:color="000000"/>
              <w:left w:val="single" w:sz="4" w:space="0" w:color="000000"/>
              <w:bottom w:val="single" w:sz="4" w:space="0" w:color="000000"/>
              <w:right w:val="single" w:sz="4" w:space="0" w:color="000000"/>
            </w:tcBorders>
          </w:tcPr>
          <w:p w14:paraId="4454AE87"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2.1</w:t>
            </w:r>
          </w:p>
        </w:tc>
        <w:tc>
          <w:tcPr>
            <w:tcW w:w="2608" w:type="dxa"/>
            <w:tcBorders>
              <w:top w:val="single" w:sz="4" w:space="0" w:color="000000"/>
              <w:left w:val="single" w:sz="4" w:space="0" w:color="000000"/>
              <w:bottom w:val="single" w:sz="4" w:space="0" w:color="000000"/>
              <w:right w:val="single" w:sz="4" w:space="0" w:color="000000"/>
            </w:tcBorders>
          </w:tcPr>
          <w:p w14:paraId="7FB84542"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RP3. Modification tardive du périmètre exigeant un banc thermohydraulique physique. Justification : probabilité faible car l’hypothèse d’un environnement simulé est posée au mandat ; gravité maximale car un tel ajout invaliderait la planification, le budget et l’échéancier.</w:t>
            </w:r>
          </w:p>
        </w:tc>
        <w:tc>
          <w:tcPr>
            <w:tcW w:w="774" w:type="dxa"/>
            <w:tcBorders>
              <w:top w:val="single" w:sz="4" w:space="0" w:color="000000"/>
              <w:left w:val="single" w:sz="4" w:space="0" w:color="000000"/>
              <w:bottom w:val="single" w:sz="4" w:space="0" w:color="000000"/>
              <w:right w:val="single" w:sz="4" w:space="0" w:color="000000"/>
            </w:tcBorders>
          </w:tcPr>
          <w:p w14:paraId="5B45FB79"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G5 · PD</w:t>
            </w:r>
          </w:p>
          <w:p w14:paraId="26CD2C99"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Classe IV</w:t>
            </w:r>
          </w:p>
        </w:tc>
        <w:tc>
          <w:tcPr>
            <w:tcW w:w="2608" w:type="dxa"/>
            <w:tcBorders>
              <w:top w:val="single" w:sz="4" w:space="0" w:color="000000"/>
              <w:left w:val="single" w:sz="4" w:space="0" w:color="000000"/>
              <w:bottom w:val="single" w:sz="4" w:space="0" w:color="000000"/>
              <w:right w:val="single" w:sz="4" w:space="0" w:color="000000"/>
            </w:tcBorders>
          </w:tcPr>
          <w:p w14:paraId="2834A2AE"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Maintien explicite de l’hypothèse d’un environnement simulé (EX-C-02). Réévaluation immédiate de la portée, des ressources et du budget si elle devient invalide. Mesure compensatoire : point de décision formel au jalon J1.</w:t>
            </w:r>
          </w:p>
        </w:tc>
        <w:tc>
          <w:tcPr>
            <w:tcW w:w="774" w:type="dxa"/>
            <w:tcBorders>
              <w:top w:val="single" w:sz="4" w:space="0" w:color="000000"/>
              <w:left w:val="single" w:sz="4" w:space="0" w:color="000000"/>
              <w:bottom w:val="single" w:sz="4" w:space="0" w:color="000000"/>
              <w:right w:val="single" w:sz="4" w:space="0" w:color="000000"/>
            </w:tcBorders>
          </w:tcPr>
          <w:p w14:paraId="0651B06D"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G5 · PE</w:t>
            </w:r>
          </w:p>
          <w:p w14:paraId="06E9F674"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Classe III</w:t>
            </w:r>
          </w:p>
        </w:tc>
        <w:tc>
          <w:tcPr>
            <w:tcW w:w="1141" w:type="dxa"/>
            <w:tcBorders>
              <w:top w:val="single" w:sz="4" w:space="0" w:color="000000"/>
              <w:left w:val="single" w:sz="4" w:space="0" w:color="000000"/>
              <w:bottom w:val="single" w:sz="4" w:space="0" w:color="000000"/>
              <w:right w:val="single" w:sz="4" w:space="0" w:color="000000"/>
            </w:tcBorders>
          </w:tcPr>
          <w:p w14:paraId="58A08419"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Chargé de projet.</w:t>
            </w:r>
          </w:p>
          <w:p w14:paraId="20F8A99F"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Accepté sous condition de revue du périmètre.</w:t>
            </w:r>
          </w:p>
        </w:tc>
      </w:tr>
    </w:tbl>
    <w:p w14:paraId="2A1485C6" w14:textId="77777777" w:rsidR="00F50D70" w:rsidRPr="00BE4F47" w:rsidRDefault="00137D7F" w:rsidP="008E113B">
      <w:pPr>
        <w:spacing w:before="200" w:after="130" w:line="360" w:lineRule="auto"/>
        <w:ind w:left="360"/>
        <w:rPr>
          <w:rFonts w:ascii="Aptos" w:hAnsi="Aptos"/>
        </w:rPr>
      </w:pPr>
      <w:bookmarkStart w:id="1129" w:name="_Toc241083107"/>
      <w:bookmarkStart w:id="1130" w:name="_Toc241670272"/>
      <w:bookmarkStart w:id="1131" w:name="_Toc241707980"/>
      <w:bookmarkStart w:id="1132" w:name="_Toc241791929"/>
      <w:r w:rsidRPr="00BE4F47">
        <w:rPr>
          <w:rFonts w:ascii="Aptos" w:hAnsi="Aptos"/>
          <w:color w:val="1A1A19"/>
          <w:sz w:val="20"/>
          <w:szCs w:val="20"/>
        </w:rPr>
        <w:t>Évaluation datée du 18 septembre 2026. Les renvois entre parenthèses désignent les exigences du registre des exigences et les états du GEMMA.</w:t>
      </w:r>
      <w:bookmarkEnd w:id="1129"/>
      <w:bookmarkEnd w:id="1130"/>
      <w:bookmarkEnd w:id="1131"/>
      <w:bookmarkEnd w:id="1132"/>
    </w:p>
    <w:p w14:paraId="705CB486" w14:textId="77777777" w:rsidR="00F50D70" w:rsidRPr="00BE4F47" w:rsidRDefault="00137D7F" w:rsidP="008E113B">
      <w:pPr>
        <w:pStyle w:val="Lgende"/>
        <w:keepNext/>
        <w:spacing w:line="360" w:lineRule="auto"/>
        <w:rPr>
          <w:rFonts w:ascii="Aptos" w:hAnsi="Aptos"/>
        </w:rPr>
      </w:pPr>
      <w:bookmarkStart w:id="1133" w:name="_Toc241083108"/>
      <w:bookmarkStart w:id="1134" w:name="_Toc241670273"/>
      <w:bookmarkStart w:id="1135" w:name="_Toc241707981"/>
      <w:bookmarkStart w:id="1136" w:name="_Toc241791930"/>
      <w:r w:rsidRPr="00BE4F47">
        <w:rPr>
          <w:rFonts w:ascii="Aptos" w:hAnsi="Aptos"/>
        </w:rPr>
        <w:t>Tableau 7-7. Registre des risques du produit</w:t>
      </w:r>
      <w:bookmarkEnd w:id="1133"/>
      <w:bookmarkEnd w:id="1134"/>
      <w:bookmarkEnd w:id="1135"/>
      <w:bookmarkEnd w:id="1136"/>
    </w:p>
    <w:tbl>
      <w:tblPr>
        <w:tblW w:w="8557" w:type="dxa"/>
        <w:tblInd w:w="413" w:type="dxa"/>
        <w:tblLayout w:type="fixed"/>
        <w:tblCellMar>
          <w:top w:w="55" w:type="dxa"/>
          <w:left w:w="85" w:type="dxa"/>
          <w:bottom w:w="55" w:type="dxa"/>
          <w:right w:w="85" w:type="dxa"/>
        </w:tblCellMar>
        <w:tblLook w:val="04A0" w:firstRow="1" w:lastRow="0" w:firstColumn="1" w:lastColumn="0" w:noHBand="0" w:noVBand="1"/>
      </w:tblPr>
      <w:tblGrid>
        <w:gridCol w:w="652"/>
        <w:gridCol w:w="2608"/>
        <w:gridCol w:w="774"/>
        <w:gridCol w:w="2608"/>
        <w:gridCol w:w="774"/>
        <w:gridCol w:w="1141"/>
      </w:tblGrid>
      <w:tr w:rsidR="00F50D70" w:rsidRPr="00BE4F47" w14:paraId="5F05A882" w14:textId="77777777">
        <w:trPr>
          <w:tblHeader/>
        </w:trPr>
        <w:tc>
          <w:tcPr>
            <w:tcW w:w="652" w:type="dxa"/>
            <w:tcBorders>
              <w:top w:val="single" w:sz="4" w:space="0" w:color="000000"/>
              <w:left w:val="single" w:sz="4" w:space="0" w:color="000000"/>
              <w:bottom w:val="single" w:sz="4" w:space="0" w:color="000000"/>
              <w:right w:val="single" w:sz="4" w:space="0" w:color="000000"/>
            </w:tcBorders>
            <w:shd w:val="clear" w:color="auto" w:fill="EFF4FB"/>
          </w:tcPr>
          <w:p w14:paraId="2F867057"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Repère</w:t>
            </w:r>
          </w:p>
        </w:tc>
        <w:tc>
          <w:tcPr>
            <w:tcW w:w="2608" w:type="dxa"/>
            <w:tcBorders>
              <w:top w:val="single" w:sz="4" w:space="0" w:color="000000"/>
              <w:left w:val="single" w:sz="4" w:space="0" w:color="000000"/>
              <w:bottom w:val="single" w:sz="4" w:space="0" w:color="000000"/>
              <w:right w:val="single" w:sz="4" w:space="0" w:color="000000"/>
            </w:tcBorders>
            <w:shd w:val="clear" w:color="auto" w:fill="EFF4FB"/>
          </w:tcPr>
          <w:p w14:paraId="53909697"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Risque et justification de la cotation</w:t>
            </w:r>
          </w:p>
        </w:tc>
        <w:tc>
          <w:tcPr>
            <w:tcW w:w="774" w:type="dxa"/>
            <w:tcBorders>
              <w:top w:val="single" w:sz="4" w:space="0" w:color="000000"/>
              <w:left w:val="single" w:sz="4" w:space="0" w:color="000000"/>
              <w:bottom w:val="single" w:sz="4" w:space="0" w:color="000000"/>
              <w:right w:val="single" w:sz="4" w:space="0" w:color="000000"/>
            </w:tcBorders>
            <w:shd w:val="clear" w:color="auto" w:fill="EFF4FB"/>
          </w:tcPr>
          <w:p w14:paraId="6CEE08A7"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Avant</w:t>
            </w:r>
          </w:p>
        </w:tc>
        <w:tc>
          <w:tcPr>
            <w:tcW w:w="2608" w:type="dxa"/>
            <w:tcBorders>
              <w:top w:val="single" w:sz="4" w:space="0" w:color="000000"/>
              <w:left w:val="single" w:sz="4" w:space="0" w:color="000000"/>
              <w:bottom w:val="single" w:sz="4" w:space="0" w:color="000000"/>
              <w:right w:val="single" w:sz="4" w:space="0" w:color="000000"/>
            </w:tcBorders>
            <w:shd w:val="clear" w:color="auto" w:fill="EFF4FB"/>
          </w:tcPr>
          <w:p w14:paraId="02CEDACB"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Traitement et mesure compensatoire</w:t>
            </w:r>
          </w:p>
        </w:tc>
        <w:tc>
          <w:tcPr>
            <w:tcW w:w="774" w:type="dxa"/>
            <w:tcBorders>
              <w:top w:val="single" w:sz="4" w:space="0" w:color="000000"/>
              <w:left w:val="single" w:sz="4" w:space="0" w:color="000000"/>
              <w:bottom w:val="single" w:sz="4" w:space="0" w:color="000000"/>
              <w:right w:val="single" w:sz="4" w:space="0" w:color="000000"/>
            </w:tcBorders>
            <w:shd w:val="clear" w:color="auto" w:fill="EFF4FB"/>
          </w:tcPr>
          <w:p w14:paraId="54AC556B"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Après</w:t>
            </w:r>
          </w:p>
        </w:tc>
        <w:tc>
          <w:tcPr>
            <w:tcW w:w="1141" w:type="dxa"/>
            <w:tcBorders>
              <w:top w:val="single" w:sz="4" w:space="0" w:color="000000"/>
              <w:left w:val="single" w:sz="4" w:space="0" w:color="000000"/>
              <w:bottom w:val="single" w:sz="4" w:space="0" w:color="000000"/>
              <w:right w:val="single" w:sz="4" w:space="0" w:color="000000"/>
            </w:tcBorders>
            <w:shd w:val="clear" w:color="auto" w:fill="EFF4FB"/>
          </w:tcPr>
          <w:p w14:paraId="7255C223"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Resp.</w:t>
            </w:r>
          </w:p>
        </w:tc>
      </w:tr>
      <w:tr w:rsidR="00F50D70" w:rsidRPr="00BE4F47" w14:paraId="20DE413F" w14:textId="77777777">
        <w:trPr>
          <w:cantSplit/>
        </w:trPr>
        <w:tc>
          <w:tcPr>
            <w:tcW w:w="652" w:type="dxa"/>
            <w:tcBorders>
              <w:top w:val="single" w:sz="4" w:space="0" w:color="000000"/>
              <w:left w:val="single" w:sz="4" w:space="0" w:color="000000"/>
              <w:bottom w:val="single" w:sz="4" w:space="0" w:color="000000"/>
              <w:right w:val="single" w:sz="4" w:space="0" w:color="000000"/>
            </w:tcBorders>
          </w:tcPr>
          <w:p w14:paraId="771E5D5D"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3.1</w:t>
            </w:r>
          </w:p>
        </w:tc>
        <w:tc>
          <w:tcPr>
            <w:tcW w:w="2608" w:type="dxa"/>
            <w:tcBorders>
              <w:top w:val="single" w:sz="4" w:space="0" w:color="000000"/>
              <w:left w:val="single" w:sz="4" w:space="0" w:color="000000"/>
              <w:bottom w:val="single" w:sz="4" w:space="0" w:color="000000"/>
              <w:right w:val="single" w:sz="4" w:space="0" w:color="000000"/>
            </w:tcBorders>
          </w:tcPr>
          <w:p w14:paraId="62F0A654"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RT1. Mesure erronée de température, de pression ou de débit. Justification : une dérive de capteur est le mode de défaillance le plus courant d’une chaîne d’acquisition, et une mesure fausse non détectée fausse tout le diagnostic.</w:t>
            </w:r>
          </w:p>
        </w:tc>
        <w:tc>
          <w:tcPr>
            <w:tcW w:w="774" w:type="dxa"/>
            <w:tcBorders>
              <w:top w:val="single" w:sz="4" w:space="0" w:color="000000"/>
              <w:left w:val="single" w:sz="4" w:space="0" w:color="000000"/>
              <w:bottom w:val="single" w:sz="4" w:space="0" w:color="000000"/>
              <w:right w:val="single" w:sz="4" w:space="0" w:color="000000"/>
            </w:tcBorders>
          </w:tcPr>
          <w:p w14:paraId="4529D3EF"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G5 · PC</w:t>
            </w:r>
          </w:p>
          <w:p w14:paraId="70B4557B"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Classe IV</w:t>
            </w:r>
          </w:p>
        </w:tc>
        <w:tc>
          <w:tcPr>
            <w:tcW w:w="2608" w:type="dxa"/>
            <w:tcBorders>
              <w:top w:val="single" w:sz="4" w:space="0" w:color="000000"/>
              <w:left w:val="single" w:sz="4" w:space="0" w:color="000000"/>
              <w:bottom w:val="single" w:sz="4" w:space="0" w:color="000000"/>
              <w:right w:val="single" w:sz="4" w:space="0" w:color="000000"/>
            </w:tcBorders>
          </w:tcPr>
          <w:p w14:paraId="514051D5"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Validation des entrées, plages admissibles et contrôle de cohérence entre capteurs (EX-Q-04). Une mesure détectée comme invalide est rejetée et journalisée, elle ne se propage pas au modèle. Mesure compensatoire : essai d’injection de dérive de capteur documenté au plan de vérification et de validation, et acceptation écrite du résidu par le responsable du lot L6.</w:t>
            </w:r>
          </w:p>
        </w:tc>
        <w:tc>
          <w:tcPr>
            <w:tcW w:w="774" w:type="dxa"/>
            <w:tcBorders>
              <w:top w:val="single" w:sz="4" w:space="0" w:color="000000"/>
              <w:left w:val="single" w:sz="4" w:space="0" w:color="000000"/>
              <w:bottom w:val="single" w:sz="4" w:space="0" w:color="000000"/>
              <w:right w:val="single" w:sz="4" w:space="0" w:color="000000"/>
            </w:tcBorders>
          </w:tcPr>
          <w:p w14:paraId="2B9045DA"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G3 · PC</w:t>
            </w:r>
          </w:p>
          <w:p w14:paraId="58D47E22"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Classe III</w:t>
            </w:r>
          </w:p>
        </w:tc>
        <w:tc>
          <w:tcPr>
            <w:tcW w:w="1141" w:type="dxa"/>
            <w:tcBorders>
              <w:top w:val="single" w:sz="4" w:space="0" w:color="000000"/>
              <w:left w:val="single" w:sz="4" w:space="0" w:color="000000"/>
              <w:bottom w:val="single" w:sz="4" w:space="0" w:color="000000"/>
              <w:right w:val="single" w:sz="4" w:space="0" w:color="000000"/>
            </w:tcBorders>
          </w:tcPr>
          <w:p w14:paraId="6AF7B232"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Lot L6.</w:t>
            </w:r>
          </w:p>
          <w:p w14:paraId="3B7C0BD2"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Accepté, suivi aux jalons.</w:t>
            </w:r>
          </w:p>
        </w:tc>
      </w:tr>
      <w:tr w:rsidR="00F50D70" w:rsidRPr="00BE4F47" w14:paraId="2AE72F12" w14:textId="77777777">
        <w:trPr>
          <w:cantSplit/>
        </w:trPr>
        <w:tc>
          <w:tcPr>
            <w:tcW w:w="652" w:type="dxa"/>
            <w:tcBorders>
              <w:top w:val="single" w:sz="4" w:space="0" w:color="000000"/>
              <w:left w:val="single" w:sz="4" w:space="0" w:color="000000"/>
              <w:bottom w:val="single" w:sz="4" w:space="0" w:color="000000"/>
              <w:right w:val="single" w:sz="4" w:space="0" w:color="000000"/>
            </w:tcBorders>
          </w:tcPr>
          <w:p w14:paraId="0979CC15"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lastRenderedPageBreak/>
              <w:t>3.2</w:t>
            </w:r>
          </w:p>
        </w:tc>
        <w:tc>
          <w:tcPr>
            <w:tcW w:w="2608" w:type="dxa"/>
            <w:tcBorders>
              <w:top w:val="single" w:sz="4" w:space="0" w:color="000000"/>
              <w:left w:val="single" w:sz="4" w:space="0" w:color="000000"/>
              <w:bottom w:val="single" w:sz="4" w:space="0" w:color="000000"/>
              <w:right w:val="single" w:sz="4" w:space="0" w:color="000000"/>
            </w:tcBorders>
          </w:tcPr>
          <w:p w14:paraId="2096EBF7"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RT2. Perte ou indisponibilité d’une donnée. Justification : événement attendu au moins une fois en campagne d’essais ; la gravité chute fortement une fois la détection en place, puisque le système déclare l’état incertain au lieu de conclure.</w:t>
            </w:r>
          </w:p>
        </w:tc>
        <w:tc>
          <w:tcPr>
            <w:tcW w:w="774" w:type="dxa"/>
            <w:tcBorders>
              <w:top w:val="single" w:sz="4" w:space="0" w:color="000000"/>
              <w:left w:val="single" w:sz="4" w:space="0" w:color="000000"/>
              <w:bottom w:val="single" w:sz="4" w:space="0" w:color="000000"/>
              <w:right w:val="single" w:sz="4" w:space="0" w:color="000000"/>
            </w:tcBorders>
          </w:tcPr>
          <w:p w14:paraId="58E72E42"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G4 · PC</w:t>
            </w:r>
          </w:p>
          <w:p w14:paraId="37E6776A"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Classe IV</w:t>
            </w:r>
          </w:p>
        </w:tc>
        <w:tc>
          <w:tcPr>
            <w:tcW w:w="2608" w:type="dxa"/>
            <w:tcBorders>
              <w:top w:val="single" w:sz="4" w:space="0" w:color="000000"/>
              <w:left w:val="single" w:sz="4" w:space="0" w:color="000000"/>
              <w:bottom w:val="single" w:sz="4" w:space="0" w:color="000000"/>
              <w:right w:val="single" w:sz="4" w:space="0" w:color="000000"/>
            </w:tcBorders>
          </w:tcPr>
          <w:p w14:paraId="1F7FE464"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Détection des données manquantes au-delà de N cycles et affichage de l’état « incertain » (EX-F-06, état D2 du GEMMA).</w:t>
            </w:r>
          </w:p>
        </w:tc>
        <w:tc>
          <w:tcPr>
            <w:tcW w:w="774" w:type="dxa"/>
            <w:tcBorders>
              <w:top w:val="single" w:sz="4" w:space="0" w:color="000000"/>
              <w:left w:val="single" w:sz="4" w:space="0" w:color="000000"/>
              <w:bottom w:val="single" w:sz="4" w:space="0" w:color="000000"/>
              <w:right w:val="single" w:sz="4" w:space="0" w:color="000000"/>
            </w:tcBorders>
          </w:tcPr>
          <w:p w14:paraId="0869A3BA"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G2 · PC</w:t>
            </w:r>
          </w:p>
          <w:p w14:paraId="57BAD06A"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Classe II</w:t>
            </w:r>
          </w:p>
        </w:tc>
        <w:tc>
          <w:tcPr>
            <w:tcW w:w="1141" w:type="dxa"/>
            <w:tcBorders>
              <w:top w:val="single" w:sz="4" w:space="0" w:color="000000"/>
              <w:left w:val="single" w:sz="4" w:space="0" w:color="000000"/>
              <w:bottom w:val="single" w:sz="4" w:space="0" w:color="000000"/>
              <w:right w:val="single" w:sz="4" w:space="0" w:color="000000"/>
            </w:tcBorders>
          </w:tcPr>
          <w:p w14:paraId="34DA550A"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Lot L7.</w:t>
            </w:r>
          </w:p>
          <w:p w14:paraId="36FD3501"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Accepté, suivi aux jalons.</w:t>
            </w:r>
          </w:p>
        </w:tc>
      </w:tr>
      <w:tr w:rsidR="00F50D70" w:rsidRPr="00BE4F47" w14:paraId="2B3BCE27" w14:textId="77777777">
        <w:trPr>
          <w:cantSplit/>
        </w:trPr>
        <w:tc>
          <w:tcPr>
            <w:tcW w:w="652" w:type="dxa"/>
            <w:tcBorders>
              <w:top w:val="single" w:sz="4" w:space="0" w:color="000000"/>
              <w:left w:val="single" w:sz="4" w:space="0" w:color="000000"/>
              <w:bottom w:val="single" w:sz="4" w:space="0" w:color="000000"/>
              <w:right w:val="single" w:sz="4" w:space="0" w:color="000000"/>
            </w:tcBorders>
          </w:tcPr>
          <w:p w14:paraId="020598DD"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3.3</w:t>
            </w:r>
          </w:p>
        </w:tc>
        <w:tc>
          <w:tcPr>
            <w:tcW w:w="2608" w:type="dxa"/>
            <w:tcBorders>
              <w:top w:val="single" w:sz="4" w:space="0" w:color="000000"/>
              <w:left w:val="single" w:sz="4" w:space="0" w:color="000000"/>
              <w:bottom w:val="single" w:sz="4" w:space="0" w:color="000000"/>
              <w:right w:val="single" w:sz="4" w:space="0" w:color="000000"/>
            </w:tcBorders>
          </w:tcPr>
          <w:p w14:paraId="2BC6092A"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RT3. Désynchronisation entre le modèle de référence et le jumeau. Justification : risque propre aux systèmes comparant deux flux ; détectable par horodatage, donc probabilité réductible.</w:t>
            </w:r>
          </w:p>
        </w:tc>
        <w:tc>
          <w:tcPr>
            <w:tcW w:w="774" w:type="dxa"/>
            <w:tcBorders>
              <w:top w:val="single" w:sz="4" w:space="0" w:color="000000"/>
              <w:left w:val="single" w:sz="4" w:space="0" w:color="000000"/>
              <w:bottom w:val="single" w:sz="4" w:space="0" w:color="000000"/>
              <w:right w:val="single" w:sz="4" w:space="0" w:color="000000"/>
            </w:tcBorders>
          </w:tcPr>
          <w:p w14:paraId="675A508C"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G4 · PC</w:t>
            </w:r>
          </w:p>
          <w:p w14:paraId="0ED0F5DC"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Classe IV</w:t>
            </w:r>
          </w:p>
        </w:tc>
        <w:tc>
          <w:tcPr>
            <w:tcW w:w="2608" w:type="dxa"/>
            <w:tcBorders>
              <w:top w:val="single" w:sz="4" w:space="0" w:color="000000"/>
              <w:left w:val="single" w:sz="4" w:space="0" w:color="000000"/>
              <w:bottom w:val="single" w:sz="4" w:space="0" w:color="000000"/>
              <w:right w:val="single" w:sz="4" w:space="0" w:color="000000"/>
            </w:tcBorders>
          </w:tcPr>
          <w:p w14:paraId="0174BB16"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Horodatage de chaque acquisition, contrôle de synchronisation et surveillance de l’écart temporel (EX-F-10).</w:t>
            </w:r>
          </w:p>
        </w:tc>
        <w:tc>
          <w:tcPr>
            <w:tcW w:w="774" w:type="dxa"/>
            <w:tcBorders>
              <w:top w:val="single" w:sz="4" w:space="0" w:color="000000"/>
              <w:left w:val="single" w:sz="4" w:space="0" w:color="000000"/>
              <w:bottom w:val="single" w:sz="4" w:space="0" w:color="000000"/>
              <w:right w:val="single" w:sz="4" w:space="0" w:color="000000"/>
            </w:tcBorders>
          </w:tcPr>
          <w:p w14:paraId="7639FD60"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G3 · PD</w:t>
            </w:r>
          </w:p>
          <w:p w14:paraId="29BA4988"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Classe II</w:t>
            </w:r>
          </w:p>
        </w:tc>
        <w:tc>
          <w:tcPr>
            <w:tcW w:w="1141" w:type="dxa"/>
            <w:tcBorders>
              <w:top w:val="single" w:sz="4" w:space="0" w:color="000000"/>
              <w:left w:val="single" w:sz="4" w:space="0" w:color="000000"/>
              <w:bottom w:val="single" w:sz="4" w:space="0" w:color="000000"/>
              <w:right w:val="single" w:sz="4" w:space="0" w:color="000000"/>
            </w:tcBorders>
          </w:tcPr>
          <w:p w14:paraId="6AA3BCF2"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Lot L6.</w:t>
            </w:r>
          </w:p>
          <w:p w14:paraId="26948840"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Accepté, suivi aux jalons.</w:t>
            </w:r>
          </w:p>
        </w:tc>
      </w:tr>
      <w:tr w:rsidR="00F50D70" w:rsidRPr="00BE4F47" w14:paraId="5C1537E2" w14:textId="77777777">
        <w:trPr>
          <w:cantSplit/>
        </w:trPr>
        <w:tc>
          <w:tcPr>
            <w:tcW w:w="652" w:type="dxa"/>
            <w:tcBorders>
              <w:top w:val="single" w:sz="4" w:space="0" w:color="000000"/>
              <w:left w:val="single" w:sz="4" w:space="0" w:color="000000"/>
              <w:bottom w:val="single" w:sz="4" w:space="0" w:color="000000"/>
              <w:right w:val="single" w:sz="4" w:space="0" w:color="000000"/>
            </w:tcBorders>
          </w:tcPr>
          <w:p w14:paraId="30606BE9"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4.1</w:t>
            </w:r>
          </w:p>
        </w:tc>
        <w:tc>
          <w:tcPr>
            <w:tcW w:w="2608" w:type="dxa"/>
            <w:tcBorders>
              <w:top w:val="single" w:sz="4" w:space="0" w:color="000000"/>
              <w:left w:val="single" w:sz="4" w:space="0" w:color="000000"/>
              <w:bottom w:val="single" w:sz="4" w:space="0" w:color="000000"/>
              <w:right w:val="single" w:sz="4" w:space="0" w:color="000000"/>
            </w:tcBorders>
          </w:tcPr>
          <w:p w14:paraId="7E1896E4"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RT4. Modèle thermohydraulique insuffisamment représentatif. Justification : un modèle 0D et 1D à paramètres concentrés est par construction une approximation ; la gravité reste critique après traitement car elle conditionne la validité des résultats.</w:t>
            </w:r>
          </w:p>
        </w:tc>
        <w:tc>
          <w:tcPr>
            <w:tcW w:w="774" w:type="dxa"/>
            <w:tcBorders>
              <w:top w:val="single" w:sz="4" w:space="0" w:color="000000"/>
              <w:left w:val="single" w:sz="4" w:space="0" w:color="000000"/>
              <w:bottom w:val="single" w:sz="4" w:space="0" w:color="000000"/>
              <w:right w:val="single" w:sz="4" w:space="0" w:color="000000"/>
            </w:tcBorders>
          </w:tcPr>
          <w:p w14:paraId="1061B373"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G5 · PC</w:t>
            </w:r>
          </w:p>
          <w:p w14:paraId="0F2DF7C1"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Classe IV</w:t>
            </w:r>
          </w:p>
        </w:tc>
        <w:tc>
          <w:tcPr>
            <w:tcW w:w="2608" w:type="dxa"/>
            <w:tcBorders>
              <w:top w:val="single" w:sz="4" w:space="0" w:color="000000"/>
              <w:left w:val="single" w:sz="4" w:space="0" w:color="000000"/>
              <w:bottom w:val="single" w:sz="4" w:space="0" w:color="000000"/>
              <w:right w:val="single" w:sz="4" w:space="0" w:color="000000"/>
            </w:tcBorders>
          </w:tcPr>
          <w:p w14:paraId="71866AB2"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Vérification et validation, comparaison au modèle de référence et quantification de l’incertitude de validation selon ASME V&amp;V 20. Mesure compensatoire : domaine de validité documenté au rapport final (EX-C-01).</w:t>
            </w:r>
          </w:p>
        </w:tc>
        <w:tc>
          <w:tcPr>
            <w:tcW w:w="774" w:type="dxa"/>
            <w:tcBorders>
              <w:top w:val="single" w:sz="4" w:space="0" w:color="000000"/>
              <w:left w:val="single" w:sz="4" w:space="0" w:color="000000"/>
              <w:bottom w:val="single" w:sz="4" w:space="0" w:color="000000"/>
              <w:right w:val="single" w:sz="4" w:space="0" w:color="000000"/>
            </w:tcBorders>
          </w:tcPr>
          <w:p w14:paraId="4CB828B9"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G4 · PD</w:t>
            </w:r>
          </w:p>
          <w:p w14:paraId="4FFF1700"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Classe III</w:t>
            </w:r>
          </w:p>
        </w:tc>
        <w:tc>
          <w:tcPr>
            <w:tcW w:w="1141" w:type="dxa"/>
            <w:tcBorders>
              <w:top w:val="single" w:sz="4" w:space="0" w:color="000000"/>
              <w:left w:val="single" w:sz="4" w:space="0" w:color="000000"/>
              <w:bottom w:val="single" w:sz="4" w:space="0" w:color="000000"/>
              <w:right w:val="single" w:sz="4" w:space="0" w:color="000000"/>
            </w:tcBorders>
          </w:tcPr>
          <w:p w14:paraId="08223405"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Lot L4.</w:t>
            </w:r>
          </w:p>
          <w:p w14:paraId="23324F34"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Accepté sous condition de documenter le domaine de validité.</w:t>
            </w:r>
          </w:p>
        </w:tc>
      </w:tr>
      <w:tr w:rsidR="00F50D70" w:rsidRPr="00BE4F47" w14:paraId="0E88C415" w14:textId="77777777">
        <w:trPr>
          <w:cantSplit/>
        </w:trPr>
        <w:tc>
          <w:tcPr>
            <w:tcW w:w="652" w:type="dxa"/>
            <w:tcBorders>
              <w:top w:val="single" w:sz="4" w:space="0" w:color="000000"/>
              <w:left w:val="single" w:sz="4" w:space="0" w:color="000000"/>
              <w:bottom w:val="single" w:sz="4" w:space="0" w:color="000000"/>
              <w:right w:val="single" w:sz="4" w:space="0" w:color="000000"/>
            </w:tcBorders>
          </w:tcPr>
          <w:p w14:paraId="350DC992"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4.2</w:t>
            </w:r>
          </w:p>
        </w:tc>
        <w:tc>
          <w:tcPr>
            <w:tcW w:w="2608" w:type="dxa"/>
            <w:tcBorders>
              <w:top w:val="single" w:sz="4" w:space="0" w:color="000000"/>
              <w:left w:val="single" w:sz="4" w:space="0" w:color="000000"/>
              <w:bottom w:val="single" w:sz="4" w:space="0" w:color="000000"/>
              <w:right w:val="single" w:sz="4" w:space="0" w:color="000000"/>
            </w:tcBorders>
          </w:tcPr>
          <w:p w14:paraId="6CFAB22A"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RT5. Non-détection d’une anomalie réelle, soit un faux négatif. Justification : c’est la fonction même du prototype qui est en défaut. La probabilité est réductible par les essais. La gravité résiduelle descend de 5 à 4 grâce à l’affichage du niveau de confiance et à la déclaration explicite de l’incertitude (EX-F-06, EX-F-07), qui donnent à l’opérateur un signal indépendant du diagnostic. Le maintien de la décision chez l’opérateur (EX-F-08) relève du périmètre du mandat et non du traitement du risque : il n’est pas compté ici.</w:t>
            </w:r>
          </w:p>
        </w:tc>
        <w:tc>
          <w:tcPr>
            <w:tcW w:w="774" w:type="dxa"/>
            <w:tcBorders>
              <w:top w:val="single" w:sz="4" w:space="0" w:color="000000"/>
              <w:left w:val="single" w:sz="4" w:space="0" w:color="000000"/>
              <w:bottom w:val="single" w:sz="4" w:space="0" w:color="000000"/>
              <w:right w:val="single" w:sz="4" w:space="0" w:color="000000"/>
            </w:tcBorders>
          </w:tcPr>
          <w:p w14:paraId="6891E413"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G5 · PC</w:t>
            </w:r>
          </w:p>
          <w:p w14:paraId="3FE79F9E"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Classe IV</w:t>
            </w:r>
          </w:p>
        </w:tc>
        <w:tc>
          <w:tcPr>
            <w:tcW w:w="2608" w:type="dxa"/>
            <w:tcBorders>
              <w:top w:val="single" w:sz="4" w:space="0" w:color="000000"/>
              <w:left w:val="single" w:sz="4" w:space="0" w:color="000000"/>
              <w:bottom w:val="single" w:sz="4" w:space="0" w:color="000000"/>
              <w:right w:val="single" w:sz="4" w:space="0" w:color="000000"/>
            </w:tcBorders>
          </w:tcPr>
          <w:p w14:paraId="33E34DC3"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Campagne d’essais avec injection d’anomalies (état F6 du GEMMA, exigence EX-F-11), validation des seuils et analyse humaine. Mesure compensatoire : décision maintenue chez l’opérateur (EX-F-08) et affichage systématique du niveau de confiance (EX-F-07).</w:t>
            </w:r>
          </w:p>
        </w:tc>
        <w:tc>
          <w:tcPr>
            <w:tcW w:w="774" w:type="dxa"/>
            <w:tcBorders>
              <w:top w:val="single" w:sz="4" w:space="0" w:color="000000"/>
              <w:left w:val="single" w:sz="4" w:space="0" w:color="000000"/>
              <w:bottom w:val="single" w:sz="4" w:space="0" w:color="000000"/>
              <w:right w:val="single" w:sz="4" w:space="0" w:color="000000"/>
            </w:tcBorders>
          </w:tcPr>
          <w:p w14:paraId="322AF1C1"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G4 · PD</w:t>
            </w:r>
          </w:p>
          <w:p w14:paraId="348950A1"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Classe III</w:t>
            </w:r>
          </w:p>
        </w:tc>
        <w:tc>
          <w:tcPr>
            <w:tcW w:w="1141" w:type="dxa"/>
            <w:tcBorders>
              <w:top w:val="single" w:sz="4" w:space="0" w:color="000000"/>
              <w:left w:val="single" w:sz="4" w:space="0" w:color="000000"/>
              <w:bottom w:val="single" w:sz="4" w:space="0" w:color="000000"/>
              <w:right w:val="single" w:sz="4" w:space="0" w:color="000000"/>
            </w:tcBorders>
          </w:tcPr>
          <w:p w14:paraId="12E71053"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Chargé de projet.</w:t>
            </w:r>
          </w:p>
          <w:p w14:paraId="4569FFD7"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Accepté sous condition du maintien de la décision humaine.</w:t>
            </w:r>
          </w:p>
        </w:tc>
      </w:tr>
      <w:tr w:rsidR="00F50D70" w:rsidRPr="00BE4F47" w14:paraId="7A12EE67" w14:textId="77777777">
        <w:trPr>
          <w:cantSplit/>
        </w:trPr>
        <w:tc>
          <w:tcPr>
            <w:tcW w:w="652" w:type="dxa"/>
            <w:tcBorders>
              <w:top w:val="single" w:sz="4" w:space="0" w:color="000000"/>
              <w:left w:val="single" w:sz="4" w:space="0" w:color="000000"/>
              <w:bottom w:val="single" w:sz="4" w:space="0" w:color="000000"/>
              <w:right w:val="single" w:sz="4" w:space="0" w:color="000000"/>
            </w:tcBorders>
          </w:tcPr>
          <w:p w14:paraId="2FD71F77"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4.3</w:t>
            </w:r>
          </w:p>
        </w:tc>
        <w:tc>
          <w:tcPr>
            <w:tcW w:w="2608" w:type="dxa"/>
            <w:tcBorders>
              <w:top w:val="single" w:sz="4" w:space="0" w:color="000000"/>
              <w:left w:val="single" w:sz="4" w:space="0" w:color="000000"/>
              <w:bottom w:val="single" w:sz="4" w:space="0" w:color="000000"/>
              <w:right w:val="single" w:sz="4" w:space="0" w:color="000000"/>
            </w:tcBorders>
          </w:tcPr>
          <w:p w14:paraId="6ADED6CB"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RT6. Détection incorrecte d’une anomalie, soit un faux positif. Justification : plus fréquent qu’un faux négatif mais moins grave ; le coût est l’usure de la confiance de l’opérateur, non la perte d’information.</w:t>
            </w:r>
          </w:p>
        </w:tc>
        <w:tc>
          <w:tcPr>
            <w:tcW w:w="774" w:type="dxa"/>
            <w:tcBorders>
              <w:top w:val="single" w:sz="4" w:space="0" w:color="000000"/>
              <w:left w:val="single" w:sz="4" w:space="0" w:color="000000"/>
              <w:bottom w:val="single" w:sz="4" w:space="0" w:color="000000"/>
              <w:right w:val="single" w:sz="4" w:space="0" w:color="000000"/>
            </w:tcBorders>
          </w:tcPr>
          <w:p w14:paraId="01E31D4A"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G3 · PC</w:t>
            </w:r>
          </w:p>
          <w:p w14:paraId="00E756F6"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Classe III</w:t>
            </w:r>
          </w:p>
        </w:tc>
        <w:tc>
          <w:tcPr>
            <w:tcW w:w="2608" w:type="dxa"/>
            <w:tcBorders>
              <w:top w:val="single" w:sz="4" w:space="0" w:color="000000"/>
              <w:left w:val="single" w:sz="4" w:space="0" w:color="000000"/>
              <w:bottom w:val="single" w:sz="4" w:space="0" w:color="000000"/>
              <w:right w:val="single" w:sz="4" w:space="0" w:color="000000"/>
            </w:tcBorders>
          </w:tcPr>
          <w:p w14:paraId="45FFBBE3"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Validation des seuils et présentation des variables ayant contribué à la détection (EX-F-05), permettant à l’opérateur d’écarter rapidement une fausse alerte.</w:t>
            </w:r>
          </w:p>
        </w:tc>
        <w:tc>
          <w:tcPr>
            <w:tcW w:w="774" w:type="dxa"/>
            <w:tcBorders>
              <w:top w:val="single" w:sz="4" w:space="0" w:color="000000"/>
              <w:left w:val="single" w:sz="4" w:space="0" w:color="000000"/>
              <w:bottom w:val="single" w:sz="4" w:space="0" w:color="000000"/>
              <w:right w:val="single" w:sz="4" w:space="0" w:color="000000"/>
            </w:tcBorders>
          </w:tcPr>
          <w:p w14:paraId="7ED7DDDB"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G2 · PD</w:t>
            </w:r>
          </w:p>
          <w:p w14:paraId="3A6704F5"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Classe I</w:t>
            </w:r>
          </w:p>
        </w:tc>
        <w:tc>
          <w:tcPr>
            <w:tcW w:w="1141" w:type="dxa"/>
            <w:tcBorders>
              <w:top w:val="single" w:sz="4" w:space="0" w:color="000000"/>
              <w:left w:val="single" w:sz="4" w:space="0" w:color="000000"/>
              <w:bottom w:val="single" w:sz="4" w:space="0" w:color="000000"/>
              <w:right w:val="single" w:sz="4" w:space="0" w:color="000000"/>
            </w:tcBorders>
          </w:tcPr>
          <w:p w14:paraId="1D360226"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Lot L7.</w:t>
            </w:r>
          </w:p>
          <w:p w14:paraId="3BFD28CC"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Accepté sans condition.</w:t>
            </w:r>
          </w:p>
        </w:tc>
      </w:tr>
      <w:tr w:rsidR="00F50D70" w:rsidRPr="00BE4F47" w14:paraId="2469480D" w14:textId="77777777">
        <w:trPr>
          <w:cantSplit/>
        </w:trPr>
        <w:tc>
          <w:tcPr>
            <w:tcW w:w="652" w:type="dxa"/>
            <w:tcBorders>
              <w:top w:val="single" w:sz="4" w:space="0" w:color="000000"/>
              <w:left w:val="single" w:sz="4" w:space="0" w:color="000000"/>
              <w:bottom w:val="single" w:sz="4" w:space="0" w:color="000000"/>
              <w:right w:val="single" w:sz="4" w:space="0" w:color="000000"/>
            </w:tcBorders>
          </w:tcPr>
          <w:p w14:paraId="4350CC85"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5.1</w:t>
            </w:r>
          </w:p>
        </w:tc>
        <w:tc>
          <w:tcPr>
            <w:tcW w:w="2608" w:type="dxa"/>
            <w:tcBorders>
              <w:top w:val="single" w:sz="4" w:space="0" w:color="000000"/>
              <w:left w:val="single" w:sz="4" w:space="0" w:color="000000"/>
              <w:bottom w:val="single" w:sz="4" w:space="0" w:color="000000"/>
              <w:right w:val="single" w:sz="4" w:space="0" w:color="000000"/>
            </w:tcBorders>
          </w:tcPr>
          <w:p w14:paraId="0DC2E1C3"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RT7. Accès non autorisé au prototype. Justification : gravité révisée de 5 à 3. Le prototype est entièrement simulé, ne contient aucune donnée réelle et ne commande aucun équipement ; la conséquence est la perte d’un travail universitaire, non une atteinte à une installation.</w:t>
            </w:r>
          </w:p>
        </w:tc>
        <w:tc>
          <w:tcPr>
            <w:tcW w:w="774" w:type="dxa"/>
            <w:tcBorders>
              <w:top w:val="single" w:sz="4" w:space="0" w:color="000000"/>
              <w:left w:val="single" w:sz="4" w:space="0" w:color="000000"/>
              <w:bottom w:val="single" w:sz="4" w:space="0" w:color="000000"/>
              <w:right w:val="single" w:sz="4" w:space="0" w:color="000000"/>
            </w:tcBorders>
          </w:tcPr>
          <w:p w14:paraId="085BA858"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G3 · PD</w:t>
            </w:r>
          </w:p>
          <w:p w14:paraId="3F55FBC7"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Classe II</w:t>
            </w:r>
          </w:p>
        </w:tc>
        <w:tc>
          <w:tcPr>
            <w:tcW w:w="2608" w:type="dxa"/>
            <w:tcBorders>
              <w:top w:val="single" w:sz="4" w:space="0" w:color="000000"/>
              <w:left w:val="single" w:sz="4" w:space="0" w:color="000000"/>
              <w:bottom w:val="single" w:sz="4" w:space="0" w:color="000000"/>
              <w:right w:val="single" w:sz="4" w:space="0" w:color="000000"/>
            </w:tcBorders>
          </w:tcPr>
          <w:p w14:paraId="60A8E9E4" w14:textId="230F5B5D"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Contrôle d’accès fondé sur les rôles, moindre privilège et authentification multifacteur lorsque l’environnement le permet.</w:t>
            </w:r>
          </w:p>
        </w:tc>
        <w:tc>
          <w:tcPr>
            <w:tcW w:w="774" w:type="dxa"/>
            <w:tcBorders>
              <w:top w:val="single" w:sz="4" w:space="0" w:color="000000"/>
              <w:left w:val="single" w:sz="4" w:space="0" w:color="000000"/>
              <w:bottom w:val="single" w:sz="4" w:space="0" w:color="000000"/>
              <w:right w:val="single" w:sz="4" w:space="0" w:color="000000"/>
            </w:tcBorders>
          </w:tcPr>
          <w:p w14:paraId="4B21BF8C"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G3 · PE</w:t>
            </w:r>
          </w:p>
          <w:p w14:paraId="68BE3107"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Classe II</w:t>
            </w:r>
          </w:p>
        </w:tc>
        <w:tc>
          <w:tcPr>
            <w:tcW w:w="1141" w:type="dxa"/>
            <w:tcBorders>
              <w:top w:val="single" w:sz="4" w:space="0" w:color="000000"/>
              <w:left w:val="single" w:sz="4" w:space="0" w:color="000000"/>
              <w:bottom w:val="single" w:sz="4" w:space="0" w:color="000000"/>
              <w:right w:val="single" w:sz="4" w:space="0" w:color="000000"/>
            </w:tcBorders>
          </w:tcPr>
          <w:p w14:paraId="636BCB35"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Lot L5.</w:t>
            </w:r>
          </w:p>
          <w:p w14:paraId="395F9F26"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Accepté sans condition.</w:t>
            </w:r>
          </w:p>
        </w:tc>
      </w:tr>
      <w:tr w:rsidR="00F50D70" w:rsidRPr="00BE4F47" w14:paraId="37DC3FE5" w14:textId="77777777">
        <w:trPr>
          <w:cantSplit/>
        </w:trPr>
        <w:tc>
          <w:tcPr>
            <w:tcW w:w="652" w:type="dxa"/>
            <w:tcBorders>
              <w:top w:val="single" w:sz="4" w:space="0" w:color="000000"/>
              <w:left w:val="single" w:sz="4" w:space="0" w:color="000000"/>
              <w:bottom w:val="single" w:sz="4" w:space="0" w:color="000000"/>
              <w:right w:val="single" w:sz="4" w:space="0" w:color="000000"/>
            </w:tcBorders>
          </w:tcPr>
          <w:p w14:paraId="75FDECFE"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lastRenderedPageBreak/>
              <w:t>5.2</w:t>
            </w:r>
          </w:p>
        </w:tc>
        <w:tc>
          <w:tcPr>
            <w:tcW w:w="2608" w:type="dxa"/>
            <w:tcBorders>
              <w:top w:val="single" w:sz="4" w:space="0" w:color="000000"/>
              <w:left w:val="single" w:sz="4" w:space="0" w:color="000000"/>
              <w:bottom w:val="single" w:sz="4" w:space="0" w:color="000000"/>
              <w:right w:val="single" w:sz="4" w:space="0" w:color="000000"/>
            </w:tcBorders>
          </w:tcPr>
          <w:p w14:paraId="2979B70C"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RT8. Altération volontaire ou accidentelle des données. Justification : gravité révisée de 5 à 4. Plus grave qu’un simple accès, car une donnée altérée non détectée invalide les résultats d’essais et donc la validation du prototype.</w:t>
            </w:r>
          </w:p>
        </w:tc>
        <w:tc>
          <w:tcPr>
            <w:tcW w:w="774" w:type="dxa"/>
            <w:tcBorders>
              <w:top w:val="single" w:sz="4" w:space="0" w:color="000000"/>
              <w:left w:val="single" w:sz="4" w:space="0" w:color="000000"/>
              <w:bottom w:val="single" w:sz="4" w:space="0" w:color="000000"/>
              <w:right w:val="single" w:sz="4" w:space="0" w:color="000000"/>
            </w:tcBorders>
          </w:tcPr>
          <w:p w14:paraId="3D701B0E"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G4 · PD</w:t>
            </w:r>
          </w:p>
          <w:p w14:paraId="10CABDCF"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Classe III</w:t>
            </w:r>
          </w:p>
        </w:tc>
        <w:tc>
          <w:tcPr>
            <w:tcW w:w="2608" w:type="dxa"/>
            <w:tcBorders>
              <w:top w:val="single" w:sz="4" w:space="0" w:color="000000"/>
              <w:left w:val="single" w:sz="4" w:space="0" w:color="000000"/>
              <w:bottom w:val="single" w:sz="4" w:space="0" w:color="000000"/>
              <w:right w:val="single" w:sz="4" w:space="0" w:color="000000"/>
            </w:tcBorders>
          </w:tcPr>
          <w:p w14:paraId="4CE059E2"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Contrôles d’intégrité, journalisation horodatée et restriction des accès en écriture (EX-Q-04, EX-F-10). Mesure compensatoire : vérification de l’intégrité des jeux de données avant chaque campagne d’essais, et acceptation écrite du résidu par le responsable du lot L5.</w:t>
            </w:r>
          </w:p>
        </w:tc>
        <w:tc>
          <w:tcPr>
            <w:tcW w:w="774" w:type="dxa"/>
            <w:tcBorders>
              <w:top w:val="single" w:sz="4" w:space="0" w:color="000000"/>
              <w:left w:val="single" w:sz="4" w:space="0" w:color="000000"/>
              <w:bottom w:val="single" w:sz="4" w:space="0" w:color="000000"/>
              <w:right w:val="single" w:sz="4" w:space="0" w:color="000000"/>
            </w:tcBorders>
          </w:tcPr>
          <w:p w14:paraId="55E508F8"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G4 · PE</w:t>
            </w:r>
          </w:p>
          <w:p w14:paraId="4E95F214"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Classe III</w:t>
            </w:r>
          </w:p>
        </w:tc>
        <w:tc>
          <w:tcPr>
            <w:tcW w:w="1141" w:type="dxa"/>
            <w:tcBorders>
              <w:top w:val="single" w:sz="4" w:space="0" w:color="000000"/>
              <w:left w:val="single" w:sz="4" w:space="0" w:color="000000"/>
              <w:bottom w:val="single" w:sz="4" w:space="0" w:color="000000"/>
              <w:right w:val="single" w:sz="4" w:space="0" w:color="000000"/>
            </w:tcBorders>
          </w:tcPr>
          <w:p w14:paraId="6974B6E4"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Lot L5.</w:t>
            </w:r>
          </w:p>
          <w:p w14:paraId="3D992990"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Surveillance à chaque jalon.</w:t>
            </w:r>
          </w:p>
        </w:tc>
      </w:tr>
      <w:tr w:rsidR="00F50D70" w:rsidRPr="00BE4F47" w14:paraId="499FD069" w14:textId="77777777">
        <w:trPr>
          <w:cantSplit/>
        </w:trPr>
        <w:tc>
          <w:tcPr>
            <w:tcW w:w="652" w:type="dxa"/>
            <w:tcBorders>
              <w:top w:val="single" w:sz="4" w:space="0" w:color="000000"/>
              <w:left w:val="single" w:sz="4" w:space="0" w:color="000000"/>
              <w:bottom w:val="single" w:sz="4" w:space="0" w:color="000000"/>
              <w:right w:val="single" w:sz="4" w:space="0" w:color="000000"/>
            </w:tcBorders>
          </w:tcPr>
          <w:p w14:paraId="178C1214"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6.1</w:t>
            </w:r>
          </w:p>
        </w:tc>
        <w:tc>
          <w:tcPr>
            <w:tcW w:w="2608" w:type="dxa"/>
            <w:tcBorders>
              <w:top w:val="single" w:sz="4" w:space="0" w:color="000000"/>
              <w:left w:val="single" w:sz="4" w:space="0" w:color="000000"/>
              <w:bottom w:val="single" w:sz="4" w:space="0" w:color="000000"/>
              <w:right w:val="single" w:sz="4" w:space="0" w:color="000000"/>
            </w:tcBorders>
          </w:tcPr>
          <w:p w14:paraId="739E5397"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RT9. Indisponibilité du prototype. Justification : gravité révisée de 4 à 3. Le coût d’une indisponibilité est un retard de travaux, absorbable par la réserve de l’échéancier.</w:t>
            </w:r>
          </w:p>
        </w:tc>
        <w:tc>
          <w:tcPr>
            <w:tcW w:w="774" w:type="dxa"/>
            <w:tcBorders>
              <w:top w:val="single" w:sz="4" w:space="0" w:color="000000"/>
              <w:left w:val="single" w:sz="4" w:space="0" w:color="000000"/>
              <w:bottom w:val="single" w:sz="4" w:space="0" w:color="000000"/>
              <w:right w:val="single" w:sz="4" w:space="0" w:color="000000"/>
            </w:tcBorders>
          </w:tcPr>
          <w:p w14:paraId="1BF9CF41"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G3 · PD</w:t>
            </w:r>
          </w:p>
          <w:p w14:paraId="5990ACC8"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Classe II</w:t>
            </w:r>
          </w:p>
        </w:tc>
        <w:tc>
          <w:tcPr>
            <w:tcW w:w="2608" w:type="dxa"/>
            <w:tcBorders>
              <w:top w:val="single" w:sz="4" w:space="0" w:color="000000"/>
              <w:left w:val="single" w:sz="4" w:space="0" w:color="000000"/>
              <w:bottom w:val="single" w:sz="4" w:space="0" w:color="000000"/>
              <w:right w:val="single" w:sz="4" w:space="0" w:color="000000"/>
            </w:tcBorders>
          </w:tcPr>
          <w:p w14:paraId="1E414907"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Sauvegarde régulière, procédure de récupération et surveillance de l’environnement d’essai. Restauration à blanc planifiée avant le jalon J2.</w:t>
            </w:r>
          </w:p>
        </w:tc>
        <w:tc>
          <w:tcPr>
            <w:tcW w:w="774" w:type="dxa"/>
            <w:tcBorders>
              <w:top w:val="single" w:sz="4" w:space="0" w:color="000000"/>
              <w:left w:val="single" w:sz="4" w:space="0" w:color="000000"/>
              <w:bottom w:val="single" w:sz="4" w:space="0" w:color="000000"/>
              <w:right w:val="single" w:sz="4" w:space="0" w:color="000000"/>
            </w:tcBorders>
          </w:tcPr>
          <w:p w14:paraId="499B5940"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G2 · PD</w:t>
            </w:r>
          </w:p>
          <w:p w14:paraId="67BBBF91"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Classe I</w:t>
            </w:r>
          </w:p>
        </w:tc>
        <w:tc>
          <w:tcPr>
            <w:tcW w:w="1141" w:type="dxa"/>
            <w:tcBorders>
              <w:top w:val="single" w:sz="4" w:space="0" w:color="000000"/>
              <w:left w:val="single" w:sz="4" w:space="0" w:color="000000"/>
              <w:bottom w:val="single" w:sz="4" w:space="0" w:color="000000"/>
              <w:right w:val="single" w:sz="4" w:space="0" w:color="000000"/>
            </w:tcBorders>
          </w:tcPr>
          <w:p w14:paraId="28B11D48"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Lot L6.</w:t>
            </w:r>
          </w:p>
          <w:p w14:paraId="2DBD1372"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Accepté sans condition.</w:t>
            </w:r>
          </w:p>
        </w:tc>
      </w:tr>
      <w:tr w:rsidR="00F50D70" w:rsidRPr="00BE4F47" w14:paraId="06D11039" w14:textId="77777777">
        <w:trPr>
          <w:cantSplit/>
        </w:trPr>
        <w:tc>
          <w:tcPr>
            <w:tcW w:w="652" w:type="dxa"/>
            <w:tcBorders>
              <w:top w:val="single" w:sz="4" w:space="0" w:color="000000"/>
              <w:left w:val="single" w:sz="4" w:space="0" w:color="000000"/>
              <w:bottom w:val="single" w:sz="4" w:space="0" w:color="000000"/>
              <w:right w:val="single" w:sz="4" w:space="0" w:color="000000"/>
            </w:tcBorders>
          </w:tcPr>
          <w:p w14:paraId="130B1760"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7.1</w:t>
            </w:r>
          </w:p>
        </w:tc>
        <w:tc>
          <w:tcPr>
            <w:tcW w:w="2608" w:type="dxa"/>
            <w:tcBorders>
              <w:top w:val="single" w:sz="4" w:space="0" w:color="000000"/>
              <w:left w:val="single" w:sz="4" w:space="0" w:color="000000"/>
              <w:bottom w:val="single" w:sz="4" w:space="0" w:color="000000"/>
              <w:right w:val="single" w:sz="4" w:space="0" w:color="000000"/>
            </w:tcBorders>
          </w:tcPr>
          <w:p w14:paraId="2B8C7F70"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RT10. Confiance excessive de l’opérateur envers le diagnostic, soit un biais d’automatisation. Justification : risque comportemental, peu réductible par des moyens techniques seuls ; la gravité demeure critique après traitement.</w:t>
            </w:r>
          </w:p>
        </w:tc>
        <w:tc>
          <w:tcPr>
            <w:tcW w:w="774" w:type="dxa"/>
            <w:tcBorders>
              <w:top w:val="single" w:sz="4" w:space="0" w:color="000000"/>
              <w:left w:val="single" w:sz="4" w:space="0" w:color="000000"/>
              <w:bottom w:val="single" w:sz="4" w:space="0" w:color="000000"/>
              <w:right w:val="single" w:sz="4" w:space="0" w:color="000000"/>
            </w:tcBorders>
          </w:tcPr>
          <w:p w14:paraId="4801C30E"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G5 · PC</w:t>
            </w:r>
          </w:p>
          <w:p w14:paraId="06A4C1FD"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Classe IV</w:t>
            </w:r>
          </w:p>
        </w:tc>
        <w:tc>
          <w:tcPr>
            <w:tcW w:w="2608" w:type="dxa"/>
            <w:tcBorders>
              <w:top w:val="single" w:sz="4" w:space="0" w:color="000000"/>
              <w:left w:val="single" w:sz="4" w:space="0" w:color="000000"/>
              <w:bottom w:val="single" w:sz="4" w:space="0" w:color="000000"/>
              <w:right w:val="single" w:sz="4" w:space="0" w:color="000000"/>
            </w:tcBorders>
          </w:tcPr>
          <w:p w14:paraId="79B2A87A"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Affichage du niveau de confiance (EX-F-07), explication du diagnostic par les variables contributives (EX-F-05) et maintien de la décision humaine (EX-F-08). Mesure compensatoire : essai d’utilisabilité avec un opérateur n’ayant pas participé au développement (EX-Q-03).</w:t>
            </w:r>
          </w:p>
        </w:tc>
        <w:tc>
          <w:tcPr>
            <w:tcW w:w="774" w:type="dxa"/>
            <w:tcBorders>
              <w:top w:val="single" w:sz="4" w:space="0" w:color="000000"/>
              <w:left w:val="single" w:sz="4" w:space="0" w:color="000000"/>
              <w:bottom w:val="single" w:sz="4" w:space="0" w:color="000000"/>
              <w:right w:val="single" w:sz="4" w:space="0" w:color="000000"/>
            </w:tcBorders>
          </w:tcPr>
          <w:p w14:paraId="55F6388B"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G4 · PD</w:t>
            </w:r>
          </w:p>
          <w:p w14:paraId="61E41FCF"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Classe III</w:t>
            </w:r>
          </w:p>
        </w:tc>
        <w:tc>
          <w:tcPr>
            <w:tcW w:w="1141" w:type="dxa"/>
            <w:tcBorders>
              <w:top w:val="single" w:sz="4" w:space="0" w:color="000000"/>
              <w:left w:val="single" w:sz="4" w:space="0" w:color="000000"/>
              <w:bottom w:val="single" w:sz="4" w:space="0" w:color="000000"/>
              <w:right w:val="single" w:sz="4" w:space="0" w:color="000000"/>
            </w:tcBorders>
          </w:tcPr>
          <w:p w14:paraId="07A536F2"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Lot L8.</w:t>
            </w:r>
          </w:p>
          <w:p w14:paraId="6839A738"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Accepté sous condition de l’essai d’utilisabilité.</w:t>
            </w:r>
          </w:p>
        </w:tc>
      </w:tr>
    </w:tbl>
    <w:p w14:paraId="4A7ABB29" w14:textId="49936A80" w:rsidR="00246F82" w:rsidRDefault="00055087">
      <w:pPr>
        <w:keepNext/>
        <w:spacing w:before="200" w:after="130" w:line="360" w:lineRule="auto"/>
        <w:ind w:left="360"/>
        <w:rPr>
          <w:rFonts w:ascii="Aptos" w:hAnsi="Aptos"/>
        </w:rPr>
      </w:pPr>
      <w:bookmarkStart w:id="1137" w:name="_Toc241670274"/>
      <w:bookmarkStart w:id="1138" w:name="_Toc241707982"/>
      <w:bookmarkStart w:id="1139" w:name="_Toc241791931"/>
      <w:r>
        <w:rPr>
          <w:noProof/>
        </w:rPr>
        <w:drawing>
          <wp:anchor distT="0" distB="0" distL="114300" distR="114300" simplePos="0" relativeHeight="251659264" behindDoc="0" locked="0" layoutInCell="1" allowOverlap="1" wp14:anchorId="6F4F278A" wp14:editId="0FE7CC59">
            <wp:simplePos x="0" y="0"/>
            <wp:positionH relativeFrom="column">
              <wp:posOffset>227965</wp:posOffset>
            </wp:positionH>
            <wp:positionV relativeFrom="paragraph">
              <wp:posOffset>1054735</wp:posOffset>
            </wp:positionV>
            <wp:extent cx="5577840" cy="2163817"/>
            <wp:effectExtent l="0" t="0" r="3810" b="8255"/>
            <wp:wrapTopAndBottom/>
            <wp:docPr id="1266838011" name="Picture 1266838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fil_risques.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577840" cy="2163817"/>
                    </a:xfrm>
                    <a:prstGeom prst="rect">
                      <a:avLst/>
                    </a:prstGeom>
                  </pic:spPr>
                </pic:pic>
              </a:graphicData>
            </a:graphic>
          </wp:anchor>
        </w:drawing>
      </w:r>
      <w:r w:rsidR="005A1D5D">
        <w:rPr>
          <w:rFonts w:ascii="Aptos" w:hAnsi="Aptos"/>
          <w:b/>
          <w:color w:val="1A1A19"/>
          <w:sz w:val="20"/>
          <w:szCs w:val="20"/>
        </w:rPr>
        <w:t xml:space="preserve">Le profil avant et après traitement. </w:t>
      </w:r>
      <w:r w:rsidR="005A1D5D">
        <w:rPr>
          <w:rFonts w:ascii="Aptos" w:hAnsi="Aptos"/>
          <w:color w:val="1A1A19"/>
          <w:sz w:val="20"/>
          <w:szCs w:val="20"/>
        </w:rPr>
        <w:t>Les quatorze risques des deux registres ont été portés dans la grille d’analyse de risque du cours. Le profil ci-dessous place chacun dans la matrice, avant puis après traitement. Le premier chiffre est le secteur d’analyse, le second le rang du risque dans ce secteur.</w:t>
      </w:r>
      <w:bookmarkEnd w:id="1137"/>
      <w:bookmarkEnd w:id="1138"/>
      <w:bookmarkEnd w:id="1139"/>
    </w:p>
    <w:p w14:paraId="5D1283C5" w14:textId="77777777" w:rsidR="00246F82" w:rsidRDefault="00137D7F">
      <w:pPr>
        <w:pStyle w:val="Lgende"/>
      </w:pPr>
      <w:bookmarkStart w:id="1140" w:name="_Toc241670275"/>
      <w:bookmarkStart w:id="1141" w:name="_Toc241707983"/>
      <w:bookmarkStart w:id="1142" w:name="_Toc241791932"/>
      <w:r>
        <w:t>Figure 7-2. Profil de risque avant et après mitigation, grille d’analyse de risque</w:t>
      </w:r>
      <w:bookmarkEnd w:id="1140"/>
      <w:bookmarkEnd w:id="1141"/>
      <w:bookmarkEnd w:id="1142"/>
    </w:p>
    <w:p w14:paraId="2A560E4F" w14:textId="77777777" w:rsidR="00246F82" w:rsidRDefault="00137D7F">
      <w:pPr>
        <w:spacing w:after="130" w:line="360" w:lineRule="auto"/>
        <w:ind w:left="360"/>
        <w:rPr>
          <w:rFonts w:ascii="Aptos" w:hAnsi="Aptos"/>
        </w:rPr>
      </w:pPr>
      <w:bookmarkStart w:id="1143" w:name="_Toc241670276"/>
      <w:bookmarkStart w:id="1144" w:name="_Toc241707984"/>
      <w:bookmarkStart w:id="1145" w:name="_Toc241791933"/>
      <w:r>
        <w:rPr>
          <w:rFonts w:ascii="Aptos" w:hAnsi="Aptos"/>
          <w:color w:val="1A1A19"/>
          <w:sz w:val="20"/>
          <w:szCs w:val="20"/>
        </w:rPr>
        <w:t>Trois résultats se lisent directement sur ce profil :</w:t>
      </w:r>
      <w:bookmarkEnd w:id="1143"/>
      <w:bookmarkEnd w:id="1144"/>
      <w:bookmarkEnd w:id="1145"/>
    </w:p>
    <w:p w14:paraId="426FBC33" w14:textId="77777777" w:rsidR="00246F82" w:rsidRDefault="00137D7F">
      <w:pPr>
        <w:spacing w:after="130" w:line="360" w:lineRule="auto"/>
        <w:ind w:left="360"/>
        <w:rPr>
          <w:rFonts w:ascii="Aptos" w:hAnsi="Aptos"/>
        </w:rPr>
      </w:pPr>
      <w:bookmarkStart w:id="1146" w:name="_Toc241670277"/>
      <w:bookmarkStart w:id="1147" w:name="_Toc241707985"/>
      <w:bookmarkStart w:id="1148" w:name="_Toc241791934"/>
      <w:r>
        <w:rPr>
          <w:rFonts w:ascii="Aptos" w:hAnsi="Aptos"/>
          <w:color w:val="1A1A19"/>
          <w:sz w:val="20"/>
          <w:szCs w:val="20"/>
        </w:rPr>
        <w:t>Aucun risque ne demeure en classe IV après traitement. C’est le seuil d’acceptation fixé plus haut, et il est atteint. Les neuf risques initialement en classe IV se répartissent après traitement entre les classes III et II.</w:t>
      </w:r>
      <w:bookmarkEnd w:id="1146"/>
      <w:bookmarkEnd w:id="1147"/>
      <w:bookmarkEnd w:id="1148"/>
    </w:p>
    <w:p w14:paraId="5393BFA7" w14:textId="77777777" w:rsidR="00246F82" w:rsidRDefault="00137D7F">
      <w:pPr>
        <w:spacing w:after="130" w:line="360" w:lineRule="auto"/>
        <w:ind w:left="360"/>
        <w:rPr>
          <w:rFonts w:ascii="Aptos" w:hAnsi="Aptos"/>
        </w:rPr>
      </w:pPr>
      <w:bookmarkStart w:id="1149" w:name="_Toc241670278"/>
      <w:bookmarkStart w:id="1150" w:name="_Toc241707986"/>
      <w:bookmarkStart w:id="1151" w:name="_Toc241791935"/>
      <w:r>
        <w:rPr>
          <w:rFonts w:ascii="Aptos" w:hAnsi="Aptos"/>
          <w:color w:val="1A1A19"/>
          <w:sz w:val="20"/>
          <w:szCs w:val="20"/>
        </w:rPr>
        <w:t xml:space="preserve">Six risques demeurent en classe III et exigent donc une mesure compensatoire nommée et une acceptation écrite : 2.1 la modification du périmètre (RP3), 3.1 la mesure erronée (RT1), 4.1 la </w:t>
      </w:r>
      <w:r>
        <w:rPr>
          <w:rFonts w:ascii="Aptos" w:hAnsi="Aptos"/>
          <w:color w:val="1A1A19"/>
          <w:sz w:val="20"/>
          <w:szCs w:val="20"/>
        </w:rPr>
        <w:lastRenderedPageBreak/>
        <w:t>représentativité du modèle (RT4), 4.2 le faux négatif (RT5), 5.2 l’altération des données (RT8) et 7.1 le biais d’automatisation (RT10). Chacun porte sa mesure compensatoire au registre.</w:t>
      </w:r>
      <w:bookmarkEnd w:id="1149"/>
      <w:bookmarkEnd w:id="1150"/>
      <w:bookmarkEnd w:id="1151"/>
    </w:p>
    <w:p w14:paraId="662C3C50" w14:textId="77777777" w:rsidR="00246F82" w:rsidRDefault="00137D7F">
      <w:pPr>
        <w:spacing w:after="130" w:line="360" w:lineRule="auto"/>
        <w:ind w:left="360"/>
        <w:rPr>
          <w:rFonts w:ascii="Aptos" w:hAnsi="Aptos"/>
        </w:rPr>
      </w:pPr>
      <w:bookmarkStart w:id="1152" w:name="_Toc241670279"/>
      <w:bookmarkStart w:id="1153" w:name="_Toc241707987"/>
      <w:bookmarkStart w:id="1154" w:name="_Toc241791936"/>
      <w:r>
        <w:rPr>
          <w:rFonts w:ascii="Aptos" w:hAnsi="Aptos"/>
          <w:color w:val="1A1A19"/>
          <w:sz w:val="20"/>
          <w:szCs w:val="20"/>
        </w:rPr>
        <w:t>Le traitement agit sur les deux axes. Six risques voient baisser à la fois leur gravité et leur probabilité, quatre seulement leur gravité et quatre seulement leur probabilité. Ce qui maintient un risque en classe III, c’est une gravité qui reste à 4 ou à 5, ou une probabilité qui ne descend pas. C’est attendu pour un outil d’aide à la décision, dont la gravité tient à l’usage qui en est fait.</w:t>
      </w:r>
      <w:bookmarkEnd w:id="1152"/>
      <w:bookmarkEnd w:id="1153"/>
      <w:bookmarkEnd w:id="1154"/>
    </w:p>
    <w:p w14:paraId="4A12B050" w14:textId="77777777" w:rsidR="00F50D70" w:rsidRPr="00B36301" w:rsidRDefault="00137D7F" w:rsidP="008E113B">
      <w:pPr>
        <w:pStyle w:val="Titre2"/>
        <w:spacing w:line="360" w:lineRule="auto"/>
      </w:pPr>
      <w:bookmarkStart w:id="1155" w:name="__RefHeading___Toc240715285"/>
      <w:bookmarkStart w:id="1156" w:name="_Toc241707988"/>
      <w:bookmarkStart w:id="1157" w:name="_Toc241791937"/>
      <w:bookmarkEnd w:id="1155"/>
      <w:r w:rsidRPr="00B36301">
        <w:t>Matrice de couverture des contraintes du mandat</w:t>
      </w:r>
      <w:bookmarkEnd w:id="1156"/>
      <w:bookmarkEnd w:id="1157"/>
    </w:p>
    <w:p w14:paraId="4A02D271" w14:textId="77777777" w:rsidR="00F50D70" w:rsidRPr="00BE4F47" w:rsidRDefault="00137D7F" w:rsidP="008E113B">
      <w:pPr>
        <w:spacing w:after="130" w:line="360" w:lineRule="auto"/>
        <w:ind w:left="360"/>
        <w:rPr>
          <w:rFonts w:ascii="Aptos" w:eastAsia="Calibri" w:hAnsi="Aptos" w:cs="Calibri"/>
          <w:color w:val="1A1A19"/>
          <w:sz w:val="20"/>
          <w:szCs w:val="20"/>
        </w:rPr>
      </w:pPr>
      <w:bookmarkStart w:id="1158" w:name="_Toc241083110"/>
      <w:bookmarkStart w:id="1159" w:name="_Toc241670281"/>
      <w:bookmarkStart w:id="1160" w:name="_Toc241707989"/>
      <w:bookmarkStart w:id="1161" w:name="_Toc241791938"/>
      <w:r w:rsidRPr="00BE4F47">
        <w:rPr>
          <w:rFonts w:ascii="Aptos" w:hAnsi="Aptos"/>
          <w:color w:val="1A1A19"/>
          <w:sz w:val="20"/>
          <w:szCs w:val="20"/>
        </w:rPr>
        <w:t>La matrice relie chaque contrainte du mandat aux moyens prévus pour la prendre en charge, aux risques correspondants et au moyen de vérification. Elle sert à vérifier qu’aucune contrainte n’est restée sans traitement.</w:t>
      </w:r>
      <w:bookmarkEnd w:id="1158"/>
      <w:bookmarkEnd w:id="1159"/>
      <w:bookmarkEnd w:id="1160"/>
      <w:bookmarkEnd w:id="1161"/>
    </w:p>
    <w:p w14:paraId="3E8FF668" w14:textId="77777777" w:rsidR="00F50D70" w:rsidRPr="00BE4F47" w:rsidRDefault="00137D7F" w:rsidP="008E113B">
      <w:pPr>
        <w:pStyle w:val="Lgende"/>
        <w:keepNext/>
        <w:spacing w:line="360" w:lineRule="auto"/>
        <w:rPr>
          <w:rFonts w:ascii="Aptos" w:hAnsi="Aptos"/>
        </w:rPr>
      </w:pPr>
      <w:bookmarkStart w:id="1162" w:name="_Toc241083111"/>
      <w:bookmarkStart w:id="1163" w:name="_Toc241670282"/>
      <w:bookmarkStart w:id="1164" w:name="_Toc241707990"/>
      <w:bookmarkStart w:id="1165" w:name="_Toc241791939"/>
      <w:r w:rsidRPr="00BE4F47">
        <w:rPr>
          <w:rFonts w:ascii="Aptos" w:hAnsi="Aptos"/>
        </w:rPr>
        <w:t>Tableau 7-8. Matrice de couverture des contraintes du mandat</w:t>
      </w:r>
      <w:bookmarkEnd w:id="1162"/>
      <w:bookmarkEnd w:id="1163"/>
      <w:bookmarkEnd w:id="1164"/>
      <w:bookmarkEnd w:id="1165"/>
    </w:p>
    <w:tbl>
      <w:tblPr>
        <w:tblW w:w="8557" w:type="dxa"/>
        <w:tblInd w:w="413" w:type="dxa"/>
        <w:tblLayout w:type="fixed"/>
        <w:tblCellMar>
          <w:top w:w="55" w:type="dxa"/>
          <w:left w:w="85" w:type="dxa"/>
          <w:bottom w:w="55" w:type="dxa"/>
          <w:right w:w="85" w:type="dxa"/>
        </w:tblCellMar>
        <w:tblLook w:val="04A0" w:firstRow="1" w:lastRow="0" w:firstColumn="1" w:lastColumn="0" w:noHBand="0" w:noVBand="1"/>
      </w:tblPr>
      <w:tblGrid>
        <w:gridCol w:w="1900"/>
        <w:gridCol w:w="2100"/>
        <w:gridCol w:w="1300"/>
        <w:gridCol w:w="1200"/>
        <w:gridCol w:w="2057"/>
      </w:tblGrid>
      <w:tr w:rsidR="00F50D70" w:rsidRPr="00BE4F47" w14:paraId="18CE0092" w14:textId="77777777">
        <w:trPr>
          <w:tblHeader/>
        </w:trPr>
        <w:tc>
          <w:tcPr>
            <w:tcW w:w="1900" w:type="dxa"/>
            <w:tcBorders>
              <w:top w:val="single" w:sz="4" w:space="0" w:color="000000"/>
              <w:left w:val="single" w:sz="4" w:space="0" w:color="000000"/>
              <w:bottom w:val="single" w:sz="4" w:space="0" w:color="000000"/>
              <w:right w:val="single" w:sz="4" w:space="0" w:color="000000"/>
            </w:tcBorders>
            <w:shd w:val="clear" w:color="auto" w:fill="EFF4FB"/>
          </w:tcPr>
          <w:p w14:paraId="33ECD557"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Contrainte du mandat</w:t>
            </w:r>
          </w:p>
        </w:tc>
        <w:tc>
          <w:tcPr>
            <w:tcW w:w="2100" w:type="dxa"/>
            <w:tcBorders>
              <w:top w:val="single" w:sz="4" w:space="0" w:color="000000"/>
              <w:left w:val="single" w:sz="4" w:space="0" w:color="000000"/>
              <w:bottom w:val="single" w:sz="4" w:space="0" w:color="000000"/>
              <w:right w:val="single" w:sz="4" w:space="0" w:color="000000"/>
            </w:tcBorders>
            <w:shd w:val="clear" w:color="auto" w:fill="EFF4FB"/>
          </w:tcPr>
          <w:p w14:paraId="1FC1311E"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Prise en compte</w:t>
            </w:r>
          </w:p>
        </w:tc>
        <w:tc>
          <w:tcPr>
            <w:tcW w:w="1300" w:type="dxa"/>
            <w:tcBorders>
              <w:top w:val="single" w:sz="4" w:space="0" w:color="000000"/>
              <w:left w:val="single" w:sz="4" w:space="0" w:color="000000"/>
              <w:bottom w:val="single" w:sz="4" w:space="0" w:color="000000"/>
              <w:right w:val="single" w:sz="4" w:space="0" w:color="000000"/>
            </w:tcBorders>
            <w:shd w:val="clear" w:color="auto" w:fill="EFF4FB"/>
          </w:tcPr>
          <w:p w14:paraId="5185FC74"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Exigence</w:t>
            </w:r>
          </w:p>
        </w:tc>
        <w:tc>
          <w:tcPr>
            <w:tcW w:w="1200" w:type="dxa"/>
            <w:tcBorders>
              <w:top w:val="single" w:sz="4" w:space="0" w:color="000000"/>
              <w:left w:val="single" w:sz="4" w:space="0" w:color="000000"/>
              <w:bottom w:val="single" w:sz="4" w:space="0" w:color="000000"/>
              <w:right w:val="single" w:sz="4" w:space="0" w:color="000000"/>
            </w:tcBorders>
            <w:shd w:val="clear" w:color="auto" w:fill="EFF4FB"/>
          </w:tcPr>
          <w:p w14:paraId="1C32BC98"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Risque associé</w:t>
            </w:r>
          </w:p>
        </w:tc>
        <w:tc>
          <w:tcPr>
            <w:tcW w:w="2057" w:type="dxa"/>
            <w:tcBorders>
              <w:top w:val="single" w:sz="4" w:space="0" w:color="000000"/>
              <w:left w:val="single" w:sz="4" w:space="0" w:color="000000"/>
              <w:bottom w:val="single" w:sz="4" w:space="0" w:color="000000"/>
              <w:right w:val="single" w:sz="4" w:space="0" w:color="000000"/>
            </w:tcBorders>
            <w:shd w:val="clear" w:color="auto" w:fill="EFF4FB"/>
          </w:tcPr>
          <w:p w14:paraId="6179CD83"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Moyen de vérification</w:t>
            </w:r>
          </w:p>
        </w:tc>
      </w:tr>
      <w:tr w:rsidR="00F50D70" w:rsidRPr="00BE4F47" w14:paraId="76D3BFE1" w14:textId="77777777">
        <w:trPr>
          <w:cantSplit/>
        </w:trPr>
        <w:tc>
          <w:tcPr>
            <w:tcW w:w="1900" w:type="dxa"/>
            <w:tcBorders>
              <w:top w:val="single" w:sz="4" w:space="0" w:color="000000"/>
              <w:left w:val="single" w:sz="4" w:space="0" w:color="000000"/>
              <w:bottom w:val="single" w:sz="4" w:space="0" w:color="000000"/>
              <w:right w:val="single" w:sz="4" w:space="0" w:color="000000"/>
            </w:tcBorders>
          </w:tcPr>
          <w:p w14:paraId="31F89CAF"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Prototype limité à une boucle thermohydraulique simplifiée</w:t>
            </w:r>
          </w:p>
        </w:tc>
        <w:tc>
          <w:tcPr>
            <w:tcW w:w="2100" w:type="dxa"/>
            <w:tcBorders>
              <w:top w:val="single" w:sz="4" w:space="0" w:color="000000"/>
              <w:left w:val="single" w:sz="4" w:space="0" w:color="000000"/>
              <w:bottom w:val="single" w:sz="4" w:space="0" w:color="000000"/>
              <w:right w:val="single" w:sz="4" w:space="0" w:color="000000"/>
            </w:tcBorders>
          </w:tcPr>
          <w:p w14:paraId="299FAF88"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Périmètre limité à la température, la pression et le débit</w:t>
            </w:r>
          </w:p>
        </w:tc>
        <w:tc>
          <w:tcPr>
            <w:tcW w:w="1300" w:type="dxa"/>
            <w:tcBorders>
              <w:top w:val="single" w:sz="4" w:space="0" w:color="000000"/>
              <w:left w:val="single" w:sz="4" w:space="0" w:color="000000"/>
              <w:bottom w:val="single" w:sz="4" w:space="0" w:color="000000"/>
              <w:right w:val="single" w:sz="4" w:space="0" w:color="000000"/>
            </w:tcBorders>
          </w:tcPr>
          <w:p w14:paraId="6E1DB298"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EX-F-01</w:t>
            </w:r>
          </w:p>
        </w:tc>
        <w:tc>
          <w:tcPr>
            <w:tcW w:w="1200" w:type="dxa"/>
            <w:tcBorders>
              <w:top w:val="single" w:sz="4" w:space="0" w:color="000000"/>
              <w:left w:val="single" w:sz="4" w:space="0" w:color="000000"/>
              <w:bottom w:val="single" w:sz="4" w:space="0" w:color="000000"/>
              <w:right w:val="single" w:sz="4" w:space="0" w:color="000000"/>
            </w:tcBorders>
          </w:tcPr>
          <w:p w14:paraId="04596849"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RP3</w:t>
            </w:r>
          </w:p>
        </w:tc>
        <w:tc>
          <w:tcPr>
            <w:tcW w:w="2057" w:type="dxa"/>
            <w:tcBorders>
              <w:top w:val="single" w:sz="4" w:space="0" w:color="000000"/>
              <w:left w:val="single" w:sz="4" w:space="0" w:color="000000"/>
              <w:bottom w:val="single" w:sz="4" w:space="0" w:color="000000"/>
              <w:right w:val="single" w:sz="4" w:space="0" w:color="000000"/>
            </w:tcBorders>
          </w:tcPr>
          <w:p w14:paraId="75025DC2"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Revue des exigences et de l’architecture</w:t>
            </w:r>
          </w:p>
        </w:tc>
      </w:tr>
      <w:tr w:rsidR="00F50D70" w:rsidRPr="00BE4F47" w14:paraId="59F53A4D" w14:textId="77777777">
        <w:trPr>
          <w:cantSplit/>
        </w:trPr>
        <w:tc>
          <w:tcPr>
            <w:tcW w:w="1900" w:type="dxa"/>
            <w:tcBorders>
              <w:top w:val="single" w:sz="4" w:space="0" w:color="000000"/>
              <w:left w:val="single" w:sz="4" w:space="0" w:color="000000"/>
              <w:bottom w:val="single" w:sz="4" w:space="0" w:color="000000"/>
              <w:right w:val="single" w:sz="4" w:space="0" w:color="000000"/>
            </w:tcBorders>
          </w:tcPr>
          <w:p w14:paraId="347503DD"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Environnement numérique simulé</w:t>
            </w:r>
          </w:p>
        </w:tc>
        <w:tc>
          <w:tcPr>
            <w:tcW w:w="2100" w:type="dxa"/>
            <w:tcBorders>
              <w:top w:val="single" w:sz="4" w:space="0" w:color="000000"/>
              <w:left w:val="single" w:sz="4" w:space="0" w:color="000000"/>
              <w:bottom w:val="single" w:sz="4" w:space="0" w:color="000000"/>
              <w:right w:val="single" w:sz="4" w:space="0" w:color="000000"/>
            </w:tcBorders>
          </w:tcPr>
          <w:p w14:paraId="08220922"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Emploi d’un modèle de référence numérique</w:t>
            </w:r>
          </w:p>
        </w:tc>
        <w:tc>
          <w:tcPr>
            <w:tcW w:w="1300" w:type="dxa"/>
            <w:tcBorders>
              <w:top w:val="single" w:sz="4" w:space="0" w:color="000000"/>
              <w:left w:val="single" w:sz="4" w:space="0" w:color="000000"/>
              <w:bottom w:val="single" w:sz="4" w:space="0" w:color="000000"/>
              <w:right w:val="single" w:sz="4" w:space="0" w:color="000000"/>
            </w:tcBorders>
          </w:tcPr>
          <w:p w14:paraId="1CC51AA5"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EX-C-02</w:t>
            </w:r>
          </w:p>
        </w:tc>
        <w:tc>
          <w:tcPr>
            <w:tcW w:w="1200" w:type="dxa"/>
            <w:tcBorders>
              <w:top w:val="single" w:sz="4" w:space="0" w:color="000000"/>
              <w:left w:val="single" w:sz="4" w:space="0" w:color="000000"/>
              <w:bottom w:val="single" w:sz="4" w:space="0" w:color="000000"/>
              <w:right w:val="single" w:sz="4" w:space="0" w:color="000000"/>
            </w:tcBorders>
          </w:tcPr>
          <w:p w14:paraId="509BF5BF"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RP3</w:t>
            </w:r>
          </w:p>
        </w:tc>
        <w:tc>
          <w:tcPr>
            <w:tcW w:w="2057" w:type="dxa"/>
            <w:tcBorders>
              <w:top w:val="single" w:sz="4" w:space="0" w:color="000000"/>
              <w:left w:val="single" w:sz="4" w:space="0" w:color="000000"/>
              <w:bottom w:val="single" w:sz="4" w:space="0" w:color="000000"/>
              <w:right w:val="single" w:sz="4" w:space="0" w:color="000000"/>
            </w:tcBorders>
          </w:tcPr>
          <w:p w14:paraId="0A2F7702"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Revue de conception</w:t>
            </w:r>
          </w:p>
        </w:tc>
      </w:tr>
      <w:tr w:rsidR="00F50D70" w:rsidRPr="00BE4F47" w14:paraId="21EB0E79" w14:textId="77777777">
        <w:trPr>
          <w:cantSplit/>
        </w:trPr>
        <w:tc>
          <w:tcPr>
            <w:tcW w:w="1900" w:type="dxa"/>
            <w:tcBorders>
              <w:top w:val="single" w:sz="4" w:space="0" w:color="000000"/>
              <w:left w:val="single" w:sz="4" w:space="0" w:color="000000"/>
              <w:bottom w:val="single" w:sz="4" w:space="0" w:color="000000"/>
              <w:right w:val="single" w:sz="4" w:space="0" w:color="000000"/>
            </w:tcBorders>
          </w:tcPr>
          <w:p w14:paraId="2FCA8D1E"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Absence de banc thermohydraulique physique</w:t>
            </w:r>
          </w:p>
        </w:tc>
        <w:tc>
          <w:tcPr>
            <w:tcW w:w="2100" w:type="dxa"/>
            <w:tcBorders>
              <w:top w:val="single" w:sz="4" w:space="0" w:color="000000"/>
              <w:left w:val="single" w:sz="4" w:space="0" w:color="000000"/>
              <w:bottom w:val="single" w:sz="4" w:space="0" w:color="000000"/>
              <w:right w:val="single" w:sz="4" w:space="0" w:color="000000"/>
            </w:tcBorders>
          </w:tcPr>
          <w:p w14:paraId="08947605"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Aucun achat ni développement de banc prévu</w:t>
            </w:r>
          </w:p>
        </w:tc>
        <w:tc>
          <w:tcPr>
            <w:tcW w:w="1300" w:type="dxa"/>
            <w:tcBorders>
              <w:top w:val="single" w:sz="4" w:space="0" w:color="000000"/>
              <w:left w:val="single" w:sz="4" w:space="0" w:color="000000"/>
              <w:bottom w:val="single" w:sz="4" w:space="0" w:color="000000"/>
              <w:right w:val="single" w:sz="4" w:space="0" w:color="000000"/>
            </w:tcBorders>
          </w:tcPr>
          <w:p w14:paraId="4280412F"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EX-C-02</w:t>
            </w:r>
          </w:p>
        </w:tc>
        <w:tc>
          <w:tcPr>
            <w:tcW w:w="1200" w:type="dxa"/>
            <w:tcBorders>
              <w:top w:val="single" w:sz="4" w:space="0" w:color="000000"/>
              <w:left w:val="single" w:sz="4" w:space="0" w:color="000000"/>
              <w:bottom w:val="single" w:sz="4" w:space="0" w:color="000000"/>
              <w:right w:val="single" w:sz="4" w:space="0" w:color="000000"/>
            </w:tcBorders>
          </w:tcPr>
          <w:p w14:paraId="4D5177B9"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RP3</w:t>
            </w:r>
          </w:p>
        </w:tc>
        <w:tc>
          <w:tcPr>
            <w:tcW w:w="2057" w:type="dxa"/>
            <w:tcBorders>
              <w:top w:val="single" w:sz="4" w:space="0" w:color="000000"/>
              <w:left w:val="single" w:sz="4" w:space="0" w:color="000000"/>
              <w:bottom w:val="single" w:sz="4" w:space="0" w:color="000000"/>
              <w:right w:val="single" w:sz="4" w:space="0" w:color="000000"/>
            </w:tcBorders>
          </w:tcPr>
          <w:p w14:paraId="496AD145"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Revue du périmètre au jalon J1</w:t>
            </w:r>
          </w:p>
        </w:tc>
      </w:tr>
      <w:tr w:rsidR="00F50D70" w:rsidRPr="00BE4F47" w14:paraId="62EAD415" w14:textId="77777777">
        <w:trPr>
          <w:cantSplit/>
        </w:trPr>
        <w:tc>
          <w:tcPr>
            <w:tcW w:w="1900" w:type="dxa"/>
            <w:tcBorders>
              <w:top w:val="single" w:sz="4" w:space="0" w:color="000000"/>
              <w:left w:val="single" w:sz="4" w:space="0" w:color="000000"/>
              <w:bottom w:val="single" w:sz="4" w:space="0" w:color="000000"/>
              <w:right w:val="single" w:sz="4" w:space="0" w:color="000000"/>
            </w:tcBorders>
          </w:tcPr>
          <w:p w14:paraId="5196F998"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Enveloppe maximale de 1 080 h</w:t>
            </w:r>
          </w:p>
        </w:tc>
        <w:tc>
          <w:tcPr>
            <w:tcW w:w="2100" w:type="dxa"/>
            <w:tcBorders>
              <w:top w:val="single" w:sz="4" w:space="0" w:color="000000"/>
              <w:left w:val="single" w:sz="4" w:space="0" w:color="000000"/>
              <w:bottom w:val="single" w:sz="4" w:space="0" w:color="000000"/>
              <w:right w:val="single" w:sz="4" w:space="0" w:color="000000"/>
            </w:tcBorders>
          </w:tcPr>
          <w:p w14:paraId="27F21A8E"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Planification et suivi des heures par lot</w:t>
            </w:r>
          </w:p>
        </w:tc>
        <w:tc>
          <w:tcPr>
            <w:tcW w:w="1300" w:type="dxa"/>
            <w:tcBorders>
              <w:top w:val="single" w:sz="4" w:space="0" w:color="000000"/>
              <w:left w:val="single" w:sz="4" w:space="0" w:color="000000"/>
              <w:bottom w:val="single" w:sz="4" w:space="0" w:color="000000"/>
              <w:right w:val="single" w:sz="4" w:space="0" w:color="000000"/>
            </w:tcBorders>
          </w:tcPr>
          <w:p w14:paraId="0DF1875D"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s.o.</w:t>
            </w:r>
          </w:p>
        </w:tc>
        <w:tc>
          <w:tcPr>
            <w:tcW w:w="1200" w:type="dxa"/>
            <w:tcBorders>
              <w:top w:val="single" w:sz="4" w:space="0" w:color="000000"/>
              <w:left w:val="single" w:sz="4" w:space="0" w:color="000000"/>
              <w:bottom w:val="single" w:sz="4" w:space="0" w:color="000000"/>
              <w:right w:val="single" w:sz="4" w:space="0" w:color="000000"/>
            </w:tcBorders>
          </w:tcPr>
          <w:p w14:paraId="05E2C318"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RP2</w:t>
            </w:r>
          </w:p>
        </w:tc>
        <w:tc>
          <w:tcPr>
            <w:tcW w:w="2057" w:type="dxa"/>
            <w:tcBorders>
              <w:top w:val="single" w:sz="4" w:space="0" w:color="000000"/>
              <w:left w:val="single" w:sz="4" w:space="0" w:color="000000"/>
              <w:bottom w:val="single" w:sz="4" w:space="0" w:color="000000"/>
              <w:right w:val="single" w:sz="4" w:space="0" w:color="000000"/>
            </w:tcBorders>
          </w:tcPr>
          <w:p w14:paraId="67632E0F"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Suivi périodique de la consommation</w:t>
            </w:r>
          </w:p>
        </w:tc>
      </w:tr>
      <w:tr w:rsidR="00F50D70" w:rsidRPr="00BE4F47" w14:paraId="0BCF705D" w14:textId="77777777">
        <w:trPr>
          <w:cantSplit/>
        </w:trPr>
        <w:tc>
          <w:tcPr>
            <w:tcW w:w="1900" w:type="dxa"/>
            <w:tcBorders>
              <w:top w:val="single" w:sz="4" w:space="0" w:color="000000"/>
              <w:left w:val="single" w:sz="4" w:space="0" w:color="000000"/>
              <w:bottom w:val="single" w:sz="4" w:space="0" w:color="000000"/>
              <w:right w:val="single" w:sz="4" w:space="0" w:color="000000"/>
            </w:tcBorders>
          </w:tcPr>
          <w:p w14:paraId="65D71347"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Maintien des activités de V&amp;V</w:t>
            </w:r>
          </w:p>
        </w:tc>
        <w:tc>
          <w:tcPr>
            <w:tcW w:w="2100" w:type="dxa"/>
            <w:tcBorders>
              <w:top w:val="single" w:sz="4" w:space="0" w:color="000000"/>
              <w:left w:val="single" w:sz="4" w:space="0" w:color="000000"/>
              <w:bottom w:val="single" w:sz="4" w:space="0" w:color="000000"/>
              <w:right w:val="single" w:sz="4" w:space="0" w:color="000000"/>
            </w:tcBorders>
          </w:tcPr>
          <w:p w14:paraId="070B68FB"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Réduction prioritaire du contenu ajustable si les ressources deviennent insuffisantes</w:t>
            </w:r>
          </w:p>
        </w:tc>
        <w:tc>
          <w:tcPr>
            <w:tcW w:w="1300" w:type="dxa"/>
            <w:tcBorders>
              <w:top w:val="single" w:sz="4" w:space="0" w:color="000000"/>
              <w:left w:val="single" w:sz="4" w:space="0" w:color="000000"/>
              <w:bottom w:val="single" w:sz="4" w:space="0" w:color="000000"/>
              <w:right w:val="single" w:sz="4" w:space="0" w:color="000000"/>
            </w:tcBorders>
          </w:tcPr>
          <w:p w14:paraId="5BC72505"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s.o.</w:t>
            </w:r>
          </w:p>
        </w:tc>
        <w:tc>
          <w:tcPr>
            <w:tcW w:w="1200" w:type="dxa"/>
            <w:tcBorders>
              <w:top w:val="single" w:sz="4" w:space="0" w:color="000000"/>
              <w:left w:val="single" w:sz="4" w:space="0" w:color="000000"/>
              <w:bottom w:val="single" w:sz="4" w:space="0" w:color="000000"/>
              <w:right w:val="single" w:sz="4" w:space="0" w:color="000000"/>
            </w:tcBorders>
          </w:tcPr>
          <w:p w14:paraId="01E427BB"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RP1, RP2</w:t>
            </w:r>
          </w:p>
        </w:tc>
        <w:tc>
          <w:tcPr>
            <w:tcW w:w="2057" w:type="dxa"/>
            <w:tcBorders>
              <w:top w:val="single" w:sz="4" w:space="0" w:color="000000"/>
              <w:left w:val="single" w:sz="4" w:space="0" w:color="000000"/>
              <w:bottom w:val="single" w:sz="4" w:space="0" w:color="000000"/>
              <w:right w:val="single" w:sz="4" w:space="0" w:color="000000"/>
            </w:tcBorders>
          </w:tcPr>
          <w:p w14:paraId="28D4EE87"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Plan et rapport de V&amp;V</w:t>
            </w:r>
          </w:p>
        </w:tc>
      </w:tr>
      <w:tr w:rsidR="00F50D70" w:rsidRPr="00BE4F47" w14:paraId="5349BDEA" w14:textId="77777777">
        <w:trPr>
          <w:cantSplit/>
        </w:trPr>
        <w:tc>
          <w:tcPr>
            <w:tcW w:w="1900" w:type="dxa"/>
            <w:tcBorders>
              <w:top w:val="single" w:sz="4" w:space="0" w:color="000000"/>
              <w:left w:val="single" w:sz="4" w:space="0" w:color="000000"/>
              <w:bottom w:val="single" w:sz="4" w:space="0" w:color="000000"/>
              <w:right w:val="single" w:sz="4" w:space="0" w:color="000000"/>
            </w:tcBorders>
          </w:tcPr>
          <w:p w14:paraId="3016568F"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Surveillance de la température, de la pression et du débit</w:t>
            </w:r>
          </w:p>
        </w:tc>
        <w:tc>
          <w:tcPr>
            <w:tcW w:w="2100" w:type="dxa"/>
            <w:tcBorders>
              <w:top w:val="single" w:sz="4" w:space="0" w:color="000000"/>
              <w:left w:val="single" w:sz="4" w:space="0" w:color="000000"/>
              <w:bottom w:val="single" w:sz="4" w:space="0" w:color="000000"/>
              <w:right w:val="single" w:sz="4" w:space="0" w:color="000000"/>
            </w:tcBorders>
          </w:tcPr>
          <w:p w14:paraId="64037D52"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Variables intégrées au modèle et aux scénarios d’essais</w:t>
            </w:r>
          </w:p>
        </w:tc>
        <w:tc>
          <w:tcPr>
            <w:tcW w:w="1300" w:type="dxa"/>
            <w:tcBorders>
              <w:top w:val="single" w:sz="4" w:space="0" w:color="000000"/>
              <w:left w:val="single" w:sz="4" w:space="0" w:color="000000"/>
              <w:bottom w:val="single" w:sz="4" w:space="0" w:color="000000"/>
              <w:right w:val="single" w:sz="4" w:space="0" w:color="000000"/>
            </w:tcBorders>
          </w:tcPr>
          <w:p w14:paraId="74EB96AA"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EX-F-01, EX-F-03</w:t>
            </w:r>
          </w:p>
        </w:tc>
        <w:tc>
          <w:tcPr>
            <w:tcW w:w="1200" w:type="dxa"/>
            <w:tcBorders>
              <w:top w:val="single" w:sz="4" w:space="0" w:color="000000"/>
              <w:left w:val="single" w:sz="4" w:space="0" w:color="000000"/>
              <w:bottom w:val="single" w:sz="4" w:space="0" w:color="000000"/>
              <w:right w:val="single" w:sz="4" w:space="0" w:color="000000"/>
            </w:tcBorders>
          </w:tcPr>
          <w:p w14:paraId="0CFFFCD5"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RT1 à RT3</w:t>
            </w:r>
          </w:p>
        </w:tc>
        <w:tc>
          <w:tcPr>
            <w:tcW w:w="2057" w:type="dxa"/>
            <w:tcBorders>
              <w:top w:val="single" w:sz="4" w:space="0" w:color="000000"/>
              <w:left w:val="single" w:sz="4" w:space="0" w:color="000000"/>
              <w:bottom w:val="single" w:sz="4" w:space="0" w:color="000000"/>
              <w:right w:val="single" w:sz="4" w:space="0" w:color="000000"/>
            </w:tcBorders>
          </w:tcPr>
          <w:p w14:paraId="539341A2"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Campagne d’essais</w:t>
            </w:r>
          </w:p>
        </w:tc>
      </w:tr>
      <w:tr w:rsidR="00F50D70" w:rsidRPr="00BE4F47" w14:paraId="30A008E3" w14:textId="77777777">
        <w:trPr>
          <w:cantSplit/>
        </w:trPr>
        <w:tc>
          <w:tcPr>
            <w:tcW w:w="1900" w:type="dxa"/>
            <w:tcBorders>
              <w:top w:val="single" w:sz="4" w:space="0" w:color="000000"/>
              <w:left w:val="single" w:sz="4" w:space="0" w:color="000000"/>
              <w:bottom w:val="single" w:sz="4" w:space="0" w:color="000000"/>
              <w:right w:val="single" w:sz="4" w:space="0" w:color="000000"/>
            </w:tcBorders>
          </w:tcPr>
          <w:p w14:paraId="4F07A096"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Détection des anomalies</w:t>
            </w:r>
          </w:p>
        </w:tc>
        <w:tc>
          <w:tcPr>
            <w:tcW w:w="2100" w:type="dxa"/>
            <w:tcBorders>
              <w:top w:val="single" w:sz="4" w:space="0" w:color="000000"/>
              <w:left w:val="single" w:sz="4" w:space="0" w:color="000000"/>
              <w:bottom w:val="single" w:sz="4" w:space="0" w:color="000000"/>
              <w:right w:val="single" w:sz="4" w:space="0" w:color="000000"/>
            </w:tcBorders>
          </w:tcPr>
          <w:p w14:paraId="72A86784"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Comparaison entre comportement observé et comportement attendu</w:t>
            </w:r>
          </w:p>
        </w:tc>
        <w:tc>
          <w:tcPr>
            <w:tcW w:w="1300" w:type="dxa"/>
            <w:tcBorders>
              <w:top w:val="single" w:sz="4" w:space="0" w:color="000000"/>
              <w:left w:val="single" w:sz="4" w:space="0" w:color="000000"/>
              <w:bottom w:val="single" w:sz="4" w:space="0" w:color="000000"/>
              <w:right w:val="single" w:sz="4" w:space="0" w:color="000000"/>
            </w:tcBorders>
          </w:tcPr>
          <w:p w14:paraId="419828AA"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EX-F-03, EX-F-05</w:t>
            </w:r>
          </w:p>
        </w:tc>
        <w:tc>
          <w:tcPr>
            <w:tcW w:w="1200" w:type="dxa"/>
            <w:tcBorders>
              <w:top w:val="single" w:sz="4" w:space="0" w:color="000000"/>
              <w:left w:val="single" w:sz="4" w:space="0" w:color="000000"/>
              <w:bottom w:val="single" w:sz="4" w:space="0" w:color="000000"/>
              <w:right w:val="single" w:sz="4" w:space="0" w:color="000000"/>
            </w:tcBorders>
          </w:tcPr>
          <w:p w14:paraId="055CE963"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RT4 à RT6</w:t>
            </w:r>
          </w:p>
        </w:tc>
        <w:tc>
          <w:tcPr>
            <w:tcW w:w="2057" w:type="dxa"/>
            <w:tcBorders>
              <w:top w:val="single" w:sz="4" w:space="0" w:color="000000"/>
              <w:left w:val="single" w:sz="4" w:space="0" w:color="000000"/>
              <w:bottom w:val="single" w:sz="4" w:space="0" w:color="000000"/>
              <w:right w:val="single" w:sz="4" w:space="0" w:color="000000"/>
            </w:tcBorders>
          </w:tcPr>
          <w:p w14:paraId="58723675"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Essais en conditions normales et anormales</w:t>
            </w:r>
          </w:p>
        </w:tc>
      </w:tr>
      <w:tr w:rsidR="00F50D70" w:rsidRPr="00BE4F47" w14:paraId="08B02273" w14:textId="77777777">
        <w:trPr>
          <w:cantSplit/>
        </w:trPr>
        <w:tc>
          <w:tcPr>
            <w:tcW w:w="1900" w:type="dxa"/>
            <w:tcBorders>
              <w:top w:val="single" w:sz="4" w:space="0" w:color="000000"/>
              <w:left w:val="single" w:sz="4" w:space="0" w:color="000000"/>
              <w:bottom w:val="single" w:sz="4" w:space="0" w:color="000000"/>
              <w:right w:val="single" w:sz="4" w:space="0" w:color="000000"/>
            </w:tcBorders>
          </w:tcPr>
          <w:p w14:paraId="0681B2E7"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Gestion des données incorrectes ou indisponibles</w:t>
            </w:r>
          </w:p>
        </w:tc>
        <w:tc>
          <w:tcPr>
            <w:tcW w:w="2100" w:type="dxa"/>
            <w:tcBorders>
              <w:top w:val="single" w:sz="4" w:space="0" w:color="000000"/>
              <w:left w:val="single" w:sz="4" w:space="0" w:color="000000"/>
              <w:bottom w:val="single" w:sz="4" w:space="0" w:color="000000"/>
              <w:right w:val="single" w:sz="4" w:space="0" w:color="000000"/>
            </w:tcBorders>
          </w:tcPr>
          <w:p w14:paraId="38B8F181"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Détection des incohérences et signalement de l’incertitude</w:t>
            </w:r>
          </w:p>
        </w:tc>
        <w:tc>
          <w:tcPr>
            <w:tcW w:w="1300" w:type="dxa"/>
            <w:tcBorders>
              <w:top w:val="single" w:sz="4" w:space="0" w:color="000000"/>
              <w:left w:val="single" w:sz="4" w:space="0" w:color="000000"/>
              <w:bottom w:val="single" w:sz="4" w:space="0" w:color="000000"/>
              <w:right w:val="single" w:sz="4" w:space="0" w:color="000000"/>
            </w:tcBorders>
          </w:tcPr>
          <w:p w14:paraId="2A15B470"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EX-F-06</w:t>
            </w:r>
          </w:p>
        </w:tc>
        <w:tc>
          <w:tcPr>
            <w:tcW w:w="1200" w:type="dxa"/>
            <w:tcBorders>
              <w:top w:val="single" w:sz="4" w:space="0" w:color="000000"/>
              <w:left w:val="single" w:sz="4" w:space="0" w:color="000000"/>
              <w:bottom w:val="single" w:sz="4" w:space="0" w:color="000000"/>
              <w:right w:val="single" w:sz="4" w:space="0" w:color="000000"/>
            </w:tcBorders>
          </w:tcPr>
          <w:p w14:paraId="1DB7E69C"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RT1, RT2</w:t>
            </w:r>
          </w:p>
        </w:tc>
        <w:tc>
          <w:tcPr>
            <w:tcW w:w="2057" w:type="dxa"/>
            <w:tcBorders>
              <w:top w:val="single" w:sz="4" w:space="0" w:color="000000"/>
              <w:left w:val="single" w:sz="4" w:space="0" w:color="000000"/>
              <w:bottom w:val="single" w:sz="4" w:space="0" w:color="000000"/>
              <w:right w:val="single" w:sz="4" w:space="0" w:color="000000"/>
            </w:tcBorders>
          </w:tcPr>
          <w:p w14:paraId="3316B1CF"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Injection de données erronées ou manquantes</w:t>
            </w:r>
          </w:p>
        </w:tc>
      </w:tr>
      <w:tr w:rsidR="00F50D70" w:rsidRPr="00BE4F47" w14:paraId="77A16173" w14:textId="77777777">
        <w:trPr>
          <w:cantSplit/>
        </w:trPr>
        <w:tc>
          <w:tcPr>
            <w:tcW w:w="1900" w:type="dxa"/>
            <w:tcBorders>
              <w:top w:val="single" w:sz="4" w:space="0" w:color="000000"/>
              <w:left w:val="single" w:sz="4" w:space="0" w:color="000000"/>
              <w:bottom w:val="single" w:sz="4" w:space="0" w:color="000000"/>
              <w:right w:val="single" w:sz="4" w:space="0" w:color="000000"/>
            </w:tcBorders>
          </w:tcPr>
          <w:p w14:paraId="68265DDB"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Cybersécurité du prototype</w:t>
            </w:r>
          </w:p>
        </w:tc>
        <w:tc>
          <w:tcPr>
            <w:tcW w:w="2100" w:type="dxa"/>
            <w:tcBorders>
              <w:top w:val="single" w:sz="4" w:space="0" w:color="000000"/>
              <w:left w:val="single" w:sz="4" w:space="0" w:color="000000"/>
              <w:bottom w:val="single" w:sz="4" w:space="0" w:color="000000"/>
              <w:right w:val="single" w:sz="4" w:space="0" w:color="000000"/>
            </w:tcBorders>
          </w:tcPr>
          <w:p w14:paraId="22EB90B9"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Contrôle d’accès, intégrité, journalisation et moindre privilège</w:t>
            </w:r>
          </w:p>
        </w:tc>
        <w:tc>
          <w:tcPr>
            <w:tcW w:w="1300" w:type="dxa"/>
            <w:tcBorders>
              <w:top w:val="single" w:sz="4" w:space="0" w:color="000000"/>
              <w:left w:val="single" w:sz="4" w:space="0" w:color="000000"/>
              <w:bottom w:val="single" w:sz="4" w:space="0" w:color="000000"/>
              <w:right w:val="single" w:sz="4" w:space="0" w:color="000000"/>
            </w:tcBorders>
          </w:tcPr>
          <w:p w14:paraId="421BCDD7"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EX-Q-04</w:t>
            </w:r>
          </w:p>
        </w:tc>
        <w:tc>
          <w:tcPr>
            <w:tcW w:w="1200" w:type="dxa"/>
            <w:tcBorders>
              <w:top w:val="single" w:sz="4" w:space="0" w:color="000000"/>
              <w:left w:val="single" w:sz="4" w:space="0" w:color="000000"/>
              <w:bottom w:val="single" w:sz="4" w:space="0" w:color="000000"/>
              <w:right w:val="single" w:sz="4" w:space="0" w:color="000000"/>
            </w:tcBorders>
          </w:tcPr>
          <w:p w14:paraId="3FB499A1"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RT7, RT8</w:t>
            </w:r>
          </w:p>
        </w:tc>
        <w:tc>
          <w:tcPr>
            <w:tcW w:w="2057" w:type="dxa"/>
            <w:tcBorders>
              <w:top w:val="single" w:sz="4" w:space="0" w:color="000000"/>
              <w:left w:val="single" w:sz="4" w:space="0" w:color="000000"/>
              <w:bottom w:val="single" w:sz="4" w:space="0" w:color="000000"/>
              <w:right w:val="single" w:sz="4" w:space="0" w:color="000000"/>
            </w:tcBorders>
          </w:tcPr>
          <w:p w14:paraId="0E769E3E"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Revue et essais de sécurité</w:t>
            </w:r>
          </w:p>
        </w:tc>
      </w:tr>
      <w:tr w:rsidR="00F50D70" w:rsidRPr="00BE4F47" w14:paraId="171446FF" w14:textId="77777777">
        <w:trPr>
          <w:cantSplit/>
        </w:trPr>
        <w:tc>
          <w:tcPr>
            <w:tcW w:w="1900" w:type="dxa"/>
            <w:tcBorders>
              <w:top w:val="single" w:sz="4" w:space="0" w:color="000000"/>
              <w:left w:val="single" w:sz="4" w:space="0" w:color="000000"/>
              <w:bottom w:val="single" w:sz="4" w:space="0" w:color="000000"/>
              <w:right w:val="single" w:sz="4" w:space="0" w:color="000000"/>
            </w:tcBorders>
          </w:tcPr>
          <w:p w14:paraId="05246A13"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Résilience et disponibilité</w:t>
            </w:r>
          </w:p>
        </w:tc>
        <w:tc>
          <w:tcPr>
            <w:tcW w:w="2100" w:type="dxa"/>
            <w:tcBorders>
              <w:top w:val="single" w:sz="4" w:space="0" w:color="000000"/>
              <w:left w:val="single" w:sz="4" w:space="0" w:color="000000"/>
              <w:bottom w:val="single" w:sz="4" w:space="0" w:color="000000"/>
              <w:right w:val="single" w:sz="4" w:space="0" w:color="000000"/>
            </w:tcBorders>
          </w:tcPr>
          <w:p w14:paraId="61060097"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Sauvegarde, récupération et surveillance</w:t>
            </w:r>
          </w:p>
        </w:tc>
        <w:tc>
          <w:tcPr>
            <w:tcW w:w="1300" w:type="dxa"/>
            <w:tcBorders>
              <w:top w:val="single" w:sz="4" w:space="0" w:color="000000"/>
              <w:left w:val="single" w:sz="4" w:space="0" w:color="000000"/>
              <w:bottom w:val="single" w:sz="4" w:space="0" w:color="000000"/>
              <w:right w:val="single" w:sz="4" w:space="0" w:color="000000"/>
            </w:tcBorders>
          </w:tcPr>
          <w:p w14:paraId="3E5188B5"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EX-Q-02</w:t>
            </w:r>
          </w:p>
        </w:tc>
        <w:tc>
          <w:tcPr>
            <w:tcW w:w="1200" w:type="dxa"/>
            <w:tcBorders>
              <w:top w:val="single" w:sz="4" w:space="0" w:color="000000"/>
              <w:left w:val="single" w:sz="4" w:space="0" w:color="000000"/>
              <w:bottom w:val="single" w:sz="4" w:space="0" w:color="000000"/>
              <w:right w:val="single" w:sz="4" w:space="0" w:color="000000"/>
            </w:tcBorders>
          </w:tcPr>
          <w:p w14:paraId="58F65827"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RT9</w:t>
            </w:r>
          </w:p>
        </w:tc>
        <w:tc>
          <w:tcPr>
            <w:tcW w:w="2057" w:type="dxa"/>
            <w:tcBorders>
              <w:top w:val="single" w:sz="4" w:space="0" w:color="000000"/>
              <w:left w:val="single" w:sz="4" w:space="0" w:color="000000"/>
              <w:bottom w:val="single" w:sz="4" w:space="0" w:color="000000"/>
              <w:right w:val="single" w:sz="4" w:space="0" w:color="000000"/>
            </w:tcBorders>
          </w:tcPr>
          <w:p w14:paraId="7DA0A62F"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Essais de défaillance et de récupération</w:t>
            </w:r>
          </w:p>
        </w:tc>
      </w:tr>
      <w:tr w:rsidR="00F50D70" w:rsidRPr="00BE4F47" w14:paraId="6A742DCD" w14:textId="77777777">
        <w:trPr>
          <w:cantSplit/>
        </w:trPr>
        <w:tc>
          <w:tcPr>
            <w:tcW w:w="1900" w:type="dxa"/>
            <w:tcBorders>
              <w:top w:val="single" w:sz="4" w:space="0" w:color="000000"/>
              <w:left w:val="single" w:sz="4" w:space="0" w:color="000000"/>
              <w:bottom w:val="single" w:sz="4" w:space="0" w:color="000000"/>
              <w:right w:val="single" w:sz="4" w:space="0" w:color="000000"/>
            </w:tcBorders>
          </w:tcPr>
          <w:p w14:paraId="7FF46A17"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Interface d’aide à la décision compréhensible</w:t>
            </w:r>
          </w:p>
        </w:tc>
        <w:tc>
          <w:tcPr>
            <w:tcW w:w="2100" w:type="dxa"/>
            <w:tcBorders>
              <w:top w:val="single" w:sz="4" w:space="0" w:color="000000"/>
              <w:left w:val="single" w:sz="4" w:space="0" w:color="000000"/>
              <w:bottom w:val="single" w:sz="4" w:space="0" w:color="000000"/>
              <w:right w:val="single" w:sz="4" w:space="0" w:color="000000"/>
            </w:tcBorders>
          </w:tcPr>
          <w:p w14:paraId="5E97032B"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Présentation des variables contributives et du niveau de confiance</w:t>
            </w:r>
          </w:p>
        </w:tc>
        <w:tc>
          <w:tcPr>
            <w:tcW w:w="1300" w:type="dxa"/>
            <w:tcBorders>
              <w:top w:val="single" w:sz="4" w:space="0" w:color="000000"/>
              <w:left w:val="single" w:sz="4" w:space="0" w:color="000000"/>
              <w:bottom w:val="single" w:sz="4" w:space="0" w:color="000000"/>
              <w:right w:val="single" w:sz="4" w:space="0" w:color="000000"/>
            </w:tcBorders>
          </w:tcPr>
          <w:p w14:paraId="62616A8D"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EX-F-04, EX-F-05, EX-F-07</w:t>
            </w:r>
          </w:p>
        </w:tc>
        <w:tc>
          <w:tcPr>
            <w:tcW w:w="1200" w:type="dxa"/>
            <w:tcBorders>
              <w:top w:val="single" w:sz="4" w:space="0" w:color="000000"/>
              <w:left w:val="single" w:sz="4" w:space="0" w:color="000000"/>
              <w:bottom w:val="single" w:sz="4" w:space="0" w:color="000000"/>
              <w:right w:val="single" w:sz="4" w:space="0" w:color="000000"/>
            </w:tcBorders>
          </w:tcPr>
          <w:p w14:paraId="4E418C92"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RT10</w:t>
            </w:r>
          </w:p>
        </w:tc>
        <w:tc>
          <w:tcPr>
            <w:tcW w:w="2057" w:type="dxa"/>
            <w:tcBorders>
              <w:top w:val="single" w:sz="4" w:space="0" w:color="000000"/>
              <w:left w:val="single" w:sz="4" w:space="0" w:color="000000"/>
              <w:bottom w:val="single" w:sz="4" w:space="0" w:color="000000"/>
              <w:right w:val="single" w:sz="4" w:space="0" w:color="000000"/>
            </w:tcBorders>
          </w:tcPr>
          <w:p w14:paraId="43BAA5B7"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Essai d’utilisabilité (EX-Q-03)</w:t>
            </w:r>
          </w:p>
        </w:tc>
      </w:tr>
      <w:tr w:rsidR="00F50D70" w:rsidRPr="00BE4F47" w14:paraId="046DBBA4" w14:textId="77777777">
        <w:trPr>
          <w:cantSplit/>
        </w:trPr>
        <w:tc>
          <w:tcPr>
            <w:tcW w:w="1900" w:type="dxa"/>
            <w:tcBorders>
              <w:top w:val="single" w:sz="4" w:space="0" w:color="000000"/>
              <w:left w:val="single" w:sz="4" w:space="0" w:color="000000"/>
              <w:bottom w:val="single" w:sz="4" w:space="0" w:color="000000"/>
              <w:right w:val="single" w:sz="4" w:space="0" w:color="000000"/>
            </w:tcBorders>
          </w:tcPr>
          <w:p w14:paraId="060E06E4"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lastRenderedPageBreak/>
              <w:t>Décision finale sous responsabilité humaine</w:t>
            </w:r>
          </w:p>
        </w:tc>
        <w:tc>
          <w:tcPr>
            <w:tcW w:w="2100" w:type="dxa"/>
            <w:tcBorders>
              <w:top w:val="single" w:sz="4" w:space="0" w:color="000000"/>
              <w:left w:val="single" w:sz="4" w:space="0" w:color="000000"/>
              <w:bottom w:val="single" w:sz="4" w:space="0" w:color="000000"/>
              <w:right w:val="single" w:sz="4" w:space="0" w:color="000000"/>
            </w:tcBorders>
          </w:tcPr>
          <w:p w14:paraId="632AFE24"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Aucune commande automatique ; confirmation explicite pour le mode dégradé</w:t>
            </w:r>
          </w:p>
        </w:tc>
        <w:tc>
          <w:tcPr>
            <w:tcW w:w="1300" w:type="dxa"/>
            <w:tcBorders>
              <w:top w:val="single" w:sz="4" w:space="0" w:color="000000"/>
              <w:left w:val="single" w:sz="4" w:space="0" w:color="000000"/>
              <w:bottom w:val="single" w:sz="4" w:space="0" w:color="000000"/>
              <w:right w:val="single" w:sz="4" w:space="0" w:color="000000"/>
            </w:tcBorders>
          </w:tcPr>
          <w:p w14:paraId="03649674"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EX-F-08, EX-F-09</w:t>
            </w:r>
          </w:p>
        </w:tc>
        <w:tc>
          <w:tcPr>
            <w:tcW w:w="1200" w:type="dxa"/>
            <w:tcBorders>
              <w:top w:val="single" w:sz="4" w:space="0" w:color="000000"/>
              <w:left w:val="single" w:sz="4" w:space="0" w:color="000000"/>
              <w:bottom w:val="single" w:sz="4" w:space="0" w:color="000000"/>
              <w:right w:val="single" w:sz="4" w:space="0" w:color="000000"/>
            </w:tcBorders>
          </w:tcPr>
          <w:p w14:paraId="44EC9EC8"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RT5, RT10</w:t>
            </w:r>
          </w:p>
        </w:tc>
        <w:tc>
          <w:tcPr>
            <w:tcW w:w="2057" w:type="dxa"/>
            <w:tcBorders>
              <w:top w:val="single" w:sz="4" w:space="0" w:color="000000"/>
              <w:left w:val="single" w:sz="4" w:space="0" w:color="000000"/>
              <w:bottom w:val="single" w:sz="4" w:space="0" w:color="000000"/>
              <w:right w:val="single" w:sz="4" w:space="0" w:color="000000"/>
            </w:tcBorders>
          </w:tcPr>
          <w:p w14:paraId="449432CD"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Revue de code et inspection des sorties</w:t>
            </w:r>
          </w:p>
        </w:tc>
      </w:tr>
      <w:tr w:rsidR="00F50D70" w:rsidRPr="00BE4F47" w14:paraId="212B0065" w14:textId="77777777">
        <w:trPr>
          <w:cantSplit/>
        </w:trPr>
        <w:tc>
          <w:tcPr>
            <w:tcW w:w="1900" w:type="dxa"/>
            <w:tcBorders>
              <w:top w:val="single" w:sz="4" w:space="0" w:color="000000"/>
              <w:left w:val="single" w:sz="4" w:space="0" w:color="000000"/>
              <w:bottom w:val="single" w:sz="4" w:space="0" w:color="000000"/>
              <w:right w:val="single" w:sz="4" w:space="0" w:color="000000"/>
            </w:tcBorders>
          </w:tcPr>
          <w:p w14:paraId="00C43BE7"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Traçabilité des événements</w:t>
            </w:r>
          </w:p>
        </w:tc>
        <w:tc>
          <w:tcPr>
            <w:tcW w:w="2100" w:type="dxa"/>
            <w:tcBorders>
              <w:top w:val="single" w:sz="4" w:space="0" w:color="000000"/>
              <w:left w:val="single" w:sz="4" w:space="0" w:color="000000"/>
              <w:bottom w:val="single" w:sz="4" w:space="0" w:color="000000"/>
              <w:right w:val="single" w:sz="4" w:space="0" w:color="000000"/>
            </w:tcBorders>
          </w:tcPr>
          <w:p w14:paraId="033ABEAD"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Journalisation horodatée des événements significatifs</w:t>
            </w:r>
          </w:p>
        </w:tc>
        <w:tc>
          <w:tcPr>
            <w:tcW w:w="1300" w:type="dxa"/>
            <w:tcBorders>
              <w:top w:val="single" w:sz="4" w:space="0" w:color="000000"/>
              <w:left w:val="single" w:sz="4" w:space="0" w:color="000000"/>
              <w:bottom w:val="single" w:sz="4" w:space="0" w:color="000000"/>
              <w:right w:val="single" w:sz="4" w:space="0" w:color="000000"/>
            </w:tcBorders>
          </w:tcPr>
          <w:p w14:paraId="7FB19756"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EX-F-10</w:t>
            </w:r>
          </w:p>
        </w:tc>
        <w:tc>
          <w:tcPr>
            <w:tcW w:w="1200" w:type="dxa"/>
            <w:tcBorders>
              <w:top w:val="single" w:sz="4" w:space="0" w:color="000000"/>
              <w:left w:val="single" w:sz="4" w:space="0" w:color="000000"/>
              <w:bottom w:val="single" w:sz="4" w:space="0" w:color="000000"/>
              <w:right w:val="single" w:sz="4" w:space="0" w:color="000000"/>
            </w:tcBorders>
          </w:tcPr>
          <w:p w14:paraId="5B07B530"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RT7, RT8</w:t>
            </w:r>
          </w:p>
        </w:tc>
        <w:tc>
          <w:tcPr>
            <w:tcW w:w="2057" w:type="dxa"/>
            <w:tcBorders>
              <w:top w:val="single" w:sz="4" w:space="0" w:color="000000"/>
              <w:left w:val="single" w:sz="4" w:space="0" w:color="000000"/>
              <w:bottom w:val="single" w:sz="4" w:space="0" w:color="000000"/>
              <w:right w:val="single" w:sz="4" w:space="0" w:color="000000"/>
            </w:tcBorders>
          </w:tcPr>
          <w:p w14:paraId="51BED62B"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Inspection des journaux lors des essais</w:t>
            </w:r>
          </w:p>
        </w:tc>
      </w:tr>
      <w:tr w:rsidR="00F50D70" w:rsidRPr="00BE4F47" w14:paraId="26360215" w14:textId="77777777">
        <w:trPr>
          <w:cantSplit/>
        </w:trPr>
        <w:tc>
          <w:tcPr>
            <w:tcW w:w="1900" w:type="dxa"/>
            <w:tcBorders>
              <w:top w:val="single" w:sz="4" w:space="0" w:color="000000"/>
              <w:left w:val="single" w:sz="4" w:space="0" w:color="000000"/>
              <w:bottom w:val="single" w:sz="4" w:space="0" w:color="000000"/>
              <w:right w:val="single" w:sz="4" w:space="0" w:color="000000"/>
            </w:tcBorders>
          </w:tcPr>
          <w:p w14:paraId="09BAF531"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Risques santé, sécurité et publics</w:t>
            </w:r>
          </w:p>
        </w:tc>
        <w:tc>
          <w:tcPr>
            <w:tcW w:w="2100" w:type="dxa"/>
            <w:tcBorders>
              <w:top w:val="single" w:sz="4" w:space="0" w:color="000000"/>
              <w:left w:val="single" w:sz="4" w:space="0" w:color="000000"/>
              <w:bottom w:val="single" w:sz="4" w:space="0" w:color="000000"/>
              <w:right w:val="single" w:sz="4" w:space="0" w:color="000000"/>
            </w:tcBorders>
          </w:tcPr>
          <w:p w14:paraId="645D0BC0"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Analyse de la chaîne menant du dysfonctionnement à la décision humaine</w:t>
            </w:r>
          </w:p>
        </w:tc>
        <w:tc>
          <w:tcPr>
            <w:tcW w:w="1300" w:type="dxa"/>
            <w:tcBorders>
              <w:top w:val="single" w:sz="4" w:space="0" w:color="000000"/>
              <w:left w:val="single" w:sz="4" w:space="0" w:color="000000"/>
              <w:bottom w:val="single" w:sz="4" w:space="0" w:color="000000"/>
              <w:right w:val="single" w:sz="4" w:space="0" w:color="000000"/>
            </w:tcBorders>
          </w:tcPr>
          <w:p w14:paraId="6098B25E"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EX-C-03</w:t>
            </w:r>
          </w:p>
        </w:tc>
        <w:tc>
          <w:tcPr>
            <w:tcW w:w="1200" w:type="dxa"/>
            <w:tcBorders>
              <w:top w:val="single" w:sz="4" w:space="0" w:color="000000"/>
              <w:left w:val="single" w:sz="4" w:space="0" w:color="000000"/>
              <w:bottom w:val="single" w:sz="4" w:space="0" w:color="000000"/>
              <w:right w:val="single" w:sz="4" w:space="0" w:color="000000"/>
            </w:tcBorders>
          </w:tcPr>
          <w:p w14:paraId="5CFFB662"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RT5</w:t>
            </w:r>
          </w:p>
        </w:tc>
        <w:tc>
          <w:tcPr>
            <w:tcW w:w="2057" w:type="dxa"/>
            <w:tcBorders>
              <w:top w:val="single" w:sz="4" w:space="0" w:color="000000"/>
              <w:left w:val="single" w:sz="4" w:space="0" w:color="000000"/>
              <w:bottom w:val="single" w:sz="4" w:space="0" w:color="000000"/>
              <w:right w:val="single" w:sz="4" w:space="0" w:color="000000"/>
            </w:tcBorders>
          </w:tcPr>
          <w:p w14:paraId="5904BF91"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Revue de la section 7.1 au jalon J5</w:t>
            </w:r>
          </w:p>
        </w:tc>
      </w:tr>
      <w:tr w:rsidR="00F50D70" w:rsidRPr="00BE4F47" w14:paraId="716C5832" w14:textId="77777777">
        <w:trPr>
          <w:cantSplit/>
        </w:trPr>
        <w:tc>
          <w:tcPr>
            <w:tcW w:w="1900" w:type="dxa"/>
            <w:tcBorders>
              <w:top w:val="single" w:sz="4" w:space="0" w:color="000000"/>
              <w:left w:val="single" w:sz="4" w:space="0" w:color="000000"/>
              <w:bottom w:val="single" w:sz="4" w:space="0" w:color="000000"/>
              <w:right w:val="single" w:sz="4" w:space="0" w:color="000000"/>
            </w:tcBorders>
          </w:tcPr>
          <w:p w14:paraId="00FAA265"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Cadre législatif et normatif</w:t>
            </w:r>
          </w:p>
        </w:tc>
        <w:tc>
          <w:tcPr>
            <w:tcW w:w="2100" w:type="dxa"/>
            <w:tcBorders>
              <w:top w:val="single" w:sz="4" w:space="0" w:color="000000"/>
              <w:left w:val="single" w:sz="4" w:space="0" w:color="000000"/>
              <w:bottom w:val="single" w:sz="4" w:space="0" w:color="000000"/>
              <w:right w:val="single" w:sz="4" w:space="0" w:color="000000"/>
            </w:tcBorders>
          </w:tcPr>
          <w:p w14:paraId="2A34AA1A"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Rattachement aux lois, règlements et normes retenus</w:t>
            </w:r>
          </w:p>
        </w:tc>
        <w:tc>
          <w:tcPr>
            <w:tcW w:w="1300" w:type="dxa"/>
            <w:tcBorders>
              <w:top w:val="single" w:sz="4" w:space="0" w:color="000000"/>
              <w:left w:val="single" w:sz="4" w:space="0" w:color="000000"/>
              <w:bottom w:val="single" w:sz="4" w:space="0" w:color="000000"/>
              <w:right w:val="single" w:sz="4" w:space="0" w:color="000000"/>
            </w:tcBorders>
          </w:tcPr>
          <w:p w14:paraId="416E5DC5"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EX-C-01</w:t>
            </w:r>
          </w:p>
        </w:tc>
        <w:tc>
          <w:tcPr>
            <w:tcW w:w="1200" w:type="dxa"/>
            <w:tcBorders>
              <w:top w:val="single" w:sz="4" w:space="0" w:color="000000"/>
              <w:left w:val="single" w:sz="4" w:space="0" w:color="000000"/>
              <w:bottom w:val="single" w:sz="4" w:space="0" w:color="000000"/>
              <w:right w:val="single" w:sz="4" w:space="0" w:color="000000"/>
            </w:tcBorders>
          </w:tcPr>
          <w:p w14:paraId="421027FE"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RT4</w:t>
            </w:r>
          </w:p>
        </w:tc>
        <w:tc>
          <w:tcPr>
            <w:tcW w:w="2057" w:type="dxa"/>
            <w:tcBorders>
              <w:top w:val="single" w:sz="4" w:space="0" w:color="000000"/>
              <w:left w:val="single" w:sz="4" w:space="0" w:color="000000"/>
              <w:bottom w:val="single" w:sz="4" w:space="0" w:color="000000"/>
              <w:right w:val="single" w:sz="4" w:space="0" w:color="000000"/>
            </w:tcBorders>
          </w:tcPr>
          <w:p w14:paraId="00DB2022"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Revue croisée avec la section des normes</w:t>
            </w:r>
          </w:p>
        </w:tc>
      </w:tr>
    </w:tbl>
    <w:p w14:paraId="2AAC6684" w14:textId="77777777" w:rsidR="00F50D70" w:rsidRPr="00B36301" w:rsidRDefault="00137D7F" w:rsidP="008E113B">
      <w:pPr>
        <w:pStyle w:val="Titre1"/>
        <w:spacing w:line="360" w:lineRule="auto"/>
      </w:pPr>
      <w:bookmarkStart w:id="1166" w:name="_Toc241707991"/>
      <w:bookmarkStart w:id="1167" w:name="_Toc241791940"/>
      <w:r w:rsidRPr="00B36301">
        <w:t>Estimation des ressources nécessaires au projet</w:t>
      </w:r>
      <w:bookmarkEnd w:id="1166"/>
      <w:bookmarkEnd w:id="1167"/>
    </w:p>
    <w:p w14:paraId="32E58DB3" w14:textId="77777777" w:rsidR="00F50D70" w:rsidRPr="00BE4F47" w:rsidRDefault="00137D7F" w:rsidP="008E113B">
      <w:pPr>
        <w:spacing w:before="200" w:after="130" w:line="360" w:lineRule="auto"/>
        <w:ind w:left="360"/>
        <w:rPr>
          <w:rFonts w:ascii="Aptos" w:hAnsi="Aptos"/>
        </w:rPr>
      </w:pPr>
      <w:bookmarkStart w:id="1168" w:name="_Toc241083113"/>
      <w:bookmarkStart w:id="1169" w:name="_Toc241670284"/>
      <w:bookmarkStart w:id="1170" w:name="_Toc241707992"/>
      <w:bookmarkStart w:id="1171" w:name="_Toc241791941"/>
      <w:r w:rsidRPr="00BE4F47">
        <w:rPr>
          <w:rFonts w:ascii="Aptos" w:hAnsi="Aptos"/>
          <w:color w:val="1A1A19"/>
          <w:sz w:val="20"/>
          <w:szCs w:val="20"/>
        </w:rPr>
        <w:t>Les sections précédentes ont défini le travail, son cadre et ses risques. Celle-ci le convertit en ressources. Elle fixe les hypothèses de l’estimation, découpe l’effort en neuf lots de travail, puis recense les ressources matérielles, logicielles et normatives nécessaires.</w:t>
      </w:r>
      <w:bookmarkEnd w:id="1168"/>
      <w:bookmarkEnd w:id="1169"/>
      <w:bookmarkEnd w:id="1170"/>
      <w:bookmarkEnd w:id="1171"/>
    </w:p>
    <w:p w14:paraId="2B79EB43" w14:textId="77777777" w:rsidR="00F50D70" w:rsidRPr="00B36301" w:rsidRDefault="00137D7F" w:rsidP="008E113B">
      <w:pPr>
        <w:pStyle w:val="Titre2"/>
        <w:spacing w:line="360" w:lineRule="auto"/>
      </w:pPr>
      <w:bookmarkStart w:id="1172" w:name="_Toc241707993"/>
      <w:bookmarkStart w:id="1173" w:name="_Toc241791942"/>
      <w:r w:rsidRPr="00B36301">
        <w:t>Méthode d’estimation et classe de l’estimation</w:t>
      </w:r>
      <w:bookmarkEnd w:id="1172"/>
      <w:bookmarkEnd w:id="1173"/>
    </w:p>
    <w:p w14:paraId="7F433E01" w14:textId="77777777" w:rsidR="00F50D70" w:rsidRPr="00BE4F47" w:rsidRDefault="00137D7F" w:rsidP="008E113B">
      <w:pPr>
        <w:spacing w:after="130" w:line="360" w:lineRule="auto"/>
        <w:ind w:left="360"/>
        <w:rPr>
          <w:rFonts w:ascii="Aptos" w:eastAsia="Calibri" w:hAnsi="Aptos" w:cs="Calibri"/>
          <w:color w:val="1A1A19"/>
          <w:sz w:val="20"/>
          <w:szCs w:val="20"/>
        </w:rPr>
      </w:pPr>
      <w:bookmarkStart w:id="1174" w:name="_Toc241083115"/>
      <w:bookmarkStart w:id="1175" w:name="_Toc241670286"/>
      <w:bookmarkStart w:id="1176" w:name="_Toc241707994"/>
      <w:bookmarkStart w:id="1177" w:name="_Toc241791943"/>
      <w:r w:rsidRPr="00BE4F47">
        <w:rPr>
          <w:rFonts w:ascii="Aptos" w:hAnsi="Aptos"/>
          <w:color w:val="1A1A19"/>
          <w:sz w:val="20"/>
          <w:szCs w:val="20"/>
        </w:rPr>
        <w:t>L’estimation est ascendante. L’effort est évalué lot de travail par lot de travail, à partir de la structure de découpage du projet. Le total est ensuite rapproché de l’enveloppe imposée au mandat.</w:t>
      </w:r>
      <w:bookmarkEnd w:id="1174"/>
      <w:bookmarkEnd w:id="1175"/>
      <w:bookmarkEnd w:id="1176"/>
      <w:bookmarkEnd w:id="1177"/>
    </w:p>
    <w:p w14:paraId="51AEB64E" w14:textId="4C875540" w:rsidR="00F50D70" w:rsidRPr="00BE4F47" w:rsidRDefault="00137D7F" w:rsidP="008E113B">
      <w:pPr>
        <w:spacing w:after="130" w:line="360" w:lineRule="auto"/>
        <w:ind w:left="360"/>
        <w:rPr>
          <w:rFonts w:ascii="Aptos" w:eastAsia="Calibri" w:hAnsi="Aptos" w:cs="Calibri"/>
          <w:color w:val="1A1A19"/>
          <w:sz w:val="20"/>
          <w:szCs w:val="20"/>
        </w:rPr>
      </w:pPr>
      <w:bookmarkStart w:id="1178" w:name="_Toc241083116"/>
      <w:bookmarkStart w:id="1179" w:name="_Toc241670287"/>
      <w:bookmarkStart w:id="1180" w:name="_Toc241707995"/>
      <w:bookmarkStart w:id="1181" w:name="_Toc241791944"/>
      <w:r w:rsidRPr="00BE4F47">
        <w:rPr>
          <w:rFonts w:ascii="Aptos" w:hAnsi="Aptos"/>
          <w:color w:val="1A1A19"/>
          <w:sz w:val="20"/>
          <w:szCs w:val="20"/>
        </w:rPr>
        <w:t>Cette enveloppe est la capacité disponible, et non un besoin estimé : le mandat accorde 135 heures par membre, soit 1 080 heures. L’estimation ascendante sert à vérifier que le travail prévu entre dans cette capacité. Le tableau 8-2 montre que c’est le cas, et la répartition par phase de la section 10 le confirme </w:t>
      </w:r>
      <w:r w:rsidRPr="009C0602">
        <w:rPr>
          <w:rFonts w:ascii="Aptos" w:hAnsi="Aptos"/>
          <w:color w:val="1A1A19"/>
          <w:sz w:val="20"/>
          <w:szCs w:val="20"/>
        </w:rPr>
        <w:t xml:space="preserve">: </w:t>
      </w:r>
      <w:r w:rsidR="009C0602" w:rsidRPr="009C0602">
        <w:rPr>
          <w:rFonts w:ascii="Aptos" w:hAnsi="Aptos"/>
          <w:color w:val="1A1A19"/>
          <w:sz w:val="20"/>
          <w:szCs w:val="20"/>
        </w:rPr>
        <w:t xml:space="preserve">la charge moyenne de l’équipe est d’environ </w:t>
      </w:r>
      <w:r w:rsidR="009C0602">
        <w:rPr>
          <w:rFonts w:ascii="Aptos" w:hAnsi="Aptos"/>
          <w:color w:val="1A1A19"/>
          <w:sz w:val="20"/>
          <w:szCs w:val="20"/>
        </w:rPr>
        <w:t xml:space="preserve">neuf </w:t>
      </w:r>
      <w:r w:rsidR="009C0602" w:rsidRPr="009C0602">
        <w:rPr>
          <w:rFonts w:ascii="Aptos" w:hAnsi="Aptos"/>
          <w:color w:val="1A1A19"/>
          <w:sz w:val="20"/>
          <w:szCs w:val="20"/>
        </w:rPr>
        <w:t>heures par personne et par semaine au maximum</w:t>
      </w:r>
      <w:r w:rsidRPr="00BE4F47">
        <w:rPr>
          <w:rFonts w:ascii="Aptos" w:hAnsi="Aptos"/>
          <w:color w:val="1A1A19"/>
          <w:sz w:val="20"/>
          <w:szCs w:val="20"/>
        </w:rPr>
        <w:t>.</w:t>
      </w:r>
      <w:bookmarkEnd w:id="1178"/>
      <w:bookmarkEnd w:id="1179"/>
      <w:bookmarkEnd w:id="1180"/>
      <w:bookmarkEnd w:id="1181"/>
    </w:p>
    <w:p w14:paraId="3694B79C" w14:textId="77777777" w:rsidR="00F50D70" w:rsidRPr="00BE4F47" w:rsidRDefault="00137D7F" w:rsidP="008E113B">
      <w:pPr>
        <w:spacing w:after="130" w:line="360" w:lineRule="auto"/>
        <w:ind w:left="360"/>
        <w:rPr>
          <w:rFonts w:ascii="Aptos" w:hAnsi="Aptos"/>
        </w:rPr>
      </w:pPr>
      <w:bookmarkStart w:id="1182" w:name="_Toc241083117"/>
      <w:bookmarkStart w:id="1183" w:name="_Toc241670288"/>
      <w:bookmarkStart w:id="1184" w:name="_Toc241707996"/>
      <w:bookmarkStart w:id="1185" w:name="_Toc241791945"/>
      <w:r w:rsidRPr="00BE4F47">
        <w:rPr>
          <w:rFonts w:ascii="Aptos" w:hAnsi="Aptos"/>
          <w:color w:val="1A1A19"/>
          <w:sz w:val="20"/>
          <w:szCs w:val="20"/>
        </w:rPr>
        <w:t>Au stade du plan de projet, le contenu technique n’est défini qu’à quelques pour cent. La classification de l’AACE International vise les projets d’ingénierie, d’approvisionnement et de construction des industries de procédés, et non le développement logiciel : elle est employée ici par analogie. Sur cette base, l’estimation appartient à la classe 5 : niveau de définition de 0 à 2 %, exactitude de −20 % à −50 % du côté bas et de +30 % à +100 % du côté haut [45]. Les chiffres ci-dessous servent à cadrer le mandat et à préparer le bordereau de prix. Ils n’engagent pas l’équipe sur un montant final.</w:t>
      </w:r>
      <w:bookmarkEnd w:id="1182"/>
      <w:bookmarkEnd w:id="1183"/>
      <w:bookmarkEnd w:id="1184"/>
      <w:bookmarkEnd w:id="1185"/>
    </w:p>
    <w:p w14:paraId="0254BD62" w14:textId="77777777" w:rsidR="00F50D70" w:rsidRPr="00BE4F47" w:rsidRDefault="00137D7F" w:rsidP="008E113B">
      <w:pPr>
        <w:spacing w:after="130" w:line="360" w:lineRule="auto"/>
        <w:ind w:left="360"/>
        <w:rPr>
          <w:rFonts w:ascii="Aptos" w:eastAsia="Calibri" w:hAnsi="Aptos" w:cs="Calibri"/>
          <w:color w:val="1A1A19"/>
          <w:sz w:val="20"/>
          <w:szCs w:val="20"/>
        </w:rPr>
      </w:pPr>
      <w:bookmarkStart w:id="1186" w:name="_Toc241083118"/>
      <w:bookmarkStart w:id="1187" w:name="_Toc241670289"/>
      <w:bookmarkStart w:id="1188" w:name="_Toc241707997"/>
      <w:bookmarkStart w:id="1189" w:name="_Toc241791946"/>
      <w:r w:rsidRPr="00BE4F47">
        <w:rPr>
          <w:rFonts w:ascii="Aptos" w:hAnsi="Aptos"/>
          <w:color w:val="1A1A19"/>
          <w:sz w:val="20"/>
          <w:szCs w:val="20"/>
        </w:rPr>
        <w:t>L’approbation du registre des exigences, au jalon J1 de la section 10, permettra de reprendre l’estimation sur une base mieux définie. Le passage en classe 4 dépendra du niveau de définition alors atteint : il n’en découle pas automatiquement.</w:t>
      </w:r>
      <w:bookmarkEnd w:id="1186"/>
      <w:bookmarkEnd w:id="1187"/>
      <w:bookmarkEnd w:id="1188"/>
      <w:bookmarkEnd w:id="1189"/>
    </w:p>
    <w:p w14:paraId="07F206B0" w14:textId="77777777" w:rsidR="00F50D70" w:rsidRPr="00BE4F47" w:rsidRDefault="00137D7F" w:rsidP="008E113B">
      <w:pPr>
        <w:spacing w:after="130" w:line="360" w:lineRule="auto"/>
        <w:ind w:left="360"/>
        <w:rPr>
          <w:rFonts w:ascii="Aptos" w:eastAsia="Calibri" w:hAnsi="Aptos" w:cs="Calibri"/>
          <w:color w:val="1A1A19"/>
          <w:sz w:val="20"/>
          <w:szCs w:val="20"/>
        </w:rPr>
      </w:pPr>
      <w:bookmarkStart w:id="1190" w:name="_Toc241083119"/>
      <w:bookmarkStart w:id="1191" w:name="_Toc241670290"/>
      <w:bookmarkStart w:id="1192" w:name="_Toc241707998"/>
      <w:bookmarkStart w:id="1193" w:name="_Toc241791947"/>
      <w:r w:rsidRPr="00BE4F47">
        <w:rPr>
          <w:rFonts w:ascii="Aptos" w:hAnsi="Aptos"/>
          <w:color w:val="1A1A19"/>
          <w:sz w:val="20"/>
          <w:szCs w:val="20"/>
        </w:rPr>
        <w:lastRenderedPageBreak/>
        <w:t>L’estimation repose sur les hypothèses de la section 8.2. Chacune a un effet direct sur le résultat. Elles doivent être présentées au client et au conseiller. Si l’une d’elles est infirmée, la présente section et le registre des risques de la section 7 sont révisés.</w:t>
      </w:r>
      <w:bookmarkEnd w:id="1190"/>
      <w:bookmarkEnd w:id="1191"/>
      <w:bookmarkEnd w:id="1192"/>
      <w:bookmarkEnd w:id="1193"/>
    </w:p>
    <w:p w14:paraId="6AF73640" w14:textId="77777777" w:rsidR="00F50D70" w:rsidRPr="00B36301" w:rsidRDefault="00137D7F" w:rsidP="008E113B">
      <w:pPr>
        <w:pStyle w:val="Titre2"/>
        <w:spacing w:line="360" w:lineRule="auto"/>
      </w:pPr>
      <w:bookmarkStart w:id="1194" w:name="_Toc241707999"/>
      <w:bookmarkStart w:id="1195" w:name="_Toc241791948"/>
      <w:r w:rsidRPr="00B36301">
        <w:t>Registre des hypothèses</w:t>
      </w:r>
      <w:bookmarkEnd w:id="1194"/>
      <w:bookmarkEnd w:id="1195"/>
    </w:p>
    <w:p w14:paraId="28E91B72" w14:textId="77777777" w:rsidR="00F50D70" w:rsidRPr="00BE4F47" w:rsidRDefault="00137D7F" w:rsidP="008E113B">
      <w:pPr>
        <w:spacing w:after="130" w:line="360" w:lineRule="auto"/>
        <w:ind w:left="360"/>
        <w:rPr>
          <w:rFonts w:ascii="Aptos" w:eastAsia="Calibri" w:hAnsi="Aptos" w:cs="Calibri"/>
          <w:color w:val="1A1A19"/>
          <w:sz w:val="20"/>
          <w:szCs w:val="20"/>
        </w:rPr>
      </w:pPr>
      <w:bookmarkStart w:id="1196" w:name="_Toc241083121"/>
      <w:bookmarkStart w:id="1197" w:name="_Toc241670292"/>
      <w:bookmarkStart w:id="1198" w:name="_Toc241708000"/>
      <w:bookmarkStart w:id="1199" w:name="_Toc241791949"/>
      <w:r w:rsidRPr="00BE4F47">
        <w:rPr>
          <w:rFonts w:ascii="Aptos" w:hAnsi="Aptos"/>
          <w:color w:val="1A1A19"/>
          <w:sz w:val="20"/>
          <w:szCs w:val="20"/>
        </w:rPr>
        <w:t>C’est le registre unique du plan de projet. Les autres sections y renvoient et n’en définissent pas d’autre. Chaque hypothèse porte l’effet de son infirmation et le risque de la section 7 qui la surveille.</w:t>
      </w:r>
      <w:bookmarkEnd w:id="1196"/>
      <w:bookmarkEnd w:id="1197"/>
      <w:bookmarkEnd w:id="1198"/>
      <w:bookmarkEnd w:id="1199"/>
    </w:p>
    <w:p w14:paraId="11CEA5D4" w14:textId="77777777" w:rsidR="00F50D70" w:rsidRPr="00BE4F47" w:rsidRDefault="00137D7F" w:rsidP="008E113B">
      <w:pPr>
        <w:pStyle w:val="Lgende"/>
        <w:keepNext/>
        <w:spacing w:line="360" w:lineRule="auto"/>
        <w:rPr>
          <w:rFonts w:ascii="Aptos" w:hAnsi="Aptos"/>
        </w:rPr>
      </w:pPr>
      <w:bookmarkStart w:id="1200" w:name="_Toc241083122"/>
      <w:bookmarkStart w:id="1201" w:name="_Toc241670293"/>
      <w:bookmarkStart w:id="1202" w:name="_Toc241708001"/>
      <w:bookmarkStart w:id="1203" w:name="_Toc241791950"/>
      <w:r w:rsidRPr="00BE4F47">
        <w:rPr>
          <w:rFonts w:ascii="Aptos" w:hAnsi="Aptos"/>
        </w:rPr>
        <w:t>Tableau 8-1. Registre des hypothèses de l’estimation</w:t>
      </w:r>
      <w:bookmarkEnd w:id="1200"/>
      <w:bookmarkEnd w:id="1201"/>
      <w:bookmarkEnd w:id="1202"/>
      <w:bookmarkEnd w:id="1203"/>
    </w:p>
    <w:tbl>
      <w:tblPr>
        <w:tblW w:w="8557" w:type="dxa"/>
        <w:tblInd w:w="413" w:type="dxa"/>
        <w:tblLayout w:type="fixed"/>
        <w:tblCellMar>
          <w:top w:w="55" w:type="dxa"/>
          <w:left w:w="85" w:type="dxa"/>
          <w:bottom w:w="55" w:type="dxa"/>
          <w:right w:w="85" w:type="dxa"/>
        </w:tblCellMar>
        <w:tblLook w:val="04A0" w:firstRow="1" w:lastRow="0" w:firstColumn="1" w:lastColumn="0" w:noHBand="0" w:noVBand="1"/>
      </w:tblPr>
      <w:tblGrid>
        <w:gridCol w:w="567"/>
        <w:gridCol w:w="3291"/>
        <w:gridCol w:w="3236"/>
        <w:gridCol w:w="1463"/>
      </w:tblGrid>
      <w:tr w:rsidR="00F50D70" w:rsidRPr="00BE4F47" w14:paraId="4C6E9FAE" w14:textId="77777777">
        <w:trPr>
          <w:tblHeader/>
        </w:trPr>
        <w:tc>
          <w:tcPr>
            <w:tcW w:w="567" w:type="dxa"/>
            <w:tcBorders>
              <w:top w:val="single" w:sz="4" w:space="0" w:color="000000"/>
              <w:left w:val="single" w:sz="4" w:space="0" w:color="000000"/>
              <w:bottom w:val="single" w:sz="4" w:space="0" w:color="000000"/>
              <w:right w:val="single" w:sz="4" w:space="0" w:color="000000"/>
            </w:tcBorders>
            <w:shd w:val="clear" w:color="auto" w:fill="EFF4FB"/>
          </w:tcPr>
          <w:p w14:paraId="3FBC7F72"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Réf.</w:t>
            </w:r>
          </w:p>
        </w:tc>
        <w:tc>
          <w:tcPr>
            <w:tcW w:w="3291" w:type="dxa"/>
            <w:tcBorders>
              <w:top w:val="single" w:sz="4" w:space="0" w:color="000000"/>
              <w:left w:val="single" w:sz="4" w:space="0" w:color="000000"/>
              <w:bottom w:val="single" w:sz="4" w:space="0" w:color="000000"/>
              <w:right w:val="single" w:sz="4" w:space="0" w:color="000000"/>
            </w:tcBorders>
            <w:shd w:val="clear" w:color="auto" w:fill="EFF4FB"/>
          </w:tcPr>
          <w:p w14:paraId="3D72128E"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Hypothèse</w:t>
            </w:r>
          </w:p>
        </w:tc>
        <w:tc>
          <w:tcPr>
            <w:tcW w:w="3236" w:type="dxa"/>
            <w:tcBorders>
              <w:top w:val="single" w:sz="4" w:space="0" w:color="000000"/>
              <w:left w:val="single" w:sz="4" w:space="0" w:color="000000"/>
              <w:bottom w:val="single" w:sz="4" w:space="0" w:color="000000"/>
              <w:right w:val="single" w:sz="4" w:space="0" w:color="000000"/>
            </w:tcBorders>
            <w:shd w:val="clear" w:color="auto" w:fill="EFF4FB"/>
          </w:tcPr>
          <w:p w14:paraId="5C3E98C4"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Effet si elle est infirmée</w:t>
            </w:r>
          </w:p>
        </w:tc>
        <w:tc>
          <w:tcPr>
            <w:tcW w:w="1463" w:type="dxa"/>
            <w:tcBorders>
              <w:top w:val="single" w:sz="4" w:space="0" w:color="000000"/>
              <w:left w:val="single" w:sz="4" w:space="0" w:color="000000"/>
              <w:bottom w:val="single" w:sz="4" w:space="0" w:color="000000"/>
              <w:right w:val="single" w:sz="4" w:space="0" w:color="000000"/>
            </w:tcBorders>
            <w:shd w:val="clear" w:color="auto" w:fill="EFF4FB"/>
          </w:tcPr>
          <w:p w14:paraId="68778678"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Risque associé</w:t>
            </w:r>
          </w:p>
        </w:tc>
      </w:tr>
      <w:tr w:rsidR="00F50D70" w:rsidRPr="00BE4F47" w14:paraId="6B3BAE7E" w14:textId="77777777">
        <w:trPr>
          <w:cantSplit/>
        </w:trPr>
        <w:tc>
          <w:tcPr>
            <w:tcW w:w="567" w:type="dxa"/>
            <w:tcBorders>
              <w:top w:val="single" w:sz="4" w:space="0" w:color="000000"/>
              <w:left w:val="single" w:sz="4" w:space="0" w:color="000000"/>
              <w:bottom w:val="single" w:sz="4" w:space="0" w:color="000000"/>
              <w:right w:val="single" w:sz="4" w:space="0" w:color="000000"/>
            </w:tcBorders>
          </w:tcPr>
          <w:p w14:paraId="4AF0BA3D"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H-01</w:t>
            </w:r>
          </w:p>
        </w:tc>
        <w:tc>
          <w:tcPr>
            <w:tcW w:w="3291" w:type="dxa"/>
            <w:tcBorders>
              <w:top w:val="single" w:sz="4" w:space="0" w:color="000000"/>
              <w:left w:val="single" w:sz="4" w:space="0" w:color="000000"/>
              <w:bottom w:val="single" w:sz="4" w:space="0" w:color="000000"/>
              <w:right w:val="single" w:sz="4" w:space="0" w:color="000000"/>
            </w:tcBorders>
          </w:tcPr>
          <w:p w14:paraId="1025A2CF"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L’équipe compte 8 membres. Chaque membre consacre 135 heures au mandat, soit 1 080 heures au total. Ces 135 heures couvrent l’ensemble de l’effort porté au mandat, y compris les ateliers et la formation continue.</w:t>
            </w:r>
          </w:p>
        </w:tc>
        <w:tc>
          <w:tcPr>
            <w:tcW w:w="3236" w:type="dxa"/>
            <w:tcBorders>
              <w:top w:val="single" w:sz="4" w:space="0" w:color="000000"/>
              <w:left w:val="single" w:sz="4" w:space="0" w:color="000000"/>
              <w:bottom w:val="single" w:sz="4" w:space="0" w:color="000000"/>
              <w:right w:val="single" w:sz="4" w:space="0" w:color="000000"/>
            </w:tcBorders>
          </w:tcPr>
          <w:p w14:paraId="0EE3A137"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Toute l’estimation est proportionnelle à ce nombre.</w:t>
            </w:r>
          </w:p>
        </w:tc>
        <w:tc>
          <w:tcPr>
            <w:tcW w:w="1463" w:type="dxa"/>
            <w:tcBorders>
              <w:top w:val="single" w:sz="4" w:space="0" w:color="000000"/>
              <w:left w:val="single" w:sz="4" w:space="0" w:color="000000"/>
              <w:bottom w:val="single" w:sz="4" w:space="0" w:color="000000"/>
              <w:right w:val="single" w:sz="4" w:space="0" w:color="000000"/>
            </w:tcBorders>
          </w:tcPr>
          <w:p w14:paraId="4DAC6F6E"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RP2</w:t>
            </w:r>
          </w:p>
        </w:tc>
      </w:tr>
      <w:tr w:rsidR="00F50D70" w:rsidRPr="00BE4F47" w14:paraId="2F1EADFA" w14:textId="77777777">
        <w:trPr>
          <w:cantSplit/>
        </w:trPr>
        <w:tc>
          <w:tcPr>
            <w:tcW w:w="567" w:type="dxa"/>
            <w:tcBorders>
              <w:top w:val="single" w:sz="4" w:space="0" w:color="000000"/>
              <w:left w:val="single" w:sz="4" w:space="0" w:color="000000"/>
              <w:bottom w:val="single" w:sz="4" w:space="0" w:color="000000"/>
              <w:right w:val="single" w:sz="4" w:space="0" w:color="000000"/>
            </w:tcBorders>
          </w:tcPr>
          <w:p w14:paraId="6BA20850"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H-02</w:t>
            </w:r>
          </w:p>
        </w:tc>
        <w:tc>
          <w:tcPr>
            <w:tcW w:w="3291" w:type="dxa"/>
            <w:tcBorders>
              <w:top w:val="single" w:sz="4" w:space="0" w:color="000000"/>
              <w:left w:val="single" w:sz="4" w:space="0" w:color="000000"/>
              <w:bottom w:val="single" w:sz="4" w:space="0" w:color="000000"/>
              <w:right w:val="single" w:sz="4" w:space="0" w:color="000000"/>
            </w:tcBorders>
          </w:tcPr>
          <w:p w14:paraId="4225DEAC"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Aucune boucle thermohydraulique physique n’est mise à la disposition de l’équipe. Le système de référence auquel le jumeau numérique est comparé est un second modèle numérique, de fidélité supérieure et développé indépendamment. Ce second modèle joue le rôle de banc d’essai.</w:t>
            </w:r>
          </w:p>
        </w:tc>
        <w:tc>
          <w:tcPr>
            <w:tcW w:w="3236" w:type="dxa"/>
            <w:tcBorders>
              <w:top w:val="single" w:sz="4" w:space="0" w:color="000000"/>
              <w:left w:val="single" w:sz="4" w:space="0" w:color="000000"/>
              <w:bottom w:val="single" w:sz="4" w:space="0" w:color="000000"/>
              <w:right w:val="single" w:sz="4" w:space="0" w:color="000000"/>
            </w:tcBorders>
          </w:tcPr>
          <w:p w14:paraId="41DC3ED5"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Majeur. Un banc physique ferait basculer le projet dans une autre classe de budget, avec achat, instrumentation et sécurité. L’enveloppe de 1 080 heures deviendrait intenable.</w:t>
            </w:r>
          </w:p>
        </w:tc>
        <w:tc>
          <w:tcPr>
            <w:tcW w:w="1463" w:type="dxa"/>
            <w:tcBorders>
              <w:top w:val="single" w:sz="4" w:space="0" w:color="000000"/>
              <w:left w:val="single" w:sz="4" w:space="0" w:color="000000"/>
              <w:bottom w:val="single" w:sz="4" w:space="0" w:color="000000"/>
              <w:right w:val="single" w:sz="4" w:space="0" w:color="000000"/>
            </w:tcBorders>
          </w:tcPr>
          <w:p w14:paraId="39633CC2"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RP3</w:t>
            </w:r>
          </w:p>
        </w:tc>
      </w:tr>
      <w:tr w:rsidR="00F50D70" w:rsidRPr="00BE4F47" w14:paraId="5D1602E7" w14:textId="77777777">
        <w:trPr>
          <w:cantSplit/>
        </w:trPr>
        <w:tc>
          <w:tcPr>
            <w:tcW w:w="567" w:type="dxa"/>
            <w:tcBorders>
              <w:top w:val="single" w:sz="4" w:space="0" w:color="000000"/>
              <w:left w:val="single" w:sz="4" w:space="0" w:color="000000"/>
              <w:bottom w:val="single" w:sz="4" w:space="0" w:color="000000"/>
              <w:right w:val="single" w:sz="4" w:space="0" w:color="000000"/>
            </w:tcBorders>
          </w:tcPr>
          <w:p w14:paraId="47051EF2"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H-03</w:t>
            </w:r>
          </w:p>
        </w:tc>
        <w:tc>
          <w:tcPr>
            <w:tcW w:w="3291" w:type="dxa"/>
            <w:tcBorders>
              <w:top w:val="single" w:sz="4" w:space="0" w:color="000000"/>
              <w:left w:val="single" w:sz="4" w:space="0" w:color="000000"/>
              <w:bottom w:val="single" w:sz="4" w:space="0" w:color="000000"/>
              <w:right w:val="single" w:sz="4" w:space="0" w:color="000000"/>
            </w:tcBorders>
          </w:tcPr>
          <w:p w14:paraId="2A80FC90"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Aucune donnée d’exploitation réelle de Gentilly-2 n’est accessible. Les jeux de données d’essai sont synthétiques. Ils sont générés par le modèle de référence, puis bruités et dégradés pour reproduire les défauts de capteurs étudiés.</w:t>
            </w:r>
          </w:p>
        </w:tc>
        <w:tc>
          <w:tcPr>
            <w:tcW w:w="3236" w:type="dxa"/>
            <w:tcBorders>
              <w:top w:val="single" w:sz="4" w:space="0" w:color="000000"/>
              <w:left w:val="single" w:sz="4" w:space="0" w:color="000000"/>
              <w:bottom w:val="single" w:sz="4" w:space="0" w:color="000000"/>
              <w:right w:val="single" w:sz="4" w:space="0" w:color="000000"/>
            </w:tcBorders>
          </w:tcPr>
          <w:p w14:paraId="3165E134"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La campagne d’essais et la portée des conclusions devraient être redéfinies.</w:t>
            </w:r>
          </w:p>
        </w:tc>
        <w:tc>
          <w:tcPr>
            <w:tcW w:w="1463" w:type="dxa"/>
            <w:tcBorders>
              <w:top w:val="single" w:sz="4" w:space="0" w:color="000000"/>
              <w:left w:val="single" w:sz="4" w:space="0" w:color="000000"/>
              <w:bottom w:val="single" w:sz="4" w:space="0" w:color="000000"/>
              <w:right w:val="single" w:sz="4" w:space="0" w:color="000000"/>
            </w:tcBorders>
          </w:tcPr>
          <w:p w14:paraId="2C7D46E8"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RT4</w:t>
            </w:r>
          </w:p>
        </w:tc>
      </w:tr>
      <w:tr w:rsidR="00F50D70" w:rsidRPr="00BE4F47" w14:paraId="0E9BCC37" w14:textId="77777777">
        <w:trPr>
          <w:cantSplit/>
        </w:trPr>
        <w:tc>
          <w:tcPr>
            <w:tcW w:w="567" w:type="dxa"/>
            <w:tcBorders>
              <w:top w:val="single" w:sz="4" w:space="0" w:color="000000"/>
              <w:left w:val="single" w:sz="4" w:space="0" w:color="000000"/>
              <w:bottom w:val="single" w:sz="4" w:space="0" w:color="000000"/>
              <w:right w:val="single" w:sz="4" w:space="0" w:color="000000"/>
            </w:tcBorders>
          </w:tcPr>
          <w:p w14:paraId="307A42D8"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H-04</w:t>
            </w:r>
          </w:p>
        </w:tc>
        <w:tc>
          <w:tcPr>
            <w:tcW w:w="3291" w:type="dxa"/>
            <w:tcBorders>
              <w:top w:val="single" w:sz="4" w:space="0" w:color="000000"/>
              <w:left w:val="single" w:sz="4" w:space="0" w:color="000000"/>
              <w:bottom w:val="single" w:sz="4" w:space="0" w:color="000000"/>
              <w:right w:val="single" w:sz="4" w:space="0" w:color="000000"/>
            </w:tcBorders>
          </w:tcPr>
          <w:p w14:paraId="5D6313A9"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Le prototype vise un niveau de maturité technologique TRL 3 à 4. La modélisation est de type 0D/1D à paramètres concentrés, en écoulement monophasique. La thermohydraulique diphasique et la mécanique des fluides numérique tridimensionnelle sont exclues.</w:t>
            </w:r>
          </w:p>
        </w:tc>
        <w:tc>
          <w:tcPr>
            <w:tcW w:w="3236" w:type="dxa"/>
            <w:tcBorders>
              <w:top w:val="single" w:sz="4" w:space="0" w:color="000000"/>
              <w:left w:val="single" w:sz="4" w:space="0" w:color="000000"/>
              <w:bottom w:val="single" w:sz="4" w:space="0" w:color="000000"/>
              <w:right w:val="single" w:sz="4" w:space="0" w:color="000000"/>
            </w:tcBorders>
          </w:tcPr>
          <w:p w14:paraId="3CF62744"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Un modèle diphasique ou tridimensionnel multiplierait l’effort de modélisation et de validation.</w:t>
            </w:r>
          </w:p>
        </w:tc>
        <w:tc>
          <w:tcPr>
            <w:tcW w:w="1463" w:type="dxa"/>
            <w:tcBorders>
              <w:top w:val="single" w:sz="4" w:space="0" w:color="000000"/>
              <w:left w:val="single" w:sz="4" w:space="0" w:color="000000"/>
              <w:bottom w:val="single" w:sz="4" w:space="0" w:color="000000"/>
              <w:right w:val="single" w:sz="4" w:space="0" w:color="000000"/>
            </w:tcBorders>
          </w:tcPr>
          <w:p w14:paraId="4A4D329F"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RT4</w:t>
            </w:r>
          </w:p>
        </w:tc>
      </w:tr>
      <w:tr w:rsidR="00F50D70" w:rsidRPr="00BE4F47" w14:paraId="7DEBECCB" w14:textId="77777777">
        <w:trPr>
          <w:cantSplit/>
        </w:trPr>
        <w:tc>
          <w:tcPr>
            <w:tcW w:w="567" w:type="dxa"/>
            <w:tcBorders>
              <w:top w:val="single" w:sz="4" w:space="0" w:color="000000"/>
              <w:left w:val="single" w:sz="4" w:space="0" w:color="000000"/>
              <w:bottom w:val="single" w:sz="4" w:space="0" w:color="000000"/>
              <w:right w:val="single" w:sz="4" w:space="0" w:color="000000"/>
            </w:tcBorders>
          </w:tcPr>
          <w:p w14:paraId="09F61447"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H-05</w:t>
            </w:r>
          </w:p>
        </w:tc>
        <w:tc>
          <w:tcPr>
            <w:tcW w:w="3291" w:type="dxa"/>
            <w:tcBorders>
              <w:top w:val="single" w:sz="4" w:space="0" w:color="000000"/>
              <w:left w:val="single" w:sz="4" w:space="0" w:color="000000"/>
              <w:bottom w:val="single" w:sz="4" w:space="0" w:color="000000"/>
              <w:right w:val="single" w:sz="4" w:space="0" w:color="000000"/>
            </w:tcBorders>
          </w:tcPr>
          <w:p w14:paraId="4074A768"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Les logiciels utilisés sont libres ou couverts par les licences académiques de l’UQAC. Le coût de licence imputé au mandat est donc nul. Ce point doit être déclaré au client, car un déploiement industriel ne bénéficierait pas de cet avantage.</w:t>
            </w:r>
          </w:p>
        </w:tc>
        <w:tc>
          <w:tcPr>
            <w:tcW w:w="3236" w:type="dxa"/>
            <w:tcBorders>
              <w:top w:val="single" w:sz="4" w:space="0" w:color="000000"/>
              <w:left w:val="single" w:sz="4" w:space="0" w:color="000000"/>
              <w:bottom w:val="single" w:sz="4" w:space="0" w:color="000000"/>
              <w:right w:val="single" w:sz="4" w:space="0" w:color="000000"/>
            </w:tcBorders>
          </w:tcPr>
          <w:p w14:paraId="564722C9"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Ajout de coûts de licence au bordereau de la section 9.</w:t>
            </w:r>
          </w:p>
        </w:tc>
        <w:tc>
          <w:tcPr>
            <w:tcW w:w="1463" w:type="dxa"/>
            <w:tcBorders>
              <w:top w:val="single" w:sz="4" w:space="0" w:color="000000"/>
              <w:left w:val="single" w:sz="4" w:space="0" w:color="000000"/>
              <w:bottom w:val="single" w:sz="4" w:space="0" w:color="000000"/>
              <w:right w:val="single" w:sz="4" w:space="0" w:color="000000"/>
            </w:tcBorders>
          </w:tcPr>
          <w:p w14:paraId="020E6957"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RP2</w:t>
            </w:r>
          </w:p>
        </w:tc>
      </w:tr>
      <w:tr w:rsidR="00F50D70" w:rsidRPr="00BE4F47" w14:paraId="0FAD3C52" w14:textId="77777777">
        <w:trPr>
          <w:cantSplit/>
        </w:trPr>
        <w:tc>
          <w:tcPr>
            <w:tcW w:w="567" w:type="dxa"/>
            <w:tcBorders>
              <w:top w:val="single" w:sz="4" w:space="0" w:color="000000"/>
              <w:left w:val="single" w:sz="4" w:space="0" w:color="000000"/>
              <w:bottom w:val="single" w:sz="4" w:space="0" w:color="000000"/>
              <w:right w:val="single" w:sz="4" w:space="0" w:color="000000"/>
            </w:tcBorders>
          </w:tcPr>
          <w:p w14:paraId="5EE81ECF"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H-06</w:t>
            </w:r>
          </w:p>
        </w:tc>
        <w:tc>
          <w:tcPr>
            <w:tcW w:w="3291" w:type="dxa"/>
            <w:tcBorders>
              <w:top w:val="single" w:sz="4" w:space="0" w:color="000000"/>
              <w:left w:val="single" w:sz="4" w:space="0" w:color="000000"/>
              <w:bottom w:val="single" w:sz="4" w:space="0" w:color="000000"/>
              <w:right w:val="single" w:sz="4" w:space="0" w:color="000000"/>
            </w:tcBorders>
          </w:tcPr>
          <w:p w14:paraId="09F2CDBC"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Les locaux, le réseau et la puissance de calcul nécessaires sont fournis par l’UQAC.</w:t>
            </w:r>
          </w:p>
        </w:tc>
        <w:tc>
          <w:tcPr>
            <w:tcW w:w="3236" w:type="dxa"/>
            <w:tcBorders>
              <w:top w:val="single" w:sz="4" w:space="0" w:color="000000"/>
              <w:left w:val="single" w:sz="4" w:space="0" w:color="000000"/>
              <w:bottom w:val="single" w:sz="4" w:space="0" w:color="000000"/>
              <w:right w:val="single" w:sz="4" w:space="0" w:color="000000"/>
            </w:tcBorders>
          </w:tcPr>
          <w:p w14:paraId="42CB534E"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Ajout d’un poste d’infrastructure infonuagique.</w:t>
            </w:r>
          </w:p>
        </w:tc>
        <w:tc>
          <w:tcPr>
            <w:tcW w:w="1463" w:type="dxa"/>
            <w:tcBorders>
              <w:top w:val="single" w:sz="4" w:space="0" w:color="000000"/>
              <w:left w:val="single" w:sz="4" w:space="0" w:color="000000"/>
              <w:bottom w:val="single" w:sz="4" w:space="0" w:color="000000"/>
              <w:right w:val="single" w:sz="4" w:space="0" w:color="000000"/>
            </w:tcBorders>
          </w:tcPr>
          <w:p w14:paraId="0D479F0C"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RP2</w:t>
            </w:r>
          </w:p>
        </w:tc>
      </w:tr>
      <w:tr w:rsidR="00F50D70" w:rsidRPr="00BE4F47" w14:paraId="468B4043" w14:textId="77777777">
        <w:trPr>
          <w:cantSplit/>
        </w:trPr>
        <w:tc>
          <w:tcPr>
            <w:tcW w:w="567" w:type="dxa"/>
            <w:tcBorders>
              <w:top w:val="single" w:sz="4" w:space="0" w:color="000000"/>
              <w:left w:val="single" w:sz="4" w:space="0" w:color="000000"/>
              <w:bottom w:val="single" w:sz="4" w:space="0" w:color="000000"/>
              <w:right w:val="single" w:sz="4" w:space="0" w:color="000000"/>
            </w:tcBorders>
          </w:tcPr>
          <w:p w14:paraId="03EFC8AB"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H-07</w:t>
            </w:r>
          </w:p>
        </w:tc>
        <w:tc>
          <w:tcPr>
            <w:tcW w:w="3291" w:type="dxa"/>
            <w:tcBorders>
              <w:top w:val="single" w:sz="4" w:space="0" w:color="000000"/>
              <w:left w:val="single" w:sz="4" w:space="0" w:color="000000"/>
              <w:bottom w:val="single" w:sz="4" w:space="0" w:color="000000"/>
              <w:right w:val="single" w:sz="4" w:space="0" w:color="000000"/>
            </w:tcBorders>
          </w:tcPr>
          <w:p w14:paraId="20F20869"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L’accès aux normes CSA, ISO, IEC et ASME se fait par l’abonnement institutionnel de la bibliothèque de l’UQAC.</w:t>
            </w:r>
          </w:p>
        </w:tc>
        <w:tc>
          <w:tcPr>
            <w:tcW w:w="3236" w:type="dxa"/>
            <w:tcBorders>
              <w:top w:val="single" w:sz="4" w:space="0" w:color="000000"/>
              <w:left w:val="single" w:sz="4" w:space="0" w:color="000000"/>
              <w:bottom w:val="single" w:sz="4" w:space="0" w:color="000000"/>
              <w:right w:val="single" w:sz="4" w:space="0" w:color="000000"/>
            </w:tcBorders>
          </w:tcPr>
          <w:p w14:paraId="00397825"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Achat unitaire des normes, soit plusieurs centaines de dollars à porter au budget. Les normes non consultées en texte intégral devraient alors être déclarées comme telles à la section 6.</w:t>
            </w:r>
          </w:p>
        </w:tc>
        <w:tc>
          <w:tcPr>
            <w:tcW w:w="1463" w:type="dxa"/>
            <w:tcBorders>
              <w:top w:val="single" w:sz="4" w:space="0" w:color="000000"/>
              <w:left w:val="single" w:sz="4" w:space="0" w:color="000000"/>
              <w:bottom w:val="single" w:sz="4" w:space="0" w:color="000000"/>
              <w:right w:val="single" w:sz="4" w:space="0" w:color="000000"/>
            </w:tcBorders>
          </w:tcPr>
          <w:p w14:paraId="37C2C84F"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RP2</w:t>
            </w:r>
          </w:p>
        </w:tc>
      </w:tr>
      <w:tr w:rsidR="00F50D70" w:rsidRPr="00BE4F47" w14:paraId="10631DED" w14:textId="77777777">
        <w:trPr>
          <w:cantSplit/>
        </w:trPr>
        <w:tc>
          <w:tcPr>
            <w:tcW w:w="567" w:type="dxa"/>
            <w:tcBorders>
              <w:top w:val="single" w:sz="4" w:space="0" w:color="000000"/>
              <w:left w:val="single" w:sz="4" w:space="0" w:color="000000"/>
              <w:bottom w:val="single" w:sz="4" w:space="0" w:color="000000"/>
              <w:right w:val="single" w:sz="4" w:space="0" w:color="000000"/>
            </w:tcBorders>
          </w:tcPr>
          <w:p w14:paraId="672D3017"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H-08</w:t>
            </w:r>
          </w:p>
        </w:tc>
        <w:tc>
          <w:tcPr>
            <w:tcW w:w="3291" w:type="dxa"/>
            <w:tcBorders>
              <w:top w:val="single" w:sz="4" w:space="0" w:color="000000"/>
              <w:left w:val="single" w:sz="4" w:space="0" w:color="000000"/>
              <w:bottom w:val="single" w:sz="4" w:space="0" w:color="000000"/>
              <w:right w:val="single" w:sz="4" w:space="0" w:color="000000"/>
            </w:tcBorders>
          </w:tcPr>
          <w:p w14:paraId="4B9AD5D2"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Le temps du conseiller et du coordonnateur n’est pas facturable au mandat, conformément aux règles du cours.</w:t>
            </w:r>
          </w:p>
        </w:tc>
        <w:tc>
          <w:tcPr>
            <w:tcW w:w="3236" w:type="dxa"/>
            <w:tcBorders>
              <w:top w:val="single" w:sz="4" w:space="0" w:color="000000"/>
              <w:left w:val="single" w:sz="4" w:space="0" w:color="000000"/>
              <w:bottom w:val="single" w:sz="4" w:space="0" w:color="000000"/>
              <w:right w:val="single" w:sz="4" w:space="0" w:color="000000"/>
            </w:tcBorders>
          </w:tcPr>
          <w:p w14:paraId="0E09AF9C"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Sans effet sur les heures. À rappeler dans les limites du mandat.</w:t>
            </w:r>
          </w:p>
        </w:tc>
        <w:tc>
          <w:tcPr>
            <w:tcW w:w="1463" w:type="dxa"/>
            <w:tcBorders>
              <w:top w:val="single" w:sz="4" w:space="0" w:color="000000"/>
              <w:left w:val="single" w:sz="4" w:space="0" w:color="000000"/>
              <w:bottom w:val="single" w:sz="4" w:space="0" w:color="000000"/>
              <w:right w:val="single" w:sz="4" w:space="0" w:color="000000"/>
            </w:tcBorders>
          </w:tcPr>
          <w:p w14:paraId="24A2B0BE"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s.o.</w:t>
            </w:r>
          </w:p>
        </w:tc>
      </w:tr>
      <w:tr w:rsidR="00F50D70" w:rsidRPr="00BE4F47" w14:paraId="10A24EBB" w14:textId="77777777">
        <w:trPr>
          <w:cantSplit/>
        </w:trPr>
        <w:tc>
          <w:tcPr>
            <w:tcW w:w="567" w:type="dxa"/>
            <w:tcBorders>
              <w:top w:val="single" w:sz="4" w:space="0" w:color="000000"/>
              <w:left w:val="single" w:sz="4" w:space="0" w:color="000000"/>
              <w:bottom w:val="single" w:sz="4" w:space="0" w:color="000000"/>
              <w:right w:val="single" w:sz="4" w:space="0" w:color="000000"/>
            </w:tcBorders>
          </w:tcPr>
          <w:p w14:paraId="457FC9B7"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H-09</w:t>
            </w:r>
          </w:p>
        </w:tc>
        <w:tc>
          <w:tcPr>
            <w:tcW w:w="3291" w:type="dxa"/>
            <w:tcBorders>
              <w:top w:val="single" w:sz="4" w:space="0" w:color="000000"/>
              <w:left w:val="single" w:sz="4" w:space="0" w:color="000000"/>
              <w:bottom w:val="single" w:sz="4" w:space="0" w:color="000000"/>
              <w:right w:val="single" w:sz="4" w:space="0" w:color="000000"/>
            </w:tcBorders>
          </w:tcPr>
          <w:p w14:paraId="526A494C"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La température, la pression et le débit suffisent à caractériser l’état de la boucle pour les scénarios étudiés (exigence EX-F-01).</w:t>
            </w:r>
          </w:p>
        </w:tc>
        <w:tc>
          <w:tcPr>
            <w:tcW w:w="3236" w:type="dxa"/>
            <w:tcBorders>
              <w:top w:val="single" w:sz="4" w:space="0" w:color="000000"/>
              <w:left w:val="single" w:sz="4" w:space="0" w:color="000000"/>
              <w:bottom w:val="single" w:sz="4" w:space="0" w:color="000000"/>
              <w:right w:val="single" w:sz="4" w:space="0" w:color="000000"/>
            </w:tcBorders>
          </w:tcPr>
          <w:p w14:paraId="528ABDF4"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La détection manquerait certains modes de défaillance. Une quatrième variable imposerait une reprise du modèle et de la chaîne d’acquisition.</w:t>
            </w:r>
          </w:p>
        </w:tc>
        <w:tc>
          <w:tcPr>
            <w:tcW w:w="1463" w:type="dxa"/>
            <w:tcBorders>
              <w:top w:val="single" w:sz="4" w:space="0" w:color="000000"/>
              <w:left w:val="single" w:sz="4" w:space="0" w:color="000000"/>
              <w:bottom w:val="single" w:sz="4" w:space="0" w:color="000000"/>
              <w:right w:val="single" w:sz="4" w:space="0" w:color="000000"/>
            </w:tcBorders>
          </w:tcPr>
          <w:p w14:paraId="2FA60F36"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RT1, RT5</w:t>
            </w:r>
          </w:p>
        </w:tc>
      </w:tr>
      <w:tr w:rsidR="00F50D70" w:rsidRPr="00BE4F47" w14:paraId="7E271673" w14:textId="77777777">
        <w:trPr>
          <w:cantSplit/>
        </w:trPr>
        <w:tc>
          <w:tcPr>
            <w:tcW w:w="567" w:type="dxa"/>
            <w:tcBorders>
              <w:top w:val="single" w:sz="4" w:space="0" w:color="000000"/>
              <w:left w:val="single" w:sz="4" w:space="0" w:color="000000"/>
              <w:bottom w:val="single" w:sz="4" w:space="0" w:color="000000"/>
              <w:right w:val="single" w:sz="4" w:space="0" w:color="000000"/>
            </w:tcBorders>
          </w:tcPr>
          <w:p w14:paraId="3DB313AE"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lastRenderedPageBreak/>
              <w:t>H-10</w:t>
            </w:r>
          </w:p>
        </w:tc>
        <w:tc>
          <w:tcPr>
            <w:tcW w:w="3291" w:type="dxa"/>
            <w:tcBorders>
              <w:top w:val="single" w:sz="4" w:space="0" w:color="000000"/>
              <w:left w:val="single" w:sz="4" w:space="0" w:color="000000"/>
              <w:bottom w:val="single" w:sz="4" w:space="0" w:color="000000"/>
              <w:right w:val="single" w:sz="4" w:space="0" w:color="000000"/>
            </w:tcBorders>
          </w:tcPr>
          <w:p w14:paraId="1A06D973"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Les seuils de dérive et les critères de criticité sont fixés par l’analyse de risques et par les essais, et non posés a priori.</w:t>
            </w:r>
          </w:p>
        </w:tc>
        <w:tc>
          <w:tcPr>
            <w:tcW w:w="3236" w:type="dxa"/>
            <w:tcBorders>
              <w:top w:val="single" w:sz="4" w:space="0" w:color="000000"/>
              <w:left w:val="single" w:sz="4" w:space="0" w:color="000000"/>
              <w:bottom w:val="single" w:sz="4" w:space="0" w:color="000000"/>
              <w:right w:val="single" w:sz="4" w:space="0" w:color="000000"/>
            </w:tcBorders>
          </w:tcPr>
          <w:p w14:paraId="13D0BF16"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Les critères d’alarme resteraient arbitraires. La décision est à prendre au jalon J2, avec sa justification consignée.</w:t>
            </w:r>
          </w:p>
        </w:tc>
        <w:tc>
          <w:tcPr>
            <w:tcW w:w="1463" w:type="dxa"/>
            <w:tcBorders>
              <w:top w:val="single" w:sz="4" w:space="0" w:color="000000"/>
              <w:left w:val="single" w:sz="4" w:space="0" w:color="000000"/>
              <w:bottom w:val="single" w:sz="4" w:space="0" w:color="000000"/>
              <w:right w:val="single" w:sz="4" w:space="0" w:color="000000"/>
            </w:tcBorders>
          </w:tcPr>
          <w:p w14:paraId="4A3F6C35"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RT5, RT6</w:t>
            </w:r>
          </w:p>
        </w:tc>
      </w:tr>
    </w:tbl>
    <w:p w14:paraId="4400A261" w14:textId="77777777" w:rsidR="00F50D70" w:rsidRPr="00B36301" w:rsidRDefault="00137D7F" w:rsidP="008E113B">
      <w:pPr>
        <w:pStyle w:val="Titre2"/>
        <w:spacing w:line="360" w:lineRule="auto"/>
      </w:pPr>
      <w:bookmarkStart w:id="1204" w:name="_Toc241708002"/>
      <w:bookmarkStart w:id="1205" w:name="_Toc241791951"/>
      <w:r w:rsidRPr="00B36301">
        <w:t>Ressources humaines</w:t>
      </w:r>
      <w:bookmarkEnd w:id="1204"/>
      <w:bookmarkEnd w:id="1205"/>
    </w:p>
    <w:p w14:paraId="3E1EA1D4" w14:textId="77777777" w:rsidR="00F50D70" w:rsidRPr="00BE4F47" w:rsidRDefault="00137D7F" w:rsidP="008E113B">
      <w:pPr>
        <w:spacing w:before="200" w:after="130" w:line="360" w:lineRule="auto"/>
        <w:ind w:left="360"/>
        <w:rPr>
          <w:rFonts w:ascii="Aptos" w:eastAsia="Calibri" w:hAnsi="Aptos" w:cs="Calibri"/>
          <w:color w:val="1A1A19"/>
          <w:sz w:val="20"/>
          <w:szCs w:val="20"/>
        </w:rPr>
      </w:pPr>
      <w:bookmarkStart w:id="1206" w:name="_Toc241083125"/>
      <w:bookmarkStart w:id="1207" w:name="_Toc241670295"/>
      <w:bookmarkStart w:id="1208" w:name="_Toc241708003"/>
      <w:bookmarkStart w:id="1209" w:name="_Toc241791952"/>
      <w:r w:rsidRPr="00BE4F47">
        <w:rPr>
          <w:rFonts w:ascii="Aptos" w:hAnsi="Aptos"/>
          <w:b/>
          <w:color w:val="1A1A19"/>
          <w:sz w:val="20"/>
          <w:szCs w:val="20"/>
        </w:rPr>
        <w:t xml:space="preserve">La répartition par lot de travail. </w:t>
      </w:r>
      <w:r w:rsidRPr="00BE4F47">
        <w:rPr>
          <w:rFonts w:ascii="Aptos" w:hAnsi="Aptos"/>
          <w:color w:val="1A1A19"/>
          <w:sz w:val="20"/>
          <w:szCs w:val="20"/>
        </w:rPr>
        <w:t>Les 1 080 heures d’ingénierie sont réparties entre neuf lots de travail. Ce tableau est la définition de référence des lots L1 à L9. Les sections 1, 5 et 7 y renvoient pour rattacher leurs exigences, leurs sources et leurs risques.</w:t>
      </w:r>
      <w:bookmarkEnd w:id="1206"/>
      <w:bookmarkEnd w:id="1207"/>
      <w:bookmarkEnd w:id="1208"/>
      <w:bookmarkEnd w:id="1209"/>
    </w:p>
    <w:p w14:paraId="38330A3F" w14:textId="77777777" w:rsidR="00F50D70" w:rsidRPr="00BE4F47" w:rsidRDefault="00137D7F" w:rsidP="008E113B">
      <w:pPr>
        <w:spacing w:after="130" w:line="360" w:lineRule="auto"/>
        <w:ind w:left="360"/>
        <w:rPr>
          <w:rFonts w:ascii="Aptos" w:eastAsia="Calibri" w:hAnsi="Aptos" w:cs="Calibri"/>
          <w:color w:val="1A1A19"/>
          <w:sz w:val="20"/>
          <w:szCs w:val="20"/>
        </w:rPr>
      </w:pPr>
      <w:bookmarkStart w:id="1210" w:name="_Toc241083126"/>
      <w:bookmarkStart w:id="1211" w:name="_Toc241670296"/>
      <w:bookmarkStart w:id="1212" w:name="_Toc241708004"/>
      <w:bookmarkStart w:id="1213" w:name="_Toc241791953"/>
      <w:r w:rsidRPr="00BE4F47">
        <w:rPr>
          <w:rFonts w:ascii="Aptos" w:hAnsi="Aptos"/>
          <w:color w:val="1A1A19"/>
          <w:sz w:val="20"/>
          <w:szCs w:val="20"/>
        </w:rPr>
        <w:t>La répartition suit une priorité. Le modèle de référence, le noyau de simulation et la campagne d’essais reçoivent 42 % de l’effort : ce sont les trois lots qui portent la valeur du livrable. L’interface d’aide à la décision en reçoit 8 %.</w:t>
      </w:r>
      <w:bookmarkEnd w:id="1210"/>
      <w:bookmarkEnd w:id="1211"/>
      <w:bookmarkEnd w:id="1212"/>
      <w:bookmarkEnd w:id="1213"/>
    </w:p>
    <w:p w14:paraId="191CF0A0" w14:textId="77777777" w:rsidR="00F50D70" w:rsidRPr="00BE4F47" w:rsidRDefault="00137D7F" w:rsidP="008E113B">
      <w:pPr>
        <w:pStyle w:val="Lgende"/>
        <w:keepNext/>
        <w:spacing w:line="360" w:lineRule="auto"/>
        <w:rPr>
          <w:rFonts w:ascii="Aptos" w:hAnsi="Aptos"/>
        </w:rPr>
      </w:pPr>
      <w:bookmarkStart w:id="1214" w:name="_Toc241083127"/>
      <w:bookmarkStart w:id="1215" w:name="_Toc241670297"/>
      <w:bookmarkStart w:id="1216" w:name="_Toc241708005"/>
      <w:bookmarkStart w:id="1217" w:name="_Toc241791954"/>
      <w:r w:rsidRPr="00BE4F47">
        <w:rPr>
          <w:rFonts w:ascii="Aptos" w:hAnsi="Aptos"/>
        </w:rPr>
        <w:t>Tableau 8-2. Répartition de l’effort par lot de travail</w:t>
      </w:r>
      <w:bookmarkEnd w:id="1214"/>
      <w:bookmarkEnd w:id="1215"/>
      <w:bookmarkEnd w:id="1216"/>
      <w:bookmarkEnd w:id="1217"/>
    </w:p>
    <w:tbl>
      <w:tblPr>
        <w:tblW w:w="8557" w:type="dxa"/>
        <w:tblInd w:w="413" w:type="dxa"/>
        <w:tblLayout w:type="fixed"/>
        <w:tblCellMar>
          <w:top w:w="55" w:type="dxa"/>
          <w:left w:w="85" w:type="dxa"/>
          <w:bottom w:w="55" w:type="dxa"/>
          <w:right w:w="85" w:type="dxa"/>
        </w:tblCellMar>
        <w:tblLook w:val="04A0" w:firstRow="1" w:lastRow="0" w:firstColumn="1" w:lastColumn="0" w:noHBand="0" w:noVBand="1"/>
      </w:tblPr>
      <w:tblGrid>
        <w:gridCol w:w="567"/>
        <w:gridCol w:w="3017"/>
        <w:gridCol w:w="823"/>
        <w:gridCol w:w="640"/>
        <w:gridCol w:w="3510"/>
      </w:tblGrid>
      <w:tr w:rsidR="00F50D70" w:rsidRPr="00BE4F47" w14:paraId="54D92E50" w14:textId="77777777">
        <w:trPr>
          <w:tblHeader/>
        </w:trPr>
        <w:tc>
          <w:tcPr>
            <w:tcW w:w="567" w:type="dxa"/>
            <w:tcBorders>
              <w:top w:val="single" w:sz="4" w:space="0" w:color="000000"/>
              <w:left w:val="single" w:sz="4" w:space="0" w:color="000000"/>
              <w:bottom w:val="single" w:sz="4" w:space="0" w:color="000000"/>
              <w:right w:val="single" w:sz="4" w:space="0" w:color="000000"/>
            </w:tcBorders>
            <w:shd w:val="clear" w:color="auto" w:fill="EFF4FB"/>
          </w:tcPr>
          <w:p w14:paraId="0647E685"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Lot</w:t>
            </w:r>
          </w:p>
        </w:tc>
        <w:tc>
          <w:tcPr>
            <w:tcW w:w="3017" w:type="dxa"/>
            <w:tcBorders>
              <w:top w:val="single" w:sz="4" w:space="0" w:color="000000"/>
              <w:left w:val="single" w:sz="4" w:space="0" w:color="000000"/>
              <w:bottom w:val="single" w:sz="4" w:space="0" w:color="000000"/>
              <w:right w:val="single" w:sz="4" w:space="0" w:color="000000"/>
            </w:tcBorders>
            <w:shd w:val="clear" w:color="auto" w:fill="EFF4FB"/>
          </w:tcPr>
          <w:p w14:paraId="0F633F3B"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Intitulé</w:t>
            </w:r>
          </w:p>
        </w:tc>
        <w:tc>
          <w:tcPr>
            <w:tcW w:w="823" w:type="dxa"/>
            <w:tcBorders>
              <w:top w:val="single" w:sz="4" w:space="0" w:color="000000"/>
              <w:left w:val="single" w:sz="4" w:space="0" w:color="000000"/>
              <w:bottom w:val="single" w:sz="4" w:space="0" w:color="000000"/>
              <w:right w:val="single" w:sz="4" w:space="0" w:color="000000"/>
            </w:tcBorders>
            <w:shd w:val="clear" w:color="auto" w:fill="EFF4FB"/>
          </w:tcPr>
          <w:p w14:paraId="6D7D75C6"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Effort</w:t>
            </w:r>
          </w:p>
        </w:tc>
        <w:tc>
          <w:tcPr>
            <w:tcW w:w="640" w:type="dxa"/>
            <w:tcBorders>
              <w:top w:val="single" w:sz="4" w:space="0" w:color="000000"/>
              <w:left w:val="single" w:sz="4" w:space="0" w:color="000000"/>
              <w:bottom w:val="single" w:sz="4" w:space="0" w:color="000000"/>
              <w:right w:val="single" w:sz="4" w:space="0" w:color="000000"/>
            </w:tcBorders>
            <w:shd w:val="clear" w:color="auto" w:fill="EFF4FB"/>
          </w:tcPr>
          <w:p w14:paraId="011C27BE"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Part</w:t>
            </w:r>
          </w:p>
        </w:tc>
        <w:tc>
          <w:tcPr>
            <w:tcW w:w="3510" w:type="dxa"/>
            <w:tcBorders>
              <w:top w:val="single" w:sz="4" w:space="0" w:color="000000"/>
              <w:left w:val="single" w:sz="4" w:space="0" w:color="000000"/>
              <w:bottom w:val="single" w:sz="4" w:space="0" w:color="000000"/>
              <w:right w:val="single" w:sz="4" w:space="0" w:color="000000"/>
            </w:tcBorders>
            <w:shd w:val="clear" w:color="auto" w:fill="EFF4FB"/>
          </w:tcPr>
          <w:p w14:paraId="302D4C69"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Compétences dominantes</w:t>
            </w:r>
          </w:p>
        </w:tc>
      </w:tr>
      <w:tr w:rsidR="00F50D70" w:rsidRPr="00BE4F47" w14:paraId="0180D601" w14:textId="77777777">
        <w:trPr>
          <w:cantSplit/>
        </w:trPr>
        <w:tc>
          <w:tcPr>
            <w:tcW w:w="567" w:type="dxa"/>
            <w:tcBorders>
              <w:top w:val="single" w:sz="4" w:space="0" w:color="000000"/>
              <w:left w:val="single" w:sz="4" w:space="0" w:color="000000"/>
              <w:bottom w:val="single" w:sz="4" w:space="0" w:color="000000"/>
              <w:right w:val="single" w:sz="4" w:space="0" w:color="000000"/>
            </w:tcBorders>
          </w:tcPr>
          <w:p w14:paraId="2AD2940F"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L1</w:t>
            </w:r>
          </w:p>
        </w:tc>
        <w:tc>
          <w:tcPr>
            <w:tcW w:w="3017" w:type="dxa"/>
            <w:tcBorders>
              <w:top w:val="single" w:sz="4" w:space="0" w:color="000000"/>
              <w:left w:val="single" w:sz="4" w:space="0" w:color="000000"/>
              <w:bottom w:val="single" w:sz="4" w:space="0" w:color="000000"/>
              <w:right w:val="single" w:sz="4" w:space="0" w:color="000000"/>
            </w:tcBorders>
          </w:tcPr>
          <w:p w14:paraId="6B86CF46"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Gestion de projet, assurance qualité et documentation</w:t>
            </w:r>
          </w:p>
        </w:tc>
        <w:tc>
          <w:tcPr>
            <w:tcW w:w="823" w:type="dxa"/>
            <w:tcBorders>
              <w:top w:val="single" w:sz="4" w:space="0" w:color="000000"/>
              <w:left w:val="single" w:sz="4" w:space="0" w:color="000000"/>
              <w:bottom w:val="single" w:sz="4" w:space="0" w:color="000000"/>
              <w:right w:val="single" w:sz="4" w:space="0" w:color="000000"/>
            </w:tcBorders>
          </w:tcPr>
          <w:p w14:paraId="2DCAA9BD"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108 h</w:t>
            </w:r>
          </w:p>
        </w:tc>
        <w:tc>
          <w:tcPr>
            <w:tcW w:w="640" w:type="dxa"/>
            <w:tcBorders>
              <w:top w:val="single" w:sz="4" w:space="0" w:color="000000"/>
              <w:left w:val="single" w:sz="4" w:space="0" w:color="000000"/>
              <w:bottom w:val="single" w:sz="4" w:space="0" w:color="000000"/>
              <w:right w:val="single" w:sz="4" w:space="0" w:color="000000"/>
            </w:tcBorders>
          </w:tcPr>
          <w:p w14:paraId="52DE947F"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10 %</w:t>
            </w:r>
          </w:p>
        </w:tc>
        <w:tc>
          <w:tcPr>
            <w:tcW w:w="3510" w:type="dxa"/>
            <w:tcBorders>
              <w:top w:val="single" w:sz="4" w:space="0" w:color="000000"/>
              <w:left w:val="single" w:sz="4" w:space="0" w:color="000000"/>
              <w:bottom w:val="single" w:sz="4" w:space="0" w:color="000000"/>
              <w:right w:val="single" w:sz="4" w:space="0" w:color="000000"/>
            </w:tcBorders>
          </w:tcPr>
          <w:p w14:paraId="3FF3A800"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Gestion, rédaction technique</w:t>
            </w:r>
          </w:p>
        </w:tc>
      </w:tr>
      <w:tr w:rsidR="00F50D70" w:rsidRPr="00BE4F47" w14:paraId="33681CF0" w14:textId="77777777">
        <w:trPr>
          <w:cantSplit/>
        </w:trPr>
        <w:tc>
          <w:tcPr>
            <w:tcW w:w="567" w:type="dxa"/>
            <w:tcBorders>
              <w:top w:val="single" w:sz="4" w:space="0" w:color="000000"/>
              <w:left w:val="single" w:sz="4" w:space="0" w:color="000000"/>
              <w:bottom w:val="single" w:sz="4" w:space="0" w:color="000000"/>
              <w:right w:val="single" w:sz="4" w:space="0" w:color="000000"/>
            </w:tcBorders>
          </w:tcPr>
          <w:p w14:paraId="469E9B36"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L2</w:t>
            </w:r>
          </w:p>
        </w:tc>
        <w:tc>
          <w:tcPr>
            <w:tcW w:w="3017" w:type="dxa"/>
            <w:tcBorders>
              <w:top w:val="single" w:sz="4" w:space="0" w:color="000000"/>
              <w:left w:val="single" w:sz="4" w:space="0" w:color="000000"/>
              <w:bottom w:val="single" w:sz="4" w:space="0" w:color="000000"/>
              <w:right w:val="single" w:sz="4" w:space="0" w:color="000000"/>
            </w:tcBorders>
          </w:tcPr>
          <w:p w14:paraId="4DB53EF5"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Ingénierie des exigences et analyse fonctionnelle</w:t>
            </w:r>
          </w:p>
        </w:tc>
        <w:tc>
          <w:tcPr>
            <w:tcW w:w="823" w:type="dxa"/>
            <w:tcBorders>
              <w:top w:val="single" w:sz="4" w:space="0" w:color="000000"/>
              <w:left w:val="single" w:sz="4" w:space="0" w:color="000000"/>
              <w:bottom w:val="single" w:sz="4" w:space="0" w:color="000000"/>
              <w:right w:val="single" w:sz="4" w:space="0" w:color="000000"/>
            </w:tcBorders>
          </w:tcPr>
          <w:p w14:paraId="3D3D283A"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108 h</w:t>
            </w:r>
          </w:p>
        </w:tc>
        <w:tc>
          <w:tcPr>
            <w:tcW w:w="640" w:type="dxa"/>
            <w:tcBorders>
              <w:top w:val="single" w:sz="4" w:space="0" w:color="000000"/>
              <w:left w:val="single" w:sz="4" w:space="0" w:color="000000"/>
              <w:bottom w:val="single" w:sz="4" w:space="0" w:color="000000"/>
              <w:right w:val="single" w:sz="4" w:space="0" w:color="000000"/>
            </w:tcBorders>
          </w:tcPr>
          <w:p w14:paraId="6E3D1022"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10 %</w:t>
            </w:r>
          </w:p>
        </w:tc>
        <w:tc>
          <w:tcPr>
            <w:tcW w:w="3510" w:type="dxa"/>
            <w:tcBorders>
              <w:top w:val="single" w:sz="4" w:space="0" w:color="000000"/>
              <w:left w:val="single" w:sz="4" w:space="0" w:color="000000"/>
              <w:bottom w:val="single" w:sz="4" w:space="0" w:color="000000"/>
              <w:right w:val="single" w:sz="4" w:space="0" w:color="000000"/>
            </w:tcBorders>
          </w:tcPr>
          <w:p w14:paraId="37A0EB1A"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Analyse, modélisation SysML et UML</w:t>
            </w:r>
          </w:p>
        </w:tc>
      </w:tr>
      <w:tr w:rsidR="00F50D70" w:rsidRPr="00BE4F47" w14:paraId="0A10CA99" w14:textId="77777777">
        <w:trPr>
          <w:cantSplit/>
        </w:trPr>
        <w:tc>
          <w:tcPr>
            <w:tcW w:w="567" w:type="dxa"/>
            <w:tcBorders>
              <w:top w:val="single" w:sz="4" w:space="0" w:color="000000"/>
              <w:left w:val="single" w:sz="4" w:space="0" w:color="000000"/>
              <w:bottom w:val="single" w:sz="4" w:space="0" w:color="000000"/>
              <w:right w:val="single" w:sz="4" w:space="0" w:color="000000"/>
            </w:tcBorders>
          </w:tcPr>
          <w:p w14:paraId="3C2AEA85"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L3</w:t>
            </w:r>
          </w:p>
        </w:tc>
        <w:tc>
          <w:tcPr>
            <w:tcW w:w="3017" w:type="dxa"/>
            <w:tcBorders>
              <w:top w:val="single" w:sz="4" w:space="0" w:color="000000"/>
              <w:left w:val="single" w:sz="4" w:space="0" w:color="000000"/>
              <w:bottom w:val="single" w:sz="4" w:space="0" w:color="000000"/>
              <w:right w:val="single" w:sz="4" w:space="0" w:color="000000"/>
            </w:tcBorders>
          </w:tcPr>
          <w:p w14:paraId="5573C728"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État de l’art, normes, codes et cadre réglementaire</w:t>
            </w:r>
          </w:p>
        </w:tc>
        <w:tc>
          <w:tcPr>
            <w:tcW w:w="823" w:type="dxa"/>
            <w:tcBorders>
              <w:top w:val="single" w:sz="4" w:space="0" w:color="000000"/>
              <w:left w:val="single" w:sz="4" w:space="0" w:color="000000"/>
              <w:bottom w:val="single" w:sz="4" w:space="0" w:color="000000"/>
              <w:right w:val="single" w:sz="4" w:space="0" w:color="000000"/>
            </w:tcBorders>
          </w:tcPr>
          <w:p w14:paraId="55AC3760"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86 h</w:t>
            </w:r>
          </w:p>
        </w:tc>
        <w:tc>
          <w:tcPr>
            <w:tcW w:w="640" w:type="dxa"/>
            <w:tcBorders>
              <w:top w:val="single" w:sz="4" w:space="0" w:color="000000"/>
              <w:left w:val="single" w:sz="4" w:space="0" w:color="000000"/>
              <w:bottom w:val="single" w:sz="4" w:space="0" w:color="000000"/>
              <w:right w:val="single" w:sz="4" w:space="0" w:color="000000"/>
            </w:tcBorders>
          </w:tcPr>
          <w:p w14:paraId="4AD542A7"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8 %</w:t>
            </w:r>
          </w:p>
        </w:tc>
        <w:tc>
          <w:tcPr>
            <w:tcW w:w="3510" w:type="dxa"/>
            <w:tcBorders>
              <w:top w:val="single" w:sz="4" w:space="0" w:color="000000"/>
              <w:left w:val="single" w:sz="4" w:space="0" w:color="000000"/>
              <w:bottom w:val="single" w:sz="4" w:space="0" w:color="000000"/>
              <w:right w:val="single" w:sz="4" w:space="0" w:color="000000"/>
            </w:tcBorders>
          </w:tcPr>
          <w:p w14:paraId="726AE645"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Recherche documentaire, veille normative</w:t>
            </w:r>
          </w:p>
        </w:tc>
      </w:tr>
      <w:tr w:rsidR="00F50D70" w:rsidRPr="00BE4F47" w14:paraId="1A2587E8" w14:textId="77777777">
        <w:trPr>
          <w:cantSplit/>
        </w:trPr>
        <w:tc>
          <w:tcPr>
            <w:tcW w:w="567" w:type="dxa"/>
            <w:tcBorders>
              <w:top w:val="single" w:sz="4" w:space="0" w:color="000000"/>
              <w:left w:val="single" w:sz="4" w:space="0" w:color="000000"/>
              <w:bottom w:val="single" w:sz="4" w:space="0" w:color="000000"/>
              <w:right w:val="single" w:sz="4" w:space="0" w:color="000000"/>
            </w:tcBorders>
          </w:tcPr>
          <w:p w14:paraId="413907DA"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L4</w:t>
            </w:r>
          </w:p>
        </w:tc>
        <w:tc>
          <w:tcPr>
            <w:tcW w:w="3017" w:type="dxa"/>
            <w:tcBorders>
              <w:top w:val="single" w:sz="4" w:space="0" w:color="000000"/>
              <w:left w:val="single" w:sz="4" w:space="0" w:color="000000"/>
              <w:bottom w:val="single" w:sz="4" w:space="0" w:color="000000"/>
              <w:right w:val="single" w:sz="4" w:space="0" w:color="000000"/>
            </w:tcBorders>
          </w:tcPr>
          <w:p w14:paraId="43EF1FD8"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Modélisation de la boucle et modèle de référence</w:t>
            </w:r>
          </w:p>
        </w:tc>
        <w:tc>
          <w:tcPr>
            <w:tcW w:w="823" w:type="dxa"/>
            <w:tcBorders>
              <w:top w:val="single" w:sz="4" w:space="0" w:color="000000"/>
              <w:left w:val="single" w:sz="4" w:space="0" w:color="000000"/>
              <w:bottom w:val="single" w:sz="4" w:space="0" w:color="000000"/>
              <w:right w:val="single" w:sz="4" w:space="0" w:color="000000"/>
            </w:tcBorders>
          </w:tcPr>
          <w:p w14:paraId="47A57FA7"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162 h</w:t>
            </w:r>
          </w:p>
        </w:tc>
        <w:tc>
          <w:tcPr>
            <w:tcW w:w="640" w:type="dxa"/>
            <w:tcBorders>
              <w:top w:val="single" w:sz="4" w:space="0" w:color="000000"/>
              <w:left w:val="single" w:sz="4" w:space="0" w:color="000000"/>
              <w:bottom w:val="single" w:sz="4" w:space="0" w:color="000000"/>
              <w:right w:val="single" w:sz="4" w:space="0" w:color="000000"/>
            </w:tcBorders>
          </w:tcPr>
          <w:p w14:paraId="331F0FDF"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15 %</w:t>
            </w:r>
          </w:p>
        </w:tc>
        <w:tc>
          <w:tcPr>
            <w:tcW w:w="3510" w:type="dxa"/>
            <w:tcBorders>
              <w:top w:val="single" w:sz="4" w:space="0" w:color="000000"/>
              <w:left w:val="single" w:sz="4" w:space="0" w:color="000000"/>
              <w:bottom w:val="single" w:sz="4" w:space="0" w:color="000000"/>
              <w:right w:val="single" w:sz="4" w:space="0" w:color="000000"/>
            </w:tcBorders>
          </w:tcPr>
          <w:p w14:paraId="49B0AE8F"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Thermodynamique, mécanique des fluides, Modelica</w:t>
            </w:r>
          </w:p>
        </w:tc>
      </w:tr>
      <w:tr w:rsidR="00F50D70" w:rsidRPr="00BE4F47" w14:paraId="57DA2FB7" w14:textId="77777777">
        <w:trPr>
          <w:cantSplit/>
        </w:trPr>
        <w:tc>
          <w:tcPr>
            <w:tcW w:w="567" w:type="dxa"/>
            <w:tcBorders>
              <w:top w:val="single" w:sz="4" w:space="0" w:color="000000"/>
              <w:left w:val="single" w:sz="4" w:space="0" w:color="000000"/>
              <w:bottom w:val="single" w:sz="4" w:space="0" w:color="000000"/>
              <w:right w:val="single" w:sz="4" w:space="0" w:color="000000"/>
            </w:tcBorders>
          </w:tcPr>
          <w:p w14:paraId="2CDB8E99"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L5</w:t>
            </w:r>
          </w:p>
        </w:tc>
        <w:tc>
          <w:tcPr>
            <w:tcW w:w="3017" w:type="dxa"/>
            <w:tcBorders>
              <w:top w:val="single" w:sz="4" w:space="0" w:color="000000"/>
              <w:left w:val="single" w:sz="4" w:space="0" w:color="000000"/>
              <w:bottom w:val="single" w:sz="4" w:space="0" w:color="000000"/>
              <w:right w:val="single" w:sz="4" w:space="0" w:color="000000"/>
            </w:tcBorders>
          </w:tcPr>
          <w:p w14:paraId="7DFA49B6"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Architecture logicielle et cybersécurité</w:t>
            </w:r>
          </w:p>
        </w:tc>
        <w:tc>
          <w:tcPr>
            <w:tcW w:w="823" w:type="dxa"/>
            <w:tcBorders>
              <w:top w:val="single" w:sz="4" w:space="0" w:color="000000"/>
              <w:left w:val="single" w:sz="4" w:space="0" w:color="000000"/>
              <w:bottom w:val="single" w:sz="4" w:space="0" w:color="000000"/>
              <w:right w:val="single" w:sz="4" w:space="0" w:color="000000"/>
            </w:tcBorders>
          </w:tcPr>
          <w:p w14:paraId="05EACBEC"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130 h</w:t>
            </w:r>
          </w:p>
        </w:tc>
        <w:tc>
          <w:tcPr>
            <w:tcW w:w="640" w:type="dxa"/>
            <w:tcBorders>
              <w:top w:val="single" w:sz="4" w:space="0" w:color="000000"/>
              <w:left w:val="single" w:sz="4" w:space="0" w:color="000000"/>
              <w:bottom w:val="single" w:sz="4" w:space="0" w:color="000000"/>
              <w:right w:val="single" w:sz="4" w:space="0" w:color="000000"/>
            </w:tcBorders>
          </w:tcPr>
          <w:p w14:paraId="1B9DD981"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12 %</w:t>
            </w:r>
          </w:p>
        </w:tc>
        <w:tc>
          <w:tcPr>
            <w:tcW w:w="3510" w:type="dxa"/>
            <w:tcBorders>
              <w:top w:val="single" w:sz="4" w:space="0" w:color="000000"/>
              <w:left w:val="single" w:sz="4" w:space="0" w:color="000000"/>
              <w:bottom w:val="single" w:sz="4" w:space="0" w:color="000000"/>
              <w:right w:val="single" w:sz="4" w:space="0" w:color="000000"/>
            </w:tcBorders>
          </w:tcPr>
          <w:p w14:paraId="11ADE941"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Architecture, réseaux, sécurité des systèmes industriels</w:t>
            </w:r>
          </w:p>
        </w:tc>
      </w:tr>
      <w:tr w:rsidR="00F50D70" w:rsidRPr="00BE4F47" w14:paraId="2DBD9551" w14:textId="77777777">
        <w:trPr>
          <w:cantSplit/>
        </w:trPr>
        <w:tc>
          <w:tcPr>
            <w:tcW w:w="567" w:type="dxa"/>
            <w:tcBorders>
              <w:top w:val="single" w:sz="4" w:space="0" w:color="000000"/>
              <w:left w:val="single" w:sz="4" w:space="0" w:color="000000"/>
              <w:bottom w:val="single" w:sz="4" w:space="0" w:color="000000"/>
              <w:right w:val="single" w:sz="4" w:space="0" w:color="000000"/>
            </w:tcBorders>
          </w:tcPr>
          <w:p w14:paraId="686555CC"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L6</w:t>
            </w:r>
          </w:p>
        </w:tc>
        <w:tc>
          <w:tcPr>
            <w:tcW w:w="3017" w:type="dxa"/>
            <w:tcBorders>
              <w:top w:val="single" w:sz="4" w:space="0" w:color="000000"/>
              <w:left w:val="single" w:sz="4" w:space="0" w:color="000000"/>
              <w:bottom w:val="single" w:sz="4" w:space="0" w:color="000000"/>
              <w:right w:val="single" w:sz="4" w:space="0" w:color="000000"/>
            </w:tcBorders>
          </w:tcPr>
          <w:p w14:paraId="1299568B"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Noyau de simulation et chaîne d’acquisition des données</w:t>
            </w:r>
          </w:p>
        </w:tc>
        <w:tc>
          <w:tcPr>
            <w:tcW w:w="823" w:type="dxa"/>
            <w:tcBorders>
              <w:top w:val="single" w:sz="4" w:space="0" w:color="000000"/>
              <w:left w:val="single" w:sz="4" w:space="0" w:color="000000"/>
              <w:bottom w:val="single" w:sz="4" w:space="0" w:color="000000"/>
              <w:right w:val="single" w:sz="4" w:space="0" w:color="000000"/>
            </w:tcBorders>
          </w:tcPr>
          <w:p w14:paraId="1F99C766"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162 h</w:t>
            </w:r>
          </w:p>
        </w:tc>
        <w:tc>
          <w:tcPr>
            <w:tcW w:w="640" w:type="dxa"/>
            <w:tcBorders>
              <w:top w:val="single" w:sz="4" w:space="0" w:color="000000"/>
              <w:left w:val="single" w:sz="4" w:space="0" w:color="000000"/>
              <w:bottom w:val="single" w:sz="4" w:space="0" w:color="000000"/>
              <w:right w:val="single" w:sz="4" w:space="0" w:color="000000"/>
            </w:tcBorders>
          </w:tcPr>
          <w:p w14:paraId="698350AB"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15 %</w:t>
            </w:r>
          </w:p>
        </w:tc>
        <w:tc>
          <w:tcPr>
            <w:tcW w:w="3510" w:type="dxa"/>
            <w:tcBorders>
              <w:top w:val="single" w:sz="4" w:space="0" w:color="000000"/>
              <w:left w:val="single" w:sz="4" w:space="0" w:color="000000"/>
              <w:bottom w:val="single" w:sz="4" w:space="0" w:color="000000"/>
              <w:right w:val="single" w:sz="4" w:space="0" w:color="000000"/>
            </w:tcBorders>
          </w:tcPr>
          <w:p w14:paraId="6DBAAE4C"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Génie logiciel, traitement du signal</w:t>
            </w:r>
          </w:p>
        </w:tc>
      </w:tr>
      <w:tr w:rsidR="00F50D70" w:rsidRPr="00BE4F47" w14:paraId="48E94732" w14:textId="77777777">
        <w:trPr>
          <w:cantSplit/>
        </w:trPr>
        <w:tc>
          <w:tcPr>
            <w:tcW w:w="567" w:type="dxa"/>
            <w:tcBorders>
              <w:top w:val="single" w:sz="4" w:space="0" w:color="000000"/>
              <w:left w:val="single" w:sz="4" w:space="0" w:color="000000"/>
              <w:bottom w:val="single" w:sz="4" w:space="0" w:color="000000"/>
              <w:right w:val="single" w:sz="4" w:space="0" w:color="000000"/>
            </w:tcBorders>
          </w:tcPr>
          <w:p w14:paraId="5D161A11"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L7</w:t>
            </w:r>
          </w:p>
        </w:tc>
        <w:tc>
          <w:tcPr>
            <w:tcW w:w="3017" w:type="dxa"/>
            <w:tcBorders>
              <w:top w:val="single" w:sz="4" w:space="0" w:color="000000"/>
              <w:left w:val="single" w:sz="4" w:space="0" w:color="000000"/>
              <w:bottom w:val="single" w:sz="4" w:space="0" w:color="000000"/>
              <w:right w:val="single" w:sz="4" w:space="0" w:color="000000"/>
            </w:tcBorders>
          </w:tcPr>
          <w:p w14:paraId="33F2EF9E"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Détection d’anomalies et quantification de l’incertitude</w:t>
            </w:r>
          </w:p>
        </w:tc>
        <w:tc>
          <w:tcPr>
            <w:tcW w:w="823" w:type="dxa"/>
            <w:tcBorders>
              <w:top w:val="single" w:sz="4" w:space="0" w:color="000000"/>
              <w:left w:val="single" w:sz="4" w:space="0" w:color="000000"/>
              <w:bottom w:val="single" w:sz="4" w:space="0" w:color="000000"/>
              <w:right w:val="single" w:sz="4" w:space="0" w:color="000000"/>
            </w:tcBorders>
          </w:tcPr>
          <w:p w14:paraId="09DF5A64"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108 h</w:t>
            </w:r>
          </w:p>
        </w:tc>
        <w:tc>
          <w:tcPr>
            <w:tcW w:w="640" w:type="dxa"/>
            <w:tcBorders>
              <w:top w:val="single" w:sz="4" w:space="0" w:color="000000"/>
              <w:left w:val="single" w:sz="4" w:space="0" w:color="000000"/>
              <w:bottom w:val="single" w:sz="4" w:space="0" w:color="000000"/>
              <w:right w:val="single" w:sz="4" w:space="0" w:color="000000"/>
            </w:tcBorders>
          </w:tcPr>
          <w:p w14:paraId="589B6792"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10 %</w:t>
            </w:r>
          </w:p>
        </w:tc>
        <w:tc>
          <w:tcPr>
            <w:tcW w:w="3510" w:type="dxa"/>
            <w:tcBorders>
              <w:top w:val="single" w:sz="4" w:space="0" w:color="000000"/>
              <w:left w:val="single" w:sz="4" w:space="0" w:color="000000"/>
              <w:bottom w:val="single" w:sz="4" w:space="0" w:color="000000"/>
              <w:right w:val="single" w:sz="4" w:space="0" w:color="000000"/>
            </w:tcBorders>
          </w:tcPr>
          <w:p w14:paraId="5CE1438C"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Statistique, apprentissage automatique</w:t>
            </w:r>
          </w:p>
        </w:tc>
      </w:tr>
      <w:tr w:rsidR="00F50D70" w:rsidRPr="00BE4F47" w14:paraId="08D8356A" w14:textId="77777777">
        <w:trPr>
          <w:cantSplit/>
        </w:trPr>
        <w:tc>
          <w:tcPr>
            <w:tcW w:w="567" w:type="dxa"/>
            <w:tcBorders>
              <w:top w:val="single" w:sz="4" w:space="0" w:color="000000"/>
              <w:left w:val="single" w:sz="4" w:space="0" w:color="000000"/>
              <w:bottom w:val="single" w:sz="4" w:space="0" w:color="000000"/>
              <w:right w:val="single" w:sz="4" w:space="0" w:color="000000"/>
            </w:tcBorders>
          </w:tcPr>
          <w:p w14:paraId="385D343D"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L8</w:t>
            </w:r>
          </w:p>
        </w:tc>
        <w:tc>
          <w:tcPr>
            <w:tcW w:w="3017" w:type="dxa"/>
            <w:tcBorders>
              <w:top w:val="single" w:sz="4" w:space="0" w:color="000000"/>
              <w:left w:val="single" w:sz="4" w:space="0" w:color="000000"/>
              <w:bottom w:val="single" w:sz="4" w:space="0" w:color="000000"/>
              <w:right w:val="single" w:sz="4" w:space="0" w:color="000000"/>
            </w:tcBorders>
          </w:tcPr>
          <w:p w14:paraId="6AA9D14A"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Interface d’aide à la décision</w:t>
            </w:r>
          </w:p>
        </w:tc>
        <w:tc>
          <w:tcPr>
            <w:tcW w:w="823" w:type="dxa"/>
            <w:tcBorders>
              <w:top w:val="single" w:sz="4" w:space="0" w:color="000000"/>
              <w:left w:val="single" w:sz="4" w:space="0" w:color="000000"/>
              <w:bottom w:val="single" w:sz="4" w:space="0" w:color="000000"/>
              <w:right w:val="single" w:sz="4" w:space="0" w:color="000000"/>
            </w:tcBorders>
          </w:tcPr>
          <w:p w14:paraId="0FCEE884"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86 h</w:t>
            </w:r>
          </w:p>
        </w:tc>
        <w:tc>
          <w:tcPr>
            <w:tcW w:w="640" w:type="dxa"/>
            <w:tcBorders>
              <w:top w:val="single" w:sz="4" w:space="0" w:color="000000"/>
              <w:left w:val="single" w:sz="4" w:space="0" w:color="000000"/>
              <w:bottom w:val="single" w:sz="4" w:space="0" w:color="000000"/>
              <w:right w:val="single" w:sz="4" w:space="0" w:color="000000"/>
            </w:tcBorders>
          </w:tcPr>
          <w:p w14:paraId="0FBAC142"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8 %</w:t>
            </w:r>
          </w:p>
        </w:tc>
        <w:tc>
          <w:tcPr>
            <w:tcW w:w="3510" w:type="dxa"/>
            <w:tcBorders>
              <w:top w:val="single" w:sz="4" w:space="0" w:color="000000"/>
              <w:left w:val="single" w:sz="4" w:space="0" w:color="000000"/>
              <w:bottom w:val="single" w:sz="4" w:space="0" w:color="000000"/>
              <w:right w:val="single" w:sz="4" w:space="0" w:color="000000"/>
            </w:tcBorders>
          </w:tcPr>
          <w:p w14:paraId="0A94C863"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Interface homme-machine, facteurs humains</w:t>
            </w:r>
          </w:p>
        </w:tc>
      </w:tr>
      <w:tr w:rsidR="00F50D70" w:rsidRPr="00BE4F47" w14:paraId="681C7477" w14:textId="77777777">
        <w:trPr>
          <w:cantSplit/>
        </w:trPr>
        <w:tc>
          <w:tcPr>
            <w:tcW w:w="567" w:type="dxa"/>
            <w:tcBorders>
              <w:top w:val="single" w:sz="4" w:space="0" w:color="000000"/>
              <w:left w:val="single" w:sz="4" w:space="0" w:color="000000"/>
              <w:bottom w:val="single" w:sz="4" w:space="0" w:color="000000"/>
              <w:right w:val="single" w:sz="4" w:space="0" w:color="000000"/>
            </w:tcBorders>
          </w:tcPr>
          <w:p w14:paraId="6985E6DE"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L9</w:t>
            </w:r>
          </w:p>
        </w:tc>
        <w:tc>
          <w:tcPr>
            <w:tcW w:w="3017" w:type="dxa"/>
            <w:tcBorders>
              <w:top w:val="single" w:sz="4" w:space="0" w:color="000000"/>
              <w:left w:val="single" w:sz="4" w:space="0" w:color="000000"/>
              <w:bottom w:val="single" w:sz="4" w:space="0" w:color="000000"/>
              <w:right w:val="single" w:sz="4" w:space="0" w:color="000000"/>
            </w:tcBorders>
          </w:tcPr>
          <w:p w14:paraId="50F6B7CD"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Intégration, vérification, validation et campagne d’essais</w:t>
            </w:r>
          </w:p>
        </w:tc>
        <w:tc>
          <w:tcPr>
            <w:tcW w:w="823" w:type="dxa"/>
            <w:tcBorders>
              <w:top w:val="single" w:sz="4" w:space="0" w:color="000000"/>
              <w:left w:val="single" w:sz="4" w:space="0" w:color="000000"/>
              <w:bottom w:val="single" w:sz="4" w:space="0" w:color="000000"/>
              <w:right w:val="single" w:sz="4" w:space="0" w:color="000000"/>
            </w:tcBorders>
          </w:tcPr>
          <w:p w14:paraId="23F6158E"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130 h</w:t>
            </w:r>
          </w:p>
        </w:tc>
        <w:tc>
          <w:tcPr>
            <w:tcW w:w="640" w:type="dxa"/>
            <w:tcBorders>
              <w:top w:val="single" w:sz="4" w:space="0" w:color="000000"/>
              <w:left w:val="single" w:sz="4" w:space="0" w:color="000000"/>
              <w:bottom w:val="single" w:sz="4" w:space="0" w:color="000000"/>
              <w:right w:val="single" w:sz="4" w:space="0" w:color="000000"/>
            </w:tcBorders>
          </w:tcPr>
          <w:p w14:paraId="32A5B982"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12 %</w:t>
            </w:r>
          </w:p>
        </w:tc>
        <w:tc>
          <w:tcPr>
            <w:tcW w:w="3510" w:type="dxa"/>
            <w:tcBorders>
              <w:top w:val="single" w:sz="4" w:space="0" w:color="000000"/>
              <w:left w:val="single" w:sz="4" w:space="0" w:color="000000"/>
              <w:bottom w:val="single" w:sz="4" w:space="0" w:color="000000"/>
              <w:right w:val="single" w:sz="4" w:space="0" w:color="000000"/>
            </w:tcBorders>
          </w:tcPr>
          <w:p w14:paraId="1ACA90A9"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V&amp;V, plan d’expérience</w:t>
            </w:r>
          </w:p>
        </w:tc>
      </w:tr>
      <w:tr w:rsidR="00F50D70" w:rsidRPr="00BE4F47" w14:paraId="1C0C311C" w14:textId="77777777">
        <w:trPr>
          <w:cantSplit/>
        </w:trPr>
        <w:tc>
          <w:tcPr>
            <w:tcW w:w="567" w:type="dxa"/>
            <w:tcBorders>
              <w:top w:val="single" w:sz="4" w:space="0" w:color="000000"/>
              <w:left w:val="single" w:sz="4" w:space="0" w:color="000000"/>
              <w:bottom w:val="single" w:sz="4" w:space="0" w:color="000000"/>
              <w:right w:val="single" w:sz="4" w:space="0" w:color="000000"/>
            </w:tcBorders>
          </w:tcPr>
          <w:p w14:paraId="26ACE79A" w14:textId="77777777" w:rsidR="00F50D70" w:rsidRPr="00BE4F47" w:rsidRDefault="00F50D70" w:rsidP="008E113B">
            <w:pPr>
              <w:snapToGrid w:val="0"/>
              <w:spacing w:before="20" w:after="20"/>
              <w:ind w:left="0"/>
              <w:jc w:val="left"/>
              <w:outlineLvl w:val="9"/>
              <w:rPr>
                <w:rFonts w:ascii="Aptos" w:eastAsia="Calibri" w:hAnsi="Aptos" w:cs="Calibri"/>
                <w:color w:val="1A1A19"/>
                <w:sz w:val="20"/>
                <w:szCs w:val="20"/>
                <w:lang w:val="fr-FR"/>
              </w:rPr>
            </w:pPr>
          </w:p>
        </w:tc>
        <w:tc>
          <w:tcPr>
            <w:tcW w:w="3017" w:type="dxa"/>
            <w:tcBorders>
              <w:top w:val="single" w:sz="4" w:space="0" w:color="000000"/>
              <w:left w:val="single" w:sz="4" w:space="0" w:color="000000"/>
              <w:bottom w:val="single" w:sz="4" w:space="0" w:color="000000"/>
              <w:right w:val="single" w:sz="4" w:space="0" w:color="000000"/>
            </w:tcBorders>
          </w:tcPr>
          <w:p w14:paraId="523DC7C6"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Total</w:t>
            </w:r>
          </w:p>
        </w:tc>
        <w:tc>
          <w:tcPr>
            <w:tcW w:w="823" w:type="dxa"/>
            <w:tcBorders>
              <w:top w:val="single" w:sz="4" w:space="0" w:color="000000"/>
              <w:left w:val="single" w:sz="4" w:space="0" w:color="000000"/>
              <w:bottom w:val="single" w:sz="4" w:space="0" w:color="000000"/>
              <w:right w:val="single" w:sz="4" w:space="0" w:color="000000"/>
            </w:tcBorders>
          </w:tcPr>
          <w:p w14:paraId="2725E60D"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1 080 h</w:t>
            </w:r>
          </w:p>
        </w:tc>
        <w:tc>
          <w:tcPr>
            <w:tcW w:w="640" w:type="dxa"/>
            <w:tcBorders>
              <w:top w:val="single" w:sz="4" w:space="0" w:color="000000"/>
              <w:left w:val="single" w:sz="4" w:space="0" w:color="000000"/>
              <w:bottom w:val="single" w:sz="4" w:space="0" w:color="000000"/>
              <w:right w:val="single" w:sz="4" w:space="0" w:color="000000"/>
            </w:tcBorders>
          </w:tcPr>
          <w:p w14:paraId="73F74282"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100 %</w:t>
            </w:r>
          </w:p>
        </w:tc>
        <w:tc>
          <w:tcPr>
            <w:tcW w:w="3510" w:type="dxa"/>
            <w:tcBorders>
              <w:top w:val="single" w:sz="4" w:space="0" w:color="000000"/>
              <w:left w:val="single" w:sz="4" w:space="0" w:color="000000"/>
              <w:bottom w:val="single" w:sz="4" w:space="0" w:color="000000"/>
              <w:right w:val="single" w:sz="4" w:space="0" w:color="000000"/>
            </w:tcBorders>
          </w:tcPr>
          <w:p w14:paraId="6FBF617F" w14:textId="77777777" w:rsidR="00F50D70" w:rsidRPr="00BE4F47" w:rsidRDefault="00F50D70" w:rsidP="008E113B">
            <w:pPr>
              <w:snapToGrid w:val="0"/>
              <w:spacing w:before="20" w:after="20"/>
              <w:ind w:left="0"/>
              <w:jc w:val="left"/>
              <w:outlineLvl w:val="9"/>
              <w:rPr>
                <w:rFonts w:ascii="Aptos" w:eastAsia="Calibri" w:hAnsi="Aptos" w:cs="Calibri"/>
                <w:color w:val="1A1A19"/>
                <w:sz w:val="20"/>
                <w:szCs w:val="20"/>
                <w:lang w:val="fr-FR"/>
              </w:rPr>
            </w:pPr>
          </w:p>
        </w:tc>
      </w:tr>
    </w:tbl>
    <w:p w14:paraId="0B506A94" w14:textId="77777777" w:rsidR="00F50D70" w:rsidRPr="00B36301" w:rsidRDefault="00137D7F" w:rsidP="008E113B">
      <w:pPr>
        <w:pStyle w:val="Titre2"/>
        <w:spacing w:line="360" w:lineRule="auto"/>
      </w:pPr>
      <w:bookmarkStart w:id="1218" w:name="_Toc241708006"/>
      <w:bookmarkStart w:id="1219" w:name="_Toc241791955"/>
      <w:r w:rsidRPr="00B36301">
        <w:t>Ressources matérielles et d’infrastructure</w:t>
      </w:r>
      <w:bookmarkEnd w:id="1218"/>
      <w:bookmarkEnd w:id="1219"/>
    </w:p>
    <w:p w14:paraId="27156172" w14:textId="77777777" w:rsidR="00F50D70" w:rsidRPr="00BE4F47" w:rsidRDefault="00137D7F" w:rsidP="008E113B">
      <w:pPr>
        <w:spacing w:before="200" w:after="130" w:line="360" w:lineRule="auto"/>
        <w:ind w:left="360"/>
        <w:rPr>
          <w:rFonts w:ascii="Aptos" w:eastAsia="Calibri" w:hAnsi="Aptos" w:cs="Calibri"/>
          <w:color w:val="1A1A19"/>
          <w:sz w:val="20"/>
          <w:szCs w:val="20"/>
        </w:rPr>
      </w:pPr>
      <w:bookmarkStart w:id="1220" w:name="_Toc241083129"/>
      <w:bookmarkStart w:id="1221" w:name="_Toc241670299"/>
      <w:bookmarkStart w:id="1222" w:name="_Toc241708007"/>
      <w:bookmarkStart w:id="1223" w:name="_Toc241791956"/>
      <w:r w:rsidRPr="00BE4F47">
        <w:rPr>
          <w:rFonts w:ascii="Aptos" w:hAnsi="Aptos"/>
          <w:color w:val="1A1A19"/>
          <w:sz w:val="20"/>
          <w:szCs w:val="20"/>
        </w:rPr>
        <w:t>Le projet est de nature logicielle. Il ne nécessite aucun achat d’équipement. Les ressources matérielles sont soit apportées par l’équipe, soit fournies par l’établissement.</w:t>
      </w:r>
      <w:bookmarkEnd w:id="1220"/>
      <w:bookmarkEnd w:id="1221"/>
      <w:bookmarkEnd w:id="1222"/>
      <w:bookmarkEnd w:id="1223"/>
    </w:p>
    <w:p w14:paraId="7A48164C" w14:textId="77777777" w:rsidR="00F50D70" w:rsidRPr="00BE4F47" w:rsidRDefault="00137D7F" w:rsidP="008E113B">
      <w:pPr>
        <w:pStyle w:val="Lgende"/>
        <w:keepNext/>
        <w:spacing w:line="360" w:lineRule="auto"/>
        <w:rPr>
          <w:rFonts w:ascii="Aptos" w:hAnsi="Aptos"/>
        </w:rPr>
      </w:pPr>
      <w:bookmarkStart w:id="1224" w:name="_Toc241083130"/>
      <w:bookmarkStart w:id="1225" w:name="_Toc241670300"/>
      <w:bookmarkStart w:id="1226" w:name="_Toc241708008"/>
      <w:bookmarkStart w:id="1227" w:name="_Toc241791957"/>
      <w:r w:rsidRPr="00BE4F47">
        <w:rPr>
          <w:rFonts w:ascii="Aptos" w:hAnsi="Aptos"/>
        </w:rPr>
        <w:t>Tableau 8-3. Ressources matérielles et d’infrastructure</w:t>
      </w:r>
      <w:bookmarkEnd w:id="1224"/>
      <w:bookmarkEnd w:id="1225"/>
      <w:bookmarkEnd w:id="1226"/>
      <w:bookmarkEnd w:id="1227"/>
    </w:p>
    <w:tbl>
      <w:tblPr>
        <w:tblW w:w="8557" w:type="dxa"/>
        <w:tblInd w:w="413" w:type="dxa"/>
        <w:tblLayout w:type="fixed"/>
        <w:tblCellMar>
          <w:top w:w="55" w:type="dxa"/>
          <w:left w:w="85" w:type="dxa"/>
          <w:bottom w:w="55" w:type="dxa"/>
          <w:right w:w="85" w:type="dxa"/>
        </w:tblCellMar>
        <w:tblLook w:val="04A0" w:firstRow="1" w:lastRow="0" w:firstColumn="1" w:lastColumn="0" w:noHBand="0" w:noVBand="1"/>
      </w:tblPr>
      <w:tblGrid>
        <w:gridCol w:w="3746"/>
        <w:gridCol w:w="696"/>
        <w:gridCol w:w="2103"/>
        <w:gridCol w:w="2012"/>
      </w:tblGrid>
      <w:tr w:rsidR="00F50D70" w:rsidRPr="00BE4F47" w14:paraId="4E1C65CC" w14:textId="77777777">
        <w:trPr>
          <w:tblHeader/>
        </w:trPr>
        <w:tc>
          <w:tcPr>
            <w:tcW w:w="3746" w:type="dxa"/>
            <w:tcBorders>
              <w:top w:val="single" w:sz="4" w:space="0" w:color="000000"/>
              <w:left w:val="single" w:sz="4" w:space="0" w:color="000000"/>
              <w:bottom w:val="single" w:sz="4" w:space="0" w:color="000000"/>
              <w:right w:val="single" w:sz="4" w:space="0" w:color="000000"/>
            </w:tcBorders>
            <w:shd w:val="clear" w:color="auto" w:fill="EFF4FB"/>
          </w:tcPr>
          <w:p w14:paraId="3A8C512E"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Ressource</w:t>
            </w:r>
          </w:p>
        </w:tc>
        <w:tc>
          <w:tcPr>
            <w:tcW w:w="696" w:type="dxa"/>
            <w:tcBorders>
              <w:top w:val="single" w:sz="4" w:space="0" w:color="000000"/>
              <w:left w:val="single" w:sz="4" w:space="0" w:color="000000"/>
              <w:bottom w:val="single" w:sz="4" w:space="0" w:color="000000"/>
              <w:right w:val="single" w:sz="4" w:space="0" w:color="000000"/>
            </w:tcBorders>
            <w:shd w:val="clear" w:color="auto" w:fill="EFF4FB"/>
          </w:tcPr>
          <w:p w14:paraId="34131705"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Qté</w:t>
            </w:r>
          </w:p>
        </w:tc>
        <w:tc>
          <w:tcPr>
            <w:tcW w:w="2103" w:type="dxa"/>
            <w:tcBorders>
              <w:top w:val="single" w:sz="4" w:space="0" w:color="000000"/>
              <w:left w:val="single" w:sz="4" w:space="0" w:color="000000"/>
              <w:bottom w:val="single" w:sz="4" w:space="0" w:color="000000"/>
              <w:right w:val="single" w:sz="4" w:space="0" w:color="000000"/>
            </w:tcBorders>
            <w:shd w:val="clear" w:color="auto" w:fill="EFF4FB"/>
          </w:tcPr>
          <w:p w14:paraId="5B66F554"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Provenance</w:t>
            </w:r>
          </w:p>
        </w:tc>
        <w:tc>
          <w:tcPr>
            <w:tcW w:w="2012" w:type="dxa"/>
            <w:tcBorders>
              <w:top w:val="single" w:sz="4" w:space="0" w:color="000000"/>
              <w:left w:val="single" w:sz="4" w:space="0" w:color="000000"/>
              <w:bottom w:val="single" w:sz="4" w:space="0" w:color="000000"/>
              <w:right w:val="single" w:sz="4" w:space="0" w:color="000000"/>
            </w:tcBorders>
            <w:shd w:val="clear" w:color="auto" w:fill="EFF4FB"/>
          </w:tcPr>
          <w:p w14:paraId="17DE818B"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Coût imputé au mandat</w:t>
            </w:r>
          </w:p>
        </w:tc>
      </w:tr>
      <w:tr w:rsidR="00F50D70" w:rsidRPr="00BE4F47" w14:paraId="7E6F2B7E" w14:textId="77777777">
        <w:trPr>
          <w:cantSplit/>
        </w:trPr>
        <w:tc>
          <w:tcPr>
            <w:tcW w:w="3746" w:type="dxa"/>
            <w:tcBorders>
              <w:top w:val="single" w:sz="4" w:space="0" w:color="000000"/>
              <w:left w:val="single" w:sz="4" w:space="0" w:color="000000"/>
              <w:bottom w:val="single" w:sz="4" w:space="0" w:color="000000"/>
              <w:right w:val="single" w:sz="4" w:space="0" w:color="000000"/>
            </w:tcBorders>
          </w:tcPr>
          <w:p w14:paraId="327A14B5"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Postes de travail des membres</w:t>
            </w:r>
          </w:p>
        </w:tc>
        <w:tc>
          <w:tcPr>
            <w:tcW w:w="696" w:type="dxa"/>
            <w:tcBorders>
              <w:top w:val="single" w:sz="4" w:space="0" w:color="000000"/>
              <w:left w:val="single" w:sz="4" w:space="0" w:color="000000"/>
              <w:bottom w:val="single" w:sz="4" w:space="0" w:color="000000"/>
              <w:right w:val="single" w:sz="4" w:space="0" w:color="000000"/>
            </w:tcBorders>
          </w:tcPr>
          <w:p w14:paraId="1079362E"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8</w:t>
            </w:r>
          </w:p>
        </w:tc>
        <w:tc>
          <w:tcPr>
            <w:tcW w:w="2103" w:type="dxa"/>
            <w:tcBorders>
              <w:top w:val="single" w:sz="4" w:space="0" w:color="000000"/>
              <w:left w:val="single" w:sz="4" w:space="0" w:color="000000"/>
              <w:bottom w:val="single" w:sz="4" w:space="0" w:color="000000"/>
              <w:right w:val="single" w:sz="4" w:space="0" w:color="000000"/>
            </w:tcBorders>
          </w:tcPr>
          <w:p w14:paraId="15202EB2"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Apport de l’équipe</w:t>
            </w:r>
          </w:p>
        </w:tc>
        <w:tc>
          <w:tcPr>
            <w:tcW w:w="2012" w:type="dxa"/>
            <w:tcBorders>
              <w:top w:val="single" w:sz="4" w:space="0" w:color="000000"/>
              <w:left w:val="single" w:sz="4" w:space="0" w:color="000000"/>
              <w:bottom w:val="single" w:sz="4" w:space="0" w:color="000000"/>
              <w:right w:val="single" w:sz="4" w:space="0" w:color="000000"/>
            </w:tcBorders>
          </w:tcPr>
          <w:p w14:paraId="0EAC2E0C"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Nul, amortissement à déclarer</w:t>
            </w:r>
          </w:p>
        </w:tc>
      </w:tr>
      <w:tr w:rsidR="00F50D70" w:rsidRPr="00BE4F47" w14:paraId="7C2DE308" w14:textId="77777777">
        <w:trPr>
          <w:cantSplit/>
        </w:trPr>
        <w:tc>
          <w:tcPr>
            <w:tcW w:w="3746" w:type="dxa"/>
            <w:tcBorders>
              <w:top w:val="single" w:sz="4" w:space="0" w:color="000000"/>
              <w:left w:val="single" w:sz="4" w:space="0" w:color="000000"/>
              <w:bottom w:val="single" w:sz="4" w:space="0" w:color="000000"/>
              <w:right w:val="single" w:sz="4" w:space="0" w:color="000000"/>
            </w:tcBorders>
          </w:tcPr>
          <w:p w14:paraId="09E47644"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lastRenderedPageBreak/>
              <w:t>Station de calcul pour les simulations longues</w:t>
            </w:r>
          </w:p>
        </w:tc>
        <w:tc>
          <w:tcPr>
            <w:tcW w:w="696" w:type="dxa"/>
            <w:tcBorders>
              <w:top w:val="single" w:sz="4" w:space="0" w:color="000000"/>
              <w:left w:val="single" w:sz="4" w:space="0" w:color="000000"/>
              <w:bottom w:val="single" w:sz="4" w:space="0" w:color="000000"/>
              <w:right w:val="single" w:sz="4" w:space="0" w:color="000000"/>
            </w:tcBorders>
          </w:tcPr>
          <w:p w14:paraId="1C99BAFD"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1</w:t>
            </w:r>
          </w:p>
        </w:tc>
        <w:tc>
          <w:tcPr>
            <w:tcW w:w="2103" w:type="dxa"/>
            <w:tcBorders>
              <w:top w:val="single" w:sz="4" w:space="0" w:color="000000"/>
              <w:left w:val="single" w:sz="4" w:space="0" w:color="000000"/>
              <w:bottom w:val="single" w:sz="4" w:space="0" w:color="000000"/>
              <w:right w:val="single" w:sz="4" w:space="0" w:color="000000"/>
            </w:tcBorders>
          </w:tcPr>
          <w:p w14:paraId="50A73CCC"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Laboratoire de l’UQAC (H-06)</w:t>
            </w:r>
          </w:p>
        </w:tc>
        <w:tc>
          <w:tcPr>
            <w:tcW w:w="2012" w:type="dxa"/>
            <w:tcBorders>
              <w:top w:val="single" w:sz="4" w:space="0" w:color="000000"/>
              <w:left w:val="single" w:sz="4" w:space="0" w:color="000000"/>
              <w:bottom w:val="single" w:sz="4" w:space="0" w:color="000000"/>
              <w:right w:val="single" w:sz="4" w:space="0" w:color="000000"/>
            </w:tcBorders>
          </w:tcPr>
          <w:p w14:paraId="3AD4437D"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Nul</w:t>
            </w:r>
          </w:p>
        </w:tc>
      </w:tr>
      <w:tr w:rsidR="00F50D70" w:rsidRPr="00BE4F47" w14:paraId="1B08D6F8" w14:textId="77777777">
        <w:trPr>
          <w:cantSplit/>
        </w:trPr>
        <w:tc>
          <w:tcPr>
            <w:tcW w:w="3746" w:type="dxa"/>
            <w:tcBorders>
              <w:top w:val="single" w:sz="4" w:space="0" w:color="000000"/>
              <w:left w:val="single" w:sz="4" w:space="0" w:color="000000"/>
              <w:bottom w:val="single" w:sz="4" w:space="0" w:color="000000"/>
              <w:right w:val="single" w:sz="4" w:space="0" w:color="000000"/>
            </w:tcBorders>
          </w:tcPr>
          <w:p w14:paraId="076B94D5"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Environnement de virtualisation pour l’essai de segmentation réseau : deux machines virtuelles et un pare-feu logiciel</w:t>
            </w:r>
          </w:p>
        </w:tc>
        <w:tc>
          <w:tcPr>
            <w:tcW w:w="696" w:type="dxa"/>
            <w:tcBorders>
              <w:top w:val="single" w:sz="4" w:space="0" w:color="000000"/>
              <w:left w:val="single" w:sz="4" w:space="0" w:color="000000"/>
              <w:bottom w:val="single" w:sz="4" w:space="0" w:color="000000"/>
              <w:right w:val="single" w:sz="4" w:space="0" w:color="000000"/>
            </w:tcBorders>
          </w:tcPr>
          <w:p w14:paraId="45396AA6"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1</w:t>
            </w:r>
          </w:p>
        </w:tc>
        <w:tc>
          <w:tcPr>
            <w:tcW w:w="2103" w:type="dxa"/>
            <w:tcBorders>
              <w:top w:val="single" w:sz="4" w:space="0" w:color="000000"/>
              <w:left w:val="single" w:sz="4" w:space="0" w:color="000000"/>
              <w:bottom w:val="single" w:sz="4" w:space="0" w:color="000000"/>
              <w:right w:val="single" w:sz="4" w:space="0" w:color="000000"/>
            </w:tcBorders>
          </w:tcPr>
          <w:p w14:paraId="46BD2FC8"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Poste existant</w:t>
            </w:r>
          </w:p>
        </w:tc>
        <w:tc>
          <w:tcPr>
            <w:tcW w:w="2012" w:type="dxa"/>
            <w:tcBorders>
              <w:top w:val="single" w:sz="4" w:space="0" w:color="000000"/>
              <w:left w:val="single" w:sz="4" w:space="0" w:color="000000"/>
              <w:bottom w:val="single" w:sz="4" w:space="0" w:color="000000"/>
              <w:right w:val="single" w:sz="4" w:space="0" w:color="000000"/>
            </w:tcBorders>
          </w:tcPr>
          <w:p w14:paraId="62DEDE73"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Nul</w:t>
            </w:r>
          </w:p>
        </w:tc>
      </w:tr>
      <w:tr w:rsidR="00F50D70" w:rsidRPr="00BE4F47" w14:paraId="2B6B1321" w14:textId="77777777">
        <w:trPr>
          <w:cantSplit/>
        </w:trPr>
        <w:tc>
          <w:tcPr>
            <w:tcW w:w="3746" w:type="dxa"/>
            <w:tcBorders>
              <w:top w:val="single" w:sz="4" w:space="0" w:color="000000"/>
              <w:left w:val="single" w:sz="4" w:space="0" w:color="000000"/>
              <w:bottom w:val="single" w:sz="4" w:space="0" w:color="000000"/>
              <w:right w:val="single" w:sz="4" w:space="0" w:color="000000"/>
            </w:tcBorders>
          </w:tcPr>
          <w:p w14:paraId="3D2B9EDE"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Dépôt de code versionné et sauvegarde hors poste</w:t>
            </w:r>
          </w:p>
        </w:tc>
        <w:tc>
          <w:tcPr>
            <w:tcW w:w="696" w:type="dxa"/>
            <w:tcBorders>
              <w:top w:val="single" w:sz="4" w:space="0" w:color="000000"/>
              <w:left w:val="single" w:sz="4" w:space="0" w:color="000000"/>
              <w:bottom w:val="single" w:sz="4" w:space="0" w:color="000000"/>
              <w:right w:val="single" w:sz="4" w:space="0" w:color="000000"/>
            </w:tcBorders>
          </w:tcPr>
          <w:p w14:paraId="4D7A7C05"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1</w:t>
            </w:r>
          </w:p>
        </w:tc>
        <w:tc>
          <w:tcPr>
            <w:tcW w:w="2103" w:type="dxa"/>
            <w:tcBorders>
              <w:top w:val="single" w:sz="4" w:space="0" w:color="000000"/>
              <w:left w:val="single" w:sz="4" w:space="0" w:color="000000"/>
              <w:bottom w:val="single" w:sz="4" w:space="0" w:color="000000"/>
              <w:right w:val="single" w:sz="4" w:space="0" w:color="000000"/>
            </w:tcBorders>
          </w:tcPr>
          <w:p w14:paraId="6EF4AFB1"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Service institutionnel</w:t>
            </w:r>
          </w:p>
        </w:tc>
        <w:tc>
          <w:tcPr>
            <w:tcW w:w="2012" w:type="dxa"/>
            <w:tcBorders>
              <w:top w:val="single" w:sz="4" w:space="0" w:color="000000"/>
              <w:left w:val="single" w:sz="4" w:space="0" w:color="000000"/>
              <w:bottom w:val="single" w:sz="4" w:space="0" w:color="000000"/>
              <w:right w:val="single" w:sz="4" w:space="0" w:color="000000"/>
            </w:tcBorders>
          </w:tcPr>
          <w:p w14:paraId="3C051E60"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Nul</w:t>
            </w:r>
          </w:p>
        </w:tc>
      </w:tr>
      <w:tr w:rsidR="00F50D70" w:rsidRPr="00BE4F47" w14:paraId="79551FE1" w14:textId="77777777">
        <w:trPr>
          <w:cantSplit/>
        </w:trPr>
        <w:tc>
          <w:tcPr>
            <w:tcW w:w="3746" w:type="dxa"/>
            <w:tcBorders>
              <w:top w:val="single" w:sz="4" w:space="0" w:color="000000"/>
              <w:left w:val="single" w:sz="4" w:space="0" w:color="000000"/>
              <w:bottom w:val="single" w:sz="4" w:space="0" w:color="000000"/>
              <w:right w:val="single" w:sz="4" w:space="0" w:color="000000"/>
            </w:tcBorders>
          </w:tcPr>
          <w:p w14:paraId="45C9B30D"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Local de réunion et salle de laboratoire</w:t>
            </w:r>
          </w:p>
        </w:tc>
        <w:tc>
          <w:tcPr>
            <w:tcW w:w="696" w:type="dxa"/>
            <w:tcBorders>
              <w:top w:val="single" w:sz="4" w:space="0" w:color="000000"/>
              <w:left w:val="single" w:sz="4" w:space="0" w:color="000000"/>
              <w:bottom w:val="single" w:sz="4" w:space="0" w:color="000000"/>
              <w:right w:val="single" w:sz="4" w:space="0" w:color="000000"/>
            </w:tcBorders>
          </w:tcPr>
          <w:p w14:paraId="65E6E04C"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s.o.</w:t>
            </w:r>
          </w:p>
        </w:tc>
        <w:tc>
          <w:tcPr>
            <w:tcW w:w="2103" w:type="dxa"/>
            <w:tcBorders>
              <w:top w:val="single" w:sz="4" w:space="0" w:color="000000"/>
              <w:left w:val="single" w:sz="4" w:space="0" w:color="000000"/>
              <w:bottom w:val="single" w:sz="4" w:space="0" w:color="000000"/>
              <w:right w:val="single" w:sz="4" w:space="0" w:color="000000"/>
            </w:tcBorders>
          </w:tcPr>
          <w:p w14:paraId="6537B6FF"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UQAC</w:t>
            </w:r>
          </w:p>
        </w:tc>
        <w:tc>
          <w:tcPr>
            <w:tcW w:w="2012" w:type="dxa"/>
            <w:tcBorders>
              <w:top w:val="single" w:sz="4" w:space="0" w:color="000000"/>
              <w:left w:val="single" w:sz="4" w:space="0" w:color="000000"/>
              <w:bottom w:val="single" w:sz="4" w:space="0" w:color="000000"/>
              <w:right w:val="single" w:sz="4" w:space="0" w:color="000000"/>
            </w:tcBorders>
          </w:tcPr>
          <w:p w14:paraId="25744A5A"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Nul</w:t>
            </w:r>
          </w:p>
        </w:tc>
      </w:tr>
    </w:tbl>
    <w:p w14:paraId="2733FF7D" w14:textId="77777777" w:rsidR="00F50D70" w:rsidRPr="00B36301" w:rsidRDefault="00137D7F" w:rsidP="008E113B">
      <w:pPr>
        <w:pStyle w:val="Titre2"/>
        <w:spacing w:line="360" w:lineRule="auto"/>
      </w:pPr>
      <w:bookmarkStart w:id="1228" w:name="_Toc241708009"/>
      <w:bookmarkStart w:id="1229" w:name="_Toc241791958"/>
      <w:r w:rsidRPr="00B36301">
        <w:t>Ressources logicielles envisagées</w:t>
      </w:r>
      <w:bookmarkEnd w:id="1228"/>
      <w:bookmarkEnd w:id="1229"/>
    </w:p>
    <w:p w14:paraId="0FD8370A" w14:textId="77777777" w:rsidR="00F50D70" w:rsidRPr="00BE4F47" w:rsidRDefault="00137D7F" w:rsidP="008E113B">
      <w:pPr>
        <w:spacing w:before="200" w:after="130" w:line="360" w:lineRule="auto"/>
        <w:ind w:left="360"/>
        <w:outlineLvl w:val="9"/>
        <w:rPr>
          <w:rFonts w:ascii="Aptos" w:eastAsia="Calibri" w:hAnsi="Aptos" w:cs="Calibri"/>
          <w:color w:val="1A1A19"/>
          <w:sz w:val="20"/>
          <w:szCs w:val="20"/>
          <w:lang w:val="fr-FR"/>
        </w:rPr>
      </w:pPr>
      <w:r w:rsidRPr="00BE4F47">
        <w:rPr>
          <w:rFonts w:ascii="Aptos" w:hAnsi="Aptos"/>
          <w:color w:val="1A1A19"/>
          <w:sz w:val="20"/>
          <w:szCs w:val="20"/>
        </w:rPr>
        <w:t>Les outils envisagés le sont pour trois raisons : ils sont libres ou déjà licenciés ; ils reposent sur des formalismes normalisés plutôt que sur des solutions propriétaires ; ils permettent de reproduire les résultats, ce qu’exige EX-F-02.</w:t>
      </w:r>
    </w:p>
    <w:p w14:paraId="74C43BD1" w14:textId="77777777" w:rsidR="00F50D70" w:rsidRPr="00BE4F47" w:rsidRDefault="00137D7F" w:rsidP="008E113B">
      <w:pPr>
        <w:spacing w:after="130" w:line="360" w:lineRule="auto"/>
        <w:ind w:left="360"/>
        <w:rPr>
          <w:rFonts w:ascii="Aptos" w:eastAsia="Calibri" w:hAnsi="Aptos" w:cs="Calibri"/>
          <w:color w:val="1A1A19"/>
          <w:sz w:val="20"/>
          <w:szCs w:val="20"/>
          <w:lang w:val="fr-FR"/>
        </w:rPr>
      </w:pPr>
      <w:bookmarkStart w:id="1230" w:name="_Toc241083132"/>
      <w:bookmarkStart w:id="1231" w:name="_Toc241670302"/>
      <w:bookmarkStart w:id="1232" w:name="_Toc241708010"/>
      <w:bookmarkStart w:id="1233" w:name="_Toc241791959"/>
      <w:r w:rsidRPr="00BE4F47">
        <w:rPr>
          <w:rFonts w:ascii="Aptos" w:hAnsi="Aptos"/>
          <w:color w:val="1A1A19"/>
          <w:sz w:val="20"/>
          <w:szCs w:val="20"/>
        </w:rPr>
        <w:t>Les outils listés ci-dessous sont l’hypothèse de travail retenue pour chiffrer le mandat. Ce n’est pas un choix de conception : la sélection définitive appartiendra à la conception préliminaire, au jalon J2. La revue de l’état de l’art de la section 5 constate l’état des pratiques et renvoie ici. Toute modification passe par une tâche marquée « changement » au dépôt, selon la section 4.4.</w:t>
      </w:r>
      <w:bookmarkEnd w:id="1230"/>
      <w:bookmarkEnd w:id="1231"/>
      <w:bookmarkEnd w:id="1232"/>
      <w:bookmarkEnd w:id="1233"/>
    </w:p>
    <w:p w14:paraId="21211EED" w14:textId="77777777" w:rsidR="00F50D70" w:rsidRPr="00BE4F47" w:rsidRDefault="00137D7F" w:rsidP="008E113B">
      <w:pPr>
        <w:pStyle w:val="Lgende"/>
        <w:keepNext/>
        <w:spacing w:line="360" w:lineRule="auto"/>
        <w:rPr>
          <w:rFonts w:ascii="Aptos" w:hAnsi="Aptos"/>
        </w:rPr>
      </w:pPr>
      <w:bookmarkStart w:id="1234" w:name="_Toc241083133"/>
      <w:bookmarkStart w:id="1235" w:name="_Toc241670303"/>
      <w:bookmarkStart w:id="1236" w:name="_Toc241708011"/>
      <w:bookmarkStart w:id="1237" w:name="_Toc241791960"/>
      <w:r w:rsidRPr="00BE4F47">
        <w:rPr>
          <w:rFonts w:ascii="Aptos" w:hAnsi="Aptos"/>
        </w:rPr>
        <w:t>Tableau 8-4. Ressources logicielles envisagées</w:t>
      </w:r>
      <w:bookmarkEnd w:id="1234"/>
      <w:bookmarkEnd w:id="1235"/>
      <w:bookmarkEnd w:id="1236"/>
      <w:bookmarkEnd w:id="1237"/>
    </w:p>
    <w:tbl>
      <w:tblPr>
        <w:tblW w:w="8557" w:type="dxa"/>
        <w:tblInd w:w="413" w:type="dxa"/>
        <w:tblLayout w:type="fixed"/>
        <w:tblCellMar>
          <w:top w:w="55" w:type="dxa"/>
          <w:left w:w="85" w:type="dxa"/>
          <w:bottom w:w="55" w:type="dxa"/>
          <w:right w:w="85" w:type="dxa"/>
        </w:tblCellMar>
        <w:tblLook w:val="04A0" w:firstRow="1" w:lastRow="0" w:firstColumn="1" w:lastColumn="0" w:noHBand="0" w:noVBand="1"/>
      </w:tblPr>
      <w:tblGrid>
        <w:gridCol w:w="2011"/>
        <w:gridCol w:w="2560"/>
        <w:gridCol w:w="3986"/>
      </w:tblGrid>
      <w:tr w:rsidR="00F50D70" w:rsidRPr="00BE4F47" w14:paraId="3F747CC4" w14:textId="77777777">
        <w:trPr>
          <w:tblHeader/>
        </w:trPr>
        <w:tc>
          <w:tcPr>
            <w:tcW w:w="2011" w:type="dxa"/>
            <w:tcBorders>
              <w:top w:val="single" w:sz="4" w:space="0" w:color="000000"/>
              <w:left w:val="single" w:sz="4" w:space="0" w:color="000000"/>
              <w:bottom w:val="single" w:sz="4" w:space="0" w:color="000000"/>
              <w:right w:val="single" w:sz="4" w:space="0" w:color="000000"/>
            </w:tcBorders>
            <w:shd w:val="clear" w:color="auto" w:fill="EFF4FB"/>
          </w:tcPr>
          <w:p w14:paraId="0EAC3721"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Fonction</w:t>
            </w:r>
          </w:p>
        </w:tc>
        <w:tc>
          <w:tcPr>
            <w:tcW w:w="2560" w:type="dxa"/>
            <w:tcBorders>
              <w:top w:val="single" w:sz="4" w:space="0" w:color="000000"/>
              <w:left w:val="single" w:sz="4" w:space="0" w:color="000000"/>
              <w:bottom w:val="single" w:sz="4" w:space="0" w:color="000000"/>
              <w:right w:val="single" w:sz="4" w:space="0" w:color="000000"/>
            </w:tcBorders>
            <w:shd w:val="clear" w:color="auto" w:fill="EFF4FB"/>
          </w:tcPr>
          <w:p w14:paraId="7FCB95F8"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Outil envisagé</w:t>
            </w:r>
          </w:p>
        </w:tc>
        <w:tc>
          <w:tcPr>
            <w:tcW w:w="3986" w:type="dxa"/>
            <w:tcBorders>
              <w:top w:val="single" w:sz="4" w:space="0" w:color="000000"/>
              <w:left w:val="single" w:sz="4" w:space="0" w:color="000000"/>
              <w:bottom w:val="single" w:sz="4" w:space="0" w:color="000000"/>
              <w:right w:val="single" w:sz="4" w:space="0" w:color="000000"/>
            </w:tcBorders>
            <w:shd w:val="clear" w:color="auto" w:fill="EFF4FB"/>
          </w:tcPr>
          <w:p w14:paraId="40455902"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Justification</w:t>
            </w:r>
          </w:p>
        </w:tc>
      </w:tr>
      <w:tr w:rsidR="00F50D70" w:rsidRPr="00BE4F47" w14:paraId="08D4DCDB" w14:textId="77777777">
        <w:trPr>
          <w:cantSplit/>
        </w:trPr>
        <w:tc>
          <w:tcPr>
            <w:tcW w:w="2011" w:type="dxa"/>
            <w:tcBorders>
              <w:top w:val="single" w:sz="4" w:space="0" w:color="000000"/>
              <w:left w:val="single" w:sz="4" w:space="0" w:color="000000"/>
              <w:bottom w:val="single" w:sz="4" w:space="0" w:color="000000"/>
              <w:right w:val="single" w:sz="4" w:space="0" w:color="000000"/>
            </w:tcBorders>
          </w:tcPr>
          <w:p w14:paraId="72E33947"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Modélisation de la boucle thermohydraulique</w:t>
            </w:r>
          </w:p>
        </w:tc>
        <w:tc>
          <w:tcPr>
            <w:tcW w:w="2560" w:type="dxa"/>
            <w:tcBorders>
              <w:top w:val="single" w:sz="4" w:space="0" w:color="000000"/>
              <w:left w:val="single" w:sz="4" w:space="0" w:color="000000"/>
              <w:bottom w:val="single" w:sz="4" w:space="0" w:color="000000"/>
              <w:right w:val="single" w:sz="4" w:space="0" w:color="000000"/>
            </w:tcBorders>
          </w:tcPr>
          <w:p w14:paraId="12193CFA"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OpenModelica avec les bibliothèques Modelica.Fluid ou ThermoPower. Variante : MATLAB, Simulink et Simscape Fluids sous licence académique</w:t>
            </w:r>
          </w:p>
        </w:tc>
        <w:tc>
          <w:tcPr>
            <w:tcW w:w="3986" w:type="dxa"/>
            <w:tcBorders>
              <w:top w:val="single" w:sz="4" w:space="0" w:color="000000"/>
              <w:left w:val="single" w:sz="4" w:space="0" w:color="000000"/>
              <w:bottom w:val="single" w:sz="4" w:space="0" w:color="000000"/>
              <w:right w:val="single" w:sz="4" w:space="0" w:color="000000"/>
            </w:tcBorders>
          </w:tcPr>
          <w:p w14:paraId="6D44F0C0" w14:textId="3C1864BD"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Modelica est un langage de modélisation normalisé à équations acausales, conçu pour les réseaux fluidiques et thermiques. Il permet d’exprimer directement les bilans de masse et d’énergie</w:t>
            </w:r>
            <w:r w:rsidR="00F4666D">
              <w:rPr>
                <w:rFonts w:ascii="Aptos" w:eastAsia="Calibri" w:hAnsi="Aptos" w:cs="Calibri"/>
                <w:color w:val="1A1A19"/>
                <w:sz w:val="16"/>
                <w:szCs w:val="16"/>
                <w:lang w:val="fr-FR"/>
              </w:rPr>
              <w:t xml:space="preserve">. </w:t>
            </w:r>
            <w:r w:rsidR="00F4666D" w:rsidRPr="00F4666D">
              <w:rPr>
                <w:rFonts w:ascii="Aptos" w:eastAsia="Calibri" w:hAnsi="Aptos" w:cs="Calibri"/>
                <w:color w:val="1A1A19"/>
                <w:sz w:val="16"/>
                <w:szCs w:val="16"/>
              </w:rPr>
              <w:t>Cet usage s’inscrit dans les activités de modélisation et de calcul visées par l’article 2 (1°) de la Loi sur les ingénieurs.</w:t>
            </w:r>
          </w:p>
        </w:tc>
      </w:tr>
      <w:tr w:rsidR="00F50D70" w:rsidRPr="00BE4F47" w14:paraId="712C725C" w14:textId="77777777">
        <w:trPr>
          <w:cantSplit/>
        </w:trPr>
        <w:tc>
          <w:tcPr>
            <w:tcW w:w="2011" w:type="dxa"/>
            <w:tcBorders>
              <w:top w:val="single" w:sz="4" w:space="0" w:color="000000"/>
              <w:left w:val="single" w:sz="4" w:space="0" w:color="000000"/>
              <w:bottom w:val="single" w:sz="4" w:space="0" w:color="000000"/>
              <w:right w:val="single" w:sz="4" w:space="0" w:color="000000"/>
            </w:tcBorders>
          </w:tcPr>
          <w:p w14:paraId="69296EA2"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Noyau du jumeau, traitement et détection</w:t>
            </w:r>
          </w:p>
        </w:tc>
        <w:tc>
          <w:tcPr>
            <w:tcW w:w="2560" w:type="dxa"/>
            <w:tcBorders>
              <w:top w:val="single" w:sz="4" w:space="0" w:color="000000"/>
              <w:left w:val="single" w:sz="4" w:space="0" w:color="000000"/>
              <w:bottom w:val="single" w:sz="4" w:space="0" w:color="000000"/>
              <w:right w:val="single" w:sz="4" w:space="0" w:color="000000"/>
            </w:tcBorders>
          </w:tcPr>
          <w:p w14:paraId="75863C14"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Python 3 avec NumPy, SciPy, pandas et scikit-learn</w:t>
            </w:r>
          </w:p>
        </w:tc>
        <w:tc>
          <w:tcPr>
            <w:tcW w:w="3986" w:type="dxa"/>
            <w:tcBorders>
              <w:top w:val="single" w:sz="4" w:space="0" w:color="000000"/>
              <w:left w:val="single" w:sz="4" w:space="0" w:color="000000"/>
              <w:bottom w:val="single" w:sz="4" w:space="0" w:color="000000"/>
              <w:right w:val="single" w:sz="4" w:space="0" w:color="000000"/>
            </w:tcBorders>
          </w:tcPr>
          <w:p w14:paraId="39BBB571"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Écosystème mature, licences permissives, résultats reproductibles. Lots L6 et L7.</w:t>
            </w:r>
          </w:p>
        </w:tc>
      </w:tr>
      <w:tr w:rsidR="00F50D70" w:rsidRPr="00BE4F47" w14:paraId="5E6373F9" w14:textId="77777777">
        <w:trPr>
          <w:cantSplit/>
        </w:trPr>
        <w:tc>
          <w:tcPr>
            <w:tcW w:w="2011" w:type="dxa"/>
            <w:tcBorders>
              <w:top w:val="single" w:sz="4" w:space="0" w:color="000000"/>
              <w:left w:val="single" w:sz="4" w:space="0" w:color="000000"/>
              <w:bottom w:val="single" w:sz="4" w:space="0" w:color="000000"/>
              <w:right w:val="single" w:sz="4" w:space="0" w:color="000000"/>
            </w:tcBorders>
          </w:tcPr>
          <w:p w14:paraId="512C2A1C"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Interface d’échange de données</w:t>
            </w:r>
          </w:p>
        </w:tc>
        <w:tc>
          <w:tcPr>
            <w:tcW w:w="2560" w:type="dxa"/>
            <w:tcBorders>
              <w:top w:val="single" w:sz="4" w:space="0" w:color="000000"/>
              <w:left w:val="single" w:sz="4" w:space="0" w:color="000000"/>
              <w:bottom w:val="single" w:sz="4" w:space="0" w:color="000000"/>
              <w:right w:val="single" w:sz="4" w:space="0" w:color="000000"/>
            </w:tcBorders>
          </w:tcPr>
          <w:p w14:paraId="26584339"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OPC UA (IEC 62541 [46]) ou MQTT</w:t>
            </w:r>
          </w:p>
        </w:tc>
        <w:tc>
          <w:tcPr>
            <w:tcW w:w="3986" w:type="dxa"/>
            <w:tcBorders>
              <w:top w:val="single" w:sz="4" w:space="0" w:color="000000"/>
              <w:left w:val="single" w:sz="4" w:space="0" w:color="000000"/>
              <w:bottom w:val="single" w:sz="4" w:space="0" w:color="000000"/>
              <w:right w:val="single" w:sz="4" w:space="0" w:color="000000"/>
            </w:tcBorders>
          </w:tcPr>
          <w:p w14:paraId="2317AD63"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OPC UA est la norme d’interopérabilité de l’instrumentation industrielle. Une interface normalisée facilite la séparation stricte exigée entre le jumeau et les fonctions de commande (exigence EX-F-08).</w:t>
            </w:r>
          </w:p>
        </w:tc>
      </w:tr>
      <w:tr w:rsidR="00F50D70" w:rsidRPr="00BE4F47" w14:paraId="59B8004C" w14:textId="77777777">
        <w:trPr>
          <w:cantSplit/>
        </w:trPr>
        <w:tc>
          <w:tcPr>
            <w:tcW w:w="2011" w:type="dxa"/>
            <w:tcBorders>
              <w:top w:val="single" w:sz="4" w:space="0" w:color="000000"/>
              <w:left w:val="single" w:sz="4" w:space="0" w:color="000000"/>
              <w:bottom w:val="single" w:sz="4" w:space="0" w:color="000000"/>
              <w:right w:val="single" w:sz="4" w:space="0" w:color="000000"/>
            </w:tcBorders>
          </w:tcPr>
          <w:p w14:paraId="2864FC76"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Historisation des mesures et des états</w:t>
            </w:r>
          </w:p>
        </w:tc>
        <w:tc>
          <w:tcPr>
            <w:tcW w:w="2560" w:type="dxa"/>
            <w:tcBorders>
              <w:top w:val="single" w:sz="4" w:space="0" w:color="000000"/>
              <w:left w:val="single" w:sz="4" w:space="0" w:color="000000"/>
              <w:bottom w:val="single" w:sz="4" w:space="0" w:color="000000"/>
              <w:right w:val="single" w:sz="4" w:space="0" w:color="000000"/>
            </w:tcBorders>
          </w:tcPr>
          <w:p w14:paraId="45360F03"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InfluxDB ou SQLite</w:t>
            </w:r>
          </w:p>
        </w:tc>
        <w:tc>
          <w:tcPr>
            <w:tcW w:w="3986" w:type="dxa"/>
            <w:tcBorders>
              <w:top w:val="single" w:sz="4" w:space="0" w:color="000000"/>
              <w:left w:val="single" w:sz="4" w:space="0" w:color="000000"/>
              <w:bottom w:val="single" w:sz="4" w:space="0" w:color="000000"/>
              <w:right w:val="single" w:sz="4" w:space="0" w:color="000000"/>
            </w:tcBorders>
          </w:tcPr>
          <w:p w14:paraId="45EABF41"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Traçabilité horodatée des essais, exigée par EX-F-10 et par la V&amp;V.</w:t>
            </w:r>
          </w:p>
        </w:tc>
      </w:tr>
      <w:tr w:rsidR="00F50D70" w:rsidRPr="00BE4F47" w14:paraId="52CE292F" w14:textId="77777777">
        <w:trPr>
          <w:cantSplit/>
        </w:trPr>
        <w:tc>
          <w:tcPr>
            <w:tcW w:w="2011" w:type="dxa"/>
            <w:tcBorders>
              <w:top w:val="single" w:sz="4" w:space="0" w:color="000000"/>
              <w:left w:val="single" w:sz="4" w:space="0" w:color="000000"/>
              <w:bottom w:val="single" w:sz="4" w:space="0" w:color="000000"/>
              <w:right w:val="single" w:sz="4" w:space="0" w:color="000000"/>
            </w:tcBorders>
          </w:tcPr>
          <w:p w14:paraId="02F03BBB"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Interface d’aide à la décision</w:t>
            </w:r>
          </w:p>
        </w:tc>
        <w:tc>
          <w:tcPr>
            <w:tcW w:w="2560" w:type="dxa"/>
            <w:tcBorders>
              <w:top w:val="single" w:sz="4" w:space="0" w:color="000000"/>
              <w:left w:val="single" w:sz="4" w:space="0" w:color="000000"/>
              <w:bottom w:val="single" w:sz="4" w:space="0" w:color="000000"/>
              <w:right w:val="single" w:sz="4" w:space="0" w:color="000000"/>
            </w:tcBorders>
          </w:tcPr>
          <w:p w14:paraId="5530196C"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Plotly Dash ou Grafana</w:t>
            </w:r>
          </w:p>
        </w:tc>
        <w:tc>
          <w:tcPr>
            <w:tcW w:w="3986" w:type="dxa"/>
            <w:tcBorders>
              <w:top w:val="single" w:sz="4" w:space="0" w:color="000000"/>
              <w:left w:val="single" w:sz="4" w:space="0" w:color="000000"/>
              <w:bottom w:val="single" w:sz="4" w:space="0" w:color="000000"/>
              <w:right w:val="single" w:sz="4" w:space="0" w:color="000000"/>
            </w:tcBorders>
          </w:tcPr>
          <w:p w14:paraId="314C2FAF"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Permet d’afficher l’état estimé, les variables contributives et l’indice de confiance sans développer une interface complète. Exigences EX-F-04, EX-F-05 et EX-F-07.</w:t>
            </w:r>
          </w:p>
        </w:tc>
      </w:tr>
      <w:tr w:rsidR="00F50D70" w:rsidRPr="00BE4F47" w14:paraId="139571E5" w14:textId="77777777">
        <w:trPr>
          <w:cantSplit/>
        </w:trPr>
        <w:tc>
          <w:tcPr>
            <w:tcW w:w="2011" w:type="dxa"/>
            <w:tcBorders>
              <w:top w:val="single" w:sz="4" w:space="0" w:color="000000"/>
              <w:left w:val="single" w:sz="4" w:space="0" w:color="000000"/>
              <w:bottom w:val="single" w:sz="4" w:space="0" w:color="000000"/>
              <w:right w:val="single" w:sz="4" w:space="0" w:color="000000"/>
            </w:tcBorders>
          </w:tcPr>
          <w:p w14:paraId="4A0EDD65"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Gestion de configuration</w:t>
            </w:r>
          </w:p>
        </w:tc>
        <w:tc>
          <w:tcPr>
            <w:tcW w:w="2560" w:type="dxa"/>
            <w:tcBorders>
              <w:top w:val="single" w:sz="4" w:space="0" w:color="000000"/>
              <w:left w:val="single" w:sz="4" w:space="0" w:color="000000"/>
              <w:bottom w:val="single" w:sz="4" w:space="0" w:color="000000"/>
              <w:right w:val="single" w:sz="4" w:space="0" w:color="000000"/>
            </w:tcBorders>
          </w:tcPr>
          <w:p w14:paraId="3750460E"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Git avec dépôt distant</w:t>
            </w:r>
          </w:p>
        </w:tc>
        <w:tc>
          <w:tcPr>
            <w:tcW w:w="3986" w:type="dxa"/>
            <w:tcBorders>
              <w:top w:val="single" w:sz="4" w:space="0" w:color="000000"/>
              <w:left w:val="single" w:sz="4" w:space="0" w:color="000000"/>
              <w:bottom w:val="single" w:sz="4" w:space="0" w:color="000000"/>
              <w:right w:val="single" w:sz="4" w:space="0" w:color="000000"/>
            </w:tcBorders>
          </w:tcPr>
          <w:p w14:paraId="1D9C632D"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Chaque résultat d’essai doit être rattachable à une version précise du modèle. Sans cela, la validation n’est pas reproductible. Cet outil est la base de la stratégie de contrôle des versions de la section 4.</w:t>
            </w:r>
          </w:p>
        </w:tc>
      </w:tr>
      <w:tr w:rsidR="00F50D70" w:rsidRPr="00BE4F47" w14:paraId="286193AF" w14:textId="77777777">
        <w:trPr>
          <w:cantSplit/>
        </w:trPr>
        <w:tc>
          <w:tcPr>
            <w:tcW w:w="2011" w:type="dxa"/>
            <w:tcBorders>
              <w:top w:val="single" w:sz="4" w:space="0" w:color="000000"/>
              <w:left w:val="single" w:sz="4" w:space="0" w:color="000000"/>
              <w:bottom w:val="single" w:sz="4" w:space="0" w:color="000000"/>
              <w:right w:val="single" w:sz="4" w:space="0" w:color="000000"/>
            </w:tcBorders>
          </w:tcPr>
          <w:p w14:paraId="673F08AC"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Reproductibilité de l’environnement</w:t>
            </w:r>
          </w:p>
        </w:tc>
        <w:tc>
          <w:tcPr>
            <w:tcW w:w="2560" w:type="dxa"/>
            <w:tcBorders>
              <w:top w:val="single" w:sz="4" w:space="0" w:color="000000"/>
              <w:left w:val="single" w:sz="4" w:space="0" w:color="000000"/>
              <w:bottom w:val="single" w:sz="4" w:space="0" w:color="000000"/>
              <w:right w:val="single" w:sz="4" w:space="0" w:color="000000"/>
            </w:tcBorders>
          </w:tcPr>
          <w:p w14:paraId="783CAE4F"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Docker</w:t>
            </w:r>
          </w:p>
        </w:tc>
        <w:tc>
          <w:tcPr>
            <w:tcW w:w="3986" w:type="dxa"/>
            <w:tcBorders>
              <w:top w:val="single" w:sz="4" w:space="0" w:color="000000"/>
              <w:left w:val="single" w:sz="4" w:space="0" w:color="000000"/>
              <w:bottom w:val="single" w:sz="4" w:space="0" w:color="000000"/>
              <w:right w:val="single" w:sz="4" w:space="0" w:color="000000"/>
            </w:tcBorders>
          </w:tcPr>
          <w:p w14:paraId="4AF80841" w14:textId="6FB69FE7" w:rsidR="00F50D70" w:rsidRPr="00BE4F47" w:rsidRDefault="00F4666D" w:rsidP="008E113B">
            <w:pPr>
              <w:spacing w:before="20" w:after="20"/>
              <w:ind w:left="0"/>
              <w:jc w:val="left"/>
              <w:outlineLvl w:val="9"/>
              <w:rPr>
                <w:rFonts w:ascii="Aptos" w:eastAsia="Calibri" w:hAnsi="Aptos" w:cs="Calibri"/>
                <w:color w:val="1A1A19"/>
                <w:sz w:val="20"/>
                <w:szCs w:val="20"/>
                <w:lang w:val="fr-FR"/>
              </w:rPr>
            </w:pPr>
            <w:r w:rsidRPr="00F4666D">
              <w:rPr>
                <w:rFonts w:ascii="Aptos" w:eastAsia="Calibri" w:hAnsi="Aptos" w:cs="Calibri"/>
                <w:color w:val="1A1A19"/>
                <w:sz w:val="16"/>
                <w:szCs w:val="16"/>
              </w:rPr>
              <w:t>Docker contribue à la reproductibilité en figeant les versions des dépendances et l’environnement</w:t>
            </w:r>
            <w:r w:rsidRPr="00F4666D">
              <w:rPr>
                <w:rFonts w:ascii="Aptos" w:eastAsia="Calibri" w:hAnsi="Aptos" w:cs="Calibri"/>
                <w:b/>
                <w:bCs/>
                <w:color w:val="1A1A19"/>
                <w:sz w:val="16"/>
                <w:szCs w:val="16"/>
              </w:rPr>
              <w:t xml:space="preserve"> </w:t>
            </w:r>
            <w:r w:rsidRPr="00F4666D">
              <w:rPr>
                <w:rFonts w:ascii="Aptos" w:eastAsia="Calibri" w:hAnsi="Aptos" w:cs="Calibri"/>
                <w:color w:val="1A1A19"/>
                <w:sz w:val="16"/>
                <w:szCs w:val="16"/>
              </w:rPr>
              <w:t>d’exécution</w:t>
            </w:r>
            <w:r w:rsidRPr="00F4666D">
              <w:rPr>
                <w:rFonts w:ascii="Aptos" w:eastAsia="Calibri" w:hAnsi="Aptos" w:cs="Calibri"/>
                <w:color w:val="1A1A19"/>
                <w:sz w:val="16"/>
                <w:szCs w:val="16"/>
              </w:rPr>
              <w:t>.</w:t>
            </w:r>
          </w:p>
        </w:tc>
      </w:tr>
      <w:tr w:rsidR="00F50D70" w:rsidRPr="00BE4F47" w14:paraId="58582E07" w14:textId="77777777">
        <w:trPr>
          <w:cantSplit/>
        </w:trPr>
        <w:tc>
          <w:tcPr>
            <w:tcW w:w="2011" w:type="dxa"/>
            <w:tcBorders>
              <w:top w:val="single" w:sz="4" w:space="0" w:color="000000"/>
              <w:left w:val="single" w:sz="4" w:space="0" w:color="000000"/>
              <w:bottom w:val="single" w:sz="4" w:space="0" w:color="000000"/>
              <w:right w:val="single" w:sz="4" w:space="0" w:color="000000"/>
            </w:tcBorders>
          </w:tcPr>
          <w:p w14:paraId="426B73E5"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Suivi de projet et valeur acquise</w:t>
            </w:r>
          </w:p>
        </w:tc>
        <w:tc>
          <w:tcPr>
            <w:tcW w:w="2560" w:type="dxa"/>
            <w:tcBorders>
              <w:top w:val="single" w:sz="4" w:space="0" w:color="000000"/>
              <w:left w:val="single" w:sz="4" w:space="0" w:color="000000"/>
              <w:bottom w:val="single" w:sz="4" w:space="0" w:color="000000"/>
              <w:right w:val="single" w:sz="4" w:space="0" w:color="000000"/>
            </w:tcBorders>
          </w:tcPr>
          <w:p w14:paraId="2F49F16F"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GitHub Projects et issues, offre éducation</w:t>
            </w:r>
          </w:p>
        </w:tc>
        <w:tc>
          <w:tcPr>
            <w:tcW w:w="3986" w:type="dxa"/>
            <w:tcBorders>
              <w:top w:val="single" w:sz="4" w:space="0" w:color="000000"/>
              <w:left w:val="single" w:sz="4" w:space="0" w:color="000000"/>
              <w:bottom w:val="single" w:sz="4" w:space="0" w:color="000000"/>
              <w:right w:val="single" w:sz="4" w:space="0" w:color="000000"/>
            </w:tcBorders>
          </w:tcPr>
          <w:p w14:paraId="42BFEF9D"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Déjà en place dans l’équipe. Alimente le suivi de la section 10.</w:t>
            </w:r>
          </w:p>
        </w:tc>
      </w:tr>
      <w:tr w:rsidR="00F50D70" w:rsidRPr="00BE4F47" w14:paraId="243429CB" w14:textId="77777777">
        <w:trPr>
          <w:cantSplit/>
        </w:trPr>
        <w:tc>
          <w:tcPr>
            <w:tcW w:w="2011" w:type="dxa"/>
            <w:tcBorders>
              <w:top w:val="single" w:sz="4" w:space="0" w:color="000000"/>
              <w:left w:val="single" w:sz="4" w:space="0" w:color="000000"/>
              <w:bottom w:val="single" w:sz="4" w:space="0" w:color="000000"/>
              <w:right w:val="single" w:sz="4" w:space="0" w:color="000000"/>
            </w:tcBorders>
          </w:tcPr>
          <w:p w14:paraId="49EAB422"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lastRenderedPageBreak/>
              <w:t>Gestion des références bibliographiques</w:t>
            </w:r>
          </w:p>
        </w:tc>
        <w:tc>
          <w:tcPr>
            <w:tcW w:w="2560" w:type="dxa"/>
            <w:tcBorders>
              <w:top w:val="single" w:sz="4" w:space="0" w:color="000000"/>
              <w:left w:val="single" w:sz="4" w:space="0" w:color="000000"/>
              <w:bottom w:val="single" w:sz="4" w:space="0" w:color="000000"/>
              <w:right w:val="single" w:sz="4" w:space="0" w:color="000000"/>
            </w:tcBorders>
          </w:tcPr>
          <w:p w14:paraId="4C0D6447"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Zotero, style IEEE</w:t>
            </w:r>
          </w:p>
        </w:tc>
        <w:tc>
          <w:tcPr>
            <w:tcW w:w="3986" w:type="dxa"/>
            <w:tcBorders>
              <w:top w:val="single" w:sz="4" w:space="0" w:color="000000"/>
              <w:left w:val="single" w:sz="4" w:space="0" w:color="000000"/>
              <w:bottom w:val="single" w:sz="4" w:space="0" w:color="000000"/>
              <w:right w:val="single" w:sz="4" w:space="0" w:color="000000"/>
            </w:tcBorders>
          </w:tcPr>
          <w:p w14:paraId="38CCCF29"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Assure la cohérence et la renumérotation automatique des renvois entre les onze sections et les huit rédacteurs. La bibliothèque est tenue par le chargé de projet.</w:t>
            </w:r>
          </w:p>
        </w:tc>
      </w:tr>
    </w:tbl>
    <w:p w14:paraId="69A38D12" w14:textId="77777777" w:rsidR="00F50D70" w:rsidRPr="0036725C" w:rsidRDefault="00137D7F" w:rsidP="008E113B">
      <w:pPr>
        <w:pStyle w:val="Titre2"/>
        <w:spacing w:line="360" w:lineRule="auto"/>
      </w:pPr>
      <w:bookmarkStart w:id="1238" w:name="_Toc241708012"/>
      <w:bookmarkStart w:id="1239" w:name="_Toc241791961"/>
      <w:r w:rsidRPr="0036725C">
        <w:t>Ressources informationnelles et normatives</w:t>
      </w:r>
      <w:bookmarkEnd w:id="1238"/>
      <w:bookmarkEnd w:id="1239"/>
    </w:p>
    <w:p w14:paraId="4267DEC8" w14:textId="77777777" w:rsidR="00F50D70" w:rsidRPr="00BE4F47" w:rsidRDefault="00137D7F" w:rsidP="008E113B">
      <w:pPr>
        <w:spacing w:before="200" w:after="130" w:line="360" w:lineRule="auto"/>
        <w:ind w:left="360"/>
        <w:rPr>
          <w:rFonts w:ascii="Aptos" w:eastAsia="Calibri" w:hAnsi="Aptos" w:cs="Calibri"/>
          <w:color w:val="1A1A19"/>
          <w:sz w:val="20"/>
          <w:szCs w:val="20"/>
        </w:rPr>
      </w:pPr>
      <w:bookmarkStart w:id="1240" w:name="_Toc241083135"/>
      <w:bookmarkStart w:id="1241" w:name="_Toc241670305"/>
      <w:bookmarkStart w:id="1242" w:name="_Toc241708013"/>
      <w:bookmarkStart w:id="1243" w:name="_Toc241791962"/>
      <w:r w:rsidRPr="00BE4F47">
        <w:rPr>
          <w:rFonts w:ascii="Aptos" w:hAnsi="Aptos"/>
          <w:color w:val="1A1A19"/>
          <w:sz w:val="20"/>
          <w:szCs w:val="20"/>
        </w:rPr>
        <w:t>La documentation normative est une ressource du projet. Elle conditionne la section 6 du plan, mais aussi l’architecture retenue et le contenu de la campagne d’essais. Son acquisition est imputée au lot L3.</w:t>
      </w:r>
      <w:bookmarkEnd w:id="1240"/>
      <w:bookmarkEnd w:id="1241"/>
      <w:bookmarkEnd w:id="1242"/>
      <w:bookmarkEnd w:id="1243"/>
    </w:p>
    <w:p w14:paraId="25DA6E75" w14:textId="77777777" w:rsidR="00F50D70" w:rsidRPr="00BE4F47" w:rsidRDefault="00137D7F" w:rsidP="008E113B">
      <w:pPr>
        <w:pStyle w:val="Lgende"/>
        <w:keepNext/>
        <w:spacing w:line="360" w:lineRule="auto"/>
        <w:rPr>
          <w:rFonts w:ascii="Aptos" w:hAnsi="Aptos"/>
        </w:rPr>
      </w:pPr>
      <w:bookmarkStart w:id="1244" w:name="_Toc241083136"/>
      <w:bookmarkStart w:id="1245" w:name="_Toc241670306"/>
      <w:bookmarkStart w:id="1246" w:name="_Toc241708014"/>
      <w:bookmarkStart w:id="1247" w:name="_Toc241791963"/>
      <w:r w:rsidRPr="00BE4F47">
        <w:rPr>
          <w:rFonts w:ascii="Aptos" w:hAnsi="Aptos"/>
        </w:rPr>
        <w:t>Tableau 8-5. Ressources informationnelles et normatives</w:t>
      </w:r>
      <w:bookmarkEnd w:id="1244"/>
      <w:bookmarkEnd w:id="1245"/>
      <w:bookmarkEnd w:id="1246"/>
      <w:bookmarkEnd w:id="1247"/>
    </w:p>
    <w:tbl>
      <w:tblPr>
        <w:tblW w:w="8557" w:type="dxa"/>
        <w:tblInd w:w="413" w:type="dxa"/>
        <w:tblLayout w:type="fixed"/>
        <w:tblCellMar>
          <w:top w:w="55" w:type="dxa"/>
          <w:left w:w="85" w:type="dxa"/>
          <w:bottom w:w="55" w:type="dxa"/>
          <w:right w:w="85" w:type="dxa"/>
        </w:tblCellMar>
        <w:tblLook w:val="04A0" w:firstRow="1" w:lastRow="0" w:firstColumn="1" w:lastColumn="0" w:noHBand="0" w:noVBand="1"/>
      </w:tblPr>
      <w:tblGrid>
        <w:gridCol w:w="2286"/>
        <w:gridCol w:w="3840"/>
        <w:gridCol w:w="2431"/>
      </w:tblGrid>
      <w:tr w:rsidR="00F50D70" w:rsidRPr="00BE4F47" w14:paraId="2D5B0BF1" w14:textId="77777777">
        <w:trPr>
          <w:tblHeader/>
        </w:trPr>
        <w:tc>
          <w:tcPr>
            <w:tcW w:w="2286" w:type="dxa"/>
            <w:tcBorders>
              <w:top w:val="single" w:sz="4" w:space="0" w:color="000000"/>
              <w:left w:val="single" w:sz="4" w:space="0" w:color="000000"/>
              <w:bottom w:val="single" w:sz="4" w:space="0" w:color="000000"/>
              <w:right w:val="single" w:sz="4" w:space="0" w:color="000000"/>
            </w:tcBorders>
            <w:shd w:val="clear" w:color="auto" w:fill="EFF4FB"/>
          </w:tcPr>
          <w:p w14:paraId="47CC4323"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Corpus</w:t>
            </w:r>
          </w:p>
        </w:tc>
        <w:tc>
          <w:tcPr>
            <w:tcW w:w="3840" w:type="dxa"/>
            <w:tcBorders>
              <w:top w:val="single" w:sz="4" w:space="0" w:color="000000"/>
              <w:left w:val="single" w:sz="4" w:space="0" w:color="000000"/>
              <w:bottom w:val="single" w:sz="4" w:space="0" w:color="000000"/>
              <w:right w:val="single" w:sz="4" w:space="0" w:color="000000"/>
            </w:tcBorders>
            <w:shd w:val="clear" w:color="auto" w:fill="EFF4FB"/>
          </w:tcPr>
          <w:p w14:paraId="02387E3E"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Documents visés</w:t>
            </w:r>
          </w:p>
        </w:tc>
        <w:tc>
          <w:tcPr>
            <w:tcW w:w="2431" w:type="dxa"/>
            <w:tcBorders>
              <w:top w:val="single" w:sz="4" w:space="0" w:color="000000"/>
              <w:left w:val="single" w:sz="4" w:space="0" w:color="000000"/>
              <w:bottom w:val="single" w:sz="4" w:space="0" w:color="000000"/>
              <w:right w:val="single" w:sz="4" w:space="0" w:color="000000"/>
            </w:tcBorders>
            <w:shd w:val="clear" w:color="auto" w:fill="EFF4FB"/>
          </w:tcPr>
          <w:p w14:paraId="4C4FD2E9"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Accès et coût</w:t>
            </w:r>
          </w:p>
        </w:tc>
      </w:tr>
      <w:tr w:rsidR="00F50D70" w:rsidRPr="00BE4F47" w14:paraId="0B2699A4" w14:textId="77777777">
        <w:trPr>
          <w:cantSplit/>
        </w:trPr>
        <w:tc>
          <w:tcPr>
            <w:tcW w:w="2286" w:type="dxa"/>
            <w:tcBorders>
              <w:top w:val="single" w:sz="4" w:space="0" w:color="000000"/>
              <w:left w:val="single" w:sz="4" w:space="0" w:color="000000"/>
              <w:bottom w:val="single" w:sz="4" w:space="0" w:color="000000"/>
              <w:right w:val="single" w:sz="4" w:space="0" w:color="000000"/>
            </w:tcBorders>
          </w:tcPr>
          <w:p w14:paraId="18E5D81F"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Sûreté et cybersécurité nucléaires</w:t>
            </w:r>
          </w:p>
        </w:tc>
        <w:tc>
          <w:tcPr>
            <w:tcW w:w="3840" w:type="dxa"/>
            <w:tcBorders>
              <w:top w:val="single" w:sz="4" w:space="0" w:color="000000"/>
              <w:left w:val="single" w:sz="4" w:space="0" w:color="000000"/>
              <w:bottom w:val="single" w:sz="4" w:space="0" w:color="000000"/>
              <w:right w:val="single" w:sz="4" w:space="0" w:color="000000"/>
            </w:tcBorders>
          </w:tcPr>
          <w:p w14:paraId="44A0E03F"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CSA N290.7 [24]</w:t>
            </w:r>
          </w:p>
        </w:tc>
        <w:tc>
          <w:tcPr>
            <w:tcW w:w="2431" w:type="dxa"/>
            <w:tcBorders>
              <w:top w:val="single" w:sz="4" w:space="0" w:color="000000"/>
              <w:left w:val="single" w:sz="4" w:space="0" w:color="000000"/>
              <w:bottom w:val="single" w:sz="4" w:space="0" w:color="000000"/>
              <w:right w:val="single" w:sz="4" w:space="0" w:color="000000"/>
            </w:tcBorders>
          </w:tcPr>
          <w:p w14:paraId="6AC7B98F"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Abonnement institutionnel UQAC (H-07), sinon achat unitaire</w:t>
            </w:r>
          </w:p>
        </w:tc>
      </w:tr>
      <w:tr w:rsidR="00F50D70" w:rsidRPr="00BE4F47" w14:paraId="1D195AAD" w14:textId="77777777">
        <w:trPr>
          <w:cantSplit/>
        </w:trPr>
        <w:tc>
          <w:tcPr>
            <w:tcW w:w="2286" w:type="dxa"/>
            <w:tcBorders>
              <w:top w:val="single" w:sz="4" w:space="0" w:color="000000"/>
              <w:left w:val="single" w:sz="4" w:space="0" w:color="000000"/>
              <w:bottom w:val="single" w:sz="4" w:space="0" w:color="000000"/>
              <w:right w:val="single" w:sz="4" w:space="0" w:color="000000"/>
            </w:tcBorders>
          </w:tcPr>
          <w:p w14:paraId="62E0D143"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Cadre réglementaire canadien</w:t>
            </w:r>
          </w:p>
        </w:tc>
        <w:tc>
          <w:tcPr>
            <w:tcW w:w="3840" w:type="dxa"/>
            <w:tcBorders>
              <w:top w:val="single" w:sz="4" w:space="0" w:color="000000"/>
              <w:left w:val="single" w:sz="4" w:space="0" w:color="000000"/>
              <w:bottom w:val="single" w:sz="4" w:space="0" w:color="000000"/>
              <w:right w:val="single" w:sz="4" w:space="0" w:color="000000"/>
            </w:tcBorders>
          </w:tcPr>
          <w:p w14:paraId="65C8E961"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REGDOC-2.5.2 [25] et REGDOC-2.1.1 [2] de la CCSN</w:t>
            </w:r>
          </w:p>
        </w:tc>
        <w:tc>
          <w:tcPr>
            <w:tcW w:w="2431" w:type="dxa"/>
            <w:tcBorders>
              <w:top w:val="single" w:sz="4" w:space="0" w:color="000000"/>
              <w:left w:val="single" w:sz="4" w:space="0" w:color="000000"/>
              <w:bottom w:val="single" w:sz="4" w:space="0" w:color="000000"/>
              <w:right w:val="single" w:sz="4" w:space="0" w:color="000000"/>
            </w:tcBorders>
          </w:tcPr>
          <w:p w14:paraId="67AE199C"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Diffusion publique, gratuite</w:t>
            </w:r>
          </w:p>
        </w:tc>
      </w:tr>
      <w:tr w:rsidR="00F50D70" w:rsidRPr="00BE4F47" w14:paraId="667F0771" w14:textId="77777777">
        <w:trPr>
          <w:cantSplit/>
        </w:trPr>
        <w:tc>
          <w:tcPr>
            <w:tcW w:w="2286" w:type="dxa"/>
            <w:tcBorders>
              <w:top w:val="single" w:sz="4" w:space="0" w:color="000000"/>
              <w:left w:val="single" w:sz="4" w:space="0" w:color="000000"/>
              <w:bottom w:val="single" w:sz="4" w:space="0" w:color="000000"/>
              <w:right w:val="single" w:sz="4" w:space="0" w:color="000000"/>
            </w:tcBorders>
          </w:tcPr>
          <w:p w14:paraId="70B872FD"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Instrumentation, contrôle et logiciel de sûreté</w:t>
            </w:r>
          </w:p>
        </w:tc>
        <w:tc>
          <w:tcPr>
            <w:tcW w:w="3840" w:type="dxa"/>
            <w:tcBorders>
              <w:top w:val="single" w:sz="4" w:space="0" w:color="000000"/>
              <w:left w:val="single" w:sz="4" w:space="0" w:color="000000"/>
              <w:bottom w:val="single" w:sz="4" w:space="0" w:color="000000"/>
              <w:right w:val="single" w:sz="4" w:space="0" w:color="000000"/>
            </w:tcBorders>
          </w:tcPr>
          <w:p w14:paraId="6F205370"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IEC 61513 [37], IEC 60880 [38], IEC 62138 [39], IEEE 1012 [32]</w:t>
            </w:r>
          </w:p>
        </w:tc>
        <w:tc>
          <w:tcPr>
            <w:tcW w:w="2431" w:type="dxa"/>
            <w:tcBorders>
              <w:top w:val="single" w:sz="4" w:space="0" w:color="000000"/>
              <w:left w:val="single" w:sz="4" w:space="0" w:color="000000"/>
              <w:bottom w:val="single" w:sz="4" w:space="0" w:color="000000"/>
              <w:right w:val="single" w:sz="4" w:space="0" w:color="000000"/>
            </w:tcBorders>
          </w:tcPr>
          <w:p w14:paraId="462DCF85"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Abonnement institutionnel</w:t>
            </w:r>
          </w:p>
        </w:tc>
      </w:tr>
      <w:tr w:rsidR="00F50D70" w:rsidRPr="00BE4F47" w14:paraId="5D166ADE" w14:textId="77777777">
        <w:trPr>
          <w:cantSplit/>
        </w:trPr>
        <w:tc>
          <w:tcPr>
            <w:tcW w:w="2286" w:type="dxa"/>
            <w:tcBorders>
              <w:top w:val="single" w:sz="4" w:space="0" w:color="000000"/>
              <w:left w:val="single" w:sz="4" w:space="0" w:color="000000"/>
              <w:bottom w:val="single" w:sz="4" w:space="0" w:color="000000"/>
              <w:right w:val="single" w:sz="4" w:space="0" w:color="000000"/>
            </w:tcBorders>
          </w:tcPr>
          <w:p w14:paraId="324D69FF"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Cybersécurité des systèmes de contrôle</w:t>
            </w:r>
          </w:p>
        </w:tc>
        <w:tc>
          <w:tcPr>
            <w:tcW w:w="3840" w:type="dxa"/>
            <w:tcBorders>
              <w:top w:val="single" w:sz="4" w:space="0" w:color="000000"/>
              <w:left w:val="single" w:sz="4" w:space="0" w:color="000000"/>
              <w:bottom w:val="single" w:sz="4" w:space="0" w:color="000000"/>
              <w:right w:val="single" w:sz="4" w:space="0" w:color="000000"/>
            </w:tcBorders>
          </w:tcPr>
          <w:p w14:paraId="5EE81D59"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IEC 62645 [34], IEC 63096 [35], IEC 62859 [36]</w:t>
            </w:r>
          </w:p>
        </w:tc>
        <w:tc>
          <w:tcPr>
            <w:tcW w:w="2431" w:type="dxa"/>
            <w:tcBorders>
              <w:top w:val="single" w:sz="4" w:space="0" w:color="000000"/>
              <w:left w:val="single" w:sz="4" w:space="0" w:color="000000"/>
              <w:bottom w:val="single" w:sz="4" w:space="0" w:color="000000"/>
              <w:right w:val="single" w:sz="4" w:space="0" w:color="000000"/>
            </w:tcBorders>
          </w:tcPr>
          <w:p w14:paraId="09BAC4A4"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Abonnement institutionnel</w:t>
            </w:r>
          </w:p>
        </w:tc>
      </w:tr>
      <w:tr w:rsidR="00F50D70" w:rsidRPr="00BE4F47" w14:paraId="4C3BAF6D" w14:textId="77777777">
        <w:trPr>
          <w:cantSplit/>
        </w:trPr>
        <w:tc>
          <w:tcPr>
            <w:tcW w:w="2286" w:type="dxa"/>
            <w:tcBorders>
              <w:top w:val="single" w:sz="4" w:space="0" w:color="000000"/>
              <w:left w:val="single" w:sz="4" w:space="0" w:color="000000"/>
              <w:bottom w:val="single" w:sz="4" w:space="0" w:color="000000"/>
              <w:right w:val="single" w:sz="4" w:space="0" w:color="000000"/>
            </w:tcBorders>
          </w:tcPr>
          <w:p w14:paraId="400EB5B1"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Cadre du jumeau numérique</w:t>
            </w:r>
          </w:p>
        </w:tc>
        <w:tc>
          <w:tcPr>
            <w:tcW w:w="3840" w:type="dxa"/>
            <w:tcBorders>
              <w:top w:val="single" w:sz="4" w:space="0" w:color="000000"/>
              <w:left w:val="single" w:sz="4" w:space="0" w:color="000000"/>
              <w:bottom w:val="single" w:sz="4" w:space="0" w:color="000000"/>
              <w:right w:val="single" w:sz="4" w:space="0" w:color="000000"/>
            </w:tcBorders>
          </w:tcPr>
          <w:p w14:paraId="0F5D287C"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ISO 23247-1 [27] et ISO 23247-2 [28]</w:t>
            </w:r>
          </w:p>
        </w:tc>
        <w:tc>
          <w:tcPr>
            <w:tcW w:w="2431" w:type="dxa"/>
            <w:tcBorders>
              <w:top w:val="single" w:sz="4" w:space="0" w:color="000000"/>
              <w:left w:val="single" w:sz="4" w:space="0" w:color="000000"/>
              <w:bottom w:val="single" w:sz="4" w:space="0" w:color="000000"/>
              <w:right w:val="single" w:sz="4" w:space="0" w:color="000000"/>
            </w:tcBorders>
          </w:tcPr>
          <w:p w14:paraId="03E6E714"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Abonnement institutionnel</w:t>
            </w:r>
          </w:p>
        </w:tc>
      </w:tr>
      <w:tr w:rsidR="00F50D70" w:rsidRPr="00BE4F47" w14:paraId="5C7E13E6" w14:textId="77777777">
        <w:trPr>
          <w:cantSplit/>
        </w:trPr>
        <w:tc>
          <w:tcPr>
            <w:tcW w:w="2286" w:type="dxa"/>
            <w:tcBorders>
              <w:top w:val="single" w:sz="4" w:space="0" w:color="000000"/>
              <w:left w:val="single" w:sz="4" w:space="0" w:color="000000"/>
              <w:bottom w:val="single" w:sz="4" w:space="0" w:color="000000"/>
              <w:right w:val="single" w:sz="4" w:space="0" w:color="000000"/>
            </w:tcBorders>
          </w:tcPr>
          <w:p w14:paraId="28C5B52D"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Vérification et validation des modèles numériques</w:t>
            </w:r>
          </w:p>
        </w:tc>
        <w:tc>
          <w:tcPr>
            <w:tcW w:w="3840" w:type="dxa"/>
            <w:tcBorders>
              <w:top w:val="single" w:sz="4" w:space="0" w:color="000000"/>
              <w:left w:val="single" w:sz="4" w:space="0" w:color="000000"/>
              <w:bottom w:val="single" w:sz="4" w:space="0" w:color="000000"/>
              <w:right w:val="single" w:sz="4" w:space="0" w:color="000000"/>
            </w:tcBorders>
          </w:tcPr>
          <w:p w14:paraId="43C44B40"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ASME V&amp;V 20 [31]</w:t>
            </w:r>
          </w:p>
        </w:tc>
        <w:tc>
          <w:tcPr>
            <w:tcW w:w="2431" w:type="dxa"/>
            <w:tcBorders>
              <w:top w:val="single" w:sz="4" w:space="0" w:color="000000"/>
              <w:left w:val="single" w:sz="4" w:space="0" w:color="000000"/>
              <w:bottom w:val="single" w:sz="4" w:space="0" w:color="000000"/>
              <w:right w:val="single" w:sz="4" w:space="0" w:color="000000"/>
            </w:tcBorders>
          </w:tcPr>
          <w:p w14:paraId="5C87B02A"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Abonnement institutionnel</w:t>
            </w:r>
          </w:p>
        </w:tc>
      </w:tr>
      <w:tr w:rsidR="00F50D70" w:rsidRPr="00BE4F47" w14:paraId="7B560112" w14:textId="77777777">
        <w:trPr>
          <w:cantSplit/>
        </w:trPr>
        <w:tc>
          <w:tcPr>
            <w:tcW w:w="2286" w:type="dxa"/>
            <w:tcBorders>
              <w:top w:val="single" w:sz="4" w:space="0" w:color="000000"/>
              <w:left w:val="single" w:sz="4" w:space="0" w:color="000000"/>
              <w:bottom w:val="single" w:sz="4" w:space="0" w:color="000000"/>
              <w:right w:val="single" w:sz="4" w:space="0" w:color="000000"/>
            </w:tcBorders>
          </w:tcPr>
          <w:p w14:paraId="6BCE33D2"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Qualité, exigences et ergonomie</w:t>
            </w:r>
          </w:p>
        </w:tc>
        <w:tc>
          <w:tcPr>
            <w:tcW w:w="3840" w:type="dxa"/>
            <w:tcBorders>
              <w:top w:val="single" w:sz="4" w:space="0" w:color="000000"/>
              <w:left w:val="single" w:sz="4" w:space="0" w:color="000000"/>
              <w:bottom w:val="single" w:sz="4" w:space="0" w:color="000000"/>
              <w:right w:val="single" w:sz="4" w:space="0" w:color="000000"/>
            </w:tcBorders>
          </w:tcPr>
          <w:p w14:paraId="60A6F440"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en-CA"/>
              </w:rPr>
            </w:pPr>
            <w:r w:rsidRPr="00BE4F47">
              <w:rPr>
                <w:rFonts w:ascii="Aptos" w:eastAsia="Calibri" w:hAnsi="Aptos" w:cs="Calibri"/>
                <w:color w:val="1A1A19"/>
                <w:sz w:val="16"/>
                <w:szCs w:val="16"/>
                <w:lang w:val="en-CA"/>
              </w:rPr>
              <w:t>ISO/IEC 25010 [29], ISO 9241-210 [33], ISO/IEC/IEEE 29148 [1]</w:t>
            </w:r>
          </w:p>
        </w:tc>
        <w:tc>
          <w:tcPr>
            <w:tcW w:w="2431" w:type="dxa"/>
            <w:tcBorders>
              <w:top w:val="single" w:sz="4" w:space="0" w:color="000000"/>
              <w:left w:val="single" w:sz="4" w:space="0" w:color="000000"/>
              <w:bottom w:val="single" w:sz="4" w:space="0" w:color="000000"/>
              <w:right w:val="single" w:sz="4" w:space="0" w:color="000000"/>
            </w:tcBorders>
          </w:tcPr>
          <w:p w14:paraId="7FF529EA"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Abonnement institutionnel</w:t>
            </w:r>
          </w:p>
        </w:tc>
      </w:tr>
      <w:tr w:rsidR="00F50D70" w:rsidRPr="00BE4F47" w14:paraId="08B2712F" w14:textId="77777777">
        <w:trPr>
          <w:cantSplit/>
        </w:trPr>
        <w:tc>
          <w:tcPr>
            <w:tcW w:w="2286" w:type="dxa"/>
            <w:tcBorders>
              <w:top w:val="single" w:sz="4" w:space="0" w:color="000000"/>
              <w:left w:val="single" w:sz="4" w:space="0" w:color="000000"/>
              <w:bottom w:val="single" w:sz="4" w:space="0" w:color="000000"/>
              <w:right w:val="single" w:sz="4" w:space="0" w:color="000000"/>
            </w:tcBorders>
          </w:tcPr>
          <w:p w14:paraId="2D74148A"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Retour d’expérience international</w:t>
            </w:r>
          </w:p>
        </w:tc>
        <w:tc>
          <w:tcPr>
            <w:tcW w:w="3840" w:type="dxa"/>
            <w:tcBorders>
              <w:top w:val="single" w:sz="4" w:space="0" w:color="000000"/>
              <w:left w:val="single" w:sz="4" w:space="0" w:color="000000"/>
              <w:bottom w:val="single" w:sz="4" w:space="0" w:color="000000"/>
              <w:right w:val="single" w:sz="4" w:space="0" w:color="000000"/>
            </w:tcBorders>
          </w:tcPr>
          <w:p w14:paraId="5944B57E"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Rapports de l’AIEA sur l’instrumentation et le contrôle numériques [47] et sur la V&amp;V logicielle [48]</w:t>
            </w:r>
          </w:p>
        </w:tc>
        <w:tc>
          <w:tcPr>
            <w:tcW w:w="2431" w:type="dxa"/>
            <w:tcBorders>
              <w:top w:val="single" w:sz="4" w:space="0" w:color="000000"/>
              <w:left w:val="single" w:sz="4" w:space="0" w:color="000000"/>
              <w:bottom w:val="single" w:sz="4" w:space="0" w:color="000000"/>
              <w:right w:val="single" w:sz="4" w:space="0" w:color="000000"/>
            </w:tcBorders>
          </w:tcPr>
          <w:p w14:paraId="3BF387ED"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Diffusion publique, gratuite</w:t>
            </w:r>
          </w:p>
        </w:tc>
      </w:tr>
      <w:tr w:rsidR="00F50D70" w:rsidRPr="00BE4F47" w14:paraId="71511539" w14:textId="77777777">
        <w:trPr>
          <w:cantSplit/>
        </w:trPr>
        <w:tc>
          <w:tcPr>
            <w:tcW w:w="2286" w:type="dxa"/>
            <w:tcBorders>
              <w:top w:val="single" w:sz="4" w:space="0" w:color="000000"/>
              <w:left w:val="single" w:sz="4" w:space="0" w:color="000000"/>
              <w:bottom w:val="single" w:sz="4" w:space="0" w:color="000000"/>
              <w:right w:val="single" w:sz="4" w:space="0" w:color="000000"/>
            </w:tcBorders>
          </w:tcPr>
          <w:p w14:paraId="40ACC2A2"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Contexte du site</w:t>
            </w:r>
          </w:p>
        </w:tc>
        <w:tc>
          <w:tcPr>
            <w:tcW w:w="3840" w:type="dxa"/>
            <w:tcBorders>
              <w:top w:val="single" w:sz="4" w:space="0" w:color="000000"/>
              <w:left w:val="single" w:sz="4" w:space="0" w:color="000000"/>
              <w:bottom w:val="single" w:sz="4" w:space="0" w:color="000000"/>
              <w:right w:val="single" w:sz="4" w:space="0" w:color="000000"/>
            </w:tcBorders>
          </w:tcPr>
          <w:p w14:paraId="3EB3A149"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Documentation publique d’Hydro-Québec et décision de déclassement de la CCSN pour Gentilly-2 [49]</w:t>
            </w:r>
          </w:p>
        </w:tc>
        <w:tc>
          <w:tcPr>
            <w:tcW w:w="2431" w:type="dxa"/>
            <w:tcBorders>
              <w:top w:val="single" w:sz="4" w:space="0" w:color="000000"/>
              <w:left w:val="single" w:sz="4" w:space="0" w:color="000000"/>
              <w:bottom w:val="single" w:sz="4" w:space="0" w:color="000000"/>
              <w:right w:val="single" w:sz="4" w:space="0" w:color="000000"/>
            </w:tcBorders>
          </w:tcPr>
          <w:p w14:paraId="0C3F3E98"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Diffusion publique, gratuite</w:t>
            </w:r>
          </w:p>
        </w:tc>
      </w:tr>
    </w:tbl>
    <w:p w14:paraId="221CD8AD" w14:textId="77777777" w:rsidR="00F50D70" w:rsidRPr="00BE4F47" w:rsidRDefault="00137D7F" w:rsidP="008E113B">
      <w:pPr>
        <w:spacing w:before="200" w:after="130" w:line="360" w:lineRule="auto"/>
        <w:ind w:left="360"/>
        <w:rPr>
          <w:rFonts w:ascii="Aptos" w:eastAsia="Calibri" w:hAnsi="Aptos" w:cs="Calibri"/>
          <w:color w:val="1A1A19"/>
          <w:sz w:val="20"/>
          <w:szCs w:val="20"/>
        </w:rPr>
      </w:pPr>
      <w:bookmarkStart w:id="1248" w:name="_Toc241083137"/>
      <w:bookmarkStart w:id="1249" w:name="_Toc241670307"/>
      <w:bookmarkStart w:id="1250" w:name="_Toc241708015"/>
      <w:bookmarkStart w:id="1251" w:name="_Toc241791964"/>
      <w:r w:rsidRPr="00BE4F47">
        <w:rPr>
          <w:rFonts w:ascii="Aptos" w:hAnsi="Aptos"/>
          <w:color w:val="1A1A19"/>
          <w:sz w:val="20"/>
          <w:szCs w:val="20"/>
        </w:rPr>
        <w:t>L’édition en vigueur de chaque norme est vérifiée au moment de la citation. Deux normes du tableau de la section 6 avaient changé d’édition depuis la première version du plan.</w:t>
      </w:r>
      <w:bookmarkEnd w:id="1248"/>
      <w:bookmarkEnd w:id="1249"/>
      <w:bookmarkEnd w:id="1250"/>
      <w:bookmarkEnd w:id="1251"/>
    </w:p>
    <w:p w14:paraId="7224011F" w14:textId="77777777" w:rsidR="00F50D70" w:rsidRPr="00B36301" w:rsidRDefault="00137D7F" w:rsidP="008E113B">
      <w:pPr>
        <w:pStyle w:val="Titre1"/>
        <w:spacing w:line="360" w:lineRule="auto"/>
      </w:pPr>
      <w:bookmarkStart w:id="1252" w:name="__RefHeading___Toc240715287"/>
      <w:bookmarkStart w:id="1253" w:name="_Toc241708016"/>
      <w:bookmarkStart w:id="1254" w:name="_Toc241791965"/>
      <w:bookmarkEnd w:id="1252"/>
      <w:r w:rsidRPr="00B36301">
        <w:t>Estimation préliminaire des coûts</w:t>
      </w:r>
      <w:bookmarkEnd w:id="1253"/>
      <w:bookmarkEnd w:id="1254"/>
    </w:p>
    <w:p w14:paraId="6A4BEE28" w14:textId="77777777" w:rsidR="00F50D70" w:rsidRPr="00BE4F47" w:rsidRDefault="00137D7F" w:rsidP="008E113B">
      <w:pPr>
        <w:spacing w:after="130" w:line="360" w:lineRule="auto"/>
        <w:ind w:left="360"/>
        <w:rPr>
          <w:rFonts w:ascii="Aptos" w:hAnsi="Aptos"/>
        </w:rPr>
      </w:pPr>
      <w:bookmarkStart w:id="1255" w:name="_Toc241083139"/>
      <w:bookmarkStart w:id="1256" w:name="_Toc241670309"/>
      <w:bookmarkStart w:id="1257" w:name="_Toc241708017"/>
      <w:bookmarkStart w:id="1258" w:name="_Toc241791966"/>
      <w:r w:rsidRPr="00BE4F47">
        <w:rPr>
          <w:rFonts w:ascii="Aptos" w:hAnsi="Aptos"/>
          <w:color w:val="1A1A19"/>
          <w:sz w:val="20"/>
          <w:szCs w:val="20"/>
        </w:rPr>
        <w:t>La section 8 a converti le travail en heures et en ressources. Celle-ci convertit ces heures en dollars. Elle reprend la grille budgétaire du cours et distingue trois montants : le coût du mandat, le prix porté au bordereau, et la réserve que le client conserve.</w:t>
      </w:r>
      <w:bookmarkEnd w:id="1255"/>
      <w:bookmarkEnd w:id="1256"/>
      <w:bookmarkEnd w:id="1257"/>
      <w:bookmarkEnd w:id="1258"/>
    </w:p>
    <w:p w14:paraId="56933EF0" w14:textId="0D53C72A" w:rsidR="00F50D70" w:rsidRPr="00F4666D" w:rsidRDefault="00137D7F" w:rsidP="008E113B">
      <w:pPr>
        <w:spacing w:after="130" w:line="360" w:lineRule="auto"/>
        <w:ind w:left="360"/>
        <w:rPr>
          <w:rFonts w:ascii="Aptos" w:eastAsia="Calibri" w:hAnsi="Aptos" w:cs="Calibri"/>
          <w:color w:val="1A1A19"/>
          <w:sz w:val="20"/>
          <w:szCs w:val="20"/>
        </w:rPr>
      </w:pPr>
      <w:bookmarkStart w:id="1259" w:name="_Toc241083141"/>
      <w:bookmarkStart w:id="1260" w:name="_Toc241670310"/>
      <w:bookmarkStart w:id="1261" w:name="_Toc241708018"/>
      <w:bookmarkStart w:id="1262" w:name="_Toc241791967"/>
      <w:r w:rsidRPr="00BE4F47">
        <w:rPr>
          <w:rFonts w:ascii="Aptos" w:hAnsi="Aptos"/>
          <w:color w:val="1A1A19"/>
          <w:sz w:val="20"/>
          <w:szCs w:val="20"/>
        </w:rPr>
        <w:t xml:space="preserve">L’estimation est de classe 5 au sens du référentiel AACE 18R-97 [45], employé par analogie : ce référentiel vise les industries de procédés et non le développement logiciel. Le contenu technique du projet n’est défini qu’à quelques pour cent à ce stade. Une estimation de classe 5 admet un écart de −20 % à −50 % du côté bas et de +30 % à +100 % du côté haut. </w:t>
      </w:r>
      <w:bookmarkEnd w:id="1259"/>
      <w:bookmarkEnd w:id="1260"/>
      <w:bookmarkEnd w:id="1261"/>
      <w:bookmarkEnd w:id="1262"/>
      <w:r w:rsidR="00F4666D" w:rsidRPr="00F4666D">
        <w:rPr>
          <w:rFonts w:ascii="Aptos" w:hAnsi="Aptos"/>
          <w:color w:val="1A1A19"/>
          <w:sz w:val="20"/>
          <w:szCs w:val="20"/>
        </w:rPr>
        <w:t xml:space="preserve">À titre indicatif, l’application de </w:t>
      </w:r>
      <w:r w:rsidR="00F4666D" w:rsidRPr="00F4666D">
        <w:rPr>
          <w:rFonts w:ascii="Aptos" w:hAnsi="Aptos"/>
          <w:color w:val="1A1A19"/>
          <w:sz w:val="20"/>
          <w:szCs w:val="20"/>
        </w:rPr>
        <w:lastRenderedPageBreak/>
        <w:t>cette plage d’exactitude donnerait environ 30 000 $ à 119 000 $; cette plage ne constitue pas une garantie du coût final.</w:t>
      </w:r>
    </w:p>
    <w:p w14:paraId="69E2591F" w14:textId="77777777" w:rsidR="00F50D70" w:rsidRPr="00BE4F47" w:rsidRDefault="00137D7F" w:rsidP="008E113B">
      <w:pPr>
        <w:spacing w:after="130" w:line="360" w:lineRule="auto"/>
        <w:ind w:left="360"/>
        <w:rPr>
          <w:rFonts w:ascii="Aptos" w:hAnsi="Aptos"/>
        </w:rPr>
      </w:pPr>
      <w:bookmarkStart w:id="1263" w:name="_Toc241083142"/>
      <w:bookmarkStart w:id="1264" w:name="_Toc241670311"/>
      <w:bookmarkStart w:id="1265" w:name="_Toc241708019"/>
      <w:bookmarkStart w:id="1266" w:name="_Toc241791968"/>
      <w:r w:rsidRPr="00BE4F47">
        <w:rPr>
          <w:rFonts w:ascii="Aptos" w:hAnsi="Aptos"/>
          <w:color w:val="1A1A19"/>
          <w:sz w:val="20"/>
          <w:szCs w:val="20"/>
        </w:rPr>
        <w:t>Deux hypothèses fixent la base de l’estimation. Elles viennent de la section 8, et toute modification apportée là doit être reportée ici.</w:t>
      </w:r>
      <w:bookmarkEnd w:id="1263"/>
      <w:bookmarkEnd w:id="1264"/>
      <w:bookmarkEnd w:id="1265"/>
      <w:bookmarkEnd w:id="1266"/>
    </w:p>
    <w:p w14:paraId="2B81F598" w14:textId="77777777" w:rsidR="00F50D70" w:rsidRPr="00BE4F47" w:rsidRDefault="00137D7F" w:rsidP="008E113B">
      <w:pPr>
        <w:numPr>
          <w:ilvl w:val="0"/>
          <w:numId w:val="20"/>
        </w:numPr>
        <w:spacing w:after="130" w:line="360" w:lineRule="auto"/>
        <w:ind w:left="720"/>
        <w:rPr>
          <w:rFonts w:ascii="Aptos" w:hAnsi="Aptos"/>
          <w:lang w:val="fr-FR"/>
        </w:rPr>
      </w:pPr>
      <w:bookmarkStart w:id="1267" w:name="_Toc241670312"/>
      <w:bookmarkStart w:id="1268" w:name="_Toc241708020"/>
      <w:bookmarkStart w:id="1269" w:name="_Toc241791969"/>
      <w:r w:rsidRPr="00BE4F47">
        <w:rPr>
          <w:rFonts w:ascii="Aptos" w:hAnsi="Aptos"/>
          <w:color w:val="1A1A19"/>
          <w:sz w:val="20"/>
          <w:szCs w:val="20"/>
        </w:rPr>
        <w:t>Huit membres, 135 heures chacun, soit 1 080 heures. Cette enveloppe est une contrainte du mandat, pas un résultat de l’estimation.</w:t>
      </w:r>
      <w:bookmarkEnd w:id="1267"/>
      <w:bookmarkEnd w:id="1268"/>
      <w:bookmarkEnd w:id="1269"/>
    </w:p>
    <w:p w14:paraId="33B7A14F" w14:textId="77777777" w:rsidR="00F50D70" w:rsidRPr="00BE4F47" w:rsidRDefault="00137D7F" w:rsidP="008E113B">
      <w:pPr>
        <w:numPr>
          <w:ilvl w:val="0"/>
          <w:numId w:val="20"/>
        </w:numPr>
        <w:spacing w:after="130" w:line="360" w:lineRule="auto"/>
        <w:ind w:left="720"/>
        <w:rPr>
          <w:rFonts w:ascii="Aptos" w:hAnsi="Aptos"/>
          <w:lang w:val="fr-FR"/>
        </w:rPr>
      </w:pPr>
      <w:bookmarkStart w:id="1270" w:name="_Toc241670313"/>
      <w:bookmarkStart w:id="1271" w:name="_Toc241708021"/>
      <w:bookmarkStart w:id="1272" w:name="_Toc241791970"/>
      <w:r w:rsidRPr="00BE4F47">
        <w:rPr>
          <w:rFonts w:ascii="Aptos" w:hAnsi="Aptos"/>
          <w:color w:val="1A1A19"/>
          <w:sz w:val="20"/>
          <w:szCs w:val="20"/>
        </w:rPr>
        <w:t>Taux horaire unique de 50,00 $. Ce taux est un coût de revient, c’est-à-dire ce qu’une heure de travail coûte à l’équipe. Le prix facturé au client s’en distingue : il ajoute la contingence et le bénéfice, et il est établi plus loin à 63,25 $ l’heure.</w:t>
      </w:r>
      <w:bookmarkEnd w:id="1270"/>
      <w:bookmarkEnd w:id="1271"/>
      <w:bookmarkEnd w:id="1272"/>
    </w:p>
    <w:p w14:paraId="26B42C6B" w14:textId="77777777" w:rsidR="00F50D70" w:rsidRPr="00BE4F47" w:rsidRDefault="00137D7F" w:rsidP="008E113B">
      <w:pPr>
        <w:spacing w:after="130" w:line="360" w:lineRule="auto"/>
        <w:ind w:left="360"/>
        <w:rPr>
          <w:rFonts w:ascii="Aptos" w:hAnsi="Aptos"/>
          <w:lang w:val="fr-FR"/>
        </w:rPr>
      </w:pPr>
      <w:bookmarkStart w:id="1273" w:name="_Toc241670314"/>
      <w:bookmarkStart w:id="1274" w:name="_Toc241708022"/>
      <w:bookmarkStart w:id="1275" w:name="_Toc241791971"/>
      <w:r w:rsidRPr="00BE4F47">
        <w:rPr>
          <w:rFonts w:ascii="Aptos" w:hAnsi="Aptos"/>
          <w:color w:val="1A1A19"/>
          <w:sz w:val="20"/>
          <w:szCs w:val="20"/>
        </w:rPr>
        <w:t>Le barème des honoraires de l’Association des firmes de génie-conseil du Québec [50] donne des taux nettement supérieurs à 63,25 $ l’heure. L’écart tient aux frais de structure qu’une firme porte et qu’un mandat universitaire n’a pas.</w:t>
      </w:r>
      <w:bookmarkEnd w:id="1273"/>
      <w:bookmarkEnd w:id="1274"/>
      <w:bookmarkEnd w:id="1275"/>
    </w:p>
    <w:p w14:paraId="6918BABE" w14:textId="77777777" w:rsidR="00F50D70" w:rsidRPr="00BE4F47" w:rsidRDefault="00137D7F" w:rsidP="008E113B">
      <w:pPr>
        <w:spacing w:after="130" w:line="360" w:lineRule="auto"/>
        <w:ind w:left="360"/>
        <w:rPr>
          <w:rFonts w:ascii="Aptos" w:hAnsi="Aptos"/>
          <w:lang w:val="fr-FR"/>
        </w:rPr>
      </w:pPr>
      <w:bookmarkStart w:id="1276" w:name="_Toc241670315"/>
      <w:bookmarkStart w:id="1277" w:name="_Toc241708023"/>
      <w:bookmarkStart w:id="1278" w:name="_Toc241791972"/>
      <w:r w:rsidRPr="00BE4F47">
        <w:rPr>
          <w:rFonts w:ascii="Aptos" w:hAnsi="Aptos"/>
          <w:color w:val="1A1A19"/>
          <w:sz w:val="20"/>
          <w:szCs w:val="20"/>
        </w:rPr>
        <w:t>La répartition par lot figure à la section 8 et la répartition par jalon à la section 10. Aucun des deux tableaux n’est recopié ici, pour qu’ils ne puissent pas diverger.</w:t>
      </w:r>
      <w:bookmarkEnd w:id="1276"/>
      <w:bookmarkEnd w:id="1277"/>
      <w:bookmarkEnd w:id="1278"/>
    </w:p>
    <w:p w14:paraId="74C0FBDD" w14:textId="77777777" w:rsidR="00F50D70" w:rsidRPr="00BE4F47" w:rsidRDefault="00137D7F" w:rsidP="008E113B">
      <w:pPr>
        <w:pStyle w:val="Titre2"/>
        <w:spacing w:line="360" w:lineRule="auto"/>
        <w:ind w:firstLine="425"/>
      </w:pPr>
      <w:bookmarkStart w:id="1279" w:name="_Toc241708024"/>
      <w:bookmarkStart w:id="1280" w:name="_Toc241791973"/>
      <w:r w:rsidRPr="00BE4F47">
        <w:t>Grille budgétaire</w:t>
      </w:r>
      <w:bookmarkEnd w:id="1279"/>
      <w:bookmarkEnd w:id="1280"/>
    </w:p>
    <w:p w14:paraId="2A8B3C41" w14:textId="77777777" w:rsidR="00F50D70" w:rsidRPr="00BE4F47" w:rsidRDefault="00137D7F" w:rsidP="008E113B">
      <w:pPr>
        <w:spacing w:after="130" w:line="360" w:lineRule="auto"/>
        <w:ind w:left="360"/>
        <w:rPr>
          <w:rFonts w:ascii="Aptos" w:eastAsia="Calibri" w:hAnsi="Aptos" w:cs="Calibri"/>
          <w:color w:val="1A1A19"/>
          <w:sz w:val="20"/>
          <w:szCs w:val="20"/>
        </w:rPr>
      </w:pPr>
      <w:bookmarkStart w:id="1281" w:name="_Toc241670317"/>
      <w:bookmarkStart w:id="1282" w:name="_Toc241708025"/>
      <w:bookmarkStart w:id="1283" w:name="_Toc241791974"/>
      <w:r w:rsidRPr="00BE4F47">
        <w:rPr>
          <w:rFonts w:ascii="Aptos" w:hAnsi="Aptos"/>
          <w:color w:val="1A1A19"/>
          <w:sz w:val="20"/>
          <w:szCs w:val="20"/>
        </w:rPr>
        <w:t>La grille suit le gabarit du cours. Chaque poste sans montant porte la raison de son exclusion.</w:t>
      </w:r>
      <w:bookmarkEnd w:id="1281"/>
      <w:bookmarkEnd w:id="1282"/>
      <w:bookmarkEnd w:id="1283"/>
    </w:p>
    <w:p w14:paraId="3A9363E7" w14:textId="77777777" w:rsidR="00F50D70" w:rsidRPr="00BE4F47" w:rsidRDefault="00137D7F" w:rsidP="008E113B">
      <w:pPr>
        <w:pStyle w:val="Lgende"/>
        <w:keepNext/>
        <w:spacing w:line="360" w:lineRule="auto"/>
        <w:rPr>
          <w:rFonts w:ascii="Aptos" w:hAnsi="Aptos"/>
        </w:rPr>
      </w:pPr>
      <w:bookmarkStart w:id="1284" w:name="_Toc241083144"/>
      <w:bookmarkStart w:id="1285" w:name="_Toc241670318"/>
      <w:bookmarkStart w:id="1286" w:name="_Toc241708026"/>
      <w:bookmarkStart w:id="1287" w:name="_Toc241791975"/>
      <w:r w:rsidRPr="00BE4F47">
        <w:rPr>
          <w:rFonts w:ascii="Aptos" w:hAnsi="Aptos"/>
        </w:rPr>
        <w:t>Tableau 9-1. Grille budgétaire du mandat</w:t>
      </w:r>
      <w:bookmarkEnd w:id="1284"/>
      <w:bookmarkEnd w:id="1285"/>
      <w:bookmarkEnd w:id="1286"/>
      <w:bookmarkEnd w:id="1287"/>
    </w:p>
    <w:tbl>
      <w:tblPr>
        <w:tblW w:w="8557" w:type="dxa"/>
        <w:tblInd w:w="413" w:type="dxa"/>
        <w:tblLayout w:type="fixed"/>
        <w:tblCellMar>
          <w:top w:w="55" w:type="dxa"/>
          <w:left w:w="85" w:type="dxa"/>
          <w:bottom w:w="55" w:type="dxa"/>
          <w:right w:w="85" w:type="dxa"/>
        </w:tblCellMar>
        <w:tblLook w:val="04A0" w:firstRow="1" w:lastRow="0" w:firstColumn="1" w:lastColumn="0" w:noHBand="0" w:noVBand="1"/>
      </w:tblPr>
      <w:tblGrid>
        <w:gridCol w:w="1426"/>
        <w:gridCol w:w="2578"/>
        <w:gridCol w:w="2907"/>
        <w:gridCol w:w="1646"/>
      </w:tblGrid>
      <w:tr w:rsidR="00F50D70" w:rsidRPr="00BE4F47" w14:paraId="1415C8D6" w14:textId="77777777">
        <w:trPr>
          <w:tblHeader/>
        </w:trPr>
        <w:tc>
          <w:tcPr>
            <w:tcW w:w="1426" w:type="dxa"/>
            <w:tcBorders>
              <w:top w:val="single" w:sz="4" w:space="0" w:color="000000"/>
              <w:left w:val="single" w:sz="4" w:space="0" w:color="000000"/>
              <w:bottom w:val="single" w:sz="4" w:space="0" w:color="000000"/>
              <w:right w:val="single" w:sz="4" w:space="0" w:color="000000"/>
            </w:tcBorders>
            <w:shd w:val="clear" w:color="auto" w:fill="EFF4FB"/>
          </w:tcPr>
          <w:p w14:paraId="436C6A09"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Catégorie</w:t>
            </w:r>
          </w:p>
        </w:tc>
        <w:tc>
          <w:tcPr>
            <w:tcW w:w="2578" w:type="dxa"/>
            <w:tcBorders>
              <w:top w:val="single" w:sz="4" w:space="0" w:color="000000"/>
              <w:left w:val="single" w:sz="4" w:space="0" w:color="000000"/>
              <w:bottom w:val="single" w:sz="4" w:space="0" w:color="000000"/>
              <w:right w:val="single" w:sz="4" w:space="0" w:color="000000"/>
            </w:tcBorders>
            <w:shd w:val="clear" w:color="auto" w:fill="EFF4FB"/>
          </w:tcPr>
          <w:p w14:paraId="312CC24C"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Poste</w:t>
            </w:r>
          </w:p>
        </w:tc>
        <w:tc>
          <w:tcPr>
            <w:tcW w:w="2907" w:type="dxa"/>
            <w:tcBorders>
              <w:top w:val="single" w:sz="4" w:space="0" w:color="000000"/>
              <w:left w:val="single" w:sz="4" w:space="0" w:color="000000"/>
              <w:bottom w:val="single" w:sz="4" w:space="0" w:color="000000"/>
              <w:right w:val="single" w:sz="4" w:space="0" w:color="000000"/>
            </w:tcBorders>
            <w:shd w:val="clear" w:color="auto" w:fill="EFF4FB"/>
          </w:tcPr>
          <w:p w14:paraId="1D26AE16"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Base d’estimation</w:t>
            </w:r>
          </w:p>
        </w:tc>
        <w:tc>
          <w:tcPr>
            <w:tcW w:w="1646" w:type="dxa"/>
            <w:tcBorders>
              <w:top w:val="single" w:sz="4" w:space="0" w:color="000000"/>
              <w:left w:val="single" w:sz="4" w:space="0" w:color="000000"/>
              <w:bottom w:val="single" w:sz="4" w:space="0" w:color="000000"/>
              <w:right w:val="single" w:sz="4" w:space="0" w:color="000000"/>
            </w:tcBorders>
            <w:shd w:val="clear" w:color="auto" w:fill="EFF4FB"/>
          </w:tcPr>
          <w:p w14:paraId="6FF1389D"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Montant</w:t>
            </w:r>
          </w:p>
        </w:tc>
      </w:tr>
      <w:tr w:rsidR="00F50D70" w:rsidRPr="00BE4F47" w14:paraId="2E924774" w14:textId="77777777">
        <w:trPr>
          <w:cantSplit/>
        </w:trPr>
        <w:tc>
          <w:tcPr>
            <w:tcW w:w="1426" w:type="dxa"/>
            <w:tcBorders>
              <w:top w:val="single" w:sz="4" w:space="0" w:color="000000"/>
              <w:left w:val="single" w:sz="4" w:space="0" w:color="000000"/>
              <w:bottom w:val="single" w:sz="4" w:space="0" w:color="000000"/>
              <w:right w:val="single" w:sz="4" w:space="0" w:color="000000"/>
            </w:tcBorders>
          </w:tcPr>
          <w:p w14:paraId="22C67F81"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Coûts directs</w:t>
            </w:r>
          </w:p>
        </w:tc>
        <w:tc>
          <w:tcPr>
            <w:tcW w:w="2578" w:type="dxa"/>
            <w:tcBorders>
              <w:top w:val="single" w:sz="4" w:space="0" w:color="000000"/>
              <w:left w:val="single" w:sz="4" w:space="0" w:color="000000"/>
              <w:bottom w:val="single" w:sz="4" w:space="0" w:color="000000"/>
              <w:right w:val="single" w:sz="4" w:space="0" w:color="000000"/>
            </w:tcBorders>
          </w:tcPr>
          <w:p w14:paraId="34162F76"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Salaire de l’équipe : ingénierie, lots L2 à L9, 972 h</w:t>
            </w:r>
          </w:p>
        </w:tc>
        <w:tc>
          <w:tcPr>
            <w:tcW w:w="2907" w:type="dxa"/>
            <w:tcBorders>
              <w:top w:val="single" w:sz="4" w:space="0" w:color="000000"/>
              <w:left w:val="single" w:sz="4" w:space="0" w:color="000000"/>
              <w:bottom w:val="single" w:sz="4" w:space="0" w:color="000000"/>
              <w:right w:val="single" w:sz="4" w:space="0" w:color="000000"/>
            </w:tcBorders>
          </w:tcPr>
          <w:p w14:paraId="5227932A"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Classe 5, méthode ascendante, 50,00 $/h</w:t>
            </w:r>
          </w:p>
        </w:tc>
        <w:tc>
          <w:tcPr>
            <w:tcW w:w="1646" w:type="dxa"/>
            <w:tcBorders>
              <w:top w:val="single" w:sz="4" w:space="0" w:color="000000"/>
              <w:left w:val="single" w:sz="4" w:space="0" w:color="000000"/>
              <w:bottom w:val="single" w:sz="4" w:space="0" w:color="000000"/>
              <w:right w:val="single" w:sz="4" w:space="0" w:color="000000"/>
            </w:tcBorders>
          </w:tcPr>
          <w:p w14:paraId="53458F2B"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48 600,00 $</w:t>
            </w:r>
          </w:p>
        </w:tc>
      </w:tr>
      <w:tr w:rsidR="00F50D70" w:rsidRPr="00BE4F47" w14:paraId="3AC1CD05" w14:textId="77777777">
        <w:trPr>
          <w:cantSplit/>
        </w:trPr>
        <w:tc>
          <w:tcPr>
            <w:tcW w:w="1426" w:type="dxa"/>
            <w:tcBorders>
              <w:top w:val="single" w:sz="4" w:space="0" w:color="000000"/>
              <w:left w:val="single" w:sz="4" w:space="0" w:color="000000"/>
              <w:bottom w:val="single" w:sz="4" w:space="0" w:color="000000"/>
              <w:right w:val="single" w:sz="4" w:space="0" w:color="000000"/>
            </w:tcBorders>
          </w:tcPr>
          <w:p w14:paraId="3CCBF705"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Coûts directs</w:t>
            </w:r>
          </w:p>
        </w:tc>
        <w:tc>
          <w:tcPr>
            <w:tcW w:w="2578" w:type="dxa"/>
            <w:tcBorders>
              <w:top w:val="single" w:sz="4" w:space="0" w:color="000000"/>
              <w:left w:val="single" w:sz="4" w:space="0" w:color="000000"/>
              <w:bottom w:val="single" w:sz="4" w:space="0" w:color="000000"/>
              <w:right w:val="single" w:sz="4" w:space="0" w:color="000000"/>
            </w:tcBorders>
          </w:tcPr>
          <w:p w14:paraId="77D05866"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Salaire de l’équipe : gestion de projet, lot L1, 108 h</w:t>
            </w:r>
          </w:p>
        </w:tc>
        <w:tc>
          <w:tcPr>
            <w:tcW w:w="2907" w:type="dxa"/>
            <w:tcBorders>
              <w:top w:val="single" w:sz="4" w:space="0" w:color="000000"/>
              <w:left w:val="single" w:sz="4" w:space="0" w:color="000000"/>
              <w:bottom w:val="single" w:sz="4" w:space="0" w:color="000000"/>
              <w:right w:val="single" w:sz="4" w:space="0" w:color="000000"/>
            </w:tcBorders>
          </w:tcPr>
          <w:p w14:paraId="0EDC3C3D"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Classe 5, méthode ascendante, 50,00 $/h</w:t>
            </w:r>
          </w:p>
        </w:tc>
        <w:tc>
          <w:tcPr>
            <w:tcW w:w="1646" w:type="dxa"/>
            <w:tcBorders>
              <w:top w:val="single" w:sz="4" w:space="0" w:color="000000"/>
              <w:left w:val="single" w:sz="4" w:space="0" w:color="000000"/>
              <w:bottom w:val="single" w:sz="4" w:space="0" w:color="000000"/>
              <w:right w:val="single" w:sz="4" w:space="0" w:color="000000"/>
            </w:tcBorders>
          </w:tcPr>
          <w:p w14:paraId="31FFBB50"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5 400,00 $</w:t>
            </w:r>
          </w:p>
        </w:tc>
      </w:tr>
      <w:tr w:rsidR="00F50D70" w:rsidRPr="00BE4F47" w14:paraId="180AA3FA" w14:textId="77777777">
        <w:trPr>
          <w:cantSplit/>
        </w:trPr>
        <w:tc>
          <w:tcPr>
            <w:tcW w:w="1426" w:type="dxa"/>
            <w:tcBorders>
              <w:top w:val="single" w:sz="4" w:space="0" w:color="000000"/>
              <w:left w:val="single" w:sz="4" w:space="0" w:color="000000"/>
              <w:bottom w:val="single" w:sz="4" w:space="0" w:color="000000"/>
              <w:right w:val="single" w:sz="4" w:space="0" w:color="000000"/>
            </w:tcBorders>
          </w:tcPr>
          <w:p w14:paraId="37E3144E"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Coûts directs</w:t>
            </w:r>
          </w:p>
        </w:tc>
        <w:tc>
          <w:tcPr>
            <w:tcW w:w="2578" w:type="dxa"/>
            <w:tcBorders>
              <w:top w:val="single" w:sz="4" w:space="0" w:color="000000"/>
              <w:left w:val="single" w:sz="4" w:space="0" w:color="000000"/>
              <w:bottom w:val="single" w:sz="4" w:space="0" w:color="000000"/>
              <w:right w:val="single" w:sz="4" w:space="0" w:color="000000"/>
            </w:tcBorders>
          </w:tcPr>
          <w:p w14:paraId="1D8EC5DC"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Équipement et matériaux</w:t>
            </w:r>
          </w:p>
        </w:tc>
        <w:tc>
          <w:tcPr>
            <w:tcW w:w="2907" w:type="dxa"/>
            <w:tcBorders>
              <w:top w:val="single" w:sz="4" w:space="0" w:color="000000"/>
              <w:left w:val="single" w:sz="4" w:space="0" w:color="000000"/>
              <w:bottom w:val="single" w:sz="4" w:space="0" w:color="000000"/>
              <w:right w:val="single" w:sz="4" w:space="0" w:color="000000"/>
            </w:tcBorders>
          </w:tcPr>
          <w:p w14:paraId="09495461"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Sans objet. Le livrable est un logiciel.</w:t>
            </w:r>
          </w:p>
        </w:tc>
        <w:tc>
          <w:tcPr>
            <w:tcW w:w="1646" w:type="dxa"/>
            <w:tcBorders>
              <w:top w:val="single" w:sz="4" w:space="0" w:color="000000"/>
              <w:left w:val="single" w:sz="4" w:space="0" w:color="000000"/>
              <w:bottom w:val="single" w:sz="4" w:space="0" w:color="000000"/>
              <w:right w:val="single" w:sz="4" w:space="0" w:color="000000"/>
            </w:tcBorders>
          </w:tcPr>
          <w:p w14:paraId="5D36BD57"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0,00 $</w:t>
            </w:r>
          </w:p>
        </w:tc>
      </w:tr>
      <w:tr w:rsidR="00F50D70" w:rsidRPr="00BE4F47" w14:paraId="01742D10" w14:textId="77777777">
        <w:trPr>
          <w:cantSplit/>
        </w:trPr>
        <w:tc>
          <w:tcPr>
            <w:tcW w:w="1426" w:type="dxa"/>
            <w:tcBorders>
              <w:top w:val="single" w:sz="4" w:space="0" w:color="000000"/>
              <w:left w:val="single" w:sz="4" w:space="0" w:color="000000"/>
              <w:bottom w:val="single" w:sz="4" w:space="0" w:color="000000"/>
              <w:right w:val="single" w:sz="4" w:space="0" w:color="000000"/>
            </w:tcBorders>
          </w:tcPr>
          <w:p w14:paraId="6B415A7A"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Coûts directs</w:t>
            </w:r>
          </w:p>
        </w:tc>
        <w:tc>
          <w:tcPr>
            <w:tcW w:w="2578" w:type="dxa"/>
            <w:tcBorders>
              <w:top w:val="single" w:sz="4" w:space="0" w:color="000000"/>
              <w:left w:val="single" w:sz="4" w:space="0" w:color="000000"/>
              <w:bottom w:val="single" w:sz="4" w:space="0" w:color="000000"/>
              <w:right w:val="single" w:sz="4" w:space="0" w:color="000000"/>
            </w:tcBorders>
          </w:tcPr>
          <w:p w14:paraId="4538DE0D"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Composants revendus intégrés (fonctions A à D du gabarit)</w:t>
            </w:r>
          </w:p>
        </w:tc>
        <w:tc>
          <w:tcPr>
            <w:tcW w:w="2907" w:type="dxa"/>
            <w:tcBorders>
              <w:top w:val="single" w:sz="4" w:space="0" w:color="000000"/>
              <w:left w:val="single" w:sz="4" w:space="0" w:color="000000"/>
              <w:bottom w:val="single" w:sz="4" w:space="0" w:color="000000"/>
              <w:right w:val="single" w:sz="4" w:space="0" w:color="000000"/>
            </w:tcBorders>
          </w:tcPr>
          <w:p w14:paraId="31AB6992"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Sans objet. Aucun composant physique.</w:t>
            </w:r>
          </w:p>
        </w:tc>
        <w:tc>
          <w:tcPr>
            <w:tcW w:w="1646" w:type="dxa"/>
            <w:tcBorders>
              <w:top w:val="single" w:sz="4" w:space="0" w:color="000000"/>
              <w:left w:val="single" w:sz="4" w:space="0" w:color="000000"/>
              <w:bottom w:val="single" w:sz="4" w:space="0" w:color="000000"/>
              <w:right w:val="single" w:sz="4" w:space="0" w:color="000000"/>
            </w:tcBorders>
          </w:tcPr>
          <w:p w14:paraId="17FDDF82"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0,00 $</w:t>
            </w:r>
          </w:p>
        </w:tc>
      </w:tr>
      <w:tr w:rsidR="00F50D70" w:rsidRPr="00BE4F47" w14:paraId="66173DB7" w14:textId="77777777">
        <w:trPr>
          <w:cantSplit/>
        </w:trPr>
        <w:tc>
          <w:tcPr>
            <w:tcW w:w="1426" w:type="dxa"/>
            <w:tcBorders>
              <w:top w:val="single" w:sz="4" w:space="0" w:color="000000"/>
              <w:left w:val="single" w:sz="4" w:space="0" w:color="000000"/>
              <w:bottom w:val="single" w:sz="4" w:space="0" w:color="000000"/>
              <w:right w:val="single" w:sz="4" w:space="0" w:color="000000"/>
            </w:tcBorders>
          </w:tcPr>
          <w:p w14:paraId="60F16014"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Coûts directs</w:t>
            </w:r>
          </w:p>
        </w:tc>
        <w:tc>
          <w:tcPr>
            <w:tcW w:w="2578" w:type="dxa"/>
            <w:tcBorders>
              <w:top w:val="single" w:sz="4" w:space="0" w:color="000000"/>
              <w:left w:val="single" w:sz="4" w:space="0" w:color="000000"/>
              <w:bottom w:val="single" w:sz="4" w:space="0" w:color="000000"/>
              <w:right w:val="single" w:sz="4" w:space="0" w:color="000000"/>
            </w:tcBorders>
          </w:tcPr>
          <w:p w14:paraId="26FFD1FC"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Marketing et études de marché</w:t>
            </w:r>
          </w:p>
        </w:tc>
        <w:tc>
          <w:tcPr>
            <w:tcW w:w="2907" w:type="dxa"/>
            <w:tcBorders>
              <w:top w:val="single" w:sz="4" w:space="0" w:color="000000"/>
              <w:left w:val="single" w:sz="4" w:space="0" w:color="000000"/>
              <w:bottom w:val="single" w:sz="4" w:space="0" w:color="000000"/>
              <w:right w:val="single" w:sz="4" w:space="0" w:color="000000"/>
            </w:tcBorders>
          </w:tcPr>
          <w:p w14:paraId="3F277302"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Hors du périmètre du mandat</w:t>
            </w:r>
          </w:p>
        </w:tc>
        <w:tc>
          <w:tcPr>
            <w:tcW w:w="1646" w:type="dxa"/>
            <w:tcBorders>
              <w:top w:val="single" w:sz="4" w:space="0" w:color="000000"/>
              <w:left w:val="single" w:sz="4" w:space="0" w:color="000000"/>
              <w:bottom w:val="single" w:sz="4" w:space="0" w:color="000000"/>
              <w:right w:val="single" w:sz="4" w:space="0" w:color="000000"/>
            </w:tcBorders>
          </w:tcPr>
          <w:p w14:paraId="6773F1FC"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0,00 $</w:t>
            </w:r>
          </w:p>
        </w:tc>
      </w:tr>
      <w:tr w:rsidR="00F50D70" w:rsidRPr="00BE4F47" w14:paraId="4D485485" w14:textId="77777777">
        <w:trPr>
          <w:cantSplit/>
        </w:trPr>
        <w:tc>
          <w:tcPr>
            <w:tcW w:w="1426" w:type="dxa"/>
            <w:tcBorders>
              <w:top w:val="single" w:sz="4" w:space="0" w:color="000000"/>
              <w:left w:val="single" w:sz="4" w:space="0" w:color="000000"/>
              <w:bottom w:val="single" w:sz="4" w:space="0" w:color="000000"/>
              <w:right w:val="single" w:sz="4" w:space="0" w:color="000000"/>
            </w:tcBorders>
          </w:tcPr>
          <w:p w14:paraId="24A78846"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Coûts directs</w:t>
            </w:r>
          </w:p>
        </w:tc>
        <w:tc>
          <w:tcPr>
            <w:tcW w:w="2578" w:type="dxa"/>
            <w:tcBorders>
              <w:top w:val="single" w:sz="4" w:space="0" w:color="000000"/>
              <w:left w:val="single" w:sz="4" w:space="0" w:color="000000"/>
              <w:bottom w:val="single" w:sz="4" w:space="0" w:color="000000"/>
              <w:right w:val="single" w:sz="4" w:space="0" w:color="000000"/>
            </w:tcBorders>
          </w:tcPr>
          <w:p w14:paraId="4A23A365"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Frais légaux</w:t>
            </w:r>
          </w:p>
        </w:tc>
        <w:tc>
          <w:tcPr>
            <w:tcW w:w="2907" w:type="dxa"/>
            <w:tcBorders>
              <w:top w:val="single" w:sz="4" w:space="0" w:color="000000"/>
              <w:left w:val="single" w:sz="4" w:space="0" w:color="000000"/>
              <w:bottom w:val="single" w:sz="4" w:space="0" w:color="000000"/>
              <w:right w:val="single" w:sz="4" w:space="0" w:color="000000"/>
            </w:tcBorders>
          </w:tcPr>
          <w:p w14:paraId="54403BD9"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Hors du périmètre du mandat</w:t>
            </w:r>
          </w:p>
        </w:tc>
        <w:tc>
          <w:tcPr>
            <w:tcW w:w="1646" w:type="dxa"/>
            <w:tcBorders>
              <w:top w:val="single" w:sz="4" w:space="0" w:color="000000"/>
              <w:left w:val="single" w:sz="4" w:space="0" w:color="000000"/>
              <w:bottom w:val="single" w:sz="4" w:space="0" w:color="000000"/>
              <w:right w:val="single" w:sz="4" w:space="0" w:color="000000"/>
            </w:tcBorders>
          </w:tcPr>
          <w:p w14:paraId="3F44CBB9"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0,00 $</w:t>
            </w:r>
          </w:p>
        </w:tc>
      </w:tr>
      <w:tr w:rsidR="00F50D70" w:rsidRPr="00BE4F47" w14:paraId="07742DF6" w14:textId="77777777">
        <w:trPr>
          <w:cantSplit/>
        </w:trPr>
        <w:tc>
          <w:tcPr>
            <w:tcW w:w="1426" w:type="dxa"/>
            <w:tcBorders>
              <w:top w:val="single" w:sz="4" w:space="0" w:color="000000"/>
              <w:left w:val="single" w:sz="4" w:space="0" w:color="000000"/>
              <w:bottom w:val="single" w:sz="4" w:space="0" w:color="000000"/>
              <w:right w:val="single" w:sz="4" w:space="0" w:color="000000"/>
            </w:tcBorders>
          </w:tcPr>
          <w:p w14:paraId="6ADF43C3"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Coûts directs</w:t>
            </w:r>
          </w:p>
        </w:tc>
        <w:tc>
          <w:tcPr>
            <w:tcW w:w="2578" w:type="dxa"/>
            <w:tcBorders>
              <w:top w:val="single" w:sz="4" w:space="0" w:color="000000"/>
              <w:left w:val="single" w:sz="4" w:space="0" w:color="000000"/>
              <w:bottom w:val="single" w:sz="4" w:space="0" w:color="000000"/>
              <w:right w:val="single" w:sz="4" w:space="0" w:color="000000"/>
            </w:tcBorders>
          </w:tcPr>
          <w:p w14:paraId="12377AB1"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Déplacements : véhicule, hôtel, indemnité journalière</w:t>
            </w:r>
          </w:p>
        </w:tc>
        <w:tc>
          <w:tcPr>
            <w:tcW w:w="2907" w:type="dxa"/>
            <w:tcBorders>
              <w:top w:val="single" w:sz="4" w:space="0" w:color="000000"/>
              <w:left w:val="single" w:sz="4" w:space="0" w:color="000000"/>
              <w:bottom w:val="single" w:sz="4" w:space="0" w:color="000000"/>
              <w:right w:val="single" w:sz="4" w:space="0" w:color="000000"/>
            </w:tcBorders>
          </w:tcPr>
          <w:p w14:paraId="756A8CAC"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Travaux réalisés sur le campus de l’UQAC</w:t>
            </w:r>
          </w:p>
        </w:tc>
        <w:tc>
          <w:tcPr>
            <w:tcW w:w="1646" w:type="dxa"/>
            <w:tcBorders>
              <w:top w:val="single" w:sz="4" w:space="0" w:color="000000"/>
              <w:left w:val="single" w:sz="4" w:space="0" w:color="000000"/>
              <w:bottom w:val="single" w:sz="4" w:space="0" w:color="000000"/>
              <w:right w:val="single" w:sz="4" w:space="0" w:color="000000"/>
            </w:tcBorders>
          </w:tcPr>
          <w:p w14:paraId="13A3A16A"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0,00 $</w:t>
            </w:r>
          </w:p>
        </w:tc>
      </w:tr>
      <w:tr w:rsidR="00F50D70" w:rsidRPr="00BE4F47" w14:paraId="34D8AE9F" w14:textId="77777777">
        <w:trPr>
          <w:cantSplit/>
        </w:trPr>
        <w:tc>
          <w:tcPr>
            <w:tcW w:w="1426" w:type="dxa"/>
            <w:tcBorders>
              <w:top w:val="single" w:sz="4" w:space="0" w:color="000000"/>
              <w:left w:val="single" w:sz="4" w:space="0" w:color="000000"/>
              <w:bottom w:val="single" w:sz="4" w:space="0" w:color="000000"/>
              <w:right w:val="single" w:sz="4" w:space="0" w:color="000000"/>
            </w:tcBorders>
          </w:tcPr>
          <w:p w14:paraId="0F13F0AA"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Coûts directs</w:t>
            </w:r>
          </w:p>
        </w:tc>
        <w:tc>
          <w:tcPr>
            <w:tcW w:w="2578" w:type="dxa"/>
            <w:tcBorders>
              <w:top w:val="single" w:sz="4" w:space="0" w:color="000000"/>
              <w:left w:val="single" w:sz="4" w:space="0" w:color="000000"/>
              <w:bottom w:val="single" w:sz="4" w:space="0" w:color="000000"/>
              <w:right w:val="single" w:sz="4" w:space="0" w:color="000000"/>
            </w:tcBorders>
          </w:tcPr>
          <w:p w14:paraId="0B046960"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Publicité</w:t>
            </w:r>
          </w:p>
        </w:tc>
        <w:tc>
          <w:tcPr>
            <w:tcW w:w="2907" w:type="dxa"/>
            <w:tcBorders>
              <w:top w:val="single" w:sz="4" w:space="0" w:color="000000"/>
              <w:left w:val="single" w:sz="4" w:space="0" w:color="000000"/>
              <w:bottom w:val="single" w:sz="4" w:space="0" w:color="000000"/>
              <w:right w:val="single" w:sz="4" w:space="0" w:color="000000"/>
            </w:tcBorders>
          </w:tcPr>
          <w:p w14:paraId="434B4385"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Hors du périmètre du mandat</w:t>
            </w:r>
          </w:p>
        </w:tc>
        <w:tc>
          <w:tcPr>
            <w:tcW w:w="1646" w:type="dxa"/>
            <w:tcBorders>
              <w:top w:val="single" w:sz="4" w:space="0" w:color="000000"/>
              <w:left w:val="single" w:sz="4" w:space="0" w:color="000000"/>
              <w:bottom w:val="single" w:sz="4" w:space="0" w:color="000000"/>
              <w:right w:val="single" w:sz="4" w:space="0" w:color="000000"/>
            </w:tcBorders>
          </w:tcPr>
          <w:p w14:paraId="396A0F45"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0,00 $</w:t>
            </w:r>
          </w:p>
        </w:tc>
      </w:tr>
      <w:tr w:rsidR="00F50D70" w:rsidRPr="00BE4F47" w14:paraId="2319728F" w14:textId="77777777">
        <w:trPr>
          <w:cantSplit/>
        </w:trPr>
        <w:tc>
          <w:tcPr>
            <w:tcW w:w="1426" w:type="dxa"/>
            <w:tcBorders>
              <w:top w:val="single" w:sz="4" w:space="0" w:color="000000"/>
              <w:left w:val="single" w:sz="4" w:space="0" w:color="000000"/>
              <w:bottom w:val="single" w:sz="4" w:space="0" w:color="000000"/>
              <w:right w:val="single" w:sz="4" w:space="0" w:color="000000"/>
            </w:tcBorders>
          </w:tcPr>
          <w:p w14:paraId="77AFDA75"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Coûts directs</w:t>
            </w:r>
          </w:p>
        </w:tc>
        <w:tc>
          <w:tcPr>
            <w:tcW w:w="2578" w:type="dxa"/>
            <w:tcBorders>
              <w:top w:val="single" w:sz="4" w:space="0" w:color="000000"/>
              <w:left w:val="single" w:sz="4" w:space="0" w:color="000000"/>
              <w:bottom w:val="single" w:sz="4" w:space="0" w:color="000000"/>
              <w:right w:val="single" w:sz="4" w:space="0" w:color="000000"/>
            </w:tcBorders>
          </w:tcPr>
          <w:p w14:paraId="305CAC65"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Recherche et développement</w:t>
            </w:r>
          </w:p>
        </w:tc>
        <w:tc>
          <w:tcPr>
            <w:tcW w:w="2907" w:type="dxa"/>
            <w:tcBorders>
              <w:top w:val="single" w:sz="4" w:space="0" w:color="000000"/>
              <w:left w:val="single" w:sz="4" w:space="0" w:color="000000"/>
              <w:bottom w:val="single" w:sz="4" w:space="0" w:color="000000"/>
              <w:right w:val="single" w:sz="4" w:space="0" w:color="000000"/>
            </w:tcBorders>
          </w:tcPr>
          <w:p w14:paraId="6E4E7C20"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Comprise dans les 972 h des lots L2 à L9</w:t>
            </w:r>
          </w:p>
        </w:tc>
        <w:tc>
          <w:tcPr>
            <w:tcW w:w="1646" w:type="dxa"/>
            <w:tcBorders>
              <w:top w:val="single" w:sz="4" w:space="0" w:color="000000"/>
              <w:left w:val="single" w:sz="4" w:space="0" w:color="000000"/>
              <w:bottom w:val="single" w:sz="4" w:space="0" w:color="000000"/>
              <w:right w:val="single" w:sz="4" w:space="0" w:color="000000"/>
            </w:tcBorders>
          </w:tcPr>
          <w:p w14:paraId="53FCC4DF"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0,00 $</w:t>
            </w:r>
          </w:p>
        </w:tc>
      </w:tr>
      <w:tr w:rsidR="00F50D70" w:rsidRPr="00BE4F47" w14:paraId="4D4EFAAF" w14:textId="77777777">
        <w:trPr>
          <w:cantSplit/>
        </w:trPr>
        <w:tc>
          <w:tcPr>
            <w:tcW w:w="1426" w:type="dxa"/>
            <w:tcBorders>
              <w:top w:val="single" w:sz="4" w:space="0" w:color="000000"/>
              <w:left w:val="single" w:sz="4" w:space="0" w:color="000000"/>
              <w:bottom w:val="single" w:sz="4" w:space="0" w:color="000000"/>
              <w:right w:val="single" w:sz="4" w:space="0" w:color="000000"/>
            </w:tcBorders>
          </w:tcPr>
          <w:p w14:paraId="224C9FBC"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Coûts directs</w:t>
            </w:r>
          </w:p>
        </w:tc>
        <w:tc>
          <w:tcPr>
            <w:tcW w:w="2578" w:type="dxa"/>
            <w:tcBorders>
              <w:top w:val="single" w:sz="4" w:space="0" w:color="000000"/>
              <w:left w:val="single" w:sz="4" w:space="0" w:color="000000"/>
              <w:bottom w:val="single" w:sz="4" w:space="0" w:color="000000"/>
              <w:right w:val="single" w:sz="4" w:space="0" w:color="000000"/>
            </w:tcBorders>
          </w:tcPr>
          <w:p w14:paraId="7098A338"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Étude de faisabilité</w:t>
            </w:r>
          </w:p>
        </w:tc>
        <w:tc>
          <w:tcPr>
            <w:tcW w:w="2907" w:type="dxa"/>
            <w:tcBorders>
              <w:top w:val="single" w:sz="4" w:space="0" w:color="000000"/>
              <w:left w:val="single" w:sz="4" w:space="0" w:color="000000"/>
              <w:bottom w:val="single" w:sz="4" w:space="0" w:color="000000"/>
              <w:right w:val="single" w:sz="4" w:space="0" w:color="000000"/>
            </w:tcBorders>
          </w:tcPr>
          <w:p w14:paraId="2ABA96D4"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Le plan de projet en tient lieu</w:t>
            </w:r>
          </w:p>
        </w:tc>
        <w:tc>
          <w:tcPr>
            <w:tcW w:w="1646" w:type="dxa"/>
            <w:tcBorders>
              <w:top w:val="single" w:sz="4" w:space="0" w:color="000000"/>
              <w:left w:val="single" w:sz="4" w:space="0" w:color="000000"/>
              <w:bottom w:val="single" w:sz="4" w:space="0" w:color="000000"/>
              <w:right w:val="single" w:sz="4" w:space="0" w:color="000000"/>
            </w:tcBorders>
          </w:tcPr>
          <w:p w14:paraId="533903AE"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0,00 $</w:t>
            </w:r>
          </w:p>
        </w:tc>
      </w:tr>
      <w:tr w:rsidR="00F50D70" w:rsidRPr="00BE4F47" w14:paraId="2A6395BD" w14:textId="77777777">
        <w:trPr>
          <w:cantSplit/>
        </w:trPr>
        <w:tc>
          <w:tcPr>
            <w:tcW w:w="1426" w:type="dxa"/>
            <w:tcBorders>
              <w:top w:val="single" w:sz="4" w:space="0" w:color="000000"/>
              <w:left w:val="single" w:sz="4" w:space="0" w:color="000000"/>
              <w:bottom w:val="single" w:sz="4" w:space="0" w:color="000000"/>
              <w:right w:val="single" w:sz="4" w:space="0" w:color="000000"/>
            </w:tcBorders>
          </w:tcPr>
          <w:p w14:paraId="69F3E88F"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Coûts directs</w:t>
            </w:r>
          </w:p>
        </w:tc>
        <w:tc>
          <w:tcPr>
            <w:tcW w:w="2578" w:type="dxa"/>
            <w:tcBorders>
              <w:top w:val="single" w:sz="4" w:space="0" w:color="000000"/>
              <w:left w:val="single" w:sz="4" w:space="0" w:color="000000"/>
              <w:bottom w:val="single" w:sz="4" w:space="0" w:color="000000"/>
              <w:right w:val="single" w:sz="4" w:space="0" w:color="000000"/>
            </w:tcBorders>
          </w:tcPr>
          <w:p w14:paraId="4D2D9FBF"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TPS, TVQ et TVH</w:t>
            </w:r>
          </w:p>
        </w:tc>
        <w:tc>
          <w:tcPr>
            <w:tcW w:w="2907" w:type="dxa"/>
            <w:tcBorders>
              <w:top w:val="single" w:sz="4" w:space="0" w:color="000000"/>
              <w:left w:val="single" w:sz="4" w:space="0" w:color="000000"/>
              <w:bottom w:val="single" w:sz="4" w:space="0" w:color="000000"/>
              <w:right w:val="single" w:sz="4" w:space="0" w:color="000000"/>
            </w:tcBorders>
          </w:tcPr>
          <w:p w14:paraId="6A564E82"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Mandat académique, aucune facturation réelle</w:t>
            </w:r>
          </w:p>
        </w:tc>
        <w:tc>
          <w:tcPr>
            <w:tcW w:w="1646" w:type="dxa"/>
            <w:tcBorders>
              <w:top w:val="single" w:sz="4" w:space="0" w:color="000000"/>
              <w:left w:val="single" w:sz="4" w:space="0" w:color="000000"/>
              <w:bottom w:val="single" w:sz="4" w:space="0" w:color="000000"/>
              <w:right w:val="single" w:sz="4" w:space="0" w:color="000000"/>
            </w:tcBorders>
          </w:tcPr>
          <w:p w14:paraId="0C0EAF31"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0,00 $</w:t>
            </w:r>
          </w:p>
        </w:tc>
      </w:tr>
      <w:tr w:rsidR="00F50D70" w:rsidRPr="00BE4F47" w14:paraId="2189D567" w14:textId="77777777">
        <w:trPr>
          <w:cantSplit/>
        </w:trPr>
        <w:tc>
          <w:tcPr>
            <w:tcW w:w="1426" w:type="dxa"/>
            <w:tcBorders>
              <w:top w:val="single" w:sz="4" w:space="0" w:color="000000"/>
              <w:left w:val="single" w:sz="4" w:space="0" w:color="000000"/>
              <w:bottom w:val="single" w:sz="4" w:space="0" w:color="000000"/>
              <w:right w:val="single" w:sz="4" w:space="0" w:color="000000"/>
            </w:tcBorders>
            <w:shd w:val="clear" w:color="auto" w:fill="EFF4FB"/>
          </w:tcPr>
          <w:p w14:paraId="49742A35"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Coûts directs</w:t>
            </w:r>
          </w:p>
        </w:tc>
        <w:tc>
          <w:tcPr>
            <w:tcW w:w="2578" w:type="dxa"/>
            <w:tcBorders>
              <w:top w:val="single" w:sz="4" w:space="0" w:color="000000"/>
              <w:left w:val="single" w:sz="4" w:space="0" w:color="000000"/>
              <w:bottom w:val="single" w:sz="4" w:space="0" w:color="000000"/>
              <w:right w:val="single" w:sz="4" w:space="0" w:color="000000"/>
            </w:tcBorders>
            <w:shd w:val="clear" w:color="auto" w:fill="EFF4FB"/>
          </w:tcPr>
          <w:p w14:paraId="08841617"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Sous-total des coûts directs</w:t>
            </w:r>
          </w:p>
        </w:tc>
        <w:tc>
          <w:tcPr>
            <w:tcW w:w="2907" w:type="dxa"/>
            <w:tcBorders>
              <w:top w:val="single" w:sz="4" w:space="0" w:color="000000"/>
              <w:left w:val="single" w:sz="4" w:space="0" w:color="000000"/>
              <w:bottom w:val="single" w:sz="4" w:space="0" w:color="000000"/>
              <w:right w:val="single" w:sz="4" w:space="0" w:color="000000"/>
            </w:tcBorders>
            <w:shd w:val="clear" w:color="auto" w:fill="EFF4FB"/>
          </w:tcPr>
          <w:p w14:paraId="4E5013DF"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1 080 h à 50,00 $/h</w:t>
            </w:r>
          </w:p>
        </w:tc>
        <w:tc>
          <w:tcPr>
            <w:tcW w:w="1646" w:type="dxa"/>
            <w:tcBorders>
              <w:top w:val="single" w:sz="4" w:space="0" w:color="000000"/>
              <w:left w:val="single" w:sz="4" w:space="0" w:color="000000"/>
              <w:bottom w:val="single" w:sz="4" w:space="0" w:color="000000"/>
              <w:right w:val="single" w:sz="4" w:space="0" w:color="000000"/>
            </w:tcBorders>
            <w:shd w:val="clear" w:color="auto" w:fill="EFF4FB"/>
          </w:tcPr>
          <w:p w14:paraId="71172F98"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54 000,00 $</w:t>
            </w:r>
          </w:p>
        </w:tc>
      </w:tr>
      <w:tr w:rsidR="00F50D70" w:rsidRPr="00BE4F47" w14:paraId="1506F843" w14:textId="77777777">
        <w:trPr>
          <w:cantSplit/>
        </w:trPr>
        <w:tc>
          <w:tcPr>
            <w:tcW w:w="1426" w:type="dxa"/>
            <w:tcBorders>
              <w:top w:val="single" w:sz="4" w:space="0" w:color="000000"/>
              <w:left w:val="single" w:sz="4" w:space="0" w:color="000000"/>
              <w:bottom w:val="single" w:sz="4" w:space="0" w:color="000000"/>
              <w:right w:val="single" w:sz="4" w:space="0" w:color="000000"/>
            </w:tcBorders>
          </w:tcPr>
          <w:p w14:paraId="3FCC9B92"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Coûts indirects</w:t>
            </w:r>
          </w:p>
        </w:tc>
        <w:tc>
          <w:tcPr>
            <w:tcW w:w="2578" w:type="dxa"/>
            <w:tcBorders>
              <w:top w:val="single" w:sz="4" w:space="0" w:color="000000"/>
              <w:left w:val="single" w:sz="4" w:space="0" w:color="000000"/>
              <w:bottom w:val="single" w:sz="4" w:space="0" w:color="000000"/>
              <w:right w:val="single" w:sz="4" w:space="0" w:color="000000"/>
            </w:tcBorders>
          </w:tcPr>
          <w:p w14:paraId="27791100"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Consultation et sous-traitance</w:t>
            </w:r>
          </w:p>
        </w:tc>
        <w:tc>
          <w:tcPr>
            <w:tcW w:w="2907" w:type="dxa"/>
            <w:tcBorders>
              <w:top w:val="single" w:sz="4" w:space="0" w:color="000000"/>
              <w:left w:val="single" w:sz="4" w:space="0" w:color="000000"/>
              <w:bottom w:val="single" w:sz="4" w:space="0" w:color="000000"/>
              <w:right w:val="single" w:sz="4" w:space="0" w:color="000000"/>
            </w:tcBorders>
          </w:tcPr>
          <w:p w14:paraId="6A8DE21F"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Aucun sous-traitant prévu</w:t>
            </w:r>
          </w:p>
        </w:tc>
        <w:tc>
          <w:tcPr>
            <w:tcW w:w="1646" w:type="dxa"/>
            <w:tcBorders>
              <w:top w:val="single" w:sz="4" w:space="0" w:color="000000"/>
              <w:left w:val="single" w:sz="4" w:space="0" w:color="000000"/>
              <w:bottom w:val="single" w:sz="4" w:space="0" w:color="000000"/>
              <w:right w:val="single" w:sz="4" w:space="0" w:color="000000"/>
            </w:tcBorders>
          </w:tcPr>
          <w:p w14:paraId="6028B725"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0,00 $</w:t>
            </w:r>
          </w:p>
        </w:tc>
      </w:tr>
      <w:tr w:rsidR="00F50D70" w:rsidRPr="00BE4F47" w14:paraId="1A322557" w14:textId="77777777">
        <w:trPr>
          <w:cantSplit/>
        </w:trPr>
        <w:tc>
          <w:tcPr>
            <w:tcW w:w="1426" w:type="dxa"/>
            <w:tcBorders>
              <w:top w:val="single" w:sz="4" w:space="0" w:color="000000"/>
              <w:left w:val="single" w:sz="4" w:space="0" w:color="000000"/>
              <w:bottom w:val="single" w:sz="4" w:space="0" w:color="000000"/>
              <w:right w:val="single" w:sz="4" w:space="0" w:color="000000"/>
            </w:tcBorders>
          </w:tcPr>
          <w:p w14:paraId="476ED272"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lastRenderedPageBreak/>
              <w:t>Coûts indirects</w:t>
            </w:r>
          </w:p>
        </w:tc>
        <w:tc>
          <w:tcPr>
            <w:tcW w:w="2578" w:type="dxa"/>
            <w:tcBorders>
              <w:top w:val="single" w:sz="4" w:space="0" w:color="000000"/>
              <w:left w:val="single" w:sz="4" w:space="0" w:color="000000"/>
              <w:bottom w:val="single" w:sz="4" w:space="0" w:color="000000"/>
              <w:right w:val="single" w:sz="4" w:space="0" w:color="000000"/>
            </w:tcBorders>
          </w:tcPr>
          <w:p w14:paraId="018C2A6C"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Télécommunications : téléphonie, internet</w:t>
            </w:r>
          </w:p>
        </w:tc>
        <w:tc>
          <w:tcPr>
            <w:tcW w:w="2907" w:type="dxa"/>
            <w:tcBorders>
              <w:top w:val="single" w:sz="4" w:space="0" w:color="000000"/>
              <w:left w:val="single" w:sz="4" w:space="0" w:color="000000"/>
              <w:bottom w:val="single" w:sz="4" w:space="0" w:color="000000"/>
              <w:right w:val="single" w:sz="4" w:space="0" w:color="000000"/>
            </w:tcBorders>
          </w:tcPr>
          <w:p w14:paraId="79441DE3"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Fournies par l’UQAC</w:t>
            </w:r>
          </w:p>
        </w:tc>
        <w:tc>
          <w:tcPr>
            <w:tcW w:w="1646" w:type="dxa"/>
            <w:tcBorders>
              <w:top w:val="single" w:sz="4" w:space="0" w:color="000000"/>
              <w:left w:val="single" w:sz="4" w:space="0" w:color="000000"/>
              <w:bottom w:val="single" w:sz="4" w:space="0" w:color="000000"/>
              <w:right w:val="single" w:sz="4" w:space="0" w:color="000000"/>
            </w:tcBorders>
          </w:tcPr>
          <w:p w14:paraId="453B978F"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0,00 $</w:t>
            </w:r>
          </w:p>
        </w:tc>
      </w:tr>
      <w:tr w:rsidR="00F50D70" w:rsidRPr="00BE4F47" w14:paraId="7C392492" w14:textId="77777777">
        <w:trPr>
          <w:cantSplit/>
        </w:trPr>
        <w:tc>
          <w:tcPr>
            <w:tcW w:w="1426" w:type="dxa"/>
            <w:tcBorders>
              <w:top w:val="single" w:sz="4" w:space="0" w:color="000000"/>
              <w:left w:val="single" w:sz="4" w:space="0" w:color="000000"/>
              <w:bottom w:val="single" w:sz="4" w:space="0" w:color="000000"/>
              <w:right w:val="single" w:sz="4" w:space="0" w:color="000000"/>
            </w:tcBorders>
          </w:tcPr>
          <w:p w14:paraId="10CF2CA9"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Coûts indirects</w:t>
            </w:r>
          </w:p>
        </w:tc>
        <w:tc>
          <w:tcPr>
            <w:tcW w:w="2578" w:type="dxa"/>
            <w:tcBorders>
              <w:top w:val="single" w:sz="4" w:space="0" w:color="000000"/>
              <w:left w:val="single" w:sz="4" w:space="0" w:color="000000"/>
              <w:bottom w:val="single" w:sz="4" w:space="0" w:color="000000"/>
              <w:right w:val="single" w:sz="4" w:space="0" w:color="000000"/>
            </w:tcBorders>
          </w:tcPr>
          <w:p w14:paraId="76F10FC1"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Entretien et service ménager des locaux</w:t>
            </w:r>
          </w:p>
        </w:tc>
        <w:tc>
          <w:tcPr>
            <w:tcW w:w="2907" w:type="dxa"/>
            <w:tcBorders>
              <w:top w:val="single" w:sz="4" w:space="0" w:color="000000"/>
              <w:left w:val="single" w:sz="4" w:space="0" w:color="000000"/>
              <w:bottom w:val="single" w:sz="4" w:space="0" w:color="000000"/>
              <w:right w:val="single" w:sz="4" w:space="0" w:color="000000"/>
            </w:tcBorders>
          </w:tcPr>
          <w:p w14:paraId="18F66071"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Fournis par l’UQAC</w:t>
            </w:r>
          </w:p>
        </w:tc>
        <w:tc>
          <w:tcPr>
            <w:tcW w:w="1646" w:type="dxa"/>
            <w:tcBorders>
              <w:top w:val="single" w:sz="4" w:space="0" w:color="000000"/>
              <w:left w:val="single" w:sz="4" w:space="0" w:color="000000"/>
              <w:bottom w:val="single" w:sz="4" w:space="0" w:color="000000"/>
              <w:right w:val="single" w:sz="4" w:space="0" w:color="000000"/>
            </w:tcBorders>
          </w:tcPr>
          <w:p w14:paraId="3EDE964F"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0,00 $</w:t>
            </w:r>
          </w:p>
        </w:tc>
      </w:tr>
      <w:tr w:rsidR="00F50D70" w:rsidRPr="00BE4F47" w14:paraId="6E70F068" w14:textId="77777777">
        <w:trPr>
          <w:cantSplit/>
        </w:trPr>
        <w:tc>
          <w:tcPr>
            <w:tcW w:w="1426" w:type="dxa"/>
            <w:tcBorders>
              <w:top w:val="single" w:sz="4" w:space="0" w:color="000000"/>
              <w:left w:val="single" w:sz="4" w:space="0" w:color="000000"/>
              <w:bottom w:val="single" w:sz="4" w:space="0" w:color="000000"/>
              <w:right w:val="single" w:sz="4" w:space="0" w:color="000000"/>
            </w:tcBorders>
          </w:tcPr>
          <w:p w14:paraId="373CE702"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Coûts indirects</w:t>
            </w:r>
          </w:p>
        </w:tc>
        <w:tc>
          <w:tcPr>
            <w:tcW w:w="2578" w:type="dxa"/>
            <w:tcBorders>
              <w:top w:val="single" w:sz="4" w:space="0" w:color="000000"/>
              <w:left w:val="single" w:sz="4" w:space="0" w:color="000000"/>
              <w:bottom w:val="single" w:sz="4" w:space="0" w:color="000000"/>
              <w:right w:val="single" w:sz="4" w:space="0" w:color="000000"/>
            </w:tcBorders>
          </w:tcPr>
          <w:p w14:paraId="3676F5D8"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Bureautique : poste de travail, périphériques, fournitures</w:t>
            </w:r>
          </w:p>
        </w:tc>
        <w:tc>
          <w:tcPr>
            <w:tcW w:w="2907" w:type="dxa"/>
            <w:tcBorders>
              <w:top w:val="single" w:sz="4" w:space="0" w:color="000000"/>
              <w:left w:val="single" w:sz="4" w:space="0" w:color="000000"/>
              <w:bottom w:val="single" w:sz="4" w:space="0" w:color="000000"/>
              <w:right w:val="single" w:sz="4" w:space="0" w:color="000000"/>
            </w:tcBorders>
          </w:tcPr>
          <w:p w14:paraId="0CC22934"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Apport des membres, non facturé</w:t>
            </w:r>
          </w:p>
        </w:tc>
        <w:tc>
          <w:tcPr>
            <w:tcW w:w="1646" w:type="dxa"/>
            <w:tcBorders>
              <w:top w:val="single" w:sz="4" w:space="0" w:color="000000"/>
              <w:left w:val="single" w:sz="4" w:space="0" w:color="000000"/>
              <w:bottom w:val="single" w:sz="4" w:space="0" w:color="000000"/>
              <w:right w:val="single" w:sz="4" w:space="0" w:color="000000"/>
            </w:tcBorders>
          </w:tcPr>
          <w:p w14:paraId="0FB3592E"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0,00 $</w:t>
            </w:r>
          </w:p>
        </w:tc>
      </w:tr>
      <w:tr w:rsidR="00F50D70" w:rsidRPr="00BE4F47" w14:paraId="0B76C184" w14:textId="77777777">
        <w:trPr>
          <w:cantSplit/>
        </w:trPr>
        <w:tc>
          <w:tcPr>
            <w:tcW w:w="1426" w:type="dxa"/>
            <w:tcBorders>
              <w:top w:val="single" w:sz="4" w:space="0" w:color="000000"/>
              <w:left w:val="single" w:sz="4" w:space="0" w:color="000000"/>
              <w:bottom w:val="single" w:sz="4" w:space="0" w:color="000000"/>
              <w:right w:val="single" w:sz="4" w:space="0" w:color="000000"/>
            </w:tcBorders>
          </w:tcPr>
          <w:p w14:paraId="7DC3B68B"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Coûts indirects</w:t>
            </w:r>
          </w:p>
        </w:tc>
        <w:tc>
          <w:tcPr>
            <w:tcW w:w="2578" w:type="dxa"/>
            <w:tcBorders>
              <w:top w:val="single" w:sz="4" w:space="0" w:color="000000"/>
              <w:left w:val="single" w:sz="4" w:space="0" w:color="000000"/>
              <w:bottom w:val="single" w:sz="4" w:space="0" w:color="000000"/>
              <w:right w:val="single" w:sz="4" w:space="0" w:color="000000"/>
            </w:tcBorders>
          </w:tcPr>
          <w:p w14:paraId="583F00EF"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Hébergement des pages du projet</w:t>
            </w:r>
          </w:p>
        </w:tc>
        <w:tc>
          <w:tcPr>
            <w:tcW w:w="2907" w:type="dxa"/>
            <w:tcBorders>
              <w:top w:val="single" w:sz="4" w:space="0" w:color="000000"/>
              <w:left w:val="single" w:sz="4" w:space="0" w:color="000000"/>
              <w:bottom w:val="single" w:sz="4" w:space="0" w:color="000000"/>
              <w:right w:val="single" w:sz="4" w:space="0" w:color="000000"/>
            </w:tcBorders>
          </w:tcPr>
          <w:p w14:paraId="0413B635"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Dépôt GitHub, offre éducation</w:t>
            </w:r>
          </w:p>
        </w:tc>
        <w:tc>
          <w:tcPr>
            <w:tcW w:w="1646" w:type="dxa"/>
            <w:tcBorders>
              <w:top w:val="single" w:sz="4" w:space="0" w:color="000000"/>
              <w:left w:val="single" w:sz="4" w:space="0" w:color="000000"/>
              <w:bottom w:val="single" w:sz="4" w:space="0" w:color="000000"/>
              <w:right w:val="single" w:sz="4" w:space="0" w:color="000000"/>
            </w:tcBorders>
          </w:tcPr>
          <w:p w14:paraId="0341B984"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0,00 $</w:t>
            </w:r>
          </w:p>
        </w:tc>
      </w:tr>
      <w:tr w:rsidR="00F50D70" w:rsidRPr="00BE4F47" w14:paraId="7268C5E4" w14:textId="77777777">
        <w:trPr>
          <w:cantSplit/>
        </w:trPr>
        <w:tc>
          <w:tcPr>
            <w:tcW w:w="1426" w:type="dxa"/>
            <w:tcBorders>
              <w:top w:val="single" w:sz="4" w:space="0" w:color="000000"/>
              <w:left w:val="single" w:sz="4" w:space="0" w:color="000000"/>
              <w:bottom w:val="single" w:sz="4" w:space="0" w:color="000000"/>
              <w:right w:val="single" w:sz="4" w:space="0" w:color="000000"/>
            </w:tcBorders>
          </w:tcPr>
          <w:p w14:paraId="65EAA026"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Coûts indirects</w:t>
            </w:r>
          </w:p>
        </w:tc>
        <w:tc>
          <w:tcPr>
            <w:tcW w:w="2578" w:type="dxa"/>
            <w:tcBorders>
              <w:top w:val="single" w:sz="4" w:space="0" w:color="000000"/>
              <w:left w:val="single" w:sz="4" w:space="0" w:color="000000"/>
              <w:bottom w:val="single" w:sz="4" w:space="0" w:color="000000"/>
              <w:right w:val="single" w:sz="4" w:space="0" w:color="000000"/>
            </w:tcBorders>
          </w:tcPr>
          <w:p w14:paraId="750EAF4E"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Licences logicielles</w:t>
            </w:r>
          </w:p>
        </w:tc>
        <w:tc>
          <w:tcPr>
            <w:tcW w:w="2907" w:type="dxa"/>
            <w:tcBorders>
              <w:top w:val="single" w:sz="4" w:space="0" w:color="000000"/>
              <w:left w:val="single" w:sz="4" w:space="0" w:color="000000"/>
              <w:bottom w:val="single" w:sz="4" w:space="0" w:color="000000"/>
              <w:right w:val="single" w:sz="4" w:space="0" w:color="000000"/>
            </w:tcBorders>
          </w:tcPr>
          <w:p w14:paraId="4F682844"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Licences académiques de l’UQAC et outils libres</w:t>
            </w:r>
          </w:p>
        </w:tc>
        <w:tc>
          <w:tcPr>
            <w:tcW w:w="1646" w:type="dxa"/>
            <w:tcBorders>
              <w:top w:val="single" w:sz="4" w:space="0" w:color="000000"/>
              <w:left w:val="single" w:sz="4" w:space="0" w:color="000000"/>
              <w:bottom w:val="single" w:sz="4" w:space="0" w:color="000000"/>
              <w:right w:val="single" w:sz="4" w:space="0" w:color="000000"/>
            </w:tcBorders>
          </w:tcPr>
          <w:p w14:paraId="69DD85F4"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0,00 $</w:t>
            </w:r>
          </w:p>
        </w:tc>
      </w:tr>
      <w:tr w:rsidR="00F50D70" w:rsidRPr="00BE4F47" w14:paraId="2D6C7E26" w14:textId="77777777">
        <w:trPr>
          <w:cantSplit/>
        </w:trPr>
        <w:tc>
          <w:tcPr>
            <w:tcW w:w="1426" w:type="dxa"/>
            <w:tcBorders>
              <w:top w:val="single" w:sz="4" w:space="0" w:color="000000"/>
              <w:left w:val="single" w:sz="4" w:space="0" w:color="000000"/>
              <w:bottom w:val="single" w:sz="4" w:space="0" w:color="000000"/>
              <w:right w:val="single" w:sz="4" w:space="0" w:color="000000"/>
            </w:tcBorders>
          </w:tcPr>
          <w:p w14:paraId="387CBD61"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Coûts indirects</w:t>
            </w:r>
          </w:p>
        </w:tc>
        <w:tc>
          <w:tcPr>
            <w:tcW w:w="2578" w:type="dxa"/>
            <w:tcBorders>
              <w:top w:val="single" w:sz="4" w:space="0" w:color="000000"/>
              <w:left w:val="single" w:sz="4" w:space="0" w:color="000000"/>
              <w:bottom w:val="single" w:sz="4" w:space="0" w:color="000000"/>
              <w:right w:val="single" w:sz="4" w:space="0" w:color="000000"/>
            </w:tcBorders>
          </w:tcPr>
          <w:p w14:paraId="247A0E54"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Garantie prolongée du produit</w:t>
            </w:r>
          </w:p>
        </w:tc>
        <w:tc>
          <w:tcPr>
            <w:tcW w:w="2907" w:type="dxa"/>
            <w:tcBorders>
              <w:top w:val="single" w:sz="4" w:space="0" w:color="000000"/>
              <w:left w:val="single" w:sz="4" w:space="0" w:color="000000"/>
              <w:bottom w:val="single" w:sz="4" w:space="0" w:color="000000"/>
              <w:right w:val="single" w:sz="4" w:space="0" w:color="000000"/>
            </w:tcBorders>
          </w:tcPr>
          <w:p w14:paraId="7984690E"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Aucun produit physique livré</w:t>
            </w:r>
          </w:p>
        </w:tc>
        <w:tc>
          <w:tcPr>
            <w:tcW w:w="1646" w:type="dxa"/>
            <w:tcBorders>
              <w:top w:val="single" w:sz="4" w:space="0" w:color="000000"/>
              <w:left w:val="single" w:sz="4" w:space="0" w:color="000000"/>
              <w:bottom w:val="single" w:sz="4" w:space="0" w:color="000000"/>
              <w:right w:val="single" w:sz="4" w:space="0" w:color="000000"/>
            </w:tcBorders>
          </w:tcPr>
          <w:p w14:paraId="67BF354B"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0,00 $</w:t>
            </w:r>
          </w:p>
        </w:tc>
      </w:tr>
      <w:tr w:rsidR="00F50D70" w:rsidRPr="00BE4F47" w14:paraId="1B3A6DD9" w14:textId="77777777">
        <w:trPr>
          <w:cantSplit/>
        </w:trPr>
        <w:tc>
          <w:tcPr>
            <w:tcW w:w="1426" w:type="dxa"/>
            <w:tcBorders>
              <w:top w:val="single" w:sz="4" w:space="0" w:color="000000"/>
              <w:left w:val="single" w:sz="4" w:space="0" w:color="000000"/>
              <w:bottom w:val="single" w:sz="4" w:space="0" w:color="000000"/>
              <w:right w:val="single" w:sz="4" w:space="0" w:color="000000"/>
            </w:tcBorders>
          </w:tcPr>
          <w:p w14:paraId="363053F8"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Coûts indirects</w:t>
            </w:r>
          </w:p>
        </w:tc>
        <w:tc>
          <w:tcPr>
            <w:tcW w:w="2578" w:type="dxa"/>
            <w:tcBorders>
              <w:top w:val="single" w:sz="4" w:space="0" w:color="000000"/>
              <w:left w:val="single" w:sz="4" w:space="0" w:color="000000"/>
              <w:bottom w:val="single" w:sz="4" w:space="0" w:color="000000"/>
              <w:right w:val="single" w:sz="4" w:space="0" w:color="000000"/>
            </w:tcBorders>
          </w:tcPr>
          <w:p w14:paraId="7712149A"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Formation du personnel</w:t>
            </w:r>
          </w:p>
        </w:tc>
        <w:tc>
          <w:tcPr>
            <w:tcW w:w="2907" w:type="dxa"/>
            <w:tcBorders>
              <w:top w:val="single" w:sz="4" w:space="0" w:color="000000"/>
              <w:left w:val="single" w:sz="4" w:space="0" w:color="000000"/>
              <w:bottom w:val="single" w:sz="4" w:space="0" w:color="000000"/>
              <w:right w:val="single" w:sz="4" w:space="0" w:color="000000"/>
            </w:tcBorders>
          </w:tcPr>
          <w:p w14:paraId="0BAD4B0A"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Ateliers et formation compris dans les 1 080 h, au lot L1</w:t>
            </w:r>
          </w:p>
        </w:tc>
        <w:tc>
          <w:tcPr>
            <w:tcW w:w="1646" w:type="dxa"/>
            <w:tcBorders>
              <w:top w:val="single" w:sz="4" w:space="0" w:color="000000"/>
              <w:left w:val="single" w:sz="4" w:space="0" w:color="000000"/>
              <w:bottom w:val="single" w:sz="4" w:space="0" w:color="000000"/>
              <w:right w:val="single" w:sz="4" w:space="0" w:color="000000"/>
            </w:tcBorders>
          </w:tcPr>
          <w:p w14:paraId="1224721D"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0,00 $</w:t>
            </w:r>
          </w:p>
        </w:tc>
      </w:tr>
      <w:tr w:rsidR="00F50D70" w:rsidRPr="00BE4F47" w14:paraId="26A4ECFB" w14:textId="77777777">
        <w:trPr>
          <w:cantSplit/>
        </w:trPr>
        <w:tc>
          <w:tcPr>
            <w:tcW w:w="1426" w:type="dxa"/>
            <w:tcBorders>
              <w:top w:val="single" w:sz="4" w:space="0" w:color="000000"/>
              <w:left w:val="single" w:sz="4" w:space="0" w:color="000000"/>
              <w:bottom w:val="single" w:sz="4" w:space="0" w:color="000000"/>
              <w:right w:val="single" w:sz="4" w:space="0" w:color="000000"/>
            </w:tcBorders>
          </w:tcPr>
          <w:p w14:paraId="2B94D0DC"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Coûts indirects</w:t>
            </w:r>
          </w:p>
        </w:tc>
        <w:tc>
          <w:tcPr>
            <w:tcW w:w="2578" w:type="dxa"/>
            <w:tcBorders>
              <w:top w:val="single" w:sz="4" w:space="0" w:color="000000"/>
              <w:left w:val="single" w:sz="4" w:space="0" w:color="000000"/>
              <w:bottom w:val="single" w:sz="4" w:space="0" w:color="000000"/>
              <w:right w:val="single" w:sz="4" w:space="0" w:color="000000"/>
            </w:tcBorders>
          </w:tcPr>
          <w:p w14:paraId="071D5627"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Livraison, installation, douane</w:t>
            </w:r>
          </w:p>
        </w:tc>
        <w:tc>
          <w:tcPr>
            <w:tcW w:w="2907" w:type="dxa"/>
            <w:tcBorders>
              <w:top w:val="single" w:sz="4" w:space="0" w:color="000000"/>
              <w:left w:val="single" w:sz="4" w:space="0" w:color="000000"/>
              <w:bottom w:val="single" w:sz="4" w:space="0" w:color="000000"/>
              <w:right w:val="single" w:sz="4" w:space="0" w:color="000000"/>
            </w:tcBorders>
          </w:tcPr>
          <w:p w14:paraId="0B7EBB90"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Sans objet pour un livrable logiciel</w:t>
            </w:r>
          </w:p>
        </w:tc>
        <w:tc>
          <w:tcPr>
            <w:tcW w:w="1646" w:type="dxa"/>
            <w:tcBorders>
              <w:top w:val="single" w:sz="4" w:space="0" w:color="000000"/>
              <w:left w:val="single" w:sz="4" w:space="0" w:color="000000"/>
              <w:bottom w:val="single" w:sz="4" w:space="0" w:color="000000"/>
              <w:right w:val="single" w:sz="4" w:space="0" w:color="000000"/>
            </w:tcBorders>
          </w:tcPr>
          <w:p w14:paraId="17EE28EE"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0,00 $</w:t>
            </w:r>
          </w:p>
        </w:tc>
      </w:tr>
      <w:tr w:rsidR="00F50D70" w:rsidRPr="00BE4F47" w14:paraId="0B8DA567" w14:textId="77777777">
        <w:trPr>
          <w:cantSplit/>
        </w:trPr>
        <w:tc>
          <w:tcPr>
            <w:tcW w:w="1426" w:type="dxa"/>
            <w:tcBorders>
              <w:top w:val="single" w:sz="4" w:space="0" w:color="000000"/>
              <w:left w:val="single" w:sz="4" w:space="0" w:color="000000"/>
              <w:bottom w:val="single" w:sz="4" w:space="0" w:color="000000"/>
              <w:right w:val="single" w:sz="4" w:space="0" w:color="000000"/>
            </w:tcBorders>
          </w:tcPr>
          <w:p w14:paraId="20242DB4"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Coûts indirects</w:t>
            </w:r>
          </w:p>
        </w:tc>
        <w:tc>
          <w:tcPr>
            <w:tcW w:w="2578" w:type="dxa"/>
            <w:tcBorders>
              <w:top w:val="single" w:sz="4" w:space="0" w:color="000000"/>
              <w:left w:val="single" w:sz="4" w:space="0" w:color="000000"/>
              <w:bottom w:val="single" w:sz="4" w:space="0" w:color="000000"/>
              <w:right w:val="single" w:sz="4" w:space="0" w:color="000000"/>
            </w:tcBorders>
          </w:tcPr>
          <w:p w14:paraId="26FA2809"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Assurance responsabilité civile</w:t>
            </w:r>
          </w:p>
        </w:tc>
        <w:tc>
          <w:tcPr>
            <w:tcW w:w="2907" w:type="dxa"/>
            <w:tcBorders>
              <w:top w:val="single" w:sz="4" w:space="0" w:color="000000"/>
              <w:left w:val="single" w:sz="4" w:space="0" w:color="000000"/>
              <w:bottom w:val="single" w:sz="4" w:space="0" w:color="000000"/>
              <w:right w:val="single" w:sz="4" w:space="0" w:color="000000"/>
            </w:tcBorders>
          </w:tcPr>
          <w:p w14:paraId="65DEAC58"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Couverte par le cadre académique de l’UQAC</w:t>
            </w:r>
          </w:p>
        </w:tc>
        <w:tc>
          <w:tcPr>
            <w:tcW w:w="1646" w:type="dxa"/>
            <w:tcBorders>
              <w:top w:val="single" w:sz="4" w:space="0" w:color="000000"/>
              <w:left w:val="single" w:sz="4" w:space="0" w:color="000000"/>
              <w:bottom w:val="single" w:sz="4" w:space="0" w:color="000000"/>
              <w:right w:val="single" w:sz="4" w:space="0" w:color="000000"/>
            </w:tcBorders>
          </w:tcPr>
          <w:p w14:paraId="2A86AC53"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0,00 $</w:t>
            </w:r>
          </w:p>
        </w:tc>
      </w:tr>
      <w:tr w:rsidR="00F50D70" w:rsidRPr="00BE4F47" w14:paraId="37E318DA" w14:textId="77777777">
        <w:trPr>
          <w:cantSplit/>
        </w:trPr>
        <w:tc>
          <w:tcPr>
            <w:tcW w:w="1426" w:type="dxa"/>
            <w:tcBorders>
              <w:top w:val="single" w:sz="4" w:space="0" w:color="000000"/>
              <w:left w:val="single" w:sz="4" w:space="0" w:color="000000"/>
              <w:bottom w:val="single" w:sz="4" w:space="0" w:color="000000"/>
              <w:right w:val="single" w:sz="4" w:space="0" w:color="000000"/>
            </w:tcBorders>
          </w:tcPr>
          <w:p w14:paraId="540F0B33"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Coûts indirects</w:t>
            </w:r>
          </w:p>
        </w:tc>
        <w:tc>
          <w:tcPr>
            <w:tcW w:w="2578" w:type="dxa"/>
            <w:tcBorders>
              <w:top w:val="single" w:sz="4" w:space="0" w:color="000000"/>
              <w:left w:val="single" w:sz="4" w:space="0" w:color="000000"/>
              <w:bottom w:val="single" w:sz="4" w:space="0" w:color="000000"/>
              <w:right w:val="single" w:sz="4" w:space="0" w:color="000000"/>
            </w:tcBorders>
          </w:tcPr>
          <w:p w14:paraId="602D98DD"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Assurance des immeubles et des biens</w:t>
            </w:r>
          </w:p>
        </w:tc>
        <w:tc>
          <w:tcPr>
            <w:tcW w:w="2907" w:type="dxa"/>
            <w:tcBorders>
              <w:top w:val="single" w:sz="4" w:space="0" w:color="000000"/>
              <w:left w:val="single" w:sz="4" w:space="0" w:color="000000"/>
              <w:bottom w:val="single" w:sz="4" w:space="0" w:color="000000"/>
              <w:right w:val="single" w:sz="4" w:space="0" w:color="000000"/>
            </w:tcBorders>
          </w:tcPr>
          <w:p w14:paraId="504E415B"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Couverte par l’UQAC</w:t>
            </w:r>
          </w:p>
        </w:tc>
        <w:tc>
          <w:tcPr>
            <w:tcW w:w="1646" w:type="dxa"/>
            <w:tcBorders>
              <w:top w:val="single" w:sz="4" w:space="0" w:color="000000"/>
              <w:left w:val="single" w:sz="4" w:space="0" w:color="000000"/>
              <w:bottom w:val="single" w:sz="4" w:space="0" w:color="000000"/>
              <w:right w:val="single" w:sz="4" w:space="0" w:color="000000"/>
            </w:tcBorders>
          </w:tcPr>
          <w:p w14:paraId="652E2F8D"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0,00 $</w:t>
            </w:r>
          </w:p>
        </w:tc>
      </w:tr>
      <w:tr w:rsidR="00F50D70" w:rsidRPr="00BE4F47" w14:paraId="31495C59" w14:textId="77777777">
        <w:trPr>
          <w:cantSplit/>
        </w:trPr>
        <w:tc>
          <w:tcPr>
            <w:tcW w:w="1426" w:type="dxa"/>
            <w:tcBorders>
              <w:top w:val="single" w:sz="4" w:space="0" w:color="000000"/>
              <w:left w:val="single" w:sz="4" w:space="0" w:color="000000"/>
              <w:bottom w:val="single" w:sz="4" w:space="0" w:color="000000"/>
              <w:right w:val="single" w:sz="4" w:space="0" w:color="000000"/>
            </w:tcBorders>
            <w:shd w:val="clear" w:color="auto" w:fill="EFF4FB"/>
          </w:tcPr>
          <w:p w14:paraId="1E3D3ADD"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Coûts indirects</w:t>
            </w:r>
          </w:p>
        </w:tc>
        <w:tc>
          <w:tcPr>
            <w:tcW w:w="2578" w:type="dxa"/>
            <w:tcBorders>
              <w:top w:val="single" w:sz="4" w:space="0" w:color="000000"/>
              <w:left w:val="single" w:sz="4" w:space="0" w:color="000000"/>
              <w:bottom w:val="single" w:sz="4" w:space="0" w:color="000000"/>
              <w:right w:val="single" w:sz="4" w:space="0" w:color="000000"/>
            </w:tcBorders>
            <w:shd w:val="clear" w:color="auto" w:fill="EFF4FB"/>
          </w:tcPr>
          <w:p w14:paraId="2E07F7B1"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Sous-total des coûts indirects</w:t>
            </w:r>
          </w:p>
        </w:tc>
        <w:tc>
          <w:tcPr>
            <w:tcW w:w="2907" w:type="dxa"/>
            <w:tcBorders>
              <w:top w:val="single" w:sz="4" w:space="0" w:color="000000"/>
              <w:left w:val="single" w:sz="4" w:space="0" w:color="000000"/>
              <w:bottom w:val="single" w:sz="4" w:space="0" w:color="000000"/>
              <w:right w:val="single" w:sz="4" w:space="0" w:color="000000"/>
            </w:tcBorders>
            <w:shd w:val="clear" w:color="auto" w:fill="EFF4FB"/>
          </w:tcPr>
          <w:p w14:paraId="02B61F1D"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Aucun poste applicable</w:t>
            </w:r>
          </w:p>
        </w:tc>
        <w:tc>
          <w:tcPr>
            <w:tcW w:w="1646" w:type="dxa"/>
            <w:tcBorders>
              <w:top w:val="single" w:sz="4" w:space="0" w:color="000000"/>
              <w:left w:val="single" w:sz="4" w:space="0" w:color="000000"/>
              <w:bottom w:val="single" w:sz="4" w:space="0" w:color="000000"/>
              <w:right w:val="single" w:sz="4" w:space="0" w:color="000000"/>
            </w:tcBorders>
            <w:shd w:val="clear" w:color="auto" w:fill="EFF4FB"/>
          </w:tcPr>
          <w:p w14:paraId="1FD45EE6"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0,00 $</w:t>
            </w:r>
          </w:p>
        </w:tc>
      </w:tr>
      <w:tr w:rsidR="00F50D70" w:rsidRPr="00BE4F47" w14:paraId="186196A5" w14:textId="77777777">
        <w:trPr>
          <w:cantSplit/>
        </w:trPr>
        <w:tc>
          <w:tcPr>
            <w:tcW w:w="1426" w:type="dxa"/>
            <w:tcBorders>
              <w:top w:val="single" w:sz="4" w:space="0" w:color="000000"/>
              <w:left w:val="single" w:sz="4" w:space="0" w:color="000000"/>
              <w:bottom w:val="single" w:sz="4" w:space="0" w:color="000000"/>
              <w:right w:val="single" w:sz="4" w:space="0" w:color="000000"/>
            </w:tcBorders>
          </w:tcPr>
          <w:p w14:paraId="6668950D"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Provisions</w:t>
            </w:r>
          </w:p>
        </w:tc>
        <w:tc>
          <w:tcPr>
            <w:tcW w:w="2578" w:type="dxa"/>
            <w:tcBorders>
              <w:top w:val="single" w:sz="4" w:space="0" w:color="000000"/>
              <w:left w:val="single" w:sz="4" w:space="0" w:color="000000"/>
              <w:bottom w:val="single" w:sz="4" w:space="0" w:color="000000"/>
              <w:right w:val="single" w:sz="4" w:space="0" w:color="000000"/>
            </w:tcBorders>
          </w:tcPr>
          <w:p w14:paraId="552B01F1"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Contingence</w:t>
            </w:r>
          </w:p>
        </w:tc>
        <w:tc>
          <w:tcPr>
            <w:tcW w:w="2907" w:type="dxa"/>
            <w:tcBorders>
              <w:top w:val="single" w:sz="4" w:space="0" w:color="000000"/>
              <w:left w:val="single" w:sz="4" w:space="0" w:color="000000"/>
              <w:bottom w:val="single" w:sz="4" w:space="0" w:color="000000"/>
              <w:right w:val="single" w:sz="4" w:space="0" w:color="000000"/>
            </w:tcBorders>
          </w:tcPr>
          <w:p w14:paraId="6DF65BCE"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10 % des coûts directs, soit 10 % de 54 000 $</w:t>
            </w:r>
          </w:p>
        </w:tc>
        <w:tc>
          <w:tcPr>
            <w:tcW w:w="1646" w:type="dxa"/>
            <w:tcBorders>
              <w:top w:val="single" w:sz="4" w:space="0" w:color="000000"/>
              <w:left w:val="single" w:sz="4" w:space="0" w:color="000000"/>
              <w:bottom w:val="single" w:sz="4" w:space="0" w:color="000000"/>
              <w:right w:val="single" w:sz="4" w:space="0" w:color="000000"/>
            </w:tcBorders>
          </w:tcPr>
          <w:p w14:paraId="1F2CE533"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5 400,00 $</w:t>
            </w:r>
          </w:p>
        </w:tc>
      </w:tr>
      <w:tr w:rsidR="00F50D70" w:rsidRPr="00BE4F47" w14:paraId="56EC81CB" w14:textId="77777777">
        <w:trPr>
          <w:cantSplit/>
        </w:trPr>
        <w:tc>
          <w:tcPr>
            <w:tcW w:w="1426" w:type="dxa"/>
            <w:tcBorders>
              <w:top w:val="single" w:sz="4" w:space="0" w:color="000000"/>
              <w:left w:val="single" w:sz="4" w:space="0" w:color="000000"/>
              <w:bottom w:val="single" w:sz="4" w:space="0" w:color="000000"/>
              <w:right w:val="single" w:sz="4" w:space="0" w:color="000000"/>
            </w:tcBorders>
          </w:tcPr>
          <w:p w14:paraId="72DCE57F"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Provisions</w:t>
            </w:r>
          </w:p>
        </w:tc>
        <w:tc>
          <w:tcPr>
            <w:tcW w:w="2578" w:type="dxa"/>
            <w:tcBorders>
              <w:top w:val="single" w:sz="4" w:space="0" w:color="000000"/>
              <w:left w:val="single" w:sz="4" w:space="0" w:color="000000"/>
              <w:bottom w:val="single" w:sz="4" w:space="0" w:color="000000"/>
              <w:right w:val="single" w:sz="4" w:space="0" w:color="000000"/>
            </w:tcBorders>
          </w:tcPr>
          <w:p w14:paraId="1F5D23C3"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Escalade : inflation et augmentations salariales</w:t>
            </w:r>
          </w:p>
        </w:tc>
        <w:tc>
          <w:tcPr>
            <w:tcW w:w="2907" w:type="dxa"/>
            <w:tcBorders>
              <w:top w:val="single" w:sz="4" w:space="0" w:color="000000"/>
              <w:left w:val="single" w:sz="4" w:space="0" w:color="000000"/>
              <w:bottom w:val="single" w:sz="4" w:space="0" w:color="000000"/>
              <w:right w:val="single" w:sz="4" w:space="0" w:color="000000"/>
            </w:tcBorders>
          </w:tcPr>
          <w:p w14:paraId="5331B599"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Mandat d’un trimestre, effet négligeable</w:t>
            </w:r>
          </w:p>
        </w:tc>
        <w:tc>
          <w:tcPr>
            <w:tcW w:w="1646" w:type="dxa"/>
            <w:tcBorders>
              <w:top w:val="single" w:sz="4" w:space="0" w:color="000000"/>
              <w:left w:val="single" w:sz="4" w:space="0" w:color="000000"/>
              <w:bottom w:val="single" w:sz="4" w:space="0" w:color="000000"/>
              <w:right w:val="single" w:sz="4" w:space="0" w:color="000000"/>
            </w:tcBorders>
          </w:tcPr>
          <w:p w14:paraId="35108C8B"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0,00 $</w:t>
            </w:r>
          </w:p>
        </w:tc>
      </w:tr>
      <w:tr w:rsidR="00F50D70" w:rsidRPr="00BE4F47" w14:paraId="2AD96EC1" w14:textId="77777777">
        <w:trPr>
          <w:cantSplit/>
        </w:trPr>
        <w:tc>
          <w:tcPr>
            <w:tcW w:w="1426" w:type="dxa"/>
            <w:tcBorders>
              <w:top w:val="single" w:sz="4" w:space="0" w:color="000000"/>
              <w:left w:val="single" w:sz="4" w:space="0" w:color="000000"/>
              <w:bottom w:val="single" w:sz="4" w:space="0" w:color="000000"/>
              <w:right w:val="single" w:sz="4" w:space="0" w:color="000000"/>
            </w:tcBorders>
          </w:tcPr>
          <w:p w14:paraId="4A3C25A8"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Provisions</w:t>
            </w:r>
          </w:p>
        </w:tc>
        <w:tc>
          <w:tcPr>
            <w:tcW w:w="2578" w:type="dxa"/>
            <w:tcBorders>
              <w:top w:val="single" w:sz="4" w:space="0" w:color="000000"/>
              <w:left w:val="single" w:sz="4" w:space="0" w:color="000000"/>
              <w:bottom w:val="single" w:sz="4" w:space="0" w:color="000000"/>
              <w:right w:val="single" w:sz="4" w:space="0" w:color="000000"/>
            </w:tcBorders>
          </w:tcPr>
          <w:p w14:paraId="007D80DE"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Autres imprévus</w:t>
            </w:r>
          </w:p>
        </w:tc>
        <w:tc>
          <w:tcPr>
            <w:tcW w:w="2907" w:type="dxa"/>
            <w:tcBorders>
              <w:top w:val="single" w:sz="4" w:space="0" w:color="000000"/>
              <w:left w:val="single" w:sz="4" w:space="0" w:color="000000"/>
              <w:bottom w:val="single" w:sz="4" w:space="0" w:color="000000"/>
              <w:right w:val="single" w:sz="4" w:space="0" w:color="000000"/>
            </w:tcBorders>
          </w:tcPr>
          <w:p w14:paraId="69C5682A"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Couverts par la contingence</w:t>
            </w:r>
          </w:p>
        </w:tc>
        <w:tc>
          <w:tcPr>
            <w:tcW w:w="1646" w:type="dxa"/>
            <w:tcBorders>
              <w:top w:val="single" w:sz="4" w:space="0" w:color="000000"/>
              <w:left w:val="single" w:sz="4" w:space="0" w:color="000000"/>
              <w:bottom w:val="single" w:sz="4" w:space="0" w:color="000000"/>
              <w:right w:val="single" w:sz="4" w:space="0" w:color="000000"/>
            </w:tcBorders>
          </w:tcPr>
          <w:p w14:paraId="5539F0D8"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0,00 $</w:t>
            </w:r>
          </w:p>
        </w:tc>
      </w:tr>
      <w:tr w:rsidR="00F50D70" w:rsidRPr="00BE4F47" w14:paraId="668E6DFC" w14:textId="77777777">
        <w:trPr>
          <w:cantSplit/>
        </w:trPr>
        <w:tc>
          <w:tcPr>
            <w:tcW w:w="1426" w:type="dxa"/>
            <w:tcBorders>
              <w:top w:val="single" w:sz="4" w:space="0" w:color="000000"/>
              <w:left w:val="single" w:sz="4" w:space="0" w:color="000000"/>
              <w:bottom w:val="single" w:sz="4" w:space="0" w:color="000000"/>
              <w:right w:val="single" w:sz="4" w:space="0" w:color="000000"/>
            </w:tcBorders>
            <w:shd w:val="clear" w:color="auto" w:fill="EFF4FB"/>
          </w:tcPr>
          <w:p w14:paraId="727AA53F"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Total</w:t>
            </w:r>
          </w:p>
        </w:tc>
        <w:tc>
          <w:tcPr>
            <w:tcW w:w="2578" w:type="dxa"/>
            <w:tcBorders>
              <w:top w:val="single" w:sz="4" w:space="0" w:color="000000"/>
              <w:left w:val="single" w:sz="4" w:space="0" w:color="000000"/>
              <w:bottom w:val="single" w:sz="4" w:space="0" w:color="000000"/>
              <w:right w:val="single" w:sz="4" w:space="0" w:color="000000"/>
            </w:tcBorders>
            <w:shd w:val="clear" w:color="auto" w:fill="EFF4FB"/>
          </w:tcPr>
          <w:p w14:paraId="6622587F"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Coût total du mandat</w:t>
            </w:r>
          </w:p>
        </w:tc>
        <w:tc>
          <w:tcPr>
            <w:tcW w:w="2907" w:type="dxa"/>
            <w:tcBorders>
              <w:top w:val="single" w:sz="4" w:space="0" w:color="000000"/>
              <w:left w:val="single" w:sz="4" w:space="0" w:color="000000"/>
              <w:bottom w:val="single" w:sz="4" w:space="0" w:color="000000"/>
              <w:right w:val="single" w:sz="4" w:space="0" w:color="000000"/>
            </w:tcBorders>
            <w:shd w:val="clear" w:color="auto" w:fill="EFF4FB"/>
          </w:tcPr>
          <w:p w14:paraId="4EA9EEA8"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54 000 $ + 5 400 $</w:t>
            </w:r>
          </w:p>
        </w:tc>
        <w:tc>
          <w:tcPr>
            <w:tcW w:w="1646" w:type="dxa"/>
            <w:tcBorders>
              <w:top w:val="single" w:sz="4" w:space="0" w:color="000000"/>
              <w:left w:val="single" w:sz="4" w:space="0" w:color="000000"/>
              <w:bottom w:val="single" w:sz="4" w:space="0" w:color="000000"/>
              <w:right w:val="single" w:sz="4" w:space="0" w:color="000000"/>
            </w:tcBorders>
            <w:shd w:val="clear" w:color="auto" w:fill="EFF4FB"/>
          </w:tcPr>
          <w:p w14:paraId="683579CC"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59 400,00 $</w:t>
            </w:r>
          </w:p>
        </w:tc>
      </w:tr>
      <w:tr w:rsidR="00F50D70" w:rsidRPr="00BE4F47" w14:paraId="5BE64008" w14:textId="77777777">
        <w:trPr>
          <w:cantSplit/>
        </w:trPr>
        <w:tc>
          <w:tcPr>
            <w:tcW w:w="1426" w:type="dxa"/>
            <w:tcBorders>
              <w:top w:val="single" w:sz="4" w:space="0" w:color="000000"/>
              <w:left w:val="single" w:sz="4" w:space="0" w:color="000000"/>
              <w:bottom w:val="single" w:sz="4" w:space="0" w:color="000000"/>
              <w:right w:val="single" w:sz="4" w:space="0" w:color="000000"/>
            </w:tcBorders>
            <w:shd w:val="clear" w:color="auto" w:fill="EFF4FB"/>
          </w:tcPr>
          <w:p w14:paraId="5A727631"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Cs/>
                <w:color w:val="1A1A19"/>
                <w:sz w:val="16"/>
                <w:szCs w:val="16"/>
                <w:lang w:val="fr-FR"/>
              </w:rPr>
              <w:t>Total</w:t>
            </w:r>
          </w:p>
        </w:tc>
        <w:tc>
          <w:tcPr>
            <w:tcW w:w="2578" w:type="dxa"/>
            <w:tcBorders>
              <w:top w:val="single" w:sz="4" w:space="0" w:color="000000"/>
              <w:left w:val="single" w:sz="4" w:space="0" w:color="000000"/>
              <w:bottom w:val="single" w:sz="4" w:space="0" w:color="000000"/>
              <w:right w:val="single" w:sz="4" w:space="0" w:color="000000"/>
            </w:tcBorders>
            <w:shd w:val="clear" w:color="auto" w:fill="EFF4FB"/>
          </w:tcPr>
          <w:p w14:paraId="742D29A3"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Cs/>
                <w:color w:val="1A1A19"/>
                <w:sz w:val="16"/>
                <w:szCs w:val="16"/>
                <w:lang w:val="fr-FR"/>
              </w:rPr>
              <w:t>Bénéfice de l’équipe</w:t>
            </w:r>
          </w:p>
        </w:tc>
        <w:tc>
          <w:tcPr>
            <w:tcW w:w="2907" w:type="dxa"/>
            <w:tcBorders>
              <w:top w:val="single" w:sz="4" w:space="0" w:color="000000"/>
              <w:left w:val="single" w:sz="4" w:space="0" w:color="000000"/>
              <w:bottom w:val="single" w:sz="4" w:space="0" w:color="000000"/>
              <w:right w:val="single" w:sz="4" w:space="0" w:color="000000"/>
            </w:tcBorders>
            <w:shd w:val="clear" w:color="auto" w:fill="EFF4FB"/>
          </w:tcPr>
          <w:p w14:paraId="03A34B61"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Cs/>
                <w:color w:val="1A1A19"/>
                <w:sz w:val="16"/>
                <w:szCs w:val="16"/>
                <w:lang w:val="fr-FR"/>
              </w:rPr>
              <w:t>15 % du coût total du mandat, soit 13,0 % du prix</w:t>
            </w:r>
          </w:p>
        </w:tc>
        <w:tc>
          <w:tcPr>
            <w:tcW w:w="1646" w:type="dxa"/>
            <w:tcBorders>
              <w:top w:val="single" w:sz="4" w:space="0" w:color="000000"/>
              <w:left w:val="single" w:sz="4" w:space="0" w:color="000000"/>
              <w:bottom w:val="single" w:sz="4" w:space="0" w:color="000000"/>
              <w:right w:val="single" w:sz="4" w:space="0" w:color="000000"/>
            </w:tcBorders>
            <w:shd w:val="clear" w:color="auto" w:fill="EFF4FB"/>
          </w:tcPr>
          <w:p w14:paraId="2A8F70C7"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Cs/>
                <w:color w:val="1A1A19"/>
                <w:sz w:val="16"/>
                <w:szCs w:val="16"/>
                <w:lang w:val="fr-FR"/>
              </w:rPr>
              <w:t>8 910,00 $</w:t>
            </w:r>
          </w:p>
        </w:tc>
      </w:tr>
      <w:tr w:rsidR="00F50D70" w:rsidRPr="00BE4F47" w14:paraId="509B1670" w14:textId="77777777">
        <w:trPr>
          <w:cantSplit/>
        </w:trPr>
        <w:tc>
          <w:tcPr>
            <w:tcW w:w="1426" w:type="dxa"/>
            <w:tcBorders>
              <w:top w:val="single" w:sz="4" w:space="0" w:color="000000"/>
              <w:left w:val="single" w:sz="4" w:space="0" w:color="000000"/>
              <w:bottom w:val="single" w:sz="4" w:space="0" w:color="000000"/>
              <w:right w:val="single" w:sz="4" w:space="0" w:color="000000"/>
            </w:tcBorders>
            <w:shd w:val="clear" w:color="auto" w:fill="EFF4FB"/>
          </w:tcPr>
          <w:p w14:paraId="2B336686"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Total</w:t>
            </w:r>
          </w:p>
        </w:tc>
        <w:tc>
          <w:tcPr>
            <w:tcW w:w="2578" w:type="dxa"/>
            <w:tcBorders>
              <w:top w:val="single" w:sz="4" w:space="0" w:color="000000"/>
              <w:left w:val="single" w:sz="4" w:space="0" w:color="000000"/>
              <w:bottom w:val="single" w:sz="4" w:space="0" w:color="000000"/>
              <w:right w:val="single" w:sz="4" w:space="0" w:color="000000"/>
            </w:tcBorders>
            <w:shd w:val="clear" w:color="auto" w:fill="EFF4FB"/>
          </w:tcPr>
          <w:p w14:paraId="6DF0E091"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Prix contractuel porté au bordereau</w:t>
            </w:r>
          </w:p>
        </w:tc>
        <w:tc>
          <w:tcPr>
            <w:tcW w:w="2907" w:type="dxa"/>
            <w:tcBorders>
              <w:top w:val="single" w:sz="4" w:space="0" w:color="000000"/>
              <w:left w:val="single" w:sz="4" w:space="0" w:color="000000"/>
              <w:bottom w:val="single" w:sz="4" w:space="0" w:color="000000"/>
              <w:right w:val="single" w:sz="4" w:space="0" w:color="000000"/>
            </w:tcBorders>
            <w:shd w:val="clear" w:color="auto" w:fill="EFF4FB"/>
          </w:tcPr>
          <w:p w14:paraId="4CE41C3A"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59 400 $ + 8 910 $</w:t>
            </w:r>
          </w:p>
        </w:tc>
        <w:tc>
          <w:tcPr>
            <w:tcW w:w="1646" w:type="dxa"/>
            <w:tcBorders>
              <w:top w:val="single" w:sz="4" w:space="0" w:color="000000"/>
              <w:left w:val="single" w:sz="4" w:space="0" w:color="000000"/>
              <w:bottom w:val="single" w:sz="4" w:space="0" w:color="000000"/>
              <w:right w:val="single" w:sz="4" w:space="0" w:color="000000"/>
            </w:tcBorders>
            <w:shd w:val="clear" w:color="auto" w:fill="EFF4FB"/>
          </w:tcPr>
          <w:p w14:paraId="661BB928"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68 310,00 $</w:t>
            </w:r>
          </w:p>
        </w:tc>
      </w:tr>
      <w:tr w:rsidR="00F50D70" w:rsidRPr="00BE4F47" w14:paraId="2DC2C8D6" w14:textId="77777777">
        <w:trPr>
          <w:cantSplit/>
        </w:trPr>
        <w:tc>
          <w:tcPr>
            <w:tcW w:w="1426" w:type="dxa"/>
            <w:tcBorders>
              <w:top w:val="single" w:sz="4" w:space="0" w:color="000000"/>
              <w:left w:val="single" w:sz="4" w:space="0" w:color="000000"/>
              <w:bottom w:val="single" w:sz="4" w:space="0" w:color="000000"/>
              <w:right w:val="single" w:sz="4" w:space="0" w:color="000000"/>
            </w:tcBorders>
          </w:tcPr>
          <w:p w14:paraId="011E4573"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Total</w:t>
            </w:r>
          </w:p>
        </w:tc>
        <w:tc>
          <w:tcPr>
            <w:tcW w:w="2578" w:type="dxa"/>
            <w:tcBorders>
              <w:top w:val="single" w:sz="4" w:space="0" w:color="000000"/>
              <w:left w:val="single" w:sz="4" w:space="0" w:color="000000"/>
              <w:bottom w:val="single" w:sz="4" w:space="0" w:color="000000"/>
              <w:right w:val="single" w:sz="4" w:space="0" w:color="000000"/>
            </w:tcBorders>
          </w:tcPr>
          <w:p w14:paraId="015B0BA5"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Réserve du propriétaire</w:t>
            </w:r>
          </w:p>
        </w:tc>
        <w:tc>
          <w:tcPr>
            <w:tcW w:w="2907" w:type="dxa"/>
            <w:tcBorders>
              <w:top w:val="single" w:sz="4" w:space="0" w:color="000000"/>
              <w:left w:val="single" w:sz="4" w:space="0" w:color="000000"/>
              <w:bottom w:val="single" w:sz="4" w:space="0" w:color="000000"/>
              <w:right w:val="single" w:sz="4" w:space="0" w:color="000000"/>
            </w:tcBorders>
          </w:tcPr>
          <w:p w14:paraId="1CDA7BA2"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5 % du prix contractuel. Provision retenue par le client, hors du montant facturé.</w:t>
            </w:r>
          </w:p>
        </w:tc>
        <w:tc>
          <w:tcPr>
            <w:tcW w:w="1646" w:type="dxa"/>
            <w:tcBorders>
              <w:top w:val="single" w:sz="4" w:space="0" w:color="000000"/>
              <w:left w:val="single" w:sz="4" w:space="0" w:color="000000"/>
              <w:bottom w:val="single" w:sz="4" w:space="0" w:color="000000"/>
              <w:right w:val="single" w:sz="4" w:space="0" w:color="000000"/>
            </w:tcBorders>
          </w:tcPr>
          <w:p w14:paraId="04C5A7CB"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3 415,50 $</w:t>
            </w:r>
          </w:p>
        </w:tc>
      </w:tr>
      <w:tr w:rsidR="00F50D70" w:rsidRPr="00BE4F47" w14:paraId="778D320A" w14:textId="77777777">
        <w:trPr>
          <w:cantSplit/>
        </w:trPr>
        <w:tc>
          <w:tcPr>
            <w:tcW w:w="1426" w:type="dxa"/>
            <w:tcBorders>
              <w:top w:val="single" w:sz="4" w:space="0" w:color="000000"/>
              <w:left w:val="single" w:sz="4" w:space="0" w:color="000000"/>
              <w:bottom w:val="single" w:sz="4" w:space="0" w:color="000000"/>
              <w:right w:val="single" w:sz="4" w:space="0" w:color="000000"/>
            </w:tcBorders>
            <w:shd w:val="clear" w:color="auto" w:fill="EFF4FB"/>
          </w:tcPr>
          <w:p w14:paraId="249F90C6"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Total</w:t>
            </w:r>
          </w:p>
        </w:tc>
        <w:tc>
          <w:tcPr>
            <w:tcW w:w="2578" w:type="dxa"/>
            <w:tcBorders>
              <w:top w:val="single" w:sz="4" w:space="0" w:color="000000"/>
              <w:left w:val="single" w:sz="4" w:space="0" w:color="000000"/>
              <w:bottom w:val="single" w:sz="4" w:space="0" w:color="000000"/>
              <w:right w:val="single" w:sz="4" w:space="0" w:color="000000"/>
            </w:tcBorders>
            <w:shd w:val="clear" w:color="auto" w:fill="EFF4FB"/>
          </w:tcPr>
          <w:p w14:paraId="1881C1A7"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Estimé initial total</w:t>
            </w:r>
          </w:p>
        </w:tc>
        <w:tc>
          <w:tcPr>
            <w:tcW w:w="2907" w:type="dxa"/>
            <w:tcBorders>
              <w:top w:val="single" w:sz="4" w:space="0" w:color="000000"/>
              <w:left w:val="single" w:sz="4" w:space="0" w:color="000000"/>
              <w:bottom w:val="single" w:sz="4" w:space="0" w:color="000000"/>
              <w:right w:val="single" w:sz="4" w:space="0" w:color="000000"/>
            </w:tcBorders>
            <w:shd w:val="clear" w:color="auto" w:fill="EFF4FB"/>
          </w:tcPr>
          <w:p w14:paraId="44EEEAF6"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68 310 $ + 3 415,50 $</w:t>
            </w:r>
          </w:p>
        </w:tc>
        <w:tc>
          <w:tcPr>
            <w:tcW w:w="1646" w:type="dxa"/>
            <w:tcBorders>
              <w:top w:val="single" w:sz="4" w:space="0" w:color="000000"/>
              <w:left w:val="single" w:sz="4" w:space="0" w:color="000000"/>
              <w:bottom w:val="single" w:sz="4" w:space="0" w:color="000000"/>
              <w:right w:val="single" w:sz="4" w:space="0" w:color="000000"/>
            </w:tcBorders>
            <w:shd w:val="clear" w:color="auto" w:fill="EFF4FB"/>
          </w:tcPr>
          <w:p w14:paraId="1CB8C5E9"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71 725,50 $</w:t>
            </w:r>
          </w:p>
        </w:tc>
      </w:tr>
    </w:tbl>
    <w:p w14:paraId="57EF2D96" w14:textId="77777777" w:rsidR="00F50D70" w:rsidRPr="00BE4F47" w:rsidRDefault="00137D7F" w:rsidP="008E113B">
      <w:pPr>
        <w:spacing w:before="200" w:after="130" w:line="360" w:lineRule="auto"/>
        <w:ind w:left="360"/>
        <w:rPr>
          <w:rFonts w:ascii="Aptos" w:eastAsia="Calibri" w:hAnsi="Aptos" w:cs="Calibri"/>
          <w:color w:val="1A1A19"/>
          <w:sz w:val="20"/>
          <w:szCs w:val="20"/>
        </w:rPr>
      </w:pPr>
      <w:bookmarkStart w:id="1288" w:name="_Toc241670319"/>
      <w:bookmarkStart w:id="1289" w:name="_Toc241708027"/>
      <w:bookmarkStart w:id="1290" w:name="_Toc241791976"/>
      <w:r w:rsidRPr="00BE4F47">
        <w:rPr>
          <w:rFonts w:ascii="Aptos" w:hAnsi="Aptos"/>
          <w:b/>
          <w:color w:val="1A1A19"/>
          <w:sz w:val="20"/>
          <w:szCs w:val="20"/>
        </w:rPr>
        <w:t xml:space="preserve">Le bénéfice. </w:t>
      </w:r>
      <w:r w:rsidRPr="00BE4F47">
        <w:rPr>
          <w:rFonts w:ascii="Aptos" w:hAnsi="Aptos"/>
          <w:color w:val="1A1A19"/>
          <w:sz w:val="20"/>
          <w:szCs w:val="20"/>
        </w:rPr>
        <w:t>Le bénéfice de l’équipe est de 8 910 $, soit 15 % du coût total du mandat. Rapporté au prix contractuel de 68 310 $, il en représente 13,0 %. Ajouter 15 % à un coût donne une majoration de 15 %, et non une marge de 15 % sur le prix de vente : les deux chiffres sont donnés pour éviter la confusion. La réserve du propriétaire reste chez le client et n’entre pas dans ce calcul.</w:t>
      </w:r>
      <w:bookmarkEnd w:id="1288"/>
      <w:bookmarkEnd w:id="1289"/>
      <w:bookmarkEnd w:id="1290"/>
    </w:p>
    <w:p w14:paraId="0DB4B20E" w14:textId="77777777" w:rsidR="00F50D70" w:rsidRPr="00BE4F47" w:rsidRDefault="00137D7F" w:rsidP="008E113B">
      <w:pPr>
        <w:spacing w:after="130" w:line="360" w:lineRule="auto"/>
        <w:ind w:left="360"/>
        <w:rPr>
          <w:rFonts w:ascii="Aptos" w:eastAsia="Calibri" w:hAnsi="Aptos" w:cs="Calibri"/>
          <w:color w:val="1A1A19"/>
          <w:sz w:val="20"/>
          <w:szCs w:val="20"/>
        </w:rPr>
      </w:pPr>
      <w:bookmarkStart w:id="1291" w:name="_Toc241670320"/>
      <w:bookmarkStart w:id="1292" w:name="_Toc241708028"/>
      <w:bookmarkStart w:id="1293" w:name="_Toc241791977"/>
      <w:r w:rsidRPr="00BE4F47">
        <w:rPr>
          <w:rFonts w:ascii="Aptos" w:hAnsi="Aptos"/>
          <w:b/>
          <w:color w:val="1A1A19"/>
          <w:sz w:val="20"/>
          <w:szCs w:val="20"/>
        </w:rPr>
        <w:t xml:space="preserve">La vérification de l’estimation. </w:t>
      </w:r>
      <w:r w:rsidRPr="00BE4F47">
        <w:rPr>
          <w:rFonts w:ascii="Aptos" w:hAnsi="Aptos"/>
          <w:color w:val="1A1A19"/>
          <w:sz w:val="20"/>
          <w:szCs w:val="20"/>
        </w:rPr>
        <w:t xml:space="preserve">Trois méthodes donnent le même total. La méthode ascendante, celle qui est retenue, additionne les neuf lots de la structure de découpage et donne 1 080 heures. La méthode analogique applique la convention de 135 heures par membre à huit membres et donne 1 080 heures. La méthode paramétrique multiplie huit membres par quinze semaines utiles et neuf heures par semaine et donne 1 080 heures. L’écart entre les trois est nul. Ces trois méthodes ne sont pas indépendantes : elles partent toutes de la même enveloppe de mandat et se contentent de la redistribuer. Leur concordance confirme la cohérence interne du chiffrage, pas la justesse de </w:t>
      </w:r>
      <w:r w:rsidRPr="00BE4F47">
        <w:rPr>
          <w:rFonts w:ascii="Aptos" w:hAnsi="Aptos"/>
          <w:color w:val="1A1A19"/>
          <w:sz w:val="20"/>
          <w:szCs w:val="20"/>
        </w:rPr>
        <w:lastRenderedPageBreak/>
        <w:t>l’enveloppe. Cette justesse sera éprouvée par le suivi des heures réellement consommées, lot par lot.</w:t>
      </w:r>
      <w:bookmarkEnd w:id="1291"/>
      <w:bookmarkEnd w:id="1292"/>
      <w:bookmarkEnd w:id="1293"/>
    </w:p>
    <w:p w14:paraId="681F7F67" w14:textId="77777777" w:rsidR="00F50D70" w:rsidRPr="00BE4F47" w:rsidRDefault="00137D7F" w:rsidP="008E113B">
      <w:pPr>
        <w:spacing w:after="130" w:line="360" w:lineRule="auto"/>
        <w:ind w:left="360"/>
        <w:rPr>
          <w:rFonts w:ascii="Aptos" w:eastAsia="Calibri" w:hAnsi="Aptos" w:cs="Calibri"/>
          <w:color w:val="1A1A19"/>
          <w:sz w:val="20"/>
          <w:szCs w:val="20"/>
        </w:rPr>
      </w:pPr>
      <w:bookmarkStart w:id="1294" w:name="_Toc241083143"/>
      <w:bookmarkStart w:id="1295" w:name="_Toc241670321"/>
      <w:bookmarkStart w:id="1296" w:name="_Toc241708029"/>
      <w:bookmarkStart w:id="1297" w:name="_Toc241791978"/>
      <w:r w:rsidRPr="00BE4F47">
        <w:rPr>
          <w:rFonts w:ascii="Aptos" w:hAnsi="Aptos"/>
          <w:b/>
          <w:color w:val="1A1A19"/>
          <w:sz w:val="20"/>
          <w:szCs w:val="20"/>
        </w:rPr>
        <w:t xml:space="preserve">La valeur actualisée nette. </w:t>
      </w:r>
      <w:r w:rsidRPr="00BE4F47">
        <w:rPr>
          <w:rFonts w:ascii="Aptos" w:hAnsi="Aptos"/>
          <w:color w:val="1A1A19"/>
          <w:sz w:val="20"/>
          <w:szCs w:val="20"/>
        </w:rPr>
        <w:t>C’est un exercice distinct de l’estimation. Si le prix contractuel de 68 310 $ était encaissé à la fin du mandat et actualisé à 8 % par an sur quinze semaines, sa valeur actuelle serait de 66 810,21 $. Rapportée au coût total du mandat, 59 400 $, la valeur actualisée nette serait de 7 410,21 $. Le taux de 8 % est une valeur d’illustration, à confirmer.</w:t>
      </w:r>
      <w:bookmarkEnd w:id="1294"/>
      <w:bookmarkEnd w:id="1295"/>
      <w:bookmarkEnd w:id="1296"/>
      <w:bookmarkEnd w:id="1297"/>
    </w:p>
    <w:p w14:paraId="3BD520CB" w14:textId="77777777" w:rsidR="00F50D70" w:rsidRPr="00BE4F47" w:rsidRDefault="00137D7F" w:rsidP="008E113B">
      <w:pPr>
        <w:pStyle w:val="Titre2"/>
        <w:spacing w:line="360" w:lineRule="auto"/>
      </w:pPr>
      <w:bookmarkStart w:id="1298" w:name="_Toc241708030"/>
      <w:bookmarkStart w:id="1299" w:name="_Toc241791979"/>
      <w:r w:rsidRPr="00BE4F47">
        <w:t>Répartition dans le temps et bordereau des prix</w:t>
      </w:r>
      <w:bookmarkEnd w:id="1298"/>
      <w:bookmarkEnd w:id="1299"/>
    </w:p>
    <w:p w14:paraId="7A57D83F" w14:textId="77777777" w:rsidR="00F50D70" w:rsidRPr="00BE4F47" w:rsidRDefault="00137D7F" w:rsidP="008E113B">
      <w:pPr>
        <w:spacing w:after="130" w:line="360" w:lineRule="auto"/>
        <w:ind w:left="360"/>
        <w:rPr>
          <w:rFonts w:ascii="Aptos" w:hAnsi="Aptos"/>
        </w:rPr>
      </w:pPr>
      <w:bookmarkStart w:id="1300" w:name="_Toc241083146"/>
      <w:bookmarkStart w:id="1301" w:name="_Toc241670323"/>
      <w:bookmarkStart w:id="1302" w:name="_Toc241708031"/>
      <w:bookmarkStart w:id="1303" w:name="_Toc241791980"/>
      <w:r w:rsidRPr="00BE4F47">
        <w:rPr>
          <w:rFonts w:ascii="Aptos" w:hAnsi="Aptos"/>
          <w:color w:val="1A1A19"/>
          <w:sz w:val="20"/>
          <w:szCs w:val="20"/>
        </w:rPr>
        <w:t>La grille donne un montant global. Elle ne dit pas quand l’argent est dépensé ni quand il est facturé. Le tableau 9-2 répartit le coût du mandat sur les six jalons, en reprenant l’effort par phase de l’échéancier. C’est la base de référence contre laquelle l’écart sera mesuré à chaque jalon. La valeur acquise se mesure sur le travail réellement terminé, au sens des critères d’acceptation du tableau 2-1, et non sur les heures consommées : un lot largement entamé en heures mais sans livrable accepté ne compte pour rien.</w:t>
      </w:r>
      <w:bookmarkEnd w:id="1300"/>
      <w:bookmarkEnd w:id="1301"/>
      <w:bookmarkEnd w:id="1302"/>
      <w:bookmarkEnd w:id="1303"/>
    </w:p>
    <w:p w14:paraId="170FD430" w14:textId="77777777" w:rsidR="00F50D70" w:rsidRPr="00BE4F47" w:rsidRDefault="00137D7F" w:rsidP="008E113B">
      <w:pPr>
        <w:pStyle w:val="Lgende"/>
        <w:keepNext/>
        <w:spacing w:line="360" w:lineRule="auto"/>
        <w:rPr>
          <w:rFonts w:ascii="Aptos" w:hAnsi="Aptos"/>
        </w:rPr>
      </w:pPr>
      <w:bookmarkStart w:id="1304" w:name="_Toc241083147"/>
      <w:bookmarkStart w:id="1305" w:name="_Toc241670324"/>
      <w:bookmarkStart w:id="1306" w:name="_Toc241708032"/>
      <w:bookmarkStart w:id="1307" w:name="_Toc241791981"/>
      <w:r w:rsidRPr="00BE4F47">
        <w:rPr>
          <w:rFonts w:ascii="Aptos" w:hAnsi="Aptos"/>
        </w:rPr>
        <w:t>Tableau 9-2. Répartition du coût du mandat par jalon</w:t>
      </w:r>
      <w:bookmarkEnd w:id="1304"/>
      <w:bookmarkEnd w:id="1305"/>
      <w:bookmarkEnd w:id="1306"/>
      <w:bookmarkEnd w:id="1307"/>
    </w:p>
    <w:tbl>
      <w:tblPr>
        <w:tblW w:w="8557" w:type="dxa"/>
        <w:tblInd w:w="413" w:type="dxa"/>
        <w:tblLayout w:type="fixed"/>
        <w:tblCellMar>
          <w:top w:w="60" w:type="dxa"/>
          <w:left w:w="90" w:type="dxa"/>
          <w:bottom w:w="60" w:type="dxa"/>
          <w:right w:w="90" w:type="dxa"/>
        </w:tblCellMar>
        <w:tblLook w:val="04A0" w:firstRow="1" w:lastRow="0" w:firstColumn="1" w:lastColumn="0" w:noHBand="0" w:noVBand="1"/>
      </w:tblPr>
      <w:tblGrid>
        <w:gridCol w:w="700"/>
        <w:gridCol w:w="1000"/>
        <w:gridCol w:w="1400"/>
        <w:gridCol w:w="1700"/>
        <w:gridCol w:w="1700"/>
        <w:gridCol w:w="2057"/>
      </w:tblGrid>
      <w:tr w:rsidR="00F50D70" w:rsidRPr="00BE4F47" w14:paraId="1399CF9F" w14:textId="77777777">
        <w:trPr>
          <w:trHeight w:val="227"/>
          <w:tblHeader/>
        </w:trPr>
        <w:tc>
          <w:tcPr>
            <w:tcW w:w="700" w:type="dxa"/>
            <w:tcBorders>
              <w:top w:val="single" w:sz="4" w:space="0" w:color="000000"/>
              <w:left w:val="single" w:sz="4" w:space="0" w:color="000000"/>
              <w:bottom w:val="single" w:sz="4" w:space="0" w:color="000000"/>
              <w:right w:val="single" w:sz="4" w:space="0" w:color="000000"/>
            </w:tcBorders>
            <w:shd w:val="clear" w:color="auto" w:fill="EFF4FB"/>
          </w:tcPr>
          <w:p w14:paraId="554BED1C"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Jalon</w:t>
            </w:r>
          </w:p>
        </w:tc>
        <w:tc>
          <w:tcPr>
            <w:tcW w:w="1000" w:type="dxa"/>
            <w:tcBorders>
              <w:top w:val="single" w:sz="4" w:space="0" w:color="000000"/>
              <w:left w:val="single" w:sz="4" w:space="0" w:color="000000"/>
              <w:bottom w:val="single" w:sz="4" w:space="0" w:color="000000"/>
              <w:right w:val="single" w:sz="4" w:space="0" w:color="000000"/>
            </w:tcBorders>
            <w:shd w:val="clear" w:color="auto" w:fill="EFF4FB"/>
          </w:tcPr>
          <w:p w14:paraId="5CD42370"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Date</w:t>
            </w:r>
          </w:p>
        </w:tc>
        <w:tc>
          <w:tcPr>
            <w:tcW w:w="1400" w:type="dxa"/>
            <w:tcBorders>
              <w:top w:val="single" w:sz="4" w:space="0" w:color="000000"/>
              <w:left w:val="single" w:sz="4" w:space="0" w:color="000000"/>
              <w:bottom w:val="single" w:sz="4" w:space="0" w:color="000000"/>
              <w:right w:val="single" w:sz="4" w:space="0" w:color="000000"/>
            </w:tcBorders>
            <w:shd w:val="clear" w:color="auto" w:fill="EFF4FB"/>
          </w:tcPr>
          <w:p w14:paraId="5160587A"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Effort de la phase</w:t>
            </w:r>
          </w:p>
        </w:tc>
        <w:tc>
          <w:tcPr>
            <w:tcW w:w="1700" w:type="dxa"/>
            <w:tcBorders>
              <w:top w:val="single" w:sz="4" w:space="0" w:color="000000"/>
              <w:left w:val="single" w:sz="4" w:space="0" w:color="000000"/>
              <w:bottom w:val="single" w:sz="4" w:space="0" w:color="000000"/>
              <w:right w:val="single" w:sz="4" w:space="0" w:color="000000"/>
            </w:tcBorders>
            <w:shd w:val="clear" w:color="auto" w:fill="EFF4FB"/>
          </w:tcPr>
          <w:p w14:paraId="782F2386"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Coût de la période</w:t>
            </w:r>
          </w:p>
        </w:tc>
        <w:tc>
          <w:tcPr>
            <w:tcW w:w="1700" w:type="dxa"/>
            <w:tcBorders>
              <w:top w:val="single" w:sz="4" w:space="0" w:color="000000"/>
              <w:left w:val="single" w:sz="4" w:space="0" w:color="000000"/>
              <w:bottom w:val="single" w:sz="4" w:space="0" w:color="000000"/>
              <w:right w:val="single" w:sz="4" w:space="0" w:color="000000"/>
            </w:tcBorders>
            <w:shd w:val="clear" w:color="auto" w:fill="EFF4FB"/>
          </w:tcPr>
          <w:p w14:paraId="4372B867"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Coût cumulé</w:t>
            </w:r>
          </w:p>
        </w:tc>
        <w:tc>
          <w:tcPr>
            <w:tcW w:w="2057" w:type="dxa"/>
            <w:tcBorders>
              <w:top w:val="single" w:sz="4" w:space="0" w:color="000000"/>
              <w:left w:val="single" w:sz="4" w:space="0" w:color="000000"/>
              <w:bottom w:val="single" w:sz="4" w:space="0" w:color="000000"/>
              <w:right w:val="single" w:sz="4" w:space="0" w:color="000000"/>
            </w:tcBorders>
            <w:shd w:val="clear" w:color="auto" w:fill="EFF4FB"/>
          </w:tcPr>
          <w:p w14:paraId="2319107A"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Part du budget</w:t>
            </w:r>
          </w:p>
        </w:tc>
      </w:tr>
      <w:tr w:rsidR="00F50D70" w:rsidRPr="00BE4F47" w14:paraId="71914C37" w14:textId="77777777">
        <w:trPr>
          <w:cantSplit/>
          <w:trHeight w:val="415"/>
        </w:trPr>
        <w:tc>
          <w:tcPr>
            <w:tcW w:w="700" w:type="dxa"/>
            <w:tcBorders>
              <w:top w:val="single" w:sz="4" w:space="0" w:color="000000"/>
              <w:left w:val="single" w:sz="4" w:space="0" w:color="000000"/>
              <w:bottom w:val="single" w:sz="4" w:space="0" w:color="000000"/>
              <w:right w:val="single" w:sz="4" w:space="0" w:color="000000"/>
            </w:tcBorders>
          </w:tcPr>
          <w:p w14:paraId="0EBEBC30"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J0</w:t>
            </w:r>
          </w:p>
        </w:tc>
        <w:tc>
          <w:tcPr>
            <w:tcW w:w="1000" w:type="dxa"/>
            <w:tcBorders>
              <w:top w:val="single" w:sz="4" w:space="0" w:color="000000"/>
              <w:left w:val="single" w:sz="4" w:space="0" w:color="000000"/>
              <w:bottom w:val="single" w:sz="4" w:space="0" w:color="000000"/>
              <w:right w:val="single" w:sz="4" w:space="0" w:color="000000"/>
            </w:tcBorders>
          </w:tcPr>
          <w:p w14:paraId="46464478"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2 oct.</w:t>
            </w:r>
          </w:p>
        </w:tc>
        <w:tc>
          <w:tcPr>
            <w:tcW w:w="1400" w:type="dxa"/>
            <w:tcBorders>
              <w:top w:val="single" w:sz="4" w:space="0" w:color="000000"/>
              <w:left w:val="single" w:sz="4" w:space="0" w:color="000000"/>
              <w:bottom w:val="single" w:sz="4" w:space="0" w:color="000000"/>
              <w:right w:val="single" w:sz="4" w:space="0" w:color="000000"/>
            </w:tcBorders>
          </w:tcPr>
          <w:p w14:paraId="10BD90EE"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240 h</w:t>
            </w:r>
          </w:p>
        </w:tc>
        <w:tc>
          <w:tcPr>
            <w:tcW w:w="1700" w:type="dxa"/>
            <w:tcBorders>
              <w:top w:val="single" w:sz="4" w:space="0" w:color="000000"/>
              <w:left w:val="single" w:sz="4" w:space="0" w:color="000000"/>
              <w:bottom w:val="single" w:sz="4" w:space="0" w:color="000000"/>
              <w:right w:val="single" w:sz="4" w:space="0" w:color="000000"/>
            </w:tcBorders>
          </w:tcPr>
          <w:p w14:paraId="536DAC10"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12 000,00 $</w:t>
            </w:r>
          </w:p>
        </w:tc>
        <w:tc>
          <w:tcPr>
            <w:tcW w:w="1700" w:type="dxa"/>
            <w:tcBorders>
              <w:top w:val="single" w:sz="4" w:space="0" w:color="000000"/>
              <w:left w:val="single" w:sz="4" w:space="0" w:color="000000"/>
              <w:bottom w:val="single" w:sz="4" w:space="0" w:color="000000"/>
              <w:right w:val="single" w:sz="4" w:space="0" w:color="000000"/>
            </w:tcBorders>
          </w:tcPr>
          <w:p w14:paraId="316EC518"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12 000,00 $</w:t>
            </w:r>
          </w:p>
        </w:tc>
        <w:tc>
          <w:tcPr>
            <w:tcW w:w="2057" w:type="dxa"/>
            <w:tcBorders>
              <w:top w:val="single" w:sz="4" w:space="0" w:color="000000"/>
              <w:left w:val="single" w:sz="4" w:space="0" w:color="000000"/>
              <w:bottom w:val="single" w:sz="4" w:space="0" w:color="000000"/>
              <w:right w:val="single" w:sz="4" w:space="0" w:color="000000"/>
            </w:tcBorders>
          </w:tcPr>
          <w:p w14:paraId="018BF70D"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22,2 %</w:t>
            </w:r>
          </w:p>
        </w:tc>
      </w:tr>
      <w:tr w:rsidR="00F50D70" w:rsidRPr="00BE4F47" w14:paraId="475EB7F4" w14:textId="77777777">
        <w:trPr>
          <w:cantSplit/>
          <w:trHeight w:val="415"/>
        </w:trPr>
        <w:tc>
          <w:tcPr>
            <w:tcW w:w="700" w:type="dxa"/>
            <w:tcBorders>
              <w:top w:val="single" w:sz="4" w:space="0" w:color="000000"/>
              <w:left w:val="single" w:sz="4" w:space="0" w:color="000000"/>
              <w:bottom w:val="single" w:sz="4" w:space="0" w:color="000000"/>
              <w:right w:val="single" w:sz="4" w:space="0" w:color="000000"/>
            </w:tcBorders>
          </w:tcPr>
          <w:p w14:paraId="6E25D769"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J1</w:t>
            </w:r>
          </w:p>
        </w:tc>
        <w:tc>
          <w:tcPr>
            <w:tcW w:w="1000" w:type="dxa"/>
            <w:tcBorders>
              <w:top w:val="single" w:sz="4" w:space="0" w:color="000000"/>
              <w:left w:val="single" w:sz="4" w:space="0" w:color="000000"/>
              <w:bottom w:val="single" w:sz="4" w:space="0" w:color="000000"/>
              <w:right w:val="single" w:sz="4" w:space="0" w:color="000000"/>
            </w:tcBorders>
          </w:tcPr>
          <w:p w14:paraId="3CC5BF12"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9 oct.</w:t>
            </w:r>
          </w:p>
        </w:tc>
        <w:tc>
          <w:tcPr>
            <w:tcW w:w="1400" w:type="dxa"/>
            <w:tcBorders>
              <w:top w:val="single" w:sz="4" w:space="0" w:color="000000"/>
              <w:left w:val="single" w:sz="4" w:space="0" w:color="000000"/>
              <w:bottom w:val="single" w:sz="4" w:space="0" w:color="000000"/>
              <w:right w:val="single" w:sz="4" w:space="0" w:color="000000"/>
            </w:tcBorders>
          </w:tcPr>
          <w:p w14:paraId="093FECFC"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88 h</w:t>
            </w:r>
          </w:p>
        </w:tc>
        <w:tc>
          <w:tcPr>
            <w:tcW w:w="1700" w:type="dxa"/>
            <w:tcBorders>
              <w:top w:val="single" w:sz="4" w:space="0" w:color="000000"/>
              <w:left w:val="single" w:sz="4" w:space="0" w:color="000000"/>
              <w:bottom w:val="single" w:sz="4" w:space="0" w:color="000000"/>
              <w:right w:val="single" w:sz="4" w:space="0" w:color="000000"/>
            </w:tcBorders>
          </w:tcPr>
          <w:p w14:paraId="7473320C"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4 400,00 $</w:t>
            </w:r>
          </w:p>
        </w:tc>
        <w:tc>
          <w:tcPr>
            <w:tcW w:w="1700" w:type="dxa"/>
            <w:tcBorders>
              <w:top w:val="single" w:sz="4" w:space="0" w:color="000000"/>
              <w:left w:val="single" w:sz="4" w:space="0" w:color="000000"/>
              <w:bottom w:val="single" w:sz="4" w:space="0" w:color="000000"/>
              <w:right w:val="single" w:sz="4" w:space="0" w:color="000000"/>
            </w:tcBorders>
          </w:tcPr>
          <w:p w14:paraId="0253E089"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16 400,00 $</w:t>
            </w:r>
          </w:p>
        </w:tc>
        <w:tc>
          <w:tcPr>
            <w:tcW w:w="2057" w:type="dxa"/>
            <w:tcBorders>
              <w:top w:val="single" w:sz="4" w:space="0" w:color="000000"/>
              <w:left w:val="single" w:sz="4" w:space="0" w:color="000000"/>
              <w:bottom w:val="single" w:sz="4" w:space="0" w:color="000000"/>
              <w:right w:val="single" w:sz="4" w:space="0" w:color="000000"/>
            </w:tcBorders>
          </w:tcPr>
          <w:p w14:paraId="66D9AA14"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30,4 %</w:t>
            </w:r>
          </w:p>
        </w:tc>
      </w:tr>
      <w:tr w:rsidR="00F50D70" w:rsidRPr="00BE4F47" w14:paraId="31CC2453" w14:textId="77777777">
        <w:trPr>
          <w:cantSplit/>
          <w:trHeight w:val="415"/>
        </w:trPr>
        <w:tc>
          <w:tcPr>
            <w:tcW w:w="700" w:type="dxa"/>
            <w:tcBorders>
              <w:top w:val="single" w:sz="4" w:space="0" w:color="000000"/>
              <w:left w:val="single" w:sz="4" w:space="0" w:color="000000"/>
              <w:bottom w:val="single" w:sz="4" w:space="0" w:color="000000"/>
              <w:right w:val="single" w:sz="4" w:space="0" w:color="000000"/>
            </w:tcBorders>
          </w:tcPr>
          <w:p w14:paraId="17C3F1B2"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J2</w:t>
            </w:r>
          </w:p>
        </w:tc>
        <w:tc>
          <w:tcPr>
            <w:tcW w:w="1000" w:type="dxa"/>
            <w:tcBorders>
              <w:top w:val="single" w:sz="4" w:space="0" w:color="000000"/>
              <w:left w:val="single" w:sz="4" w:space="0" w:color="000000"/>
              <w:bottom w:val="single" w:sz="4" w:space="0" w:color="000000"/>
              <w:right w:val="single" w:sz="4" w:space="0" w:color="000000"/>
            </w:tcBorders>
          </w:tcPr>
          <w:p w14:paraId="531BFC46"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23 oct.</w:t>
            </w:r>
          </w:p>
        </w:tc>
        <w:tc>
          <w:tcPr>
            <w:tcW w:w="1400" w:type="dxa"/>
            <w:tcBorders>
              <w:top w:val="single" w:sz="4" w:space="0" w:color="000000"/>
              <w:left w:val="single" w:sz="4" w:space="0" w:color="000000"/>
              <w:bottom w:val="single" w:sz="4" w:space="0" w:color="000000"/>
              <w:right w:val="single" w:sz="4" w:space="0" w:color="000000"/>
            </w:tcBorders>
          </w:tcPr>
          <w:p w14:paraId="73A9F5A0"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160 h</w:t>
            </w:r>
          </w:p>
        </w:tc>
        <w:tc>
          <w:tcPr>
            <w:tcW w:w="1700" w:type="dxa"/>
            <w:tcBorders>
              <w:top w:val="single" w:sz="4" w:space="0" w:color="000000"/>
              <w:left w:val="single" w:sz="4" w:space="0" w:color="000000"/>
              <w:bottom w:val="single" w:sz="4" w:space="0" w:color="000000"/>
              <w:right w:val="single" w:sz="4" w:space="0" w:color="000000"/>
            </w:tcBorders>
          </w:tcPr>
          <w:p w14:paraId="5A40E00D"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8 000,00 $</w:t>
            </w:r>
          </w:p>
        </w:tc>
        <w:tc>
          <w:tcPr>
            <w:tcW w:w="1700" w:type="dxa"/>
            <w:tcBorders>
              <w:top w:val="single" w:sz="4" w:space="0" w:color="000000"/>
              <w:left w:val="single" w:sz="4" w:space="0" w:color="000000"/>
              <w:bottom w:val="single" w:sz="4" w:space="0" w:color="000000"/>
              <w:right w:val="single" w:sz="4" w:space="0" w:color="000000"/>
            </w:tcBorders>
          </w:tcPr>
          <w:p w14:paraId="05E04657"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24 400,00 $</w:t>
            </w:r>
          </w:p>
        </w:tc>
        <w:tc>
          <w:tcPr>
            <w:tcW w:w="2057" w:type="dxa"/>
            <w:tcBorders>
              <w:top w:val="single" w:sz="4" w:space="0" w:color="000000"/>
              <w:left w:val="single" w:sz="4" w:space="0" w:color="000000"/>
              <w:bottom w:val="single" w:sz="4" w:space="0" w:color="000000"/>
              <w:right w:val="single" w:sz="4" w:space="0" w:color="000000"/>
            </w:tcBorders>
          </w:tcPr>
          <w:p w14:paraId="07F73580"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45,2 %</w:t>
            </w:r>
          </w:p>
        </w:tc>
      </w:tr>
      <w:tr w:rsidR="00F50D70" w:rsidRPr="00BE4F47" w14:paraId="433531E6" w14:textId="77777777">
        <w:trPr>
          <w:cantSplit/>
          <w:trHeight w:val="415"/>
        </w:trPr>
        <w:tc>
          <w:tcPr>
            <w:tcW w:w="700" w:type="dxa"/>
            <w:tcBorders>
              <w:top w:val="single" w:sz="4" w:space="0" w:color="000000"/>
              <w:left w:val="single" w:sz="4" w:space="0" w:color="000000"/>
              <w:bottom w:val="single" w:sz="4" w:space="0" w:color="000000"/>
              <w:right w:val="single" w:sz="4" w:space="0" w:color="000000"/>
            </w:tcBorders>
          </w:tcPr>
          <w:p w14:paraId="7F9A6029"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J3</w:t>
            </w:r>
          </w:p>
        </w:tc>
        <w:tc>
          <w:tcPr>
            <w:tcW w:w="1000" w:type="dxa"/>
            <w:tcBorders>
              <w:top w:val="single" w:sz="4" w:space="0" w:color="000000"/>
              <w:left w:val="single" w:sz="4" w:space="0" w:color="000000"/>
              <w:bottom w:val="single" w:sz="4" w:space="0" w:color="000000"/>
              <w:right w:val="single" w:sz="4" w:space="0" w:color="000000"/>
            </w:tcBorders>
          </w:tcPr>
          <w:p w14:paraId="60680731"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20 nov.</w:t>
            </w:r>
          </w:p>
        </w:tc>
        <w:tc>
          <w:tcPr>
            <w:tcW w:w="1400" w:type="dxa"/>
            <w:tcBorders>
              <w:top w:val="single" w:sz="4" w:space="0" w:color="000000"/>
              <w:left w:val="single" w:sz="4" w:space="0" w:color="000000"/>
              <w:bottom w:val="single" w:sz="4" w:space="0" w:color="000000"/>
              <w:right w:val="single" w:sz="4" w:space="0" w:color="000000"/>
            </w:tcBorders>
          </w:tcPr>
          <w:p w14:paraId="11E8DE36"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352 h</w:t>
            </w:r>
          </w:p>
        </w:tc>
        <w:tc>
          <w:tcPr>
            <w:tcW w:w="1700" w:type="dxa"/>
            <w:tcBorders>
              <w:top w:val="single" w:sz="4" w:space="0" w:color="000000"/>
              <w:left w:val="single" w:sz="4" w:space="0" w:color="000000"/>
              <w:bottom w:val="single" w:sz="4" w:space="0" w:color="000000"/>
              <w:right w:val="single" w:sz="4" w:space="0" w:color="000000"/>
            </w:tcBorders>
          </w:tcPr>
          <w:p w14:paraId="2DA17750"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17 600,00 $</w:t>
            </w:r>
          </w:p>
        </w:tc>
        <w:tc>
          <w:tcPr>
            <w:tcW w:w="1700" w:type="dxa"/>
            <w:tcBorders>
              <w:top w:val="single" w:sz="4" w:space="0" w:color="000000"/>
              <w:left w:val="single" w:sz="4" w:space="0" w:color="000000"/>
              <w:bottom w:val="single" w:sz="4" w:space="0" w:color="000000"/>
              <w:right w:val="single" w:sz="4" w:space="0" w:color="000000"/>
            </w:tcBorders>
          </w:tcPr>
          <w:p w14:paraId="266B0CA9"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42 000,00 $</w:t>
            </w:r>
          </w:p>
        </w:tc>
        <w:tc>
          <w:tcPr>
            <w:tcW w:w="2057" w:type="dxa"/>
            <w:tcBorders>
              <w:top w:val="single" w:sz="4" w:space="0" w:color="000000"/>
              <w:left w:val="single" w:sz="4" w:space="0" w:color="000000"/>
              <w:bottom w:val="single" w:sz="4" w:space="0" w:color="000000"/>
              <w:right w:val="single" w:sz="4" w:space="0" w:color="000000"/>
            </w:tcBorders>
          </w:tcPr>
          <w:p w14:paraId="73D165A4"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77,8 %</w:t>
            </w:r>
          </w:p>
        </w:tc>
      </w:tr>
      <w:tr w:rsidR="00F50D70" w:rsidRPr="00BE4F47" w14:paraId="5E70C015" w14:textId="77777777">
        <w:trPr>
          <w:cantSplit/>
          <w:trHeight w:val="415"/>
        </w:trPr>
        <w:tc>
          <w:tcPr>
            <w:tcW w:w="700" w:type="dxa"/>
            <w:tcBorders>
              <w:top w:val="single" w:sz="4" w:space="0" w:color="000000"/>
              <w:left w:val="single" w:sz="4" w:space="0" w:color="000000"/>
              <w:bottom w:val="single" w:sz="4" w:space="0" w:color="000000"/>
              <w:right w:val="single" w:sz="4" w:space="0" w:color="000000"/>
            </w:tcBorders>
          </w:tcPr>
          <w:p w14:paraId="6AC81EFE"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J4</w:t>
            </w:r>
          </w:p>
        </w:tc>
        <w:tc>
          <w:tcPr>
            <w:tcW w:w="1000" w:type="dxa"/>
            <w:tcBorders>
              <w:top w:val="single" w:sz="4" w:space="0" w:color="000000"/>
              <w:left w:val="single" w:sz="4" w:space="0" w:color="000000"/>
              <w:bottom w:val="single" w:sz="4" w:space="0" w:color="000000"/>
              <w:right w:val="single" w:sz="4" w:space="0" w:color="000000"/>
            </w:tcBorders>
          </w:tcPr>
          <w:p w14:paraId="1A59D955"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4 déc.</w:t>
            </w:r>
          </w:p>
        </w:tc>
        <w:tc>
          <w:tcPr>
            <w:tcW w:w="1400" w:type="dxa"/>
            <w:tcBorders>
              <w:top w:val="single" w:sz="4" w:space="0" w:color="000000"/>
              <w:left w:val="single" w:sz="4" w:space="0" w:color="000000"/>
              <w:bottom w:val="single" w:sz="4" w:space="0" w:color="000000"/>
              <w:right w:val="single" w:sz="4" w:space="0" w:color="000000"/>
            </w:tcBorders>
          </w:tcPr>
          <w:p w14:paraId="03F34A74"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176 h</w:t>
            </w:r>
          </w:p>
        </w:tc>
        <w:tc>
          <w:tcPr>
            <w:tcW w:w="1700" w:type="dxa"/>
            <w:tcBorders>
              <w:top w:val="single" w:sz="4" w:space="0" w:color="000000"/>
              <w:left w:val="single" w:sz="4" w:space="0" w:color="000000"/>
              <w:bottom w:val="single" w:sz="4" w:space="0" w:color="000000"/>
              <w:right w:val="single" w:sz="4" w:space="0" w:color="000000"/>
            </w:tcBorders>
          </w:tcPr>
          <w:p w14:paraId="277BFCF0"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8 800,00 $</w:t>
            </w:r>
          </w:p>
        </w:tc>
        <w:tc>
          <w:tcPr>
            <w:tcW w:w="1700" w:type="dxa"/>
            <w:tcBorders>
              <w:top w:val="single" w:sz="4" w:space="0" w:color="000000"/>
              <w:left w:val="single" w:sz="4" w:space="0" w:color="000000"/>
              <w:bottom w:val="single" w:sz="4" w:space="0" w:color="000000"/>
              <w:right w:val="single" w:sz="4" w:space="0" w:color="000000"/>
            </w:tcBorders>
          </w:tcPr>
          <w:p w14:paraId="5AA350E3"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50 800,00 $</w:t>
            </w:r>
          </w:p>
        </w:tc>
        <w:tc>
          <w:tcPr>
            <w:tcW w:w="2057" w:type="dxa"/>
            <w:tcBorders>
              <w:top w:val="single" w:sz="4" w:space="0" w:color="000000"/>
              <w:left w:val="single" w:sz="4" w:space="0" w:color="000000"/>
              <w:bottom w:val="single" w:sz="4" w:space="0" w:color="000000"/>
              <w:right w:val="single" w:sz="4" w:space="0" w:color="000000"/>
            </w:tcBorders>
          </w:tcPr>
          <w:p w14:paraId="4662FC2A"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94,1 %</w:t>
            </w:r>
          </w:p>
        </w:tc>
      </w:tr>
      <w:tr w:rsidR="00F50D70" w:rsidRPr="00BE4F47" w14:paraId="7FDAEDF7" w14:textId="77777777">
        <w:trPr>
          <w:cantSplit/>
          <w:trHeight w:val="415"/>
        </w:trPr>
        <w:tc>
          <w:tcPr>
            <w:tcW w:w="700" w:type="dxa"/>
            <w:tcBorders>
              <w:top w:val="single" w:sz="4" w:space="0" w:color="000000"/>
              <w:left w:val="single" w:sz="4" w:space="0" w:color="000000"/>
              <w:bottom w:val="single" w:sz="4" w:space="0" w:color="000000"/>
              <w:right w:val="single" w:sz="4" w:space="0" w:color="000000"/>
            </w:tcBorders>
          </w:tcPr>
          <w:p w14:paraId="2685C3E4"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J5</w:t>
            </w:r>
          </w:p>
        </w:tc>
        <w:tc>
          <w:tcPr>
            <w:tcW w:w="1000" w:type="dxa"/>
            <w:tcBorders>
              <w:top w:val="single" w:sz="4" w:space="0" w:color="000000"/>
              <w:left w:val="single" w:sz="4" w:space="0" w:color="000000"/>
              <w:bottom w:val="single" w:sz="4" w:space="0" w:color="000000"/>
              <w:right w:val="single" w:sz="4" w:space="0" w:color="000000"/>
            </w:tcBorders>
          </w:tcPr>
          <w:p w14:paraId="74B8C8A2"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18 déc.</w:t>
            </w:r>
          </w:p>
        </w:tc>
        <w:tc>
          <w:tcPr>
            <w:tcW w:w="1400" w:type="dxa"/>
            <w:tcBorders>
              <w:top w:val="single" w:sz="4" w:space="0" w:color="000000"/>
              <w:left w:val="single" w:sz="4" w:space="0" w:color="000000"/>
              <w:bottom w:val="single" w:sz="4" w:space="0" w:color="000000"/>
              <w:right w:val="single" w:sz="4" w:space="0" w:color="000000"/>
            </w:tcBorders>
          </w:tcPr>
          <w:p w14:paraId="6FF5E1A4"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64 h</w:t>
            </w:r>
          </w:p>
        </w:tc>
        <w:tc>
          <w:tcPr>
            <w:tcW w:w="1700" w:type="dxa"/>
            <w:tcBorders>
              <w:top w:val="single" w:sz="4" w:space="0" w:color="000000"/>
              <w:left w:val="single" w:sz="4" w:space="0" w:color="000000"/>
              <w:bottom w:val="single" w:sz="4" w:space="0" w:color="000000"/>
              <w:right w:val="single" w:sz="4" w:space="0" w:color="000000"/>
            </w:tcBorders>
          </w:tcPr>
          <w:p w14:paraId="46DE34E8"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3 200,00 $</w:t>
            </w:r>
          </w:p>
        </w:tc>
        <w:tc>
          <w:tcPr>
            <w:tcW w:w="1700" w:type="dxa"/>
            <w:tcBorders>
              <w:top w:val="single" w:sz="4" w:space="0" w:color="000000"/>
              <w:left w:val="single" w:sz="4" w:space="0" w:color="000000"/>
              <w:bottom w:val="single" w:sz="4" w:space="0" w:color="000000"/>
              <w:right w:val="single" w:sz="4" w:space="0" w:color="000000"/>
            </w:tcBorders>
          </w:tcPr>
          <w:p w14:paraId="55A08A83"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54 000,00 $</w:t>
            </w:r>
          </w:p>
        </w:tc>
        <w:tc>
          <w:tcPr>
            <w:tcW w:w="2057" w:type="dxa"/>
            <w:tcBorders>
              <w:top w:val="single" w:sz="4" w:space="0" w:color="000000"/>
              <w:left w:val="single" w:sz="4" w:space="0" w:color="000000"/>
              <w:bottom w:val="single" w:sz="4" w:space="0" w:color="000000"/>
              <w:right w:val="single" w:sz="4" w:space="0" w:color="000000"/>
            </w:tcBorders>
          </w:tcPr>
          <w:p w14:paraId="0AEEA274"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100,0 %</w:t>
            </w:r>
          </w:p>
        </w:tc>
      </w:tr>
      <w:tr w:rsidR="00F50D70" w:rsidRPr="00BE4F47" w14:paraId="7EC524F2" w14:textId="77777777">
        <w:trPr>
          <w:cantSplit/>
          <w:trHeight w:val="415"/>
        </w:trPr>
        <w:tc>
          <w:tcPr>
            <w:tcW w:w="700" w:type="dxa"/>
            <w:tcBorders>
              <w:top w:val="single" w:sz="4" w:space="0" w:color="000000"/>
              <w:left w:val="single" w:sz="4" w:space="0" w:color="000000"/>
              <w:bottom w:val="single" w:sz="4" w:space="0" w:color="000000"/>
              <w:right w:val="single" w:sz="4" w:space="0" w:color="000000"/>
            </w:tcBorders>
          </w:tcPr>
          <w:p w14:paraId="0CE814EB" w14:textId="77777777" w:rsidR="00F50D70" w:rsidRPr="00BE4F47" w:rsidRDefault="00F50D70" w:rsidP="008E113B">
            <w:pPr>
              <w:spacing w:before="20" w:after="20"/>
              <w:ind w:left="0"/>
              <w:jc w:val="left"/>
              <w:outlineLvl w:val="9"/>
              <w:rPr>
                <w:rFonts w:ascii="Aptos" w:eastAsia="Calibri" w:hAnsi="Aptos" w:cs="Calibri"/>
                <w:color w:val="1A1A19"/>
                <w:sz w:val="20"/>
                <w:szCs w:val="20"/>
              </w:rPr>
            </w:pPr>
          </w:p>
        </w:tc>
        <w:tc>
          <w:tcPr>
            <w:tcW w:w="1000" w:type="dxa"/>
            <w:tcBorders>
              <w:top w:val="single" w:sz="4" w:space="0" w:color="000000"/>
              <w:left w:val="single" w:sz="4" w:space="0" w:color="000000"/>
              <w:bottom w:val="single" w:sz="4" w:space="0" w:color="000000"/>
              <w:right w:val="single" w:sz="4" w:space="0" w:color="000000"/>
            </w:tcBorders>
          </w:tcPr>
          <w:p w14:paraId="3E773C56"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Total</w:t>
            </w:r>
          </w:p>
        </w:tc>
        <w:tc>
          <w:tcPr>
            <w:tcW w:w="1400" w:type="dxa"/>
            <w:tcBorders>
              <w:top w:val="single" w:sz="4" w:space="0" w:color="000000"/>
              <w:left w:val="single" w:sz="4" w:space="0" w:color="000000"/>
              <w:bottom w:val="single" w:sz="4" w:space="0" w:color="000000"/>
              <w:right w:val="single" w:sz="4" w:space="0" w:color="000000"/>
            </w:tcBorders>
          </w:tcPr>
          <w:p w14:paraId="7F527539"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1 080 h</w:t>
            </w:r>
          </w:p>
        </w:tc>
        <w:tc>
          <w:tcPr>
            <w:tcW w:w="1700" w:type="dxa"/>
            <w:tcBorders>
              <w:top w:val="single" w:sz="4" w:space="0" w:color="000000"/>
              <w:left w:val="single" w:sz="4" w:space="0" w:color="000000"/>
              <w:bottom w:val="single" w:sz="4" w:space="0" w:color="000000"/>
              <w:right w:val="single" w:sz="4" w:space="0" w:color="000000"/>
            </w:tcBorders>
          </w:tcPr>
          <w:p w14:paraId="1967FE93"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54 000,00 $</w:t>
            </w:r>
          </w:p>
        </w:tc>
        <w:tc>
          <w:tcPr>
            <w:tcW w:w="1700" w:type="dxa"/>
            <w:tcBorders>
              <w:top w:val="single" w:sz="4" w:space="0" w:color="000000"/>
              <w:left w:val="single" w:sz="4" w:space="0" w:color="000000"/>
              <w:bottom w:val="single" w:sz="4" w:space="0" w:color="000000"/>
              <w:right w:val="single" w:sz="4" w:space="0" w:color="000000"/>
            </w:tcBorders>
          </w:tcPr>
          <w:p w14:paraId="459E1269" w14:textId="77777777" w:rsidR="00F50D70" w:rsidRPr="00BE4F47" w:rsidRDefault="00F50D70" w:rsidP="008E113B">
            <w:pPr>
              <w:spacing w:before="20" w:after="20"/>
              <w:ind w:left="0"/>
              <w:jc w:val="left"/>
              <w:outlineLvl w:val="9"/>
              <w:rPr>
                <w:rFonts w:ascii="Aptos" w:eastAsia="Calibri" w:hAnsi="Aptos" w:cs="Calibri"/>
                <w:color w:val="1A1A19"/>
                <w:sz w:val="20"/>
                <w:szCs w:val="20"/>
              </w:rPr>
            </w:pPr>
          </w:p>
        </w:tc>
        <w:tc>
          <w:tcPr>
            <w:tcW w:w="2057" w:type="dxa"/>
            <w:tcBorders>
              <w:top w:val="single" w:sz="4" w:space="0" w:color="000000"/>
              <w:left w:val="single" w:sz="4" w:space="0" w:color="000000"/>
              <w:bottom w:val="single" w:sz="4" w:space="0" w:color="000000"/>
              <w:right w:val="single" w:sz="4" w:space="0" w:color="000000"/>
            </w:tcBorders>
          </w:tcPr>
          <w:p w14:paraId="5C352B25" w14:textId="77777777" w:rsidR="00F50D70" w:rsidRPr="00BE4F47" w:rsidRDefault="00F50D70" w:rsidP="008E113B">
            <w:pPr>
              <w:spacing w:before="20" w:after="20"/>
              <w:ind w:left="0"/>
              <w:jc w:val="left"/>
              <w:outlineLvl w:val="9"/>
              <w:rPr>
                <w:rFonts w:ascii="Aptos" w:eastAsia="Calibri" w:hAnsi="Aptos" w:cs="Calibri"/>
                <w:color w:val="1A1A19"/>
                <w:sz w:val="20"/>
                <w:szCs w:val="20"/>
              </w:rPr>
            </w:pPr>
          </w:p>
        </w:tc>
      </w:tr>
    </w:tbl>
    <w:p w14:paraId="6C275771" w14:textId="77777777" w:rsidR="00F50D70" w:rsidRPr="00BE4F47" w:rsidRDefault="00137D7F" w:rsidP="008E113B">
      <w:pPr>
        <w:spacing w:before="200" w:after="130" w:line="360" w:lineRule="auto"/>
        <w:ind w:left="360"/>
        <w:rPr>
          <w:rFonts w:ascii="Aptos" w:hAnsi="Aptos"/>
        </w:rPr>
      </w:pPr>
      <w:bookmarkStart w:id="1308" w:name="_Toc241083148"/>
      <w:bookmarkStart w:id="1309" w:name="_Toc241670325"/>
      <w:bookmarkStart w:id="1310" w:name="_Toc241708033"/>
      <w:bookmarkStart w:id="1311" w:name="_Toc241791982"/>
      <w:r w:rsidRPr="00BE4F47">
        <w:rPr>
          <w:rFonts w:ascii="Aptos" w:hAnsi="Aptos"/>
          <w:color w:val="1A1A19"/>
          <w:sz w:val="20"/>
          <w:szCs w:val="20"/>
        </w:rPr>
        <w:t>Trois lectures se déduisent de ce tableau. Près des trois quarts du budget sont engagés à l’atteinte du jalon J3, ce qui veut dire qu’un dépassement constaté après J3 ne peut plus être corrigé par une réduction de contenu, seulement absorbé par la contingence. Le jalon J2 est le point de bascule : à cette date, un écart de plus de 10 % entre le coût réel et les 24 400 $ prévus déclenche l’arbitrage prévu par le risque RP2. La phase P3 concentre enfin à elle seule 32,6 % du budget, ce qui en fait la phase à suivre de plus près.</w:t>
      </w:r>
      <w:bookmarkEnd w:id="1308"/>
      <w:bookmarkEnd w:id="1309"/>
      <w:bookmarkEnd w:id="1310"/>
      <w:bookmarkEnd w:id="1311"/>
    </w:p>
    <w:p w14:paraId="3C5269E2" w14:textId="77777777" w:rsidR="00F50D70" w:rsidRPr="00BE4F47" w:rsidRDefault="00137D7F" w:rsidP="008E113B">
      <w:pPr>
        <w:spacing w:after="130" w:line="360" w:lineRule="auto"/>
        <w:ind w:left="360"/>
        <w:rPr>
          <w:rFonts w:ascii="Aptos" w:hAnsi="Aptos"/>
        </w:rPr>
      </w:pPr>
      <w:bookmarkStart w:id="1312" w:name="_Toc241083149"/>
      <w:bookmarkStart w:id="1313" w:name="_Toc241670326"/>
      <w:bookmarkStart w:id="1314" w:name="_Toc241708034"/>
      <w:bookmarkStart w:id="1315" w:name="_Toc241791983"/>
      <w:r w:rsidRPr="00BE4F47">
        <w:rPr>
          <w:rFonts w:ascii="Aptos" w:hAnsi="Aptos"/>
          <w:color w:val="1A1A19"/>
          <w:sz w:val="20"/>
          <w:szCs w:val="20"/>
        </w:rPr>
        <w:t>Les montants ci-dessus sont des coûts et non des prix. Ils n’incluent ni la contingence ni la réserve, qui s’appliquent au total et non à chaque période.</w:t>
      </w:r>
      <w:bookmarkEnd w:id="1312"/>
      <w:bookmarkEnd w:id="1313"/>
      <w:bookmarkEnd w:id="1314"/>
      <w:bookmarkEnd w:id="1315"/>
    </w:p>
    <w:p w14:paraId="459AB47A" w14:textId="77777777" w:rsidR="00F50D70" w:rsidRPr="00BE4F47" w:rsidRDefault="00137D7F" w:rsidP="008E113B">
      <w:pPr>
        <w:spacing w:after="130" w:line="360" w:lineRule="auto"/>
        <w:ind w:left="360"/>
        <w:rPr>
          <w:rFonts w:ascii="Aptos" w:hAnsi="Aptos"/>
        </w:rPr>
      </w:pPr>
      <w:bookmarkStart w:id="1316" w:name="_Toc241083178"/>
      <w:bookmarkStart w:id="1317" w:name="_Toc241670327"/>
      <w:bookmarkStart w:id="1318" w:name="_Toc241708035"/>
      <w:bookmarkStart w:id="1319" w:name="_Toc241791984"/>
      <w:r w:rsidRPr="00BE4F47">
        <w:rPr>
          <w:rFonts w:ascii="Aptos" w:hAnsi="Aptos"/>
          <w:color w:val="1A1A19"/>
          <w:sz w:val="20"/>
          <w:szCs w:val="20"/>
        </w:rPr>
        <w:t xml:space="preserve">Le bordereau des prix est le document remis au client. Il diffère du tableau précédent sur deux points : il porte des prix et non des coûts, et il fixe les moments où une somme devient exigible. La </w:t>
      </w:r>
      <w:r w:rsidRPr="00BE4F47">
        <w:rPr>
          <w:rFonts w:ascii="Aptos" w:hAnsi="Aptos"/>
          <w:color w:val="1A1A19"/>
          <w:sz w:val="20"/>
          <w:szCs w:val="20"/>
        </w:rPr>
        <w:lastRenderedPageBreak/>
        <w:t>facturation se fait par jalon : une somme n’est exigible que lorsque le livrable correspondant a été remis et accepté.</w:t>
      </w:r>
      <w:bookmarkEnd w:id="1316"/>
      <w:bookmarkEnd w:id="1317"/>
      <w:bookmarkEnd w:id="1318"/>
      <w:bookmarkEnd w:id="1319"/>
    </w:p>
    <w:p w14:paraId="5B0A7D64" w14:textId="2CE45323" w:rsidR="00F50D70" w:rsidRPr="00BE4F47" w:rsidRDefault="00137D7F" w:rsidP="008E113B">
      <w:pPr>
        <w:spacing w:after="130" w:line="360" w:lineRule="auto"/>
        <w:ind w:left="360"/>
        <w:rPr>
          <w:rFonts w:ascii="Aptos" w:hAnsi="Aptos"/>
        </w:rPr>
      </w:pPr>
      <w:bookmarkStart w:id="1320" w:name="_Toc241083179"/>
      <w:bookmarkStart w:id="1321" w:name="_Toc241670328"/>
      <w:bookmarkStart w:id="1322" w:name="_Toc241708036"/>
      <w:bookmarkStart w:id="1323" w:name="_Toc241791985"/>
      <w:r w:rsidRPr="00BE4F47">
        <w:rPr>
          <w:rFonts w:ascii="Aptos" w:hAnsi="Aptos"/>
          <w:color w:val="1A1A19"/>
          <w:sz w:val="20"/>
          <w:szCs w:val="20"/>
        </w:rPr>
        <w:t>Les montants ci-dessous répartissent le prix contractuel, 68 310 $, au prorata de l’effort de chaque phase, soit 63,25 $ l’heure</w:t>
      </w:r>
      <w:r w:rsidR="009C0602" w:rsidRPr="009C0602">
        <w:rPr>
          <w:rFonts w:ascii="Aptos" w:hAnsi="Aptos"/>
          <w:b/>
          <w:bCs/>
          <w:color w:val="1A1A19"/>
          <w:sz w:val="20"/>
          <w:szCs w:val="20"/>
        </w:rPr>
        <w:t xml:space="preserve">. </w:t>
      </w:r>
      <w:r w:rsidR="009C0602" w:rsidRPr="009C0602">
        <w:rPr>
          <w:rFonts w:ascii="Aptos" w:hAnsi="Aptos"/>
          <w:color w:val="1A1A19"/>
          <w:sz w:val="20"/>
          <w:szCs w:val="20"/>
        </w:rPr>
        <w:t>Il s’agit du prix contractuel facturé, hors réserve</w:t>
      </w:r>
      <w:r w:rsidR="009C0602" w:rsidRPr="009C0602">
        <w:rPr>
          <w:rFonts w:ascii="Aptos" w:hAnsi="Aptos"/>
          <w:color w:val="1A1A19"/>
          <w:sz w:val="20"/>
          <w:szCs w:val="20"/>
        </w:rPr>
        <w:t>.</w:t>
      </w:r>
      <w:r w:rsidRPr="00BE4F47">
        <w:rPr>
          <w:rFonts w:ascii="Aptos" w:hAnsi="Aptos"/>
          <w:color w:val="1A1A19"/>
          <w:sz w:val="20"/>
          <w:szCs w:val="20"/>
        </w:rPr>
        <w:t xml:space="preserve"> La réserve du propriétaire, 3 415,50 $, n’y figure pas : elle est conservée par le client et n’est facturée que s’il décide d’un changement de périmètre.</w:t>
      </w:r>
      <w:bookmarkEnd w:id="1320"/>
      <w:bookmarkEnd w:id="1321"/>
      <w:bookmarkEnd w:id="1322"/>
      <w:bookmarkEnd w:id="1323"/>
    </w:p>
    <w:p w14:paraId="3C7953B3" w14:textId="77777777" w:rsidR="00F50D70" w:rsidRPr="00BE4F47" w:rsidRDefault="00137D7F" w:rsidP="008E113B">
      <w:pPr>
        <w:pStyle w:val="Lgende"/>
        <w:keepNext/>
        <w:spacing w:line="360" w:lineRule="auto"/>
        <w:rPr>
          <w:rFonts w:ascii="Aptos" w:hAnsi="Aptos"/>
        </w:rPr>
      </w:pPr>
      <w:bookmarkStart w:id="1324" w:name="_Toc241083180"/>
      <w:bookmarkStart w:id="1325" w:name="_Toc241670329"/>
      <w:bookmarkStart w:id="1326" w:name="_Toc241708037"/>
      <w:bookmarkStart w:id="1327" w:name="_Toc241791986"/>
      <w:r w:rsidRPr="00BE4F47">
        <w:rPr>
          <w:rFonts w:ascii="Aptos" w:hAnsi="Aptos"/>
        </w:rPr>
        <w:t>Tableau 9-3. Bordereau des prix et échéancier de facturation</w:t>
      </w:r>
      <w:bookmarkEnd w:id="1324"/>
      <w:bookmarkEnd w:id="1325"/>
      <w:bookmarkEnd w:id="1326"/>
      <w:bookmarkEnd w:id="1327"/>
    </w:p>
    <w:tbl>
      <w:tblPr>
        <w:tblW w:w="8557" w:type="dxa"/>
        <w:tblInd w:w="413" w:type="dxa"/>
        <w:tblLayout w:type="fixed"/>
        <w:tblCellMar>
          <w:top w:w="60" w:type="dxa"/>
          <w:left w:w="90" w:type="dxa"/>
          <w:bottom w:w="60" w:type="dxa"/>
          <w:right w:w="90" w:type="dxa"/>
        </w:tblCellMar>
        <w:tblLook w:val="04A0" w:firstRow="1" w:lastRow="0" w:firstColumn="1" w:lastColumn="0" w:noHBand="0" w:noVBand="1"/>
      </w:tblPr>
      <w:tblGrid>
        <w:gridCol w:w="700"/>
        <w:gridCol w:w="900"/>
        <w:gridCol w:w="3600"/>
        <w:gridCol w:w="1650"/>
        <w:gridCol w:w="1707"/>
      </w:tblGrid>
      <w:tr w:rsidR="00F50D70" w:rsidRPr="00BE4F47" w14:paraId="6889CDC4" w14:textId="77777777" w:rsidTr="008E113B">
        <w:trPr>
          <w:trHeight w:val="227"/>
          <w:tblHeader/>
        </w:trPr>
        <w:tc>
          <w:tcPr>
            <w:tcW w:w="70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158CC2DC"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Jalon</w:t>
            </w:r>
          </w:p>
        </w:tc>
        <w:tc>
          <w:tcPr>
            <w:tcW w:w="90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541C3AAD"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Date</w:t>
            </w:r>
          </w:p>
        </w:tc>
        <w:tc>
          <w:tcPr>
            <w:tcW w:w="360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5A03E6FF"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Livrable conditionnant le paiement</w:t>
            </w:r>
          </w:p>
        </w:tc>
        <w:tc>
          <w:tcPr>
            <w:tcW w:w="165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62C1B0E8"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Montant exigible</w:t>
            </w:r>
          </w:p>
        </w:tc>
        <w:tc>
          <w:tcPr>
            <w:tcW w:w="1707"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3BACA02E"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Cumul facturé</w:t>
            </w:r>
          </w:p>
        </w:tc>
      </w:tr>
      <w:tr w:rsidR="00F50D70" w:rsidRPr="00BE4F47" w14:paraId="32A7A9CA" w14:textId="77777777">
        <w:trPr>
          <w:cantSplit/>
          <w:trHeight w:val="415"/>
        </w:trPr>
        <w:tc>
          <w:tcPr>
            <w:tcW w:w="700" w:type="dxa"/>
            <w:tcBorders>
              <w:top w:val="single" w:sz="4" w:space="0" w:color="000000"/>
              <w:left w:val="single" w:sz="4" w:space="0" w:color="000000"/>
              <w:bottom w:val="single" w:sz="4" w:space="0" w:color="000000"/>
              <w:right w:val="single" w:sz="4" w:space="0" w:color="000000"/>
            </w:tcBorders>
          </w:tcPr>
          <w:p w14:paraId="09A7B5DE"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J0</w:t>
            </w:r>
          </w:p>
        </w:tc>
        <w:tc>
          <w:tcPr>
            <w:tcW w:w="900" w:type="dxa"/>
            <w:tcBorders>
              <w:top w:val="single" w:sz="4" w:space="0" w:color="000000"/>
              <w:left w:val="single" w:sz="4" w:space="0" w:color="000000"/>
              <w:bottom w:val="single" w:sz="4" w:space="0" w:color="000000"/>
              <w:right w:val="single" w:sz="4" w:space="0" w:color="000000"/>
            </w:tcBorders>
          </w:tcPr>
          <w:p w14:paraId="01F8BB14"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2 oct.</w:t>
            </w:r>
          </w:p>
        </w:tc>
        <w:tc>
          <w:tcPr>
            <w:tcW w:w="3600" w:type="dxa"/>
            <w:tcBorders>
              <w:top w:val="single" w:sz="4" w:space="0" w:color="000000"/>
              <w:left w:val="single" w:sz="4" w:space="0" w:color="000000"/>
              <w:bottom w:val="single" w:sz="4" w:space="0" w:color="000000"/>
              <w:right w:val="single" w:sz="4" w:space="0" w:color="000000"/>
            </w:tcBorders>
          </w:tcPr>
          <w:p w14:paraId="3E2D8EEF"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Plan de projet remis et accepté. Livrable L07.</w:t>
            </w:r>
          </w:p>
        </w:tc>
        <w:tc>
          <w:tcPr>
            <w:tcW w:w="1650" w:type="dxa"/>
            <w:tcBorders>
              <w:top w:val="single" w:sz="4" w:space="0" w:color="000000"/>
              <w:left w:val="single" w:sz="4" w:space="0" w:color="000000"/>
              <w:bottom w:val="single" w:sz="4" w:space="0" w:color="000000"/>
              <w:right w:val="single" w:sz="4" w:space="0" w:color="000000"/>
            </w:tcBorders>
          </w:tcPr>
          <w:p w14:paraId="74D14828"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15 180,00 $</w:t>
            </w:r>
          </w:p>
        </w:tc>
        <w:tc>
          <w:tcPr>
            <w:tcW w:w="1707" w:type="dxa"/>
            <w:tcBorders>
              <w:top w:val="single" w:sz="4" w:space="0" w:color="000000"/>
              <w:left w:val="single" w:sz="4" w:space="0" w:color="000000"/>
              <w:bottom w:val="single" w:sz="4" w:space="0" w:color="000000"/>
              <w:right w:val="single" w:sz="4" w:space="0" w:color="000000"/>
            </w:tcBorders>
          </w:tcPr>
          <w:p w14:paraId="1BCA1581"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15 180,00 $</w:t>
            </w:r>
          </w:p>
        </w:tc>
      </w:tr>
      <w:tr w:rsidR="00F50D70" w:rsidRPr="00BE4F47" w14:paraId="0878C2AC" w14:textId="77777777">
        <w:trPr>
          <w:cantSplit/>
          <w:trHeight w:val="415"/>
        </w:trPr>
        <w:tc>
          <w:tcPr>
            <w:tcW w:w="700" w:type="dxa"/>
            <w:tcBorders>
              <w:top w:val="single" w:sz="4" w:space="0" w:color="000000"/>
              <w:left w:val="single" w:sz="4" w:space="0" w:color="000000"/>
              <w:bottom w:val="single" w:sz="4" w:space="0" w:color="000000"/>
              <w:right w:val="single" w:sz="4" w:space="0" w:color="000000"/>
            </w:tcBorders>
          </w:tcPr>
          <w:p w14:paraId="65297F80"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J1</w:t>
            </w:r>
          </w:p>
        </w:tc>
        <w:tc>
          <w:tcPr>
            <w:tcW w:w="900" w:type="dxa"/>
            <w:tcBorders>
              <w:top w:val="single" w:sz="4" w:space="0" w:color="000000"/>
              <w:left w:val="single" w:sz="4" w:space="0" w:color="000000"/>
              <w:bottom w:val="single" w:sz="4" w:space="0" w:color="000000"/>
              <w:right w:val="single" w:sz="4" w:space="0" w:color="000000"/>
            </w:tcBorders>
          </w:tcPr>
          <w:p w14:paraId="040D3888"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9 oct.</w:t>
            </w:r>
          </w:p>
        </w:tc>
        <w:tc>
          <w:tcPr>
            <w:tcW w:w="3600" w:type="dxa"/>
            <w:tcBorders>
              <w:top w:val="single" w:sz="4" w:space="0" w:color="000000"/>
              <w:left w:val="single" w:sz="4" w:space="0" w:color="000000"/>
              <w:bottom w:val="single" w:sz="4" w:space="0" w:color="000000"/>
              <w:right w:val="single" w:sz="4" w:space="0" w:color="000000"/>
            </w:tcBorders>
          </w:tcPr>
          <w:p w14:paraId="0A3E6385"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Registre des exigences et GEMMA acceptés. Livrables L03 et L04.</w:t>
            </w:r>
          </w:p>
        </w:tc>
        <w:tc>
          <w:tcPr>
            <w:tcW w:w="1650" w:type="dxa"/>
            <w:tcBorders>
              <w:top w:val="single" w:sz="4" w:space="0" w:color="000000"/>
              <w:left w:val="single" w:sz="4" w:space="0" w:color="000000"/>
              <w:bottom w:val="single" w:sz="4" w:space="0" w:color="000000"/>
              <w:right w:val="single" w:sz="4" w:space="0" w:color="000000"/>
            </w:tcBorders>
          </w:tcPr>
          <w:p w14:paraId="167C9BF1"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5 566,00 $</w:t>
            </w:r>
          </w:p>
        </w:tc>
        <w:tc>
          <w:tcPr>
            <w:tcW w:w="1707" w:type="dxa"/>
            <w:tcBorders>
              <w:top w:val="single" w:sz="4" w:space="0" w:color="000000"/>
              <w:left w:val="single" w:sz="4" w:space="0" w:color="000000"/>
              <w:bottom w:val="single" w:sz="4" w:space="0" w:color="000000"/>
              <w:right w:val="single" w:sz="4" w:space="0" w:color="000000"/>
            </w:tcBorders>
          </w:tcPr>
          <w:p w14:paraId="45772FFC"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20 746,00 $</w:t>
            </w:r>
          </w:p>
        </w:tc>
      </w:tr>
      <w:tr w:rsidR="00F50D70" w:rsidRPr="00BE4F47" w14:paraId="6625B78B" w14:textId="77777777">
        <w:trPr>
          <w:cantSplit/>
          <w:trHeight w:val="415"/>
        </w:trPr>
        <w:tc>
          <w:tcPr>
            <w:tcW w:w="700" w:type="dxa"/>
            <w:tcBorders>
              <w:top w:val="single" w:sz="4" w:space="0" w:color="000000"/>
              <w:left w:val="single" w:sz="4" w:space="0" w:color="000000"/>
              <w:bottom w:val="single" w:sz="4" w:space="0" w:color="000000"/>
              <w:right w:val="single" w:sz="4" w:space="0" w:color="000000"/>
            </w:tcBorders>
          </w:tcPr>
          <w:p w14:paraId="1BD0F815"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J2</w:t>
            </w:r>
          </w:p>
        </w:tc>
        <w:tc>
          <w:tcPr>
            <w:tcW w:w="900" w:type="dxa"/>
            <w:tcBorders>
              <w:top w:val="single" w:sz="4" w:space="0" w:color="000000"/>
              <w:left w:val="single" w:sz="4" w:space="0" w:color="000000"/>
              <w:bottom w:val="single" w:sz="4" w:space="0" w:color="000000"/>
              <w:right w:val="single" w:sz="4" w:space="0" w:color="000000"/>
            </w:tcBorders>
          </w:tcPr>
          <w:p w14:paraId="3ACA0EED"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23 oct.</w:t>
            </w:r>
          </w:p>
        </w:tc>
        <w:tc>
          <w:tcPr>
            <w:tcW w:w="3600" w:type="dxa"/>
            <w:tcBorders>
              <w:top w:val="single" w:sz="4" w:space="0" w:color="000000"/>
              <w:left w:val="single" w:sz="4" w:space="0" w:color="000000"/>
              <w:bottom w:val="single" w:sz="4" w:space="0" w:color="000000"/>
              <w:right w:val="single" w:sz="4" w:space="0" w:color="000000"/>
            </w:tcBorders>
          </w:tcPr>
          <w:p w14:paraId="74AB7701"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Plan de vérification et de validation accepté. Livrable L05.</w:t>
            </w:r>
          </w:p>
        </w:tc>
        <w:tc>
          <w:tcPr>
            <w:tcW w:w="1650" w:type="dxa"/>
            <w:tcBorders>
              <w:top w:val="single" w:sz="4" w:space="0" w:color="000000"/>
              <w:left w:val="single" w:sz="4" w:space="0" w:color="000000"/>
              <w:bottom w:val="single" w:sz="4" w:space="0" w:color="000000"/>
              <w:right w:val="single" w:sz="4" w:space="0" w:color="000000"/>
            </w:tcBorders>
          </w:tcPr>
          <w:p w14:paraId="71016A8E"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10 120,00 $</w:t>
            </w:r>
          </w:p>
        </w:tc>
        <w:tc>
          <w:tcPr>
            <w:tcW w:w="1707" w:type="dxa"/>
            <w:tcBorders>
              <w:top w:val="single" w:sz="4" w:space="0" w:color="000000"/>
              <w:left w:val="single" w:sz="4" w:space="0" w:color="000000"/>
              <w:bottom w:val="single" w:sz="4" w:space="0" w:color="000000"/>
              <w:right w:val="single" w:sz="4" w:space="0" w:color="000000"/>
            </w:tcBorders>
          </w:tcPr>
          <w:p w14:paraId="5E61B9E7"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30 866,00 $</w:t>
            </w:r>
          </w:p>
        </w:tc>
      </w:tr>
      <w:tr w:rsidR="00F50D70" w:rsidRPr="00BE4F47" w14:paraId="56549D6F" w14:textId="77777777">
        <w:trPr>
          <w:cantSplit/>
          <w:trHeight w:val="415"/>
        </w:trPr>
        <w:tc>
          <w:tcPr>
            <w:tcW w:w="700" w:type="dxa"/>
            <w:tcBorders>
              <w:top w:val="single" w:sz="4" w:space="0" w:color="000000"/>
              <w:left w:val="single" w:sz="4" w:space="0" w:color="000000"/>
              <w:bottom w:val="single" w:sz="4" w:space="0" w:color="000000"/>
              <w:right w:val="single" w:sz="4" w:space="0" w:color="000000"/>
            </w:tcBorders>
          </w:tcPr>
          <w:p w14:paraId="4FFF4D86"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J3</w:t>
            </w:r>
          </w:p>
        </w:tc>
        <w:tc>
          <w:tcPr>
            <w:tcW w:w="900" w:type="dxa"/>
            <w:tcBorders>
              <w:top w:val="single" w:sz="4" w:space="0" w:color="000000"/>
              <w:left w:val="single" w:sz="4" w:space="0" w:color="000000"/>
              <w:bottom w:val="single" w:sz="4" w:space="0" w:color="000000"/>
              <w:right w:val="single" w:sz="4" w:space="0" w:color="000000"/>
            </w:tcBorders>
          </w:tcPr>
          <w:p w14:paraId="104DFB74"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20 nov.</w:t>
            </w:r>
          </w:p>
        </w:tc>
        <w:tc>
          <w:tcPr>
            <w:tcW w:w="3600" w:type="dxa"/>
            <w:tcBorders>
              <w:top w:val="single" w:sz="4" w:space="0" w:color="000000"/>
              <w:left w:val="single" w:sz="4" w:space="0" w:color="000000"/>
              <w:bottom w:val="single" w:sz="4" w:space="0" w:color="000000"/>
              <w:right w:val="single" w:sz="4" w:space="0" w:color="000000"/>
            </w:tcBorders>
          </w:tcPr>
          <w:p w14:paraId="1AB44897"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Prototype et interface démontrés. Livrables L01 et L02.</w:t>
            </w:r>
          </w:p>
        </w:tc>
        <w:tc>
          <w:tcPr>
            <w:tcW w:w="1650" w:type="dxa"/>
            <w:tcBorders>
              <w:top w:val="single" w:sz="4" w:space="0" w:color="000000"/>
              <w:left w:val="single" w:sz="4" w:space="0" w:color="000000"/>
              <w:bottom w:val="single" w:sz="4" w:space="0" w:color="000000"/>
              <w:right w:val="single" w:sz="4" w:space="0" w:color="000000"/>
            </w:tcBorders>
          </w:tcPr>
          <w:p w14:paraId="11518C38"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22 264,00 $</w:t>
            </w:r>
          </w:p>
        </w:tc>
        <w:tc>
          <w:tcPr>
            <w:tcW w:w="1707" w:type="dxa"/>
            <w:tcBorders>
              <w:top w:val="single" w:sz="4" w:space="0" w:color="000000"/>
              <w:left w:val="single" w:sz="4" w:space="0" w:color="000000"/>
              <w:bottom w:val="single" w:sz="4" w:space="0" w:color="000000"/>
              <w:right w:val="single" w:sz="4" w:space="0" w:color="000000"/>
            </w:tcBorders>
          </w:tcPr>
          <w:p w14:paraId="007CFF23"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53 130,00 $</w:t>
            </w:r>
          </w:p>
        </w:tc>
      </w:tr>
      <w:tr w:rsidR="00F50D70" w:rsidRPr="00BE4F47" w14:paraId="3ACDB27A" w14:textId="77777777">
        <w:trPr>
          <w:cantSplit/>
          <w:trHeight w:val="415"/>
        </w:trPr>
        <w:tc>
          <w:tcPr>
            <w:tcW w:w="700" w:type="dxa"/>
            <w:tcBorders>
              <w:top w:val="single" w:sz="4" w:space="0" w:color="000000"/>
              <w:left w:val="single" w:sz="4" w:space="0" w:color="000000"/>
              <w:bottom w:val="single" w:sz="4" w:space="0" w:color="000000"/>
              <w:right w:val="single" w:sz="4" w:space="0" w:color="000000"/>
            </w:tcBorders>
          </w:tcPr>
          <w:p w14:paraId="07287C40"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J4</w:t>
            </w:r>
          </w:p>
        </w:tc>
        <w:tc>
          <w:tcPr>
            <w:tcW w:w="900" w:type="dxa"/>
            <w:tcBorders>
              <w:top w:val="single" w:sz="4" w:space="0" w:color="000000"/>
              <w:left w:val="single" w:sz="4" w:space="0" w:color="000000"/>
              <w:bottom w:val="single" w:sz="4" w:space="0" w:color="000000"/>
              <w:right w:val="single" w:sz="4" w:space="0" w:color="000000"/>
            </w:tcBorders>
          </w:tcPr>
          <w:p w14:paraId="373368C9"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4 déc.</w:t>
            </w:r>
          </w:p>
        </w:tc>
        <w:tc>
          <w:tcPr>
            <w:tcW w:w="3600" w:type="dxa"/>
            <w:tcBorders>
              <w:top w:val="single" w:sz="4" w:space="0" w:color="000000"/>
              <w:left w:val="single" w:sz="4" w:space="0" w:color="000000"/>
              <w:bottom w:val="single" w:sz="4" w:space="0" w:color="000000"/>
              <w:right w:val="single" w:sz="4" w:space="0" w:color="000000"/>
            </w:tcBorders>
          </w:tcPr>
          <w:p w14:paraId="4A47B013"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Campagne d’essais terminée et conclusions de validation. Livrable L06.</w:t>
            </w:r>
          </w:p>
        </w:tc>
        <w:tc>
          <w:tcPr>
            <w:tcW w:w="1650" w:type="dxa"/>
            <w:tcBorders>
              <w:top w:val="single" w:sz="4" w:space="0" w:color="000000"/>
              <w:left w:val="single" w:sz="4" w:space="0" w:color="000000"/>
              <w:bottom w:val="single" w:sz="4" w:space="0" w:color="000000"/>
              <w:right w:val="single" w:sz="4" w:space="0" w:color="000000"/>
            </w:tcBorders>
          </w:tcPr>
          <w:p w14:paraId="3B3AA690"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11 132,00 $</w:t>
            </w:r>
          </w:p>
        </w:tc>
        <w:tc>
          <w:tcPr>
            <w:tcW w:w="1707" w:type="dxa"/>
            <w:tcBorders>
              <w:top w:val="single" w:sz="4" w:space="0" w:color="000000"/>
              <w:left w:val="single" w:sz="4" w:space="0" w:color="000000"/>
              <w:bottom w:val="single" w:sz="4" w:space="0" w:color="000000"/>
              <w:right w:val="single" w:sz="4" w:space="0" w:color="000000"/>
            </w:tcBorders>
          </w:tcPr>
          <w:p w14:paraId="5414BE19"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64 262,00 $</w:t>
            </w:r>
          </w:p>
        </w:tc>
      </w:tr>
      <w:tr w:rsidR="00F50D70" w:rsidRPr="00BE4F47" w14:paraId="3AE10A81" w14:textId="77777777">
        <w:trPr>
          <w:cantSplit/>
          <w:trHeight w:val="415"/>
        </w:trPr>
        <w:tc>
          <w:tcPr>
            <w:tcW w:w="700" w:type="dxa"/>
            <w:tcBorders>
              <w:top w:val="single" w:sz="4" w:space="0" w:color="000000"/>
              <w:left w:val="single" w:sz="4" w:space="0" w:color="000000"/>
              <w:bottom w:val="single" w:sz="4" w:space="0" w:color="000000"/>
              <w:right w:val="single" w:sz="4" w:space="0" w:color="000000"/>
            </w:tcBorders>
          </w:tcPr>
          <w:p w14:paraId="0044D3A8"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J5</w:t>
            </w:r>
          </w:p>
        </w:tc>
        <w:tc>
          <w:tcPr>
            <w:tcW w:w="900" w:type="dxa"/>
            <w:tcBorders>
              <w:top w:val="single" w:sz="4" w:space="0" w:color="000000"/>
              <w:left w:val="single" w:sz="4" w:space="0" w:color="000000"/>
              <w:bottom w:val="single" w:sz="4" w:space="0" w:color="000000"/>
              <w:right w:val="single" w:sz="4" w:space="0" w:color="000000"/>
            </w:tcBorders>
          </w:tcPr>
          <w:p w14:paraId="6B7885A2"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18 déc.</w:t>
            </w:r>
          </w:p>
        </w:tc>
        <w:tc>
          <w:tcPr>
            <w:tcW w:w="3600" w:type="dxa"/>
            <w:tcBorders>
              <w:top w:val="single" w:sz="4" w:space="0" w:color="000000"/>
              <w:left w:val="single" w:sz="4" w:space="0" w:color="000000"/>
              <w:bottom w:val="single" w:sz="4" w:space="0" w:color="000000"/>
              <w:right w:val="single" w:sz="4" w:space="0" w:color="000000"/>
            </w:tcBorders>
          </w:tcPr>
          <w:p w14:paraId="09AB7B23"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Recommandation d’ingénierie, rapport final, présentation. Livrables L08 et L09.</w:t>
            </w:r>
          </w:p>
        </w:tc>
        <w:tc>
          <w:tcPr>
            <w:tcW w:w="1650" w:type="dxa"/>
            <w:tcBorders>
              <w:top w:val="single" w:sz="4" w:space="0" w:color="000000"/>
              <w:left w:val="single" w:sz="4" w:space="0" w:color="000000"/>
              <w:bottom w:val="single" w:sz="4" w:space="0" w:color="000000"/>
              <w:right w:val="single" w:sz="4" w:space="0" w:color="000000"/>
            </w:tcBorders>
          </w:tcPr>
          <w:p w14:paraId="129FA324"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4 048,00 $</w:t>
            </w:r>
          </w:p>
        </w:tc>
        <w:tc>
          <w:tcPr>
            <w:tcW w:w="1707" w:type="dxa"/>
            <w:tcBorders>
              <w:top w:val="single" w:sz="4" w:space="0" w:color="000000"/>
              <w:left w:val="single" w:sz="4" w:space="0" w:color="000000"/>
              <w:bottom w:val="single" w:sz="4" w:space="0" w:color="000000"/>
              <w:right w:val="single" w:sz="4" w:space="0" w:color="000000"/>
            </w:tcBorders>
          </w:tcPr>
          <w:p w14:paraId="1142631D"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68 310,00 $</w:t>
            </w:r>
          </w:p>
        </w:tc>
      </w:tr>
      <w:tr w:rsidR="00F50D70" w:rsidRPr="00BE4F47" w14:paraId="46E8D322" w14:textId="77777777">
        <w:trPr>
          <w:cantSplit/>
          <w:trHeight w:val="415"/>
        </w:trPr>
        <w:tc>
          <w:tcPr>
            <w:tcW w:w="700" w:type="dxa"/>
            <w:tcBorders>
              <w:top w:val="single" w:sz="4" w:space="0" w:color="000000"/>
              <w:left w:val="single" w:sz="4" w:space="0" w:color="000000"/>
              <w:bottom w:val="single" w:sz="4" w:space="0" w:color="000000"/>
              <w:right w:val="single" w:sz="4" w:space="0" w:color="000000"/>
            </w:tcBorders>
          </w:tcPr>
          <w:p w14:paraId="665CCED4" w14:textId="77777777" w:rsidR="00F50D70" w:rsidRPr="00BE4F47" w:rsidRDefault="00F50D70" w:rsidP="008E113B">
            <w:pPr>
              <w:spacing w:before="20" w:after="20"/>
              <w:ind w:left="0"/>
              <w:jc w:val="left"/>
              <w:outlineLvl w:val="9"/>
              <w:rPr>
                <w:rFonts w:ascii="Aptos" w:eastAsia="Calibri" w:hAnsi="Aptos" w:cs="Calibri"/>
                <w:color w:val="1A1A19"/>
                <w:sz w:val="20"/>
                <w:szCs w:val="20"/>
              </w:rPr>
            </w:pPr>
          </w:p>
        </w:tc>
        <w:tc>
          <w:tcPr>
            <w:tcW w:w="900" w:type="dxa"/>
            <w:tcBorders>
              <w:top w:val="single" w:sz="4" w:space="0" w:color="000000"/>
              <w:left w:val="single" w:sz="4" w:space="0" w:color="000000"/>
              <w:bottom w:val="single" w:sz="4" w:space="0" w:color="000000"/>
              <w:right w:val="single" w:sz="4" w:space="0" w:color="000000"/>
            </w:tcBorders>
          </w:tcPr>
          <w:p w14:paraId="11777E4C"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Total</w:t>
            </w:r>
          </w:p>
        </w:tc>
        <w:tc>
          <w:tcPr>
            <w:tcW w:w="3600" w:type="dxa"/>
            <w:tcBorders>
              <w:top w:val="single" w:sz="4" w:space="0" w:color="000000"/>
              <w:left w:val="single" w:sz="4" w:space="0" w:color="000000"/>
              <w:bottom w:val="single" w:sz="4" w:space="0" w:color="000000"/>
              <w:right w:val="single" w:sz="4" w:space="0" w:color="000000"/>
            </w:tcBorders>
          </w:tcPr>
          <w:p w14:paraId="3034F6F0" w14:textId="77777777" w:rsidR="00F50D70" w:rsidRPr="00BE4F47" w:rsidRDefault="00F50D70" w:rsidP="008E113B">
            <w:pPr>
              <w:spacing w:before="20" w:after="20"/>
              <w:ind w:left="0"/>
              <w:jc w:val="left"/>
              <w:outlineLvl w:val="9"/>
              <w:rPr>
                <w:rFonts w:ascii="Aptos" w:eastAsia="Calibri" w:hAnsi="Aptos" w:cs="Calibri"/>
                <w:color w:val="1A1A19"/>
                <w:sz w:val="20"/>
                <w:szCs w:val="20"/>
              </w:rPr>
            </w:pPr>
          </w:p>
        </w:tc>
        <w:tc>
          <w:tcPr>
            <w:tcW w:w="1650" w:type="dxa"/>
            <w:tcBorders>
              <w:top w:val="single" w:sz="4" w:space="0" w:color="000000"/>
              <w:left w:val="single" w:sz="4" w:space="0" w:color="000000"/>
              <w:bottom w:val="single" w:sz="4" w:space="0" w:color="000000"/>
              <w:right w:val="single" w:sz="4" w:space="0" w:color="000000"/>
            </w:tcBorders>
          </w:tcPr>
          <w:p w14:paraId="7AF21A0B" w14:textId="4584ED4A" w:rsidR="00F50D70" w:rsidRPr="00BE4F47" w:rsidRDefault="0041475B" w:rsidP="008E113B">
            <w:pPr>
              <w:spacing w:before="20" w:after="20"/>
              <w:ind w:left="0"/>
              <w:jc w:val="left"/>
              <w:outlineLvl w:val="9"/>
              <w:rPr>
                <w:rFonts w:ascii="Aptos" w:eastAsia="Calibri" w:hAnsi="Aptos" w:cs="Calibri"/>
                <w:color w:val="1A1A19"/>
                <w:sz w:val="20"/>
                <w:szCs w:val="20"/>
              </w:rPr>
            </w:pPr>
            <w:r w:rsidRPr="0041475B">
              <w:rPr>
                <w:rFonts w:ascii="Aptos" w:eastAsia="Calibri" w:hAnsi="Aptos" w:cs="Calibri"/>
                <w:color w:val="1A1A19"/>
                <w:sz w:val="16"/>
                <w:szCs w:val="16"/>
              </w:rPr>
              <w:t>68 310,00 $. </w:t>
            </w:r>
          </w:p>
        </w:tc>
        <w:tc>
          <w:tcPr>
            <w:tcW w:w="1707" w:type="dxa"/>
            <w:tcBorders>
              <w:top w:val="single" w:sz="4" w:space="0" w:color="000000"/>
              <w:left w:val="single" w:sz="4" w:space="0" w:color="000000"/>
              <w:bottom w:val="single" w:sz="4" w:space="0" w:color="000000"/>
              <w:right w:val="single" w:sz="4" w:space="0" w:color="000000"/>
            </w:tcBorders>
          </w:tcPr>
          <w:p w14:paraId="34DE156D" w14:textId="77777777" w:rsidR="00F50D70" w:rsidRPr="00BE4F47" w:rsidRDefault="00F50D70" w:rsidP="008E113B">
            <w:pPr>
              <w:spacing w:before="20" w:after="20"/>
              <w:ind w:left="0"/>
              <w:jc w:val="left"/>
              <w:outlineLvl w:val="9"/>
              <w:rPr>
                <w:rFonts w:ascii="Aptos" w:eastAsia="Calibri" w:hAnsi="Aptos" w:cs="Calibri"/>
                <w:color w:val="1A1A19"/>
                <w:sz w:val="20"/>
                <w:szCs w:val="20"/>
              </w:rPr>
            </w:pPr>
          </w:p>
        </w:tc>
      </w:tr>
    </w:tbl>
    <w:p w14:paraId="6CF8A5B4" w14:textId="2D39A2FC" w:rsidR="00F50D70" w:rsidRPr="00BE4F47" w:rsidRDefault="009C0602" w:rsidP="008E113B">
      <w:pPr>
        <w:spacing w:before="200" w:after="130" w:line="360" w:lineRule="auto"/>
        <w:ind w:left="360"/>
        <w:rPr>
          <w:rFonts w:ascii="Aptos" w:hAnsi="Aptos"/>
        </w:rPr>
      </w:pPr>
      <w:bookmarkStart w:id="1328" w:name="_Toc241083181"/>
      <w:bookmarkStart w:id="1329" w:name="_Toc241670330"/>
      <w:bookmarkStart w:id="1330" w:name="_Toc241708038"/>
      <w:bookmarkStart w:id="1331" w:name="_Toc241791987"/>
      <w:r w:rsidRPr="009C0602">
        <w:rPr>
          <w:rFonts w:ascii="Aptos" w:hAnsi="Aptos"/>
          <w:color w:val="1A1A19"/>
          <w:sz w:val="20"/>
          <w:szCs w:val="20"/>
        </w:rPr>
        <w:t>L’équipe facture à chaque jalon un montant supérieur au coût engagé à ce stade</w:t>
      </w:r>
      <w:r w:rsidR="00137D7F" w:rsidRPr="00BE4F47">
        <w:rPr>
          <w:rFonts w:ascii="Aptos" w:hAnsi="Aptos"/>
          <w:color w:val="1A1A19"/>
          <w:sz w:val="20"/>
          <w:szCs w:val="20"/>
        </w:rPr>
        <w:t>, parce que le prix porte la contingence et le bénéfice, que le coût ne porte pas. Au jalon J2, elle a facturé 30 866 $ pour un coût engagé de 24 400 $. Au jalon J3, 53 130 $ pour 42 000 $. L’écart final, 14 310 $, est exactement la somme de la contingence et du bénéfice. La facturation par jalon évite que l’équipe finance le mandat sur ses propres fonds jusqu’à la livraison.</w:t>
      </w:r>
      <w:bookmarkEnd w:id="1328"/>
      <w:bookmarkEnd w:id="1329"/>
      <w:bookmarkEnd w:id="1330"/>
      <w:bookmarkEnd w:id="1331"/>
    </w:p>
    <w:p w14:paraId="77644603" w14:textId="77777777" w:rsidR="00F50D70" w:rsidRPr="00B36301" w:rsidRDefault="00137D7F" w:rsidP="008E113B">
      <w:pPr>
        <w:pStyle w:val="Titre1"/>
        <w:spacing w:line="360" w:lineRule="auto"/>
      </w:pPr>
      <w:bookmarkStart w:id="1332" w:name="__RefHeading___Toc240715288"/>
      <w:bookmarkStart w:id="1333" w:name="_Toc241708039"/>
      <w:bookmarkStart w:id="1334" w:name="_Toc241791988"/>
      <w:bookmarkEnd w:id="1332"/>
      <w:r w:rsidRPr="00B36301">
        <w:t>Échéancier préliminaire</w:t>
      </w:r>
      <w:bookmarkEnd w:id="1333"/>
      <w:bookmarkEnd w:id="1334"/>
    </w:p>
    <w:p w14:paraId="5CDEC92A" w14:textId="77777777" w:rsidR="00F50D70" w:rsidRPr="00BE4F47" w:rsidRDefault="00137D7F" w:rsidP="008E113B">
      <w:pPr>
        <w:spacing w:after="130" w:line="360" w:lineRule="auto"/>
        <w:ind w:left="360"/>
        <w:rPr>
          <w:rFonts w:ascii="Aptos" w:hAnsi="Aptos"/>
        </w:rPr>
      </w:pPr>
      <w:bookmarkStart w:id="1335" w:name="_Toc241083151"/>
      <w:bookmarkStart w:id="1336" w:name="_Toc241670332"/>
      <w:bookmarkStart w:id="1337" w:name="_Toc241708040"/>
      <w:bookmarkStart w:id="1338" w:name="_Toc241791989"/>
      <w:r w:rsidRPr="00BE4F47">
        <w:rPr>
          <w:rFonts w:ascii="Aptos" w:hAnsi="Aptos"/>
          <w:color w:val="1A1A19"/>
          <w:sz w:val="20"/>
          <w:szCs w:val="20"/>
        </w:rPr>
        <w:t>Le travail est défini, chiffré en heures puis en dollars. Il reste à le placer dans le temps. Cette section construit le calendrier du mandat à partir du trimestre universitaire, le découpe en phases, et fixe les six jalons auxquels l’avancement est mesuré.</w:t>
      </w:r>
      <w:bookmarkEnd w:id="1335"/>
      <w:bookmarkEnd w:id="1336"/>
      <w:bookmarkEnd w:id="1337"/>
      <w:bookmarkEnd w:id="1338"/>
    </w:p>
    <w:p w14:paraId="268E7ED7" w14:textId="77777777" w:rsidR="00F50D70" w:rsidRPr="00B36301" w:rsidRDefault="00137D7F" w:rsidP="008E113B">
      <w:pPr>
        <w:pStyle w:val="Titre2"/>
        <w:spacing w:line="360" w:lineRule="auto"/>
      </w:pPr>
      <w:bookmarkStart w:id="1339" w:name="_Toc241708041"/>
      <w:bookmarkStart w:id="1340" w:name="_Toc241791990"/>
      <w:r w:rsidRPr="00B36301">
        <w:t>Structure de découpage du projet</w:t>
      </w:r>
      <w:bookmarkEnd w:id="1339"/>
      <w:bookmarkEnd w:id="1340"/>
    </w:p>
    <w:p w14:paraId="43A4C2AA" w14:textId="77777777" w:rsidR="00F50D70" w:rsidRPr="00BE4F47" w:rsidRDefault="00137D7F" w:rsidP="008E113B">
      <w:pPr>
        <w:spacing w:after="130" w:line="360" w:lineRule="auto"/>
        <w:ind w:left="360"/>
        <w:rPr>
          <w:rFonts w:ascii="Aptos" w:hAnsi="Aptos"/>
        </w:rPr>
      </w:pPr>
      <w:bookmarkStart w:id="1341" w:name="_Toc241083154"/>
      <w:bookmarkStart w:id="1342" w:name="_Toc241670334"/>
      <w:bookmarkStart w:id="1343" w:name="_Toc241708042"/>
      <w:bookmarkStart w:id="1344" w:name="_Toc241791991"/>
      <w:r w:rsidRPr="00BE4F47">
        <w:rPr>
          <w:rFonts w:ascii="Aptos" w:hAnsi="Aptos"/>
          <w:color w:val="1A1A19"/>
          <w:sz w:val="20"/>
          <w:szCs w:val="20"/>
        </w:rPr>
        <w:t>La structure de découpage ci-dessous décompose le mandat en six ensembles, puis chaque ensemble en activités. Elle relie les lots de la section 8, qui portent l’effort, les livrables de la section 2, qui portent la valeur, et les activités, qui portent les durées.</w:t>
      </w:r>
      <w:bookmarkEnd w:id="1341"/>
      <w:bookmarkEnd w:id="1342"/>
      <w:bookmarkEnd w:id="1343"/>
      <w:bookmarkEnd w:id="1344"/>
    </w:p>
    <w:p w14:paraId="22CCD551" w14:textId="77777777" w:rsidR="00F50D70" w:rsidRPr="00BE4F47" w:rsidRDefault="002A1CE1" w:rsidP="008E113B">
      <w:pPr>
        <w:keepNext/>
        <w:spacing w:after="130" w:line="360" w:lineRule="auto"/>
        <w:ind w:left="360"/>
        <w:rPr>
          <w:rFonts w:ascii="Aptos" w:hAnsi="Aptos"/>
        </w:rPr>
      </w:pPr>
      <w:bookmarkStart w:id="1345" w:name="_Toc241083155"/>
      <w:bookmarkStart w:id="1346" w:name="_Toc241670335"/>
      <w:bookmarkStart w:id="1347" w:name="_Toc241708043"/>
      <w:bookmarkStart w:id="1348" w:name="_Toc241791992"/>
      <w:r>
        <w:rPr>
          <w:rFonts w:ascii="Aptos" w:hAnsi="Aptos"/>
          <w:noProof/>
        </w:rPr>
        <w:lastRenderedPageBreak/>
        <w:drawing>
          <wp:anchor distT="0" distB="0" distL="114300" distR="114300" simplePos="0" relativeHeight="251656192" behindDoc="0" locked="0" layoutInCell="1" allowOverlap="1" wp14:anchorId="25BD99B5" wp14:editId="62832836">
            <wp:simplePos x="0" y="0"/>
            <wp:positionH relativeFrom="column">
              <wp:posOffset>174625</wp:posOffset>
            </wp:positionH>
            <wp:positionV relativeFrom="paragraph">
              <wp:posOffset>1031875</wp:posOffset>
            </wp:positionV>
            <wp:extent cx="5440680" cy="2179320"/>
            <wp:effectExtent l="0" t="0" r="0" b="0"/>
            <wp:wrapTopAndBottom/>
            <wp:docPr id="126683801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440680" cy="2179320"/>
                    </a:xfrm>
                    <a:prstGeom prst="rect">
                      <a:avLst/>
                    </a:prstGeom>
                    <a:noFill/>
                  </pic:spPr>
                </pic:pic>
              </a:graphicData>
            </a:graphic>
            <wp14:sizeRelH relativeFrom="page">
              <wp14:pctWidth>0</wp14:pctWidth>
            </wp14:sizeRelH>
            <wp14:sizeRelV relativeFrom="page">
              <wp14:pctHeight>0</wp14:pctHeight>
            </wp14:sizeRelV>
          </wp:anchor>
        </w:drawing>
      </w:r>
      <w:r w:rsidR="00273A91" w:rsidRPr="00BE4F47">
        <w:rPr>
          <w:rFonts w:ascii="Aptos" w:hAnsi="Aptos"/>
          <w:color w:val="1A1A19"/>
          <w:sz w:val="20"/>
          <w:szCs w:val="20"/>
        </w:rPr>
        <w:t>Le découpage suit le cycle de vie plutôt que l’organigramme de l’équipe. Un découpage par personne aurait figé l’affectation et rendu l’échéancier dépendant des disponibilités individuelles. Un découpage par phase permet de déplacer une personne d’une activité à une autre sans refaire la planification.</w:t>
      </w:r>
      <w:bookmarkEnd w:id="1345"/>
      <w:bookmarkEnd w:id="1346"/>
      <w:bookmarkEnd w:id="1347"/>
      <w:bookmarkEnd w:id="1348"/>
    </w:p>
    <w:p w14:paraId="1CE789BE" w14:textId="77777777" w:rsidR="00F50D70" w:rsidRPr="00BE4F47" w:rsidRDefault="00137D7F" w:rsidP="008E113B">
      <w:pPr>
        <w:pStyle w:val="Lgende"/>
        <w:spacing w:line="360" w:lineRule="auto"/>
        <w:rPr>
          <w:rFonts w:ascii="Aptos" w:hAnsi="Aptos"/>
        </w:rPr>
      </w:pPr>
      <w:bookmarkStart w:id="1349" w:name="_Toc241083156"/>
      <w:bookmarkStart w:id="1350" w:name="_Toc241670336"/>
      <w:bookmarkStart w:id="1351" w:name="_Toc241708044"/>
      <w:bookmarkStart w:id="1352" w:name="_Toc241791993"/>
      <w:r w:rsidRPr="00BE4F47">
        <w:rPr>
          <w:rFonts w:ascii="Aptos" w:hAnsi="Aptos"/>
        </w:rPr>
        <w:t>Figure 10-1. Structure de découpage du projet</w:t>
      </w:r>
      <w:bookmarkEnd w:id="1349"/>
      <w:bookmarkEnd w:id="1350"/>
      <w:bookmarkEnd w:id="1351"/>
      <w:bookmarkEnd w:id="1352"/>
    </w:p>
    <w:p w14:paraId="799C0C78" w14:textId="77777777" w:rsidR="00F50D70" w:rsidRPr="00BE4F47" w:rsidRDefault="00137D7F" w:rsidP="008E113B">
      <w:pPr>
        <w:spacing w:after="130" w:line="360" w:lineRule="auto"/>
        <w:ind w:left="360"/>
        <w:rPr>
          <w:rFonts w:ascii="Aptos" w:hAnsi="Aptos"/>
        </w:rPr>
      </w:pPr>
      <w:bookmarkStart w:id="1353" w:name="_Toc241083157"/>
      <w:bookmarkStart w:id="1354" w:name="_Toc241670337"/>
      <w:bookmarkStart w:id="1355" w:name="_Toc241708045"/>
      <w:bookmarkStart w:id="1356" w:name="_Toc241791994"/>
      <w:r w:rsidRPr="00BE4F47">
        <w:rPr>
          <w:rFonts w:ascii="Aptos" w:hAnsi="Aptos"/>
          <w:color w:val="1A1A19"/>
          <w:sz w:val="20"/>
          <w:szCs w:val="20"/>
        </w:rPr>
        <w:t>Chaque feuille de l’arbre porte le lot de travail qui la finance, et, lorsqu’elle s’y rattache, l’état GEMMA ou l’identifiant de fonction qu’elle réalise. C’est ce double rattachement qui permet de calculer la valeur acquise : une activité terminée fait avancer un lot dont l’effort est connu, donc une valeur chiffrable.</w:t>
      </w:r>
      <w:bookmarkEnd w:id="1353"/>
      <w:bookmarkEnd w:id="1354"/>
      <w:bookmarkEnd w:id="1355"/>
      <w:bookmarkEnd w:id="1356"/>
    </w:p>
    <w:p w14:paraId="72975E9D" w14:textId="77777777" w:rsidR="00F50D70" w:rsidRPr="00BE4F47" w:rsidRDefault="00137D7F" w:rsidP="008E113B">
      <w:pPr>
        <w:spacing w:after="130" w:line="360" w:lineRule="auto"/>
        <w:ind w:left="360"/>
        <w:rPr>
          <w:rFonts w:ascii="Aptos" w:hAnsi="Aptos"/>
        </w:rPr>
      </w:pPr>
      <w:bookmarkStart w:id="1357" w:name="_Toc241083158"/>
      <w:bookmarkStart w:id="1358" w:name="_Toc241670338"/>
      <w:bookmarkStart w:id="1359" w:name="_Toc241708046"/>
      <w:bookmarkStart w:id="1360" w:name="_Toc241791995"/>
      <w:r w:rsidRPr="00BE4F47">
        <w:rPr>
          <w:rFonts w:ascii="Aptos" w:hAnsi="Aptos"/>
          <w:color w:val="1A1A19"/>
          <w:sz w:val="20"/>
          <w:szCs w:val="20"/>
        </w:rPr>
        <w:t>Les activités se répartissent en trois familles pour l’ordonnancement : les activités séquentielles, où la suivante attend le résultat de la précédente ; les activités parallèles, menées de front par des membres différents ; les activités à ressource partagée, qui réclament la même compétence et doivent donc être décalées.</w:t>
      </w:r>
      <w:bookmarkEnd w:id="1357"/>
      <w:bookmarkEnd w:id="1358"/>
      <w:bookmarkEnd w:id="1359"/>
      <w:bookmarkEnd w:id="1360"/>
    </w:p>
    <w:p w14:paraId="3415932A" w14:textId="77777777" w:rsidR="00F50D70" w:rsidRPr="00B36301" w:rsidRDefault="00137D7F" w:rsidP="008E113B">
      <w:pPr>
        <w:pStyle w:val="Titre2"/>
        <w:spacing w:line="360" w:lineRule="auto"/>
      </w:pPr>
      <w:bookmarkStart w:id="1361" w:name="_Toc241708047"/>
      <w:bookmarkStart w:id="1362" w:name="_Toc241791996"/>
      <w:r w:rsidRPr="00B36301">
        <w:t>Base de calendrier et capacité de l’équipe</w:t>
      </w:r>
      <w:bookmarkEnd w:id="1361"/>
      <w:bookmarkEnd w:id="1362"/>
    </w:p>
    <w:p w14:paraId="3ABB7BEA" w14:textId="77777777" w:rsidR="00F50D70" w:rsidRPr="00BE4F47" w:rsidRDefault="00137D7F" w:rsidP="008E113B">
      <w:pPr>
        <w:spacing w:after="130" w:line="360" w:lineRule="auto"/>
        <w:ind w:left="360"/>
        <w:rPr>
          <w:rFonts w:ascii="Aptos" w:eastAsia="Calibri" w:hAnsi="Aptos" w:cs="Calibri"/>
          <w:color w:val="1A1A19"/>
          <w:sz w:val="20"/>
          <w:szCs w:val="20"/>
        </w:rPr>
      </w:pPr>
      <w:bookmarkStart w:id="1363" w:name="_Toc241083160"/>
      <w:bookmarkStart w:id="1364" w:name="_Toc241670340"/>
      <w:bookmarkStart w:id="1365" w:name="_Toc241708048"/>
      <w:bookmarkStart w:id="1366" w:name="_Toc241791997"/>
      <w:r w:rsidRPr="00BE4F47">
        <w:rPr>
          <w:rFonts w:ascii="Aptos" w:hAnsi="Aptos"/>
          <w:color w:val="1A1A19"/>
          <w:sz w:val="20"/>
          <w:szCs w:val="20"/>
        </w:rPr>
        <w:t>L’échéancier est construit sur le calendrier du trimestre d’automne 2026 de l’UQAC, qui s’étend du 31 août au 22 décembre 2026 [51]. Trois congés fériés interrompent la période : le 7 septembre, le 30 septembre et le 12 octobre. Un congé pédagogique sans enseignement couvre du 13 au 16 octobre. La date limite d’abandon sans mention d’échec, le 10 novembre, sert de repère pour la gestion du risque d’équipe.</w:t>
      </w:r>
      <w:bookmarkEnd w:id="1363"/>
      <w:bookmarkEnd w:id="1364"/>
      <w:bookmarkEnd w:id="1365"/>
      <w:bookmarkEnd w:id="1366"/>
    </w:p>
    <w:p w14:paraId="458D88B0" w14:textId="77777777" w:rsidR="00F50D70" w:rsidRPr="00BE4F47" w:rsidRDefault="00137D7F" w:rsidP="008E113B">
      <w:pPr>
        <w:spacing w:after="130" w:line="360" w:lineRule="auto"/>
        <w:ind w:left="360"/>
        <w:rPr>
          <w:rFonts w:ascii="Aptos" w:eastAsia="Calibri" w:hAnsi="Aptos" w:cs="Calibri"/>
          <w:color w:val="1A1A19"/>
          <w:sz w:val="20"/>
          <w:szCs w:val="20"/>
        </w:rPr>
      </w:pPr>
      <w:bookmarkStart w:id="1367" w:name="_Toc241083161"/>
      <w:bookmarkStart w:id="1368" w:name="_Toc241670341"/>
      <w:bookmarkStart w:id="1369" w:name="_Toc241708049"/>
      <w:bookmarkStart w:id="1370" w:name="_Toc241791998"/>
      <w:r w:rsidRPr="00BE4F47">
        <w:rPr>
          <w:rFonts w:ascii="Aptos" w:hAnsi="Aptos"/>
          <w:color w:val="1A1A19"/>
          <w:sz w:val="20"/>
          <w:szCs w:val="20"/>
        </w:rPr>
        <w:t>L’équipe dispose de trois créneaux fixes chaque semaine : l’atelier du mercredi soir et les séances de laboratoire du jeudi et du vendredi midi.</w:t>
      </w:r>
      <w:bookmarkEnd w:id="1367"/>
      <w:bookmarkEnd w:id="1368"/>
      <w:bookmarkEnd w:id="1369"/>
      <w:bookmarkEnd w:id="1370"/>
    </w:p>
    <w:p w14:paraId="61C1A91E" w14:textId="77777777" w:rsidR="00F50D70" w:rsidRPr="00BE4F47" w:rsidRDefault="00137D7F" w:rsidP="008E113B">
      <w:pPr>
        <w:spacing w:after="130" w:line="360" w:lineRule="auto"/>
        <w:ind w:left="360"/>
        <w:rPr>
          <w:rFonts w:ascii="Aptos" w:eastAsia="Calibri" w:hAnsi="Aptos" w:cs="Calibri"/>
          <w:color w:val="1A1A19"/>
          <w:sz w:val="20"/>
          <w:szCs w:val="20"/>
        </w:rPr>
      </w:pPr>
      <w:bookmarkStart w:id="1371" w:name="_Toc241083162"/>
      <w:bookmarkStart w:id="1372" w:name="_Toc241670342"/>
      <w:bookmarkStart w:id="1373" w:name="_Toc241708050"/>
      <w:bookmarkStart w:id="1374" w:name="_Toc241791999"/>
      <w:r w:rsidRPr="00BE4F47">
        <w:rPr>
          <w:rFonts w:ascii="Aptos" w:hAnsi="Aptos"/>
          <w:color w:val="1A1A19"/>
          <w:sz w:val="20"/>
          <w:szCs w:val="20"/>
        </w:rPr>
        <w:t>La capacité d’une équipe étudiante n’est pas constante : elle baisse pendant les examens de mi-session et pendant les travaux de fin de session. L’échéancier tient compte de cette variation plutôt que de répartir les 1 080 heures uniformément.</w:t>
      </w:r>
      <w:bookmarkEnd w:id="1371"/>
      <w:bookmarkEnd w:id="1372"/>
      <w:bookmarkEnd w:id="1373"/>
      <w:bookmarkEnd w:id="1374"/>
    </w:p>
    <w:p w14:paraId="5D81D44A" w14:textId="77777777" w:rsidR="00F50D70" w:rsidRPr="00B36301" w:rsidRDefault="00137D7F" w:rsidP="008E113B">
      <w:pPr>
        <w:pStyle w:val="Titre2"/>
        <w:spacing w:line="360" w:lineRule="auto"/>
      </w:pPr>
      <w:bookmarkStart w:id="1375" w:name="_Toc241708051"/>
      <w:bookmarkStart w:id="1376" w:name="_Toc241792000"/>
      <w:r w:rsidRPr="00B36301">
        <w:lastRenderedPageBreak/>
        <w:t>Découpage en phases, jalons et livrables</w:t>
      </w:r>
      <w:bookmarkEnd w:id="1375"/>
      <w:bookmarkEnd w:id="1376"/>
    </w:p>
    <w:p w14:paraId="58BA0667" w14:textId="77777777" w:rsidR="00F50D70" w:rsidRPr="00BE4F47" w:rsidRDefault="00137D7F" w:rsidP="008E113B">
      <w:pPr>
        <w:spacing w:after="130" w:line="360" w:lineRule="auto"/>
        <w:ind w:left="360"/>
        <w:rPr>
          <w:rFonts w:ascii="Aptos" w:eastAsia="Calibri" w:hAnsi="Aptos" w:cs="Calibri"/>
          <w:color w:val="1A1A19"/>
          <w:sz w:val="20"/>
          <w:szCs w:val="20"/>
        </w:rPr>
      </w:pPr>
      <w:bookmarkStart w:id="1377" w:name="_Toc241083164"/>
      <w:bookmarkStart w:id="1378" w:name="_Toc241670344"/>
      <w:bookmarkStart w:id="1379" w:name="_Toc241708052"/>
      <w:bookmarkStart w:id="1380" w:name="_Toc241792001"/>
      <w:r w:rsidRPr="00BE4F47">
        <w:rPr>
          <w:rFonts w:ascii="Aptos" w:hAnsi="Aptos"/>
          <w:color w:val="1A1A19"/>
          <w:sz w:val="20"/>
          <w:szCs w:val="20"/>
        </w:rPr>
        <w:t>Le projet est découpé en six phases séparées par des jalons. Un jalon est un point de contrôle assorti d’un livrable identifié. Il est franchi ou il ne l’est pas. Les phases sont comptées en semaines complètes et chaque jalon est tenu le vendredi, au dernier créneau de laboratoire de la phase. Le jalon J5 est tenu le 18 décembre, après la réserve d’échéancier.</w:t>
      </w:r>
      <w:bookmarkEnd w:id="1377"/>
      <w:bookmarkEnd w:id="1378"/>
      <w:bookmarkEnd w:id="1379"/>
      <w:bookmarkEnd w:id="1380"/>
    </w:p>
    <w:p w14:paraId="7394905B" w14:textId="77777777" w:rsidR="00F50D70" w:rsidRPr="00BE4F47" w:rsidRDefault="00137D7F" w:rsidP="008E113B">
      <w:pPr>
        <w:pStyle w:val="Lgende"/>
        <w:keepNext/>
        <w:spacing w:line="360" w:lineRule="auto"/>
        <w:rPr>
          <w:rFonts w:ascii="Aptos" w:hAnsi="Aptos"/>
        </w:rPr>
      </w:pPr>
      <w:bookmarkStart w:id="1381" w:name="_Toc241083165"/>
      <w:bookmarkStart w:id="1382" w:name="_Toc241670345"/>
      <w:bookmarkStart w:id="1383" w:name="_Toc241708053"/>
      <w:bookmarkStart w:id="1384" w:name="_Toc241792002"/>
      <w:r w:rsidRPr="00BE4F47">
        <w:rPr>
          <w:rFonts w:ascii="Aptos" w:hAnsi="Aptos"/>
        </w:rPr>
        <w:t>Tableau 10-1. Phases, jalons et livrables de l’échéancier préliminaire</w:t>
      </w:r>
      <w:bookmarkEnd w:id="1381"/>
      <w:bookmarkEnd w:id="1382"/>
      <w:bookmarkEnd w:id="1383"/>
      <w:bookmarkEnd w:id="1384"/>
    </w:p>
    <w:tbl>
      <w:tblPr>
        <w:tblW w:w="8557" w:type="dxa"/>
        <w:tblInd w:w="413" w:type="dxa"/>
        <w:tblLayout w:type="fixed"/>
        <w:tblCellMar>
          <w:top w:w="55" w:type="dxa"/>
          <w:left w:w="85" w:type="dxa"/>
          <w:bottom w:w="55" w:type="dxa"/>
          <w:right w:w="85" w:type="dxa"/>
        </w:tblCellMar>
        <w:tblLook w:val="04A0" w:firstRow="1" w:lastRow="0" w:firstColumn="1" w:lastColumn="0" w:noHBand="0" w:noVBand="1"/>
      </w:tblPr>
      <w:tblGrid>
        <w:gridCol w:w="540"/>
        <w:gridCol w:w="1850"/>
        <w:gridCol w:w="1330"/>
        <w:gridCol w:w="850"/>
        <w:gridCol w:w="780"/>
        <w:gridCol w:w="3207"/>
      </w:tblGrid>
      <w:tr w:rsidR="00F50D70" w:rsidRPr="00BE4F47" w14:paraId="5AD4E00A" w14:textId="77777777">
        <w:trPr>
          <w:trHeight w:val="248"/>
          <w:tblHeader/>
        </w:trPr>
        <w:tc>
          <w:tcPr>
            <w:tcW w:w="540" w:type="dxa"/>
            <w:tcBorders>
              <w:top w:val="single" w:sz="4" w:space="0" w:color="000000"/>
              <w:left w:val="single" w:sz="4" w:space="0" w:color="000000"/>
              <w:bottom w:val="single" w:sz="4" w:space="0" w:color="000000"/>
              <w:right w:val="single" w:sz="4" w:space="0" w:color="000000"/>
            </w:tcBorders>
            <w:shd w:val="clear" w:color="auto" w:fill="EFF4FB"/>
          </w:tcPr>
          <w:p w14:paraId="2572E554"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Ph.</w:t>
            </w:r>
          </w:p>
        </w:tc>
        <w:tc>
          <w:tcPr>
            <w:tcW w:w="1850" w:type="dxa"/>
            <w:tcBorders>
              <w:top w:val="single" w:sz="4" w:space="0" w:color="000000"/>
              <w:left w:val="single" w:sz="4" w:space="0" w:color="000000"/>
              <w:bottom w:val="single" w:sz="4" w:space="0" w:color="000000"/>
              <w:right w:val="single" w:sz="4" w:space="0" w:color="000000"/>
            </w:tcBorders>
            <w:shd w:val="clear" w:color="auto" w:fill="EFF4FB"/>
          </w:tcPr>
          <w:p w14:paraId="43D47B24"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Intitulé</w:t>
            </w:r>
          </w:p>
        </w:tc>
        <w:tc>
          <w:tcPr>
            <w:tcW w:w="1330" w:type="dxa"/>
            <w:tcBorders>
              <w:top w:val="single" w:sz="4" w:space="0" w:color="000000"/>
              <w:left w:val="single" w:sz="4" w:space="0" w:color="000000"/>
              <w:bottom w:val="single" w:sz="4" w:space="0" w:color="000000"/>
              <w:right w:val="single" w:sz="4" w:space="0" w:color="000000"/>
            </w:tcBorders>
            <w:shd w:val="clear" w:color="auto" w:fill="EFF4FB"/>
          </w:tcPr>
          <w:p w14:paraId="4984F3B0"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Période</w:t>
            </w:r>
          </w:p>
        </w:tc>
        <w:tc>
          <w:tcPr>
            <w:tcW w:w="850" w:type="dxa"/>
            <w:tcBorders>
              <w:top w:val="single" w:sz="4" w:space="0" w:color="000000"/>
              <w:left w:val="single" w:sz="4" w:space="0" w:color="000000"/>
              <w:bottom w:val="single" w:sz="4" w:space="0" w:color="000000"/>
              <w:right w:val="single" w:sz="4" w:space="0" w:color="000000"/>
            </w:tcBorders>
            <w:shd w:val="clear" w:color="auto" w:fill="EFF4FB"/>
          </w:tcPr>
          <w:p w14:paraId="0C857817"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Effort</w:t>
            </w:r>
          </w:p>
        </w:tc>
        <w:tc>
          <w:tcPr>
            <w:tcW w:w="780" w:type="dxa"/>
            <w:tcBorders>
              <w:top w:val="single" w:sz="4" w:space="0" w:color="000000"/>
              <w:left w:val="single" w:sz="4" w:space="0" w:color="000000"/>
              <w:bottom w:val="single" w:sz="4" w:space="0" w:color="000000"/>
              <w:right w:val="single" w:sz="4" w:space="0" w:color="000000"/>
            </w:tcBorders>
            <w:shd w:val="clear" w:color="auto" w:fill="EFF4FB"/>
          </w:tcPr>
          <w:p w14:paraId="775CB2F7"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Part</w:t>
            </w:r>
          </w:p>
        </w:tc>
        <w:tc>
          <w:tcPr>
            <w:tcW w:w="3207" w:type="dxa"/>
            <w:tcBorders>
              <w:top w:val="single" w:sz="4" w:space="0" w:color="000000"/>
              <w:left w:val="single" w:sz="4" w:space="0" w:color="000000"/>
              <w:bottom w:val="single" w:sz="4" w:space="0" w:color="000000"/>
              <w:right w:val="single" w:sz="4" w:space="0" w:color="000000"/>
            </w:tcBorders>
            <w:shd w:val="clear" w:color="auto" w:fill="EFF4FB"/>
          </w:tcPr>
          <w:p w14:paraId="3A4A98CE"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Jalon de fin et livrables</w:t>
            </w:r>
          </w:p>
        </w:tc>
      </w:tr>
      <w:tr w:rsidR="00F50D70" w:rsidRPr="00BE4F47" w14:paraId="779559AA" w14:textId="77777777">
        <w:trPr>
          <w:cantSplit/>
          <w:trHeight w:val="248"/>
        </w:trPr>
        <w:tc>
          <w:tcPr>
            <w:tcW w:w="540" w:type="dxa"/>
            <w:tcBorders>
              <w:top w:val="single" w:sz="4" w:space="0" w:color="000000"/>
              <w:left w:val="single" w:sz="4" w:space="0" w:color="000000"/>
              <w:bottom w:val="single" w:sz="4" w:space="0" w:color="000000"/>
              <w:right w:val="single" w:sz="4" w:space="0" w:color="000000"/>
            </w:tcBorders>
          </w:tcPr>
          <w:p w14:paraId="33A3CB3B"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P0</w:t>
            </w:r>
          </w:p>
        </w:tc>
        <w:tc>
          <w:tcPr>
            <w:tcW w:w="1850" w:type="dxa"/>
            <w:tcBorders>
              <w:top w:val="single" w:sz="4" w:space="0" w:color="000000"/>
              <w:left w:val="single" w:sz="4" w:space="0" w:color="000000"/>
              <w:bottom w:val="single" w:sz="4" w:space="0" w:color="000000"/>
              <w:right w:val="single" w:sz="4" w:space="0" w:color="000000"/>
            </w:tcBorders>
          </w:tcPr>
          <w:p w14:paraId="2DB869FB"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Démarrage et cadrage</w:t>
            </w:r>
          </w:p>
        </w:tc>
        <w:tc>
          <w:tcPr>
            <w:tcW w:w="1330" w:type="dxa"/>
            <w:tcBorders>
              <w:top w:val="single" w:sz="4" w:space="0" w:color="000000"/>
              <w:left w:val="single" w:sz="4" w:space="0" w:color="000000"/>
              <w:bottom w:val="single" w:sz="4" w:space="0" w:color="000000"/>
              <w:right w:val="single" w:sz="4" w:space="0" w:color="000000"/>
            </w:tcBorders>
          </w:tcPr>
          <w:p w14:paraId="16C689F8"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31 août au 4 oct.</w:t>
            </w:r>
          </w:p>
        </w:tc>
        <w:tc>
          <w:tcPr>
            <w:tcW w:w="850" w:type="dxa"/>
            <w:tcBorders>
              <w:top w:val="single" w:sz="4" w:space="0" w:color="000000"/>
              <w:left w:val="single" w:sz="4" w:space="0" w:color="000000"/>
              <w:bottom w:val="single" w:sz="4" w:space="0" w:color="000000"/>
              <w:right w:val="single" w:sz="4" w:space="0" w:color="000000"/>
            </w:tcBorders>
          </w:tcPr>
          <w:p w14:paraId="59A7A305"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240 h</w:t>
            </w:r>
          </w:p>
        </w:tc>
        <w:tc>
          <w:tcPr>
            <w:tcW w:w="780" w:type="dxa"/>
            <w:tcBorders>
              <w:top w:val="single" w:sz="4" w:space="0" w:color="000000"/>
              <w:left w:val="single" w:sz="4" w:space="0" w:color="000000"/>
              <w:bottom w:val="single" w:sz="4" w:space="0" w:color="000000"/>
              <w:right w:val="single" w:sz="4" w:space="0" w:color="000000"/>
            </w:tcBorders>
          </w:tcPr>
          <w:p w14:paraId="0F25CBF0"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22,2 %</w:t>
            </w:r>
          </w:p>
        </w:tc>
        <w:tc>
          <w:tcPr>
            <w:tcW w:w="3207" w:type="dxa"/>
            <w:tcBorders>
              <w:top w:val="single" w:sz="4" w:space="0" w:color="000000"/>
              <w:left w:val="single" w:sz="4" w:space="0" w:color="000000"/>
              <w:bottom w:val="single" w:sz="4" w:space="0" w:color="000000"/>
              <w:right w:val="single" w:sz="4" w:space="0" w:color="000000"/>
            </w:tcBorders>
          </w:tcPr>
          <w:p w14:paraId="380D76DA"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J0 (2 oct.). Plan de projet remis. Livrable L07.</w:t>
            </w:r>
          </w:p>
        </w:tc>
      </w:tr>
      <w:tr w:rsidR="00F50D70" w:rsidRPr="00BE4F47" w14:paraId="59FFE7A9" w14:textId="77777777">
        <w:trPr>
          <w:cantSplit/>
          <w:trHeight w:val="629"/>
        </w:trPr>
        <w:tc>
          <w:tcPr>
            <w:tcW w:w="540" w:type="dxa"/>
            <w:tcBorders>
              <w:top w:val="single" w:sz="4" w:space="0" w:color="000000"/>
              <w:left w:val="single" w:sz="4" w:space="0" w:color="000000"/>
              <w:bottom w:val="single" w:sz="4" w:space="0" w:color="000000"/>
              <w:right w:val="single" w:sz="4" w:space="0" w:color="000000"/>
            </w:tcBorders>
          </w:tcPr>
          <w:p w14:paraId="379DD21C"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P1</w:t>
            </w:r>
          </w:p>
        </w:tc>
        <w:tc>
          <w:tcPr>
            <w:tcW w:w="1850" w:type="dxa"/>
            <w:tcBorders>
              <w:top w:val="single" w:sz="4" w:space="0" w:color="000000"/>
              <w:left w:val="single" w:sz="4" w:space="0" w:color="000000"/>
              <w:bottom w:val="single" w:sz="4" w:space="0" w:color="000000"/>
              <w:right w:val="single" w:sz="4" w:space="0" w:color="000000"/>
            </w:tcBorders>
          </w:tcPr>
          <w:p w14:paraId="3C923FAF"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Exigences et analyse fonctionnelle</w:t>
            </w:r>
          </w:p>
        </w:tc>
        <w:tc>
          <w:tcPr>
            <w:tcW w:w="1330" w:type="dxa"/>
            <w:tcBorders>
              <w:top w:val="single" w:sz="4" w:space="0" w:color="000000"/>
              <w:left w:val="single" w:sz="4" w:space="0" w:color="000000"/>
              <w:bottom w:val="single" w:sz="4" w:space="0" w:color="000000"/>
              <w:right w:val="single" w:sz="4" w:space="0" w:color="000000"/>
            </w:tcBorders>
          </w:tcPr>
          <w:p w14:paraId="51A1E94D"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5 au 11 oct.</w:t>
            </w:r>
          </w:p>
        </w:tc>
        <w:tc>
          <w:tcPr>
            <w:tcW w:w="850" w:type="dxa"/>
            <w:tcBorders>
              <w:top w:val="single" w:sz="4" w:space="0" w:color="000000"/>
              <w:left w:val="single" w:sz="4" w:space="0" w:color="000000"/>
              <w:bottom w:val="single" w:sz="4" w:space="0" w:color="000000"/>
              <w:right w:val="single" w:sz="4" w:space="0" w:color="000000"/>
            </w:tcBorders>
          </w:tcPr>
          <w:p w14:paraId="4B8008D0"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88 h</w:t>
            </w:r>
          </w:p>
        </w:tc>
        <w:tc>
          <w:tcPr>
            <w:tcW w:w="780" w:type="dxa"/>
            <w:tcBorders>
              <w:top w:val="single" w:sz="4" w:space="0" w:color="000000"/>
              <w:left w:val="single" w:sz="4" w:space="0" w:color="000000"/>
              <w:bottom w:val="single" w:sz="4" w:space="0" w:color="000000"/>
              <w:right w:val="single" w:sz="4" w:space="0" w:color="000000"/>
            </w:tcBorders>
          </w:tcPr>
          <w:p w14:paraId="09DEE53D"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8,2 %</w:t>
            </w:r>
          </w:p>
        </w:tc>
        <w:tc>
          <w:tcPr>
            <w:tcW w:w="3207" w:type="dxa"/>
            <w:tcBorders>
              <w:top w:val="single" w:sz="4" w:space="0" w:color="000000"/>
              <w:left w:val="single" w:sz="4" w:space="0" w:color="000000"/>
              <w:bottom w:val="single" w:sz="4" w:space="0" w:color="000000"/>
              <w:right w:val="single" w:sz="4" w:space="0" w:color="000000"/>
            </w:tcBorders>
          </w:tcPr>
          <w:p w14:paraId="470D0830"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J1 (9 oct.). Registre des exigences et GEMMA acceptés. Ils deviennent la référence du projet. Livrables L03 et L04.</w:t>
            </w:r>
          </w:p>
        </w:tc>
      </w:tr>
      <w:tr w:rsidR="00F50D70" w:rsidRPr="00BE4F47" w14:paraId="48045826" w14:textId="77777777">
        <w:trPr>
          <w:cantSplit/>
          <w:trHeight w:val="629"/>
        </w:trPr>
        <w:tc>
          <w:tcPr>
            <w:tcW w:w="540" w:type="dxa"/>
            <w:tcBorders>
              <w:top w:val="single" w:sz="4" w:space="0" w:color="000000"/>
              <w:left w:val="single" w:sz="4" w:space="0" w:color="000000"/>
              <w:bottom w:val="single" w:sz="4" w:space="0" w:color="000000"/>
              <w:right w:val="single" w:sz="4" w:space="0" w:color="000000"/>
            </w:tcBorders>
          </w:tcPr>
          <w:p w14:paraId="49673083"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P2</w:t>
            </w:r>
          </w:p>
        </w:tc>
        <w:tc>
          <w:tcPr>
            <w:tcW w:w="1850" w:type="dxa"/>
            <w:tcBorders>
              <w:top w:val="single" w:sz="4" w:space="0" w:color="000000"/>
              <w:left w:val="single" w:sz="4" w:space="0" w:color="000000"/>
              <w:bottom w:val="single" w:sz="4" w:space="0" w:color="000000"/>
              <w:right w:val="single" w:sz="4" w:space="0" w:color="000000"/>
            </w:tcBorders>
          </w:tcPr>
          <w:p w14:paraId="16BCDD92"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Conception préliminaire : modèle et architecture</w:t>
            </w:r>
          </w:p>
        </w:tc>
        <w:tc>
          <w:tcPr>
            <w:tcW w:w="1330" w:type="dxa"/>
            <w:tcBorders>
              <w:top w:val="single" w:sz="4" w:space="0" w:color="000000"/>
              <w:left w:val="single" w:sz="4" w:space="0" w:color="000000"/>
              <w:bottom w:val="single" w:sz="4" w:space="0" w:color="000000"/>
              <w:right w:val="single" w:sz="4" w:space="0" w:color="000000"/>
            </w:tcBorders>
          </w:tcPr>
          <w:p w14:paraId="668CE48E"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12 au 25 oct.</w:t>
            </w:r>
          </w:p>
        </w:tc>
        <w:tc>
          <w:tcPr>
            <w:tcW w:w="850" w:type="dxa"/>
            <w:tcBorders>
              <w:top w:val="single" w:sz="4" w:space="0" w:color="000000"/>
              <w:left w:val="single" w:sz="4" w:space="0" w:color="000000"/>
              <w:bottom w:val="single" w:sz="4" w:space="0" w:color="000000"/>
              <w:right w:val="single" w:sz="4" w:space="0" w:color="000000"/>
            </w:tcBorders>
          </w:tcPr>
          <w:p w14:paraId="46291678"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160 h</w:t>
            </w:r>
          </w:p>
        </w:tc>
        <w:tc>
          <w:tcPr>
            <w:tcW w:w="780" w:type="dxa"/>
            <w:tcBorders>
              <w:top w:val="single" w:sz="4" w:space="0" w:color="000000"/>
              <w:left w:val="single" w:sz="4" w:space="0" w:color="000000"/>
              <w:bottom w:val="single" w:sz="4" w:space="0" w:color="000000"/>
              <w:right w:val="single" w:sz="4" w:space="0" w:color="000000"/>
            </w:tcBorders>
          </w:tcPr>
          <w:p w14:paraId="314FCF3D"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14,8 %</w:t>
            </w:r>
          </w:p>
        </w:tc>
        <w:tc>
          <w:tcPr>
            <w:tcW w:w="3207" w:type="dxa"/>
            <w:tcBorders>
              <w:top w:val="single" w:sz="4" w:space="0" w:color="000000"/>
              <w:left w:val="single" w:sz="4" w:space="0" w:color="000000"/>
              <w:bottom w:val="single" w:sz="4" w:space="0" w:color="000000"/>
              <w:right w:val="single" w:sz="4" w:space="0" w:color="000000"/>
            </w:tcBorders>
          </w:tcPr>
          <w:p w14:paraId="5DCE223D"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J2 (23 oct.). Plan de vérification et de validation accepté, architecture et modèle de référence décrits à l’intérieur. Livrable L05.</w:t>
            </w:r>
          </w:p>
        </w:tc>
      </w:tr>
      <w:tr w:rsidR="00F50D70" w:rsidRPr="00BE4F47" w14:paraId="2F92BF41" w14:textId="77777777">
        <w:trPr>
          <w:cantSplit/>
          <w:trHeight w:val="629"/>
        </w:trPr>
        <w:tc>
          <w:tcPr>
            <w:tcW w:w="540" w:type="dxa"/>
            <w:tcBorders>
              <w:top w:val="single" w:sz="4" w:space="0" w:color="000000"/>
              <w:left w:val="single" w:sz="4" w:space="0" w:color="000000"/>
              <w:bottom w:val="single" w:sz="4" w:space="0" w:color="000000"/>
              <w:right w:val="single" w:sz="4" w:space="0" w:color="000000"/>
            </w:tcBorders>
          </w:tcPr>
          <w:p w14:paraId="69B68969"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P3</w:t>
            </w:r>
          </w:p>
        </w:tc>
        <w:tc>
          <w:tcPr>
            <w:tcW w:w="1850" w:type="dxa"/>
            <w:tcBorders>
              <w:top w:val="single" w:sz="4" w:space="0" w:color="000000"/>
              <w:left w:val="single" w:sz="4" w:space="0" w:color="000000"/>
              <w:bottom w:val="single" w:sz="4" w:space="0" w:color="000000"/>
              <w:right w:val="single" w:sz="4" w:space="0" w:color="000000"/>
            </w:tcBorders>
          </w:tcPr>
          <w:p w14:paraId="1AC278A8"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Conception détaillée et développement, deux itérations</w:t>
            </w:r>
          </w:p>
        </w:tc>
        <w:tc>
          <w:tcPr>
            <w:tcW w:w="1330" w:type="dxa"/>
            <w:tcBorders>
              <w:top w:val="single" w:sz="4" w:space="0" w:color="000000"/>
              <w:left w:val="single" w:sz="4" w:space="0" w:color="000000"/>
              <w:bottom w:val="single" w:sz="4" w:space="0" w:color="000000"/>
              <w:right w:val="single" w:sz="4" w:space="0" w:color="000000"/>
            </w:tcBorders>
          </w:tcPr>
          <w:p w14:paraId="319B9402"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26 oct. au 22 nov.</w:t>
            </w:r>
          </w:p>
        </w:tc>
        <w:tc>
          <w:tcPr>
            <w:tcW w:w="850" w:type="dxa"/>
            <w:tcBorders>
              <w:top w:val="single" w:sz="4" w:space="0" w:color="000000"/>
              <w:left w:val="single" w:sz="4" w:space="0" w:color="000000"/>
              <w:bottom w:val="single" w:sz="4" w:space="0" w:color="000000"/>
              <w:right w:val="single" w:sz="4" w:space="0" w:color="000000"/>
            </w:tcBorders>
          </w:tcPr>
          <w:p w14:paraId="3889D570"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352 h</w:t>
            </w:r>
          </w:p>
        </w:tc>
        <w:tc>
          <w:tcPr>
            <w:tcW w:w="780" w:type="dxa"/>
            <w:tcBorders>
              <w:top w:val="single" w:sz="4" w:space="0" w:color="000000"/>
              <w:left w:val="single" w:sz="4" w:space="0" w:color="000000"/>
              <w:bottom w:val="single" w:sz="4" w:space="0" w:color="000000"/>
              <w:right w:val="single" w:sz="4" w:space="0" w:color="000000"/>
            </w:tcBorders>
          </w:tcPr>
          <w:p w14:paraId="1ACDF2D2"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32,6 %</w:t>
            </w:r>
          </w:p>
        </w:tc>
        <w:tc>
          <w:tcPr>
            <w:tcW w:w="3207" w:type="dxa"/>
            <w:tcBorders>
              <w:top w:val="single" w:sz="4" w:space="0" w:color="000000"/>
              <w:left w:val="single" w:sz="4" w:space="0" w:color="000000"/>
              <w:bottom w:val="single" w:sz="4" w:space="0" w:color="000000"/>
              <w:right w:val="single" w:sz="4" w:space="0" w:color="000000"/>
            </w:tcBorders>
          </w:tcPr>
          <w:p w14:paraId="69E9208D"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J3 (20 nov.). Gel des fonctionnalités. Prototype et interface démontrés, exigences fonctionnelles vérifiées. Livrables L01 et L02.</w:t>
            </w:r>
          </w:p>
        </w:tc>
      </w:tr>
      <w:tr w:rsidR="00F50D70" w:rsidRPr="00BE4F47" w14:paraId="38B067C8" w14:textId="77777777">
        <w:trPr>
          <w:cantSplit/>
          <w:trHeight w:val="433"/>
        </w:trPr>
        <w:tc>
          <w:tcPr>
            <w:tcW w:w="540" w:type="dxa"/>
            <w:tcBorders>
              <w:top w:val="single" w:sz="4" w:space="0" w:color="000000"/>
              <w:left w:val="single" w:sz="4" w:space="0" w:color="000000"/>
              <w:bottom w:val="single" w:sz="4" w:space="0" w:color="000000"/>
              <w:right w:val="single" w:sz="4" w:space="0" w:color="000000"/>
            </w:tcBorders>
          </w:tcPr>
          <w:p w14:paraId="2BBFE806"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P4</w:t>
            </w:r>
          </w:p>
        </w:tc>
        <w:tc>
          <w:tcPr>
            <w:tcW w:w="1850" w:type="dxa"/>
            <w:tcBorders>
              <w:top w:val="single" w:sz="4" w:space="0" w:color="000000"/>
              <w:left w:val="single" w:sz="4" w:space="0" w:color="000000"/>
              <w:bottom w:val="single" w:sz="4" w:space="0" w:color="000000"/>
              <w:right w:val="single" w:sz="4" w:space="0" w:color="000000"/>
            </w:tcBorders>
          </w:tcPr>
          <w:p w14:paraId="7C34E5A0"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Intégration, V&amp;V et campagne d’essais</w:t>
            </w:r>
          </w:p>
        </w:tc>
        <w:tc>
          <w:tcPr>
            <w:tcW w:w="1330" w:type="dxa"/>
            <w:tcBorders>
              <w:top w:val="single" w:sz="4" w:space="0" w:color="000000"/>
              <w:left w:val="single" w:sz="4" w:space="0" w:color="000000"/>
              <w:bottom w:val="single" w:sz="4" w:space="0" w:color="000000"/>
              <w:right w:val="single" w:sz="4" w:space="0" w:color="000000"/>
            </w:tcBorders>
          </w:tcPr>
          <w:p w14:paraId="145A14DA"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23 nov. au 6 déc.</w:t>
            </w:r>
          </w:p>
        </w:tc>
        <w:tc>
          <w:tcPr>
            <w:tcW w:w="850" w:type="dxa"/>
            <w:tcBorders>
              <w:top w:val="single" w:sz="4" w:space="0" w:color="000000"/>
              <w:left w:val="single" w:sz="4" w:space="0" w:color="000000"/>
              <w:bottom w:val="single" w:sz="4" w:space="0" w:color="000000"/>
              <w:right w:val="single" w:sz="4" w:space="0" w:color="000000"/>
            </w:tcBorders>
          </w:tcPr>
          <w:p w14:paraId="5EDEAE0F"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176 h</w:t>
            </w:r>
          </w:p>
        </w:tc>
        <w:tc>
          <w:tcPr>
            <w:tcW w:w="780" w:type="dxa"/>
            <w:tcBorders>
              <w:top w:val="single" w:sz="4" w:space="0" w:color="000000"/>
              <w:left w:val="single" w:sz="4" w:space="0" w:color="000000"/>
              <w:bottom w:val="single" w:sz="4" w:space="0" w:color="000000"/>
              <w:right w:val="single" w:sz="4" w:space="0" w:color="000000"/>
            </w:tcBorders>
          </w:tcPr>
          <w:p w14:paraId="1FC85E80"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16,3 %</w:t>
            </w:r>
          </w:p>
        </w:tc>
        <w:tc>
          <w:tcPr>
            <w:tcW w:w="3207" w:type="dxa"/>
            <w:tcBorders>
              <w:top w:val="single" w:sz="4" w:space="0" w:color="000000"/>
              <w:left w:val="single" w:sz="4" w:space="0" w:color="000000"/>
              <w:bottom w:val="single" w:sz="4" w:space="0" w:color="000000"/>
              <w:right w:val="single" w:sz="4" w:space="0" w:color="000000"/>
            </w:tcBorders>
          </w:tcPr>
          <w:p w14:paraId="64DE214D"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J4 (4 déc.). Campagne d’essais terminée et conclusions de validation consignées. Livrable L06.</w:t>
            </w:r>
          </w:p>
        </w:tc>
      </w:tr>
      <w:tr w:rsidR="00F50D70" w:rsidRPr="00BE4F47" w14:paraId="6AFA2051" w14:textId="77777777">
        <w:trPr>
          <w:cantSplit/>
          <w:trHeight w:val="629"/>
        </w:trPr>
        <w:tc>
          <w:tcPr>
            <w:tcW w:w="540" w:type="dxa"/>
            <w:tcBorders>
              <w:top w:val="single" w:sz="4" w:space="0" w:color="000000"/>
              <w:left w:val="single" w:sz="4" w:space="0" w:color="000000"/>
              <w:bottom w:val="single" w:sz="4" w:space="0" w:color="000000"/>
              <w:right w:val="single" w:sz="4" w:space="0" w:color="000000"/>
            </w:tcBorders>
          </w:tcPr>
          <w:p w14:paraId="628A3135"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P5</w:t>
            </w:r>
          </w:p>
        </w:tc>
        <w:tc>
          <w:tcPr>
            <w:tcW w:w="1850" w:type="dxa"/>
            <w:tcBorders>
              <w:top w:val="single" w:sz="4" w:space="0" w:color="000000"/>
              <w:left w:val="single" w:sz="4" w:space="0" w:color="000000"/>
              <w:bottom w:val="single" w:sz="4" w:space="0" w:color="000000"/>
              <w:right w:val="single" w:sz="4" w:space="0" w:color="000000"/>
            </w:tcBorders>
          </w:tcPr>
          <w:p w14:paraId="6A8E9804"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Recommandation, rapport final et soutenance</w:t>
            </w:r>
          </w:p>
        </w:tc>
        <w:tc>
          <w:tcPr>
            <w:tcW w:w="1330" w:type="dxa"/>
            <w:tcBorders>
              <w:top w:val="single" w:sz="4" w:space="0" w:color="000000"/>
              <w:left w:val="single" w:sz="4" w:space="0" w:color="000000"/>
              <w:bottom w:val="single" w:sz="4" w:space="0" w:color="000000"/>
              <w:right w:val="single" w:sz="4" w:space="0" w:color="000000"/>
            </w:tcBorders>
          </w:tcPr>
          <w:p w14:paraId="7B6AC284"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7 au 13 déc.</w:t>
            </w:r>
          </w:p>
        </w:tc>
        <w:tc>
          <w:tcPr>
            <w:tcW w:w="850" w:type="dxa"/>
            <w:tcBorders>
              <w:top w:val="single" w:sz="4" w:space="0" w:color="000000"/>
              <w:left w:val="single" w:sz="4" w:space="0" w:color="000000"/>
              <w:bottom w:val="single" w:sz="4" w:space="0" w:color="000000"/>
              <w:right w:val="single" w:sz="4" w:space="0" w:color="000000"/>
            </w:tcBorders>
          </w:tcPr>
          <w:p w14:paraId="49B545D4"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64 h</w:t>
            </w:r>
          </w:p>
        </w:tc>
        <w:tc>
          <w:tcPr>
            <w:tcW w:w="780" w:type="dxa"/>
            <w:tcBorders>
              <w:top w:val="single" w:sz="4" w:space="0" w:color="000000"/>
              <w:left w:val="single" w:sz="4" w:space="0" w:color="000000"/>
              <w:bottom w:val="single" w:sz="4" w:space="0" w:color="000000"/>
              <w:right w:val="single" w:sz="4" w:space="0" w:color="000000"/>
            </w:tcBorders>
          </w:tcPr>
          <w:p w14:paraId="4A44A3DE"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5,9 %</w:t>
            </w:r>
          </w:p>
        </w:tc>
        <w:tc>
          <w:tcPr>
            <w:tcW w:w="3207" w:type="dxa"/>
            <w:tcBorders>
              <w:top w:val="single" w:sz="4" w:space="0" w:color="000000"/>
              <w:left w:val="single" w:sz="4" w:space="0" w:color="000000"/>
              <w:bottom w:val="single" w:sz="4" w:space="0" w:color="000000"/>
              <w:right w:val="single" w:sz="4" w:space="0" w:color="000000"/>
            </w:tcBorders>
          </w:tcPr>
          <w:p w14:paraId="464F4AEC"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J5 (18 déc.). Recommandation d’ingénierie, rapport final, présentation orale. Livrables L08 et L09.</w:t>
            </w:r>
          </w:p>
        </w:tc>
      </w:tr>
      <w:tr w:rsidR="00F50D70" w:rsidRPr="00BE4F47" w14:paraId="74A1D86E" w14:textId="77777777">
        <w:trPr>
          <w:cantSplit/>
          <w:trHeight w:val="320"/>
        </w:trPr>
        <w:tc>
          <w:tcPr>
            <w:tcW w:w="540" w:type="dxa"/>
            <w:tcBorders>
              <w:top w:val="single" w:sz="4" w:space="0" w:color="000000"/>
              <w:left w:val="single" w:sz="4" w:space="0" w:color="000000"/>
              <w:bottom w:val="single" w:sz="4" w:space="0" w:color="000000"/>
              <w:right w:val="single" w:sz="4" w:space="0" w:color="000000"/>
            </w:tcBorders>
          </w:tcPr>
          <w:p w14:paraId="18B6A270" w14:textId="77777777" w:rsidR="00F50D70" w:rsidRPr="00BE4F47" w:rsidRDefault="00F50D70" w:rsidP="008E113B">
            <w:pPr>
              <w:snapToGrid w:val="0"/>
              <w:spacing w:before="20" w:after="20"/>
              <w:ind w:left="0"/>
              <w:jc w:val="left"/>
              <w:outlineLvl w:val="9"/>
              <w:rPr>
                <w:rFonts w:ascii="Aptos" w:eastAsia="Calibri" w:hAnsi="Aptos" w:cs="Calibri"/>
                <w:color w:val="1A1A19"/>
                <w:sz w:val="20"/>
                <w:szCs w:val="20"/>
                <w:lang w:val="fr-FR"/>
              </w:rPr>
            </w:pPr>
          </w:p>
        </w:tc>
        <w:tc>
          <w:tcPr>
            <w:tcW w:w="1850" w:type="dxa"/>
            <w:tcBorders>
              <w:top w:val="single" w:sz="4" w:space="0" w:color="000000"/>
              <w:left w:val="single" w:sz="4" w:space="0" w:color="000000"/>
              <w:bottom w:val="single" w:sz="4" w:space="0" w:color="000000"/>
              <w:right w:val="single" w:sz="4" w:space="0" w:color="000000"/>
            </w:tcBorders>
          </w:tcPr>
          <w:p w14:paraId="31826274"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Réserve d’échéancier</w:t>
            </w:r>
          </w:p>
        </w:tc>
        <w:tc>
          <w:tcPr>
            <w:tcW w:w="1330" w:type="dxa"/>
            <w:tcBorders>
              <w:top w:val="single" w:sz="4" w:space="0" w:color="000000"/>
              <w:left w:val="single" w:sz="4" w:space="0" w:color="000000"/>
              <w:bottom w:val="single" w:sz="4" w:space="0" w:color="000000"/>
              <w:right w:val="single" w:sz="4" w:space="0" w:color="000000"/>
            </w:tcBorders>
          </w:tcPr>
          <w:p w14:paraId="7207C5B8"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14 au 18 déc.</w:t>
            </w:r>
          </w:p>
        </w:tc>
        <w:tc>
          <w:tcPr>
            <w:tcW w:w="850" w:type="dxa"/>
            <w:tcBorders>
              <w:top w:val="single" w:sz="4" w:space="0" w:color="000000"/>
              <w:left w:val="single" w:sz="4" w:space="0" w:color="000000"/>
              <w:bottom w:val="single" w:sz="4" w:space="0" w:color="000000"/>
              <w:right w:val="single" w:sz="4" w:space="0" w:color="000000"/>
            </w:tcBorders>
          </w:tcPr>
          <w:p w14:paraId="2F390BEC"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s.o.</w:t>
            </w:r>
          </w:p>
        </w:tc>
        <w:tc>
          <w:tcPr>
            <w:tcW w:w="780" w:type="dxa"/>
            <w:tcBorders>
              <w:top w:val="single" w:sz="4" w:space="0" w:color="000000"/>
              <w:left w:val="single" w:sz="4" w:space="0" w:color="000000"/>
              <w:bottom w:val="single" w:sz="4" w:space="0" w:color="000000"/>
              <w:right w:val="single" w:sz="4" w:space="0" w:color="000000"/>
            </w:tcBorders>
          </w:tcPr>
          <w:p w14:paraId="3A8B1BC0"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s.o.</w:t>
            </w:r>
          </w:p>
        </w:tc>
        <w:tc>
          <w:tcPr>
            <w:tcW w:w="3207" w:type="dxa"/>
            <w:tcBorders>
              <w:top w:val="single" w:sz="4" w:space="0" w:color="000000"/>
              <w:left w:val="single" w:sz="4" w:space="0" w:color="000000"/>
              <w:bottom w:val="single" w:sz="4" w:space="0" w:color="000000"/>
              <w:right w:val="single" w:sz="4" w:space="0" w:color="000000"/>
            </w:tcBorders>
          </w:tcPr>
          <w:p w14:paraId="05B46560"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Tampon non alloué. Marge conservée pour absorber un glissement des phases P3 ou P4.</w:t>
            </w:r>
          </w:p>
        </w:tc>
      </w:tr>
      <w:tr w:rsidR="00F50D70" w:rsidRPr="00BE4F47" w14:paraId="3CAA815F" w14:textId="77777777">
        <w:trPr>
          <w:cantSplit/>
          <w:trHeight w:val="310"/>
        </w:trPr>
        <w:tc>
          <w:tcPr>
            <w:tcW w:w="540" w:type="dxa"/>
            <w:tcBorders>
              <w:top w:val="single" w:sz="4" w:space="0" w:color="000000"/>
              <w:left w:val="single" w:sz="4" w:space="0" w:color="000000"/>
              <w:bottom w:val="single" w:sz="4" w:space="0" w:color="000000"/>
              <w:right w:val="single" w:sz="4" w:space="0" w:color="000000"/>
            </w:tcBorders>
          </w:tcPr>
          <w:p w14:paraId="7FF8FBE1" w14:textId="77777777" w:rsidR="00F50D70" w:rsidRPr="00BE4F47" w:rsidRDefault="00F50D70" w:rsidP="008E113B">
            <w:pPr>
              <w:snapToGrid w:val="0"/>
              <w:spacing w:before="20" w:after="20"/>
              <w:ind w:left="0"/>
              <w:jc w:val="left"/>
              <w:outlineLvl w:val="9"/>
              <w:rPr>
                <w:rFonts w:ascii="Aptos" w:eastAsia="Calibri" w:hAnsi="Aptos" w:cs="Calibri"/>
                <w:color w:val="1A1A19"/>
                <w:sz w:val="20"/>
                <w:szCs w:val="20"/>
                <w:lang w:val="fr-FR"/>
              </w:rPr>
            </w:pPr>
          </w:p>
        </w:tc>
        <w:tc>
          <w:tcPr>
            <w:tcW w:w="1850" w:type="dxa"/>
            <w:tcBorders>
              <w:top w:val="single" w:sz="4" w:space="0" w:color="000000"/>
              <w:left w:val="single" w:sz="4" w:space="0" w:color="000000"/>
              <w:bottom w:val="single" w:sz="4" w:space="0" w:color="000000"/>
              <w:right w:val="single" w:sz="4" w:space="0" w:color="000000"/>
            </w:tcBorders>
          </w:tcPr>
          <w:p w14:paraId="0DE3D3C3"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Total</w:t>
            </w:r>
          </w:p>
        </w:tc>
        <w:tc>
          <w:tcPr>
            <w:tcW w:w="1330" w:type="dxa"/>
            <w:tcBorders>
              <w:top w:val="single" w:sz="4" w:space="0" w:color="000000"/>
              <w:left w:val="single" w:sz="4" w:space="0" w:color="000000"/>
              <w:bottom w:val="single" w:sz="4" w:space="0" w:color="000000"/>
              <w:right w:val="single" w:sz="4" w:space="0" w:color="000000"/>
            </w:tcBorders>
          </w:tcPr>
          <w:p w14:paraId="783F9E67" w14:textId="77777777" w:rsidR="00F50D70" w:rsidRPr="00BE4F47" w:rsidRDefault="00F50D70" w:rsidP="008E113B">
            <w:pPr>
              <w:snapToGrid w:val="0"/>
              <w:spacing w:before="20" w:after="20"/>
              <w:ind w:left="0"/>
              <w:jc w:val="left"/>
              <w:outlineLvl w:val="9"/>
              <w:rPr>
                <w:rFonts w:ascii="Aptos" w:eastAsia="Calibri" w:hAnsi="Aptos" w:cs="Calibri"/>
                <w:color w:val="1A1A19"/>
                <w:sz w:val="20"/>
                <w:szCs w:val="20"/>
                <w:lang w:val="fr-FR"/>
              </w:rPr>
            </w:pPr>
          </w:p>
        </w:tc>
        <w:tc>
          <w:tcPr>
            <w:tcW w:w="850" w:type="dxa"/>
            <w:tcBorders>
              <w:top w:val="single" w:sz="4" w:space="0" w:color="000000"/>
              <w:left w:val="single" w:sz="4" w:space="0" w:color="000000"/>
              <w:bottom w:val="single" w:sz="4" w:space="0" w:color="000000"/>
              <w:right w:val="single" w:sz="4" w:space="0" w:color="000000"/>
            </w:tcBorders>
          </w:tcPr>
          <w:p w14:paraId="3BACC8F5"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1 080 h</w:t>
            </w:r>
          </w:p>
        </w:tc>
        <w:tc>
          <w:tcPr>
            <w:tcW w:w="780" w:type="dxa"/>
            <w:tcBorders>
              <w:top w:val="single" w:sz="4" w:space="0" w:color="000000"/>
              <w:left w:val="single" w:sz="4" w:space="0" w:color="000000"/>
              <w:bottom w:val="single" w:sz="4" w:space="0" w:color="000000"/>
              <w:right w:val="single" w:sz="4" w:space="0" w:color="000000"/>
            </w:tcBorders>
          </w:tcPr>
          <w:p w14:paraId="6EA63C70"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100 %</w:t>
            </w:r>
          </w:p>
        </w:tc>
        <w:tc>
          <w:tcPr>
            <w:tcW w:w="3207" w:type="dxa"/>
            <w:tcBorders>
              <w:top w:val="single" w:sz="4" w:space="0" w:color="000000"/>
              <w:left w:val="single" w:sz="4" w:space="0" w:color="000000"/>
              <w:bottom w:val="single" w:sz="4" w:space="0" w:color="000000"/>
              <w:right w:val="single" w:sz="4" w:space="0" w:color="000000"/>
            </w:tcBorders>
          </w:tcPr>
          <w:p w14:paraId="7A6981EE" w14:textId="77777777" w:rsidR="00F50D70" w:rsidRPr="00BE4F47" w:rsidRDefault="00F50D70" w:rsidP="008E113B">
            <w:pPr>
              <w:snapToGrid w:val="0"/>
              <w:spacing w:before="20" w:after="20"/>
              <w:ind w:left="0"/>
              <w:jc w:val="left"/>
              <w:outlineLvl w:val="9"/>
              <w:rPr>
                <w:rFonts w:ascii="Aptos" w:eastAsia="Calibri" w:hAnsi="Aptos" w:cs="Calibri"/>
                <w:color w:val="1A1A19"/>
                <w:sz w:val="20"/>
                <w:szCs w:val="20"/>
                <w:lang w:val="fr-FR"/>
              </w:rPr>
            </w:pPr>
          </w:p>
        </w:tc>
      </w:tr>
    </w:tbl>
    <w:p w14:paraId="389FB468" w14:textId="77777777" w:rsidR="00F50D70" w:rsidRPr="00BE4F47" w:rsidRDefault="00137D7F" w:rsidP="008E113B">
      <w:pPr>
        <w:spacing w:before="200" w:after="130" w:line="360" w:lineRule="auto"/>
        <w:ind w:left="360"/>
        <w:rPr>
          <w:rFonts w:ascii="Aptos" w:eastAsia="Calibri" w:hAnsi="Aptos" w:cs="Calibri"/>
          <w:color w:val="1A1A19"/>
          <w:sz w:val="20"/>
          <w:szCs w:val="20"/>
        </w:rPr>
      </w:pPr>
      <w:bookmarkStart w:id="1385" w:name="_Toc241670346"/>
      <w:bookmarkStart w:id="1386" w:name="_Toc241708054"/>
      <w:bookmarkStart w:id="1387" w:name="_Toc241792003"/>
      <w:r w:rsidRPr="00BE4F47">
        <w:rPr>
          <w:rFonts w:ascii="Aptos" w:hAnsi="Aptos"/>
          <w:color w:val="1A1A19"/>
          <w:sz w:val="20"/>
          <w:szCs w:val="20"/>
        </w:rPr>
        <w:t>Les deux itérations de la phase P3 durent chacune deux semaines. Chacune se termine par une démonstration interne du produit en état de fonctionner. Les phases P0 à P2 restent en cascade, car les exigences et l’architecture doivent être stabilisées avant de développer.</w:t>
      </w:r>
      <w:bookmarkEnd w:id="1385"/>
      <w:bookmarkEnd w:id="1386"/>
      <w:bookmarkEnd w:id="1387"/>
    </w:p>
    <w:p w14:paraId="1B6774BA" w14:textId="77777777" w:rsidR="00F50D70" w:rsidRPr="00BE4F47" w:rsidRDefault="00137D7F" w:rsidP="008E113B">
      <w:pPr>
        <w:spacing w:after="130" w:line="360" w:lineRule="auto"/>
        <w:ind w:left="360"/>
        <w:rPr>
          <w:rFonts w:ascii="Aptos" w:eastAsia="Calibri" w:hAnsi="Aptos" w:cs="Calibri"/>
          <w:color w:val="1A1A19"/>
          <w:sz w:val="20"/>
          <w:szCs w:val="20"/>
        </w:rPr>
      </w:pPr>
      <w:bookmarkStart w:id="1388" w:name="_Toc241083166"/>
      <w:bookmarkStart w:id="1389" w:name="_Toc241670347"/>
      <w:bookmarkStart w:id="1390" w:name="_Toc241708055"/>
      <w:bookmarkStart w:id="1391" w:name="_Toc241792004"/>
      <w:r w:rsidRPr="00BE4F47">
        <w:rPr>
          <w:rFonts w:ascii="Aptos" w:hAnsi="Aptos"/>
          <w:color w:val="1A1A19"/>
          <w:sz w:val="20"/>
          <w:szCs w:val="20"/>
        </w:rPr>
        <w:t>La phase P0 couvre cinq semaines parce qu’elle s’achève à la remise du plan de projet, le 2 octobre. Les exigences et l’analyse fonctionnelle ont avancé en parallèle pendant cette période, ce qui permet à P1 de tenir en une semaine. La phase P2 ne compte que deux semaines, dont une entamée par le congé pédagogique du 13 au 16 octobre. C’est le passage le plus tendu de l’échéancier, et il est suivi de près au titre du risque RP1.</w:t>
      </w:r>
      <w:bookmarkEnd w:id="1388"/>
      <w:bookmarkEnd w:id="1389"/>
      <w:bookmarkEnd w:id="1390"/>
      <w:bookmarkEnd w:id="1391"/>
    </w:p>
    <w:p w14:paraId="61D8CAED" w14:textId="77777777" w:rsidR="00F50D70" w:rsidRPr="00BE4F47" w:rsidRDefault="00137D7F" w:rsidP="008E113B">
      <w:pPr>
        <w:spacing w:after="130" w:line="360" w:lineRule="auto"/>
        <w:ind w:left="360"/>
        <w:rPr>
          <w:rFonts w:ascii="Aptos" w:eastAsia="Calibri" w:hAnsi="Aptos" w:cs="Calibri"/>
          <w:color w:val="1A1A19"/>
          <w:sz w:val="20"/>
          <w:szCs w:val="20"/>
        </w:rPr>
      </w:pPr>
      <w:bookmarkStart w:id="1392" w:name="_Toc241083167"/>
      <w:bookmarkStart w:id="1393" w:name="_Toc241670348"/>
      <w:bookmarkStart w:id="1394" w:name="_Toc241708056"/>
      <w:bookmarkStart w:id="1395" w:name="_Toc241792005"/>
      <w:r w:rsidRPr="00BE4F47">
        <w:rPr>
          <w:rFonts w:ascii="Aptos" w:hAnsi="Aptos"/>
          <w:color w:val="1A1A19"/>
          <w:sz w:val="20"/>
          <w:szCs w:val="20"/>
        </w:rPr>
        <w:t>Les codes de livrables L01 à L09 renvoient au tableau des livrables de la section 2. Les codes de lots L1 à L9 renvoient au tableau de répartition de l’effort de la section 8.</w:t>
      </w:r>
      <w:bookmarkEnd w:id="1392"/>
      <w:bookmarkEnd w:id="1393"/>
      <w:bookmarkEnd w:id="1394"/>
      <w:bookmarkEnd w:id="1395"/>
    </w:p>
    <w:p w14:paraId="54EDDB6F" w14:textId="77777777" w:rsidR="00F50D70" w:rsidRPr="00BE4F47" w:rsidRDefault="00137D7F" w:rsidP="008E113B">
      <w:pPr>
        <w:pStyle w:val="Titre2"/>
        <w:spacing w:line="360" w:lineRule="auto"/>
      </w:pPr>
      <w:bookmarkStart w:id="1396" w:name="_Toc241708057"/>
      <w:bookmarkStart w:id="1397" w:name="_Toc241792006"/>
      <w:r w:rsidRPr="00BE4F47">
        <w:lastRenderedPageBreak/>
        <w:t>Représentation graphique</w:t>
      </w:r>
      <w:bookmarkEnd w:id="1396"/>
      <w:bookmarkEnd w:id="1397"/>
    </w:p>
    <w:p w14:paraId="4624D0DB" w14:textId="5F4ECE53" w:rsidR="00F50D70" w:rsidRPr="00BE4F47" w:rsidRDefault="00D269BD" w:rsidP="008E113B">
      <w:pPr>
        <w:spacing w:after="130" w:line="360" w:lineRule="auto"/>
        <w:ind w:left="360"/>
        <w:rPr>
          <w:rFonts w:ascii="Aptos" w:hAnsi="Aptos"/>
        </w:rPr>
      </w:pPr>
      <w:bookmarkStart w:id="1398" w:name="_Toc241670350"/>
      <w:bookmarkStart w:id="1399" w:name="_Toc241708058"/>
      <w:bookmarkStart w:id="1400" w:name="_Toc241792007"/>
      <w:r>
        <w:rPr>
          <w:rFonts w:ascii="Aptos" w:hAnsi="Aptos"/>
          <w:noProof/>
        </w:rPr>
        <w:drawing>
          <wp:anchor distT="0" distB="0" distL="114300" distR="114300" simplePos="0" relativeHeight="251660288" behindDoc="0" locked="0" layoutInCell="1" allowOverlap="1" wp14:anchorId="3217EE4D" wp14:editId="07590EF6">
            <wp:simplePos x="0" y="0"/>
            <wp:positionH relativeFrom="column">
              <wp:posOffset>221252</wp:posOffset>
            </wp:positionH>
            <wp:positionV relativeFrom="paragraph">
              <wp:posOffset>427627</wp:posOffset>
            </wp:positionV>
            <wp:extent cx="5432516" cy="2312035"/>
            <wp:effectExtent l="0" t="0" r="0" b="0"/>
            <wp:wrapTopAndBottom/>
            <wp:docPr id="145160722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607227" name="Image 1451607227"/>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432516" cy="2312035"/>
                    </a:xfrm>
                    <a:prstGeom prst="rect">
                      <a:avLst/>
                    </a:prstGeom>
                  </pic:spPr>
                </pic:pic>
              </a:graphicData>
            </a:graphic>
          </wp:anchor>
        </w:drawing>
      </w:r>
      <w:r w:rsidR="00137D7F" w:rsidRPr="00BE4F47">
        <w:rPr>
          <w:rFonts w:ascii="Aptos" w:hAnsi="Aptos"/>
          <w:b/>
          <w:color w:val="1A1A19"/>
          <w:sz w:val="20"/>
          <w:szCs w:val="20"/>
        </w:rPr>
        <w:t xml:space="preserve">Diagramme de Gantt. </w:t>
      </w:r>
      <w:r w:rsidR="00137D7F" w:rsidRPr="00BE4F47">
        <w:rPr>
          <w:rFonts w:ascii="Aptos" w:hAnsi="Aptos"/>
          <w:color w:val="1A1A19"/>
          <w:sz w:val="20"/>
          <w:szCs w:val="20"/>
        </w:rPr>
        <w:t>Le diagramme ci-dessous place les activités de la structure de découpage sur le calendrier du trimestre et marque les six jalons.</w:t>
      </w:r>
      <w:bookmarkEnd w:id="1398"/>
      <w:bookmarkEnd w:id="1399"/>
      <w:bookmarkEnd w:id="1400"/>
    </w:p>
    <w:p w14:paraId="44081C66" w14:textId="6FD87D60" w:rsidR="00F50D70" w:rsidRPr="00BE4F47" w:rsidRDefault="00F50D70" w:rsidP="00D269BD">
      <w:pPr>
        <w:spacing w:after="130" w:line="360" w:lineRule="auto"/>
        <w:ind w:left="0"/>
        <w:rPr>
          <w:rFonts w:ascii="Aptos" w:hAnsi="Aptos"/>
        </w:rPr>
      </w:pPr>
    </w:p>
    <w:p w14:paraId="69FC75B3" w14:textId="77777777" w:rsidR="00F50D70" w:rsidRPr="00BE4F47" w:rsidRDefault="00137D7F" w:rsidP="008E113B">
      <w:pPr>
        <w:pStyle w:val="Lgende"/>
        <w:spacing w:line="360" w:lineRule="auto"/>
        <w:rPr>
          <w:rFonts w:ascii="Aptos" w:hAnsi="Aptos"/>
        </w:rPr>
      </w:pPr>
      <w:bookmarkStart w:id="1401" w:name="_Toc241083170"/>
      <w:bookmarkStart w:id="1402" w:name="_Toc241670352"/>
      <w:bookmarkStart w:id="1403" w:name="_Toc241708060"/>
      <w:bookmarkStart w:id="1404" w:name="_Toc241792008"/>
      <w:r w:rsidRPr="00BE4F47">
        <w:rPr>
          <w:rFonts w:ascii="Aptos" w:hAnsi="Aptos"/>
        </w:rPr>
        <w:t>Figure 10-2. Diagramme de Gantt de l’échéancier préliminaire</w:t>
      </w:r>
      <w:bookmarkEnd w:id="1401"/>
      <w:bookmarkEnd w:id="1402"/>
      <w:bookmarkEnd w:id="1403"/>
      <w:bookmarkEnd w:id="1404"/>
    </w:p>
    <w:p w14:paraId="6AF5C308" w14:textId="77777777" w:rsidR="00F50D70" w:rsidRPr="00BE4F47" w:rsidRDefault="00137D7F" w:rsidP="008E113B">
      <w:pPr>
        <w:spacing w:after="130" w:line="360" w:lineRule="auto"/>
        <w:ind w:left="360"/>
        <w:rPr>
          <w:rFonts w:ascii="Aptos" w:hAnsi="Aptos"/>
        </w:rPr>
      </w:pPr>
      <w:bookmarkStart w:id="1405" w:name="_Toc241083172"/>
      <w:bookmarkStart w:id="1406" w:name="_Toc241670353"/>
      <w:bookmarkStart w:id="1407" w:name="_Toc241708061"/>
      <w:bookmarkStart w:id="1408" w:name="_Toc241792009"/>
      <w:r w:rsidRPr="00BE4F47">
        <w:rPr>
          <w:rFonts w:ascii="Aptos" w:hAnsi="Aptos"/>
          <w:b/>
          <w:color w:val="1A1A19"/>
          <w:sz w:val="20"/>
          <w:szCs w:val="20"/>
        </w:rPr>
        <w:t xml:space="preserve">Courbe en S. </w:t>
      </w:r>
      <w:r w:rsidRPr="00BE4F47">
        <w:rPr>
          <w:rFonts w:ascii="Aptos" w:hAnsi="Aptos"/>
          <w:color w:val="1A1A19"/>
          <w:sz w:val="20"/>
          <w:szCs w:val="20"/>
        </w:rPr>
        <w:t>La courbe ci-dessous représente la valeur planifiée, c’est-à-dire le budget que le projet prévoit d’avoir consommé à chaque date. Elle sert de référence au suivi financier : à chaque jalon, la valeur acquise réelle sera reportée sur ce même graphique, et l’écart entre les deux courbes donnera l’avancement en dollars.</w:t>
      </w:r>
      <w:bookmarkEnd w:id="1405"/>
      <w:bookmarkEnd w:id="1406"/>
      <w:bookmarkEnd w:id="1407"/>
      <w:bookmarkEnd w:id="1408"/>
    </w:p>
    <w:p w14:paraId="0D6D3F5F" w14:textId="01E074E2" w:rsidR="00F50D70" w:rsidRPr="00BE4F47" w:rsidRDefault="009A4383" w:rsidP="008E113B">
      <w:pPr>
        <w:keepNext/>
        <w:spacing w:after="130" w:line="360" w:lineRule="auto"/>
        <w:ind w:left="360"/>
        <w:rPr>
          <w:rFonts w:ascii="Aptos" w:hAnsi="Aptos"/>
        </w:rPr>
      </w:pPr>
      <w:bookmarkStart w:id="1409" w:name="_Toc241083173"/>
      <w:bookmarkStart w:id="1410" w:name="_Toc241670354"/>
      <w:bookmarkStart w:id="1411" w:name="_Toc241708062"/>
      <w:bookmarkStart w:id="1412" w:name="_Toc241792010"/>
      <w:r>
        <w:rPr>
          <w:noProof/>
        </w:rPr>
        <w:drawing>
          <wp:anchor distT="0" distB="0" distL="114300" distR="114300" simplePos="0" relativeHeight="251658240" behindDoc="0" locked="0" layoutInCell="1" allowOverlap="1" wp14:anchorId="7260C0EF" wp14:editId="3860C0AA">
            <wp:simplePos x="0" y="0"/>
            <wp:positionH relativeFrom="column">
              <wp:posOffset>222341</wp:posOffset>
            </wp:positionH>
            <wp:positionV relativeFrom="paragraph">
              <wp:posOffset>1040765</wp:posOffset>
            </wp:positionV>
            <wp:extent cx="5577840" cy="2729774"/>
            <wp:effectExtent l="0" t="0" r="7620" b="0"/>
            <wp:wrapTopAndBottom/>
            <wp:docPr id="9544885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48854" name="Picture 95448854"/>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577840" cy="2729774"/>
                    </a:xfrm>
                    <a:prstGeom prst="rect">
                      <a:avLst/>
                    </a:prstGeom>
                  </pic:spPr>
                </pic:pic>
              </a:graphicData>
            </a:graphic>
          </wp:anchor>
        </w:drawing>
      </w:r>
      <w:r w:rsidR="00137D7F" w:rsidRPr="00BE4F47">
        <w:rPr>
          <w:rFonts w:ascii="Aptos" w:hAnsi="Aptos"/>
          <w:color w:val="1A1A19"/>
          <w:sz w:val="20"/>
          <w:szCs w:val="20"/>
        </w:rPr>
        <w:t>La courbe est peu creusée, et c’est voulu. La charge est lissée à onze heures par personne et par semaine au plus, parce que chaque membre suit cinq autres cours. Le départ est plus lent parce que les cinq semaines de P0 tombent en début de trimestre, et la fin l’est aussi parce que la dernière semaine sert à la rédaction du rapport et à la soutenance.</w:t>
      </w:r>
      <w:bookmarkEnd w:id="1409"/>
      <w:bookmarkEnd w:id="1410"/>
      <w:bookmarkEnd w:id="1411"/>
      <w:bookmarkEnd w:id="1412"/>
    </w:p>
    <w:p w14:paraId="29206A2B" w14:textId="77777777" w:rsidR="00F50D70" w:rsidRPr="00BE4F47" w:rsidRDefault="00137D7F" w:rsidP="008E113B">
      <w:pPr>
        <w:pStyle w:val="Lgende"/>
        <w:spacing w:line="360" w:lineRule="auto"/>
        <w:rPr>
          <w:rFonts w:ascii="Aptos" w:hAnsi="Aptos"/>
        </w:rPr>
      </w:pPr>
      <w:bookmarkStart w:id="1413" w:name="_Toc241083175"/>
      <w:bookmarkStart w:id="1414" w:name="_Toc241670355"/>
      <w:bookmarkStart w:id="1415" w:name="_Toc241708063"/>
      <w:bookmarkStart w:id="1416" w:name="_Toc241792011"/>
      <w:r w:rsidRPr="00BE4F47">
        <w:rPr>
          <w:rFonts w:ascii="Aptos" w:hAnsi="Aptos"/>
        </w:rPr>
        <w:t>Figure 10-3. Courbe en S de la valeur planifiée du mandat</w:t>
      </w:r>
      <w:bookmarkEnd w:id="1413"/>
      <w:bookmarkEnd w:id="1414"/>
      <w:bookmarkEnd w:id="1415"/>
      <w:bookmarkEnd w:id="1416"/>
    </w:p>
    <w:p w14:paraId="5B95AF56" w14:textId="3731C029" w:rsidR="00F50D70" w:rsidRPr="00BE4F47" w:rsidRDefault="00137D7F" w:rsidP="008E113B">
      <w:pPr>
        <w:spacing w:after="130" w:line="360" w:lineRule="auto"/>
        <w:ind w:left="360"/>
        <w:rPr>
          <w:rFonts w:ascii="Aptos" w:hAnsi="Aptos"/>
        </w:rPr>
      </w:pPr>
      <w:bookmarkStart w:id="1417" w:name="_Toc241083176"/>
      <w:bookmarkStart w:id="1418" w:name="_Toc241670356"/>
      <w:bookmarkStart w:id="1419" w:name="_Toc241708064"/>
      <w:bookmarkStart w:id="1420" w:name="_Toc241792012"/>
      <w:r w:rsidRPr="00BE4F47">
        <w:rPr>
          <w:rFonts w:ascii="Aptos" w:hAnsi="Aptos"/>
          <w:color w:val="1A1A19"/>
          <w:sz w:val="20"/>
          <w:szCs w:val="20"/>
        </w:rPr>
        <w:lastRenderedPageBreak/>
        <w:t xml:space="preserve">Deux repères s’y lisent directement. La pente reste proche de 4 400 $ par semaine entre J1 et J4 : </w:t>
      </w:r>
      <w:r w:rsidR="009C0602" w:rsidRPr="009C0602">
        <w:rPr>
          <w:rFonts w:ascii="Aptos" w:hAnsi="Aptos"/>
          <w:color w:val="1A1A19"/>
          <w:sz w:val="20"/>
          <w:szCs w:val="20"/>
        </w:rPr>
        <w:t>cela représente le rythme financier moyen du mandat</w:t>
      </w:r>
      <w:r w:rsidRPr="00BE4F47">
        <w:rPr>
          <w:rFonts w:ascii="Aptos" w:hAnsi="Aptos"/>
          <w:color w:val="1A1A19"/>
          <w:sz w:val="20"/>
          <w:szCs w:val="20"/>
        </w:rPr>
        <w:t>, et un écart durable par rapport à cette pente signale un glissement. Près des trois quarts du budget sont engagés à l’atteinte du jalon J3, ce qui en fait la dernière date utile pour corriger le périmètre. Le suivi sera resserré sur la phase P3, conformément au traitement du risque RP1.</w:t>
      </w:r>
      <w:bookmarkEnd w:id="1417"/>
      <w:bookmarkEnd w:id="1418"/>
      <w:bookmarkEnd w:id="1419"/>
      <w:bookmarkEnd w:id="1420"/>
    </w:p>
    <w:p w14:paraId="19F9C8E1" w14:textId="77777777" w:rsidR="00F50D70" w:rsidRPr="00BE4F47" w:rsidRDefault="00137D7F" w:rsidP="008E113B">
      <w:pPr>
        <w:pStyle w:val="Titre4"/>
        <w:spacing w:line="360" w:lineRule="auto"/>
        <w:rPr>
          <w:rFonts w:eastAsia="DengXian Light"/>
          <w:color w:val="2F5496"/>
          <w:sz w:val="32"/>
          <w:szCs w:val="32"/>
          <w:lang w:eastAsia="en-US"/>
        </w:rPr>
      </w:pPr>
      <w:bookmarkStart w:id="1421" w:name="_Toc241708065"/>
      <w:r w:rsidRPr="00BE4F47">
        <w:rPr>
          <w:lang w:eastAsia="en-US"/>
        </w:rPr>
        <w:t>Conclusion</w:t>
      </w:r>
      <w:bookmarkEnd w:id="1421"/>
    </w:p>
    <w:p w14:paraId="1E9C152A" w14:textId="77777777" w:rsidR="00F50D70" w:rsidRPr="00BE4F47" w:rsidRDefault="00137D7F" w:rsidP="008E113B">
      <w:pPr>
        <w:spacing w:after="130" w:line="360" w:lineRule="auto"/>
        <w:ind w:left="360"/>
        <w:rPr>
          <w:rFonts w:ascii="Aptos" w:hAnsi="Aptos"/>
        </w:rPr>
      </w:pPr>
      <w:bookmarkStart w:id="1422" w:name="_Toc241670358"/>
      <w:bookmarkStart w:id="1423" w:name="_Toc241708066"/>
      <w:bookmarkStart w:id="1424" w:name="_Toc241792013"/>
      <w:r w:rsidRPr="00BE4F47">
        <w:rPr>
          <w:rFonts w:ascii="Aptos" w:hAnsi="Aptos"/>
          <w:color w:val="1A1A19"/>
          <w:sz w:val="20"/>
          <w:szCs w:val="20"/>
        </w:rPr>
        <w:t>L’équipe juge le mandat faisable dans l’enveloppe de 1 080 heures, pour le périmètre arrêté à la section 2 : la boucle simplifiée, les trois variables de procédé, la détection de dérive, la quantification de l’incertitude et l’interface d’aide à la décision. Il ne l’est plus si le périmètre s’étend à un écoulement diphasique, à des données d’exploitation réelles, au temps réel ou à une commande de l’installation.</w:t>
      </w:r>
      <w:bookmarkEnd w:id="1422"/>
      <w:bookmarkEnd w:id="1423"/>
      <w:bookmarkEnd w:id="1424"/>
    </w:p>
    <w:p w14:paraId="71480456" w14:textId="77777777" w:rsidR="00F50D70" w:rsidRPr="00BE4F47" w:rsidRDefault="00137D7F" w:rsidP="008E113B">
      <w:pPr>
        <w:spacing w:after="130" w:line="360" w:lineRule="auto"/>
        <w:ind w:left="360"/>
        <w:rPr>
          <w:rFonts w:ascii="Aptos" w:hAnsi="Aptos"/>
        </w:rPr>
      </w:pPr>
      <w:bookmarkStart w:id="1425" w:name="_Toc241670359"/>
      <w:bookmarkStart w:id="1426" w:name="_Toc241708067"/>
      <w:bookmarkStart w:id="1427" w:name="_Toc241792014"/>
      <w:r w:rsidRPr="00BE4F47">
        <w:rPr>
          <w:rFonts w:ascii="Aptos" w:hAnsi="Aptos"/>
          <w:color w:val="1A1A19"/>
          <w:sz w:val="20"/>
          <w:szCs w:val="20"/>
        </w:rPr>
        <w:t>Cet avis tient à trois conditions : le gel des exigences au jalon J1, le maintien des huit membres pendant tout le trimestre, et l’acceptation par le client du domaine de validité annoncé à la section 2. Si les heures viennent à manquer, l’équipe recommande de réduire d’abord les rangs 7 et 8 du tableau de priorisation de la section 1 et de conserver les activités de vérification et de validation.</w:t>
      </w:r>
      <w:bookmarkEnd w:id="1425"/>
      <w:bookmarkEnd w:id="1426"/>
      <w:bookmarkEnd w:id="1427"/>
    </w:p>
    <w:p w14:paraId="72DB4FF3" w14:textId="77777777" w:rsidR="00F50D70" w:rsidRPr="00BE4F47" w:rsidRDefault="00137D7F" w:rsidP="008E113B">
      <w:pPr>
        <w:spacing w:after="130" w:line="360" w:lineRule="auto"/>
        <w:ind w:left="360"/>
        <w:rPr>
          <w:rFonts w:ascii="Aptos" w:hAnsi="Aptos"/>
        </w:rPr>
      </w:pPr>
      <w:bookmarkStart w:id="1428" w:name="_Toc241083182"/>
      <w:bookmarkStart w:id="1429" w:name="_Toc241670360"/>
      <w:bookmarkStart w:id="1430" w:name="_Toc241708068"/>
      <w:bookmarkStart w:id="1431" w:name="_Toc241792015"/>
      <w:r w:rsidRPr="00BE4F47">
        <w:rPr>
          <w:rFonts w:ascii="Aptos" w:hAnsi="Aptos"/>
          <w:color w:val="1A1A19"/>
          <w:sz w:val="20"/>
          <w:szCs w:val="20"/>
        </w:rPr>
        <w:t>Deux jalons commandent la suite. Le jalon J1 arrête le registre des exigences et permet de reprendre l’estimation des coûts sur une base mieux définie, ce qui resserrera la fourchette actuelle. Le jalon J2 arrête l’architecture et le plan de vérification et de validation. L’échéancier et la courbe en S sont mis à jour à chaque jalon, de sorte que l’écart entre le prévu et le réalisé reste mesurable pendant le mandat plutôt que constaté à la fin.</w:t>
      </w:r>
      <w:bookmarkEnd w:id="1428"/>
      <w:bookmarkEnd w:id="1429"/>
      <w:bookmarkEnd w:id="1430"/>
      <w:bookmarkEnd w:id="1431"/>
    </w:p>
    <w:p w14:paraId="32BAEE7E" w14:textId="77777777" w:rsidR="00F50D70" w:rsidRPr="00B36301" w:rsidRDefault="00137D7F" w:rsidP="008E113B">
      <w:pPr>
        <w:pStyle w:val="Titre1"/>
        <w:spacing w:line="360" w:lineRule="auto"/>
      </w:pPr>
      <w:bookmarkStart w:id="1432" w:name="__RefHeading___Toc240715289"/>
      <w:bookmarkStart w:id="1433" w:name="_Toc241708069"/>
      <w:bookmarkStart w:id="1434" w:name="_Toc241792016"/>
      <w:bookmarkEnd w:id="1432"/>
      <w:r w:rsidRPr="00B36301">
        <w:t>Références pertinentes au projet</w:t>
      </w:r>
      <w:bookmarkEnd w:id="1433"/>
      <w:bookmarkEnd w:id="1434"/>
    </w:p>
    <w:p w14:paraId="485C1CA2" w14:textId="77777777" w:rsidR="00F50D70" w:rsidRPr="00BE4F47" w:rsidRDefault="00137D7F" w:rsidP="008E113B">
      <w:pPr>
        <w:spacing w:after="130" w:line="360" w:lineRule="auto"/>
        <w:ind w:left="360"/>
        <w:rPr>
          <w:rFonts w:ascii="Aptos" w:hAnsi="Aptos"/>
        </w:rPr>
      </w:pPr>
      <w:bookmarkStart w:id="1435" w:name="_Toc241708070"/>
      <w:bookmarkStart w:id="1436" w:name="_Toc241792017"/>
      <w:r w:rsidRPr="00BE4F47">
        <w:rPr>
          <w:rFonts w:ascii="Aptos" w:eastAsia="Calibri" w:hAnsi="Aptos" w:cs="Calibri"/>
          <w:color w:val="1A1A19"/>
          <w:sz w:val="20"/>
          <w:szCs w:val="20"/>
        </w:rPr>
        <w:t>Les sources citées dans les dix sections précédentes sont rassemblées ici. Elles sont numérotées selon leur ordre d’apparition dans le document et le même numéro désigne partout la même source.</w:t>
      </w:r>
      <w:bookmarkEnd w:id="1435"/>
      <w:bookmarkEnd w:id="1436"/>
    </w:p>
    <w:p w14:paraId="68B89788" w14:textId="2F8B9BD3" w:rsidR="00F50D70" w:rsidRPr="00BE4F47" w:rsidRDefault="00137D7F" w:rsidP="008E113B">
      <w:pPr>
        <w:spacing w:after="130" w:line="360" w:lineRule="auto"/>
        <w:ind w:left="360"/>
        <w:rPr>
          <w:rFonts w:ascii="Aptos" w:hAnsi="Aptos"/>
        </w:rPr>
      </w:pPr>
      <w:bookmarkStart w:id="1437" w:name="_Toc241083188"/>
      <w:bookmarkStart w:id="1438" w:name="_Toc241670362"/>
      <w:bookmarkStart w:id="1439" w:name="_Toc241708071"/>
      <w:bookmarkStart w:id="1440" w:name="_Toc241792018"/>
      <w:r w:rsidRPr="00BE4F47">
        <w:rPr>
          <w:rFonts w:ascii="Aptos" w:eastAsia="Calibri" w:hAnsi="Aptos" w:cs="Calibri"/>
          <w:color w:val="1A1A19"/>
          <w:sz w:val="20"/>
          <w:szCs w:val="20"/>
        </w:rPr>
        <w:t>Le style de citation est celui de l’IEEE.</w:t>
      </w:r>
      <w:bookmarkEnd w:id="1440"/>
      <w:r w:rsidRPr="00BE4F47">
        <w:rPr>
          <w:rFonts w:ascii="Aptos" w:eastAsia="Calibri" w:hAnsi="Aptos" w:cs="Calibri"/>
          <w:color w:val="1A1A19"/>
          <w:sz w:val="20"/>
          <w:szCs w:val="20"/>
        </w:rPr>
        <w:t xml:space="preserve"> </w:t>
      </w:r>
      <w:bookmarkEnd w:id="1437"/>
      <w:bookmarkEnd w:id="1438"/>
      <w:bookmarkEnd w:id="1439"/>
    </w:p>
    <w:p w14:paraId="6F81EBA4" w14:textId="77777777" w:rsidR="00F50D70" w:rsidRPr="00BE4F47" w:rsidRDefault="00137D7F" w:rsidP="008E113B">
      <w:pPr>
        <w:spacing w:after="80" w:line="360" w:lineRule="auto"/>
        <w:ind w:left="480" w:hanging="480"/>
        <w:jc w:val="left"/>
        <w:rPr>
          <w:rFonts w:ascii="Aptos" w:hAnsi="Aptos"/>
        </w:rPr>
      </w:pPr>
      <w:bookmarkStart w:id="1441" w:name="_Toc241670364"/>
      <w:bookmarkStart w:id="1442" w:name="_Toc241708072"/>
      <w:bookmarkStart w:id="1443" w:name="_Toc241792019"/>
      <w:r w:rsidRPr="00BE4F47">
        <w:rPr>
          <w:rFonts w:ascii="Aptos" w:eastAsia="Calibri" w:hAnsi="Aptos" w:cs="Calibri"/>
          <w:color w:val="1A1A19"/>
          <w:sz w:val="20"/>
          <w:szCs w:val="20"/>
        </w:rPr>
        <w:t>[1</w:t>
      </w:r>
      <w:proofErr w:type="gramStart"/>
      <w:r w:rsidRPr="00BE4F47">
        <w:rPr>
          <w:rFonts w:ascii="Aptos" w:eastAsia="Calibri" w:hAnsi="Aptos" w:cs="Calibri"/>
          <w:color w:val="1A1A19"/>
          <w:sz w:val="20"/>
          <w:szCs w:val="20"/>
        </w:rPr>
        <w:t>]  ISO</w:t>
      </w:r>
      <w:proofErr w:type="gramEnd"/>
      <w:r w:rsidRPr="00BE4F47">
        <w:rPr>
          <w:rFonts w:ascii="Aptos" w:eastAsia="Calibri" w:hAnsi="Aptos" w:cs="Calibri"/>
          <w:color w:val="1A1A19"/>
          <w:sz w:val="20"/>
          <w:szCs w:val="20"/>
        </w:rPr>
        <w:t xml:space="preserve">/IEC/IEEE 29148:2018, Ingénierie des systèmes et du logiciel, Processus du cycle de vie, Ingénierie des exigences.  </w:t>
      </w:r>
      <w:hyperlink r:id="rId20">
        <w:r w:rsidR="00F50D70" w:rsidRPr="00BE4F47">
          <w:rPr>
            <w:rFonts w:ascii="Aptos" w:hAnsi="Aptos"/>
            <w:color w:val="1155CC"/>
            <w:sz w:val="18"/>
            <w:u w:val="single"/>
          </w:rPr>
          <w:t>https://www.iso.org/fr/standard/72089.html</w:t>
        </w:r>
        <w:bookmarkEnd w:id="1441"/>
        <w:bookmarkEnd w:id="1442"/>
        <w:bookmarkEnd w:id="1443"/>
      </w:hyperlink>
    </w:p>
    <w:p w14:paraId="62970F17" w14:textId="77777777" w:rsidR="00F50D70" w:rsidRPr="00BE4F47" w:rsidRDefault="00137D7F" w:rsidP="008E113B">
      <w:pPr>
        <w:spacing w:after="80" w:line="360" w:lineRule="auto"/>
        <w:ind w:left="480" w:hanging="480"/>
        <w:jc w:val="left"/>
        <w:rPr>
          <w:rFonts w:ascii="Aptos" w:hAnsi="Aptos"/>
        </w:rPr>
      </w:pPr>
      <w:bookmarkStart w:id="1444" w:name="_Toc241670365"/>
      <w:bookmarkStart w:id="1445" w:name="_Toc241708073"/>
      <w:bookmarkStart w:id="1446" w:name="_Toc241792020"/>
      <w:r w:rsidRPr="00BE4F47">
        <w:rPr>
          <w:rFonts w:ascii="Aptos" w:eastAsia="Calibri" w:hAnsi="Aptos" w:cs="Calibri"/>
          <w:color w:val="1A1A19"/>
          <w:sz w:val="20"/>
          <w:szCs w:val="20"/>
        </w:rPr>
        <w:t>[2</w:t>
      </w:r>
      <w:proofErr w:type="gramStart"/>
      <w:r w:rsidRPr="00BE4F47">
        <w:rPr>
          <w:rFonts w:ascii="Aptos" w:eastAsia="Calibri" w:hAnsi="Aptos" w:cs="Calibri"/>
          <w:color w:val="1A1A19"/>
          <w:sz w:val="20"/>
          <w:szCs w:val="20"/>
        </w:rPr>
        <w:t>]  Commission</w:t>
      </w:r>
      <w:proofErr w:type="gramEnd"/>
      <w:r w:rsidRPr="00BE4F47">
        <w:rPr>
          <w:rFonts w:ascii="Aptos" w:eastAsia="Calibri" w:hAnsi="Aptos" w:cs="Calibri"/>
          <w:color w:val="1A1A19"/>
          <w:sz w:val="20"/>
          <w:szCs w:val="20"/>
        </w:rPr>
        <w:t xml:space="preserve"> canadienne de sûreté nucléaire, REGDOC-2.1.1, Système de gestion.  </w:t>
      </w:r>
      <w:hyperlink r:id="rId21">
        <w:r w:rsidR="00F50D70" w:rsidRPr="00BE4F47">
          <w:rPr>
            <w:rFonts w:ascii="Aptos" w:hAnsi="Aptos"/>
            <w:color w:val="1155CC"/>
            <w:sz w:val="18"/>
            <w:u w:val="single"/>
          </w:rPr>
          <w:t>https://www.cnsc-ccsn.gc.ca/fra/acts-and-regulations/regulatory-documents/published/html/regdoc2-1-1/</w:t>
        </w:r>
        <w:bookmarkEnd w:id="1444"/>
        <w:bookmarkEnd w:id="1445"/>
        <w:bookmarkEnd w:id="1446"/>
      </w:hyperlink>
    </w:p>
    <w:p w14:paraId="6BAC22E4" w14:textId="77777777" w:rsidR="00F50D70" w:rsidRPr="00BE4F47" w:rsidRDefault="00137D7F" w:rsidP="008E113B">
      <w:pPr>
        <w:spacing w:after="80" w:line="360" w:lineRule="auto"/>
        <w:ind w:left="480" w:hanging="480"/>
        <w:jc w:val="left"/>
        <w:rPr>
          <w:rFonts w:ascii="Aptos" w:hAnsi="Aptos"/>
          <w:lang w:val="en-CA"/>
        </w:rPr>
      </w:pPr>
      <w:bookmarkStart w:id="1447" w:name="_Toc241083191"/>
      <w:bookmarkStart w:id="1448" w:name="_Toc241670366"/>
      <w:bookmarkStart w:id="1449" w:name="_Toc241708074"/>
      <w:bookmarkStart w:id="1450" w:name="_Toc241792021"/>
      <w:r w:rsidRPr="00BE4F47">
        <w:rPr>
          <w:rFonts w:ascii="Aptos" w:eastAsia="Calibri" w:hAnsi="Aptos" w:cs="Calibri"/>
          <w:color w:val="1A1A19"/>
          <w:sz w:val="20"/>
          <w:szCs w:val="20"/>
        </w:rPr>
        <w:t>[3</w:t>
      </w:r>
      <w:proofErr w:type="gramStart"/>
      <w:r w:rsidRPr="00BE4F47">
        <w:rPr>
          <w:rFonts w:ascii="Aptos" w:eastAsia="Calibri" w:hAnsi="Aptos" w:cs="Calibri"/>
          <w:color w:val="1A1A19"/>
          <w:sz w:val="20"/>
          <w:szCs w:val="20"/>
        </w:rPr>
        <w:t>]  ISO</w:t>
      </w:r>
      <w:proofErr w:type="gramEnd"/>
      <w:r w:rsidRPr="00BE4F47">
        <w:rPr>
          <w:rFonts w:ascii="Aptos" w:eastAsia="Calibri" w:hAnsi="Aptos" w:cs="Calibri"/>
          <w:color w:val="1A1A19"/>
          <w:sz w:val="20"/>
          <w:szCs w:val="20"/>
        </w:rPr>
        <w:t xml:space="preserve">/IEC/IEEE 12207:2026, Ingénierie des systèmes et du logiciel, Processus du cycle de vie du logiciel.  </w:t>
      </w:r>
      <w:hyperlink r:id="rId22">
        <w:r w:rsidR="00F50D70" w:rsidRPr="00BE4F47">
          <w:rPr>
            <w:rFonts w:ascii="Aptos" w:hAnsi="Aptos"/>
            <w:color w:val="1155CC"/>
            <w:sz w:val="18"/>
            <w:u w:val="single"/>
            <w:lang w:val="en-CA"/>
          </w:rPr>
          <w:t>https://www.iso.org/fr/standard/90219.html</w:t>
        </w:r>
        <w:bookmarkEnd w:id="1447"/>
        <w:bookmarkEnd w:id="1448"/>
        <w:bookmarkEnd w:id="1449"/>
        <w:bookmarkEnd w:id="1450"/>
      </w:hyperlink>
    </w:p>
    <w:p w14:paraId="45C36B8E" w14:textId="77777777" w:rsidR="00F50D70" w:rsidRPr="00BE4F47" w:rsidRDefault="00137D7F" w:rsidP="008E113B">
      <w:pPr>
        <w:spacing w:after="80" w:line="360" w:lineRule="auto"/>
        <w:ind w:left="480" w:hanging="480"/>
        <w:jc w:val="left"/>
        <w:rPr>
          <w:rFonts w:ascii="Aptos" w:hAnsi="Aptos"/>
          <w:lang w:val="en-CA"/>
        </w:rPr>
      </w:pPr>
      <w:bookmarkStart w:id="1451" w:name="_Toc241083192"/>
      <w:bookmarkStart w:id="1452" w:name="_Toc241670367"/>
      <w:bookmarkStart w:id="1453" w:name="_Toc241708075"/>
      <w:bookmarkStart w:id="1454" w:name="_Toc241792022"/>
      <w:r w:rsidRPr="00BE4F47">
        <w:rPr>
          <w:rFonts w:ascii="Aptos" w:eastAsia="Calibri" w:hAnsi="Aptos" w:cs="Calibri"/>
          <w:color w:val="1A1A19"/>
          <w:sz w:val="20"/>
          <w:szCs w:val="20"/>
          <w:lang w:val="en-CA"/>
        </w:rPr>
        <w:t>[4</w:t>
      </w:r>
      <w:proofErr w:type="gramStart"/>
      <w:r w:rsidRPr="00BE4F47">
        <w:rPr>
          <w:rFonts w:ascii="Aptos" w:eastAsia="Calibri" w:hAnsi="Aptos" w:cs="Calibri"/>
          <w:color w:val="1A1A19"/>
          <w:sz w:val="20"/>
          <w:szCs w:val="20"/>
          <w:lang w:val="en-CA"/>
        </w:rPr>
        <w:t>]  M.</w:t>
      </w:r>
      <w:proofErr w:type="gramEnd"/>
      <w:r w:rsidRPr="00BE4F47">
        <w:rPr>
          <w:rFonts w:ascii="Aptos" w:eastAsia="Calibri" w:hAnsi="Aptos" w:cs="Calibri"/>
          <w:color w:val="1A1A19"/>
          <w:sz w:val="20"/>
          <w:szCs w:val="20"/>
          <w:lang w:val="en-CA"/>
        </w:rPr>
        <w:t xml:space="preserve"> Hu et al., « Current status of digital twin architecture and application in nuclear energy field », Annals of Nuclear Energy, vol. 202, art. 110491, 2024.  </w:t>
      </w:r>
      <w:hyperlink r:id="rId23">
        <w:r w:rsidR="00F50D70" w:rsidRPr="00BE4F47">
          <w:rPr>
            <w:rFonts w:ascii="Aptos" w:hAnsi="Aptos"/>
            <w:color w:val="1155CC"/>
            <w:sz w:val="18"/>
            <w:u w:val="single"/>
            <w:lang w:val="en-CA"/>
          </w:rPr>
          <w:t>https://doi.org/10.1016/j.anucene.2024.110491</w:t>
        </w:r>
        <w:bookmarkEnd w:id="1451"/>
        <w:bookmarkEnd w:id="1452"/>
        <w:bookmarkEnd w:id="1453"/>
        <w:bookmarkEnd w:id="1454"/>
      </w:hyperlink>
    </w:p>
    <w:p w14:paraId="7502019F" w14:textId="77777777" w:rsidR="00F50D70" w:rsidRPr="00BE4F47" w:rsidRDefault="00137D7F" w:rsidP="008E113B">
      <w:pPr>
        <w:spacing w:after="80" w:line="360" w:lineRule="auto"/>
        <w:ind w:left="480" w:hanging="480"/>
        <w:jc w:val="left"/>
        <w:rPr>
          <w:rFonts w:ascii="Aptos" w:hAnsi="Aptos"/>
          <w:lang w:val="en-CA"/>
        </w:rPr>
      </w:pPr>
      <w:bookmarkStart w:id="1455" w:name="_Toc241083193"/>
      <w:bookmarkStart w:id="1456" w:name="_Toc241670368"/>
      <w:bookmarkStart w:id="1457" w:name="_Toc241708076"/>
      <w:bookmarkStart w:id="1458" w:name="_Toc241792023"/>
      <w:r w:rsidRPr="00BE4F47">
        <w:rPr>
          <w:rFonts w:ascii="Aptos" w:eastAsia="Calibri" w:hAnsi="Aptos" w:cs="Calibri"/>
          <w:color w:val="1A1A19"/>
          <w:sz w:val="20"/>
          <w:szCs w:val="20"/>
          <w:lang w:val="en-CA"/>
        </w:rPr>
        <w:lastRenderedPageBreak/>
        <w:t>[5</w:t>
      </w:r>
      <w:proofErr w:type="gramStart"/>
      <w:r w:rsidRPr="00BE4F47">
        <w:rPr>
          <w:rFonts w:ascii="Aptos" w:eastAsia="Calibri" w:hAnsi="Aptos" w:cs="Calibri"/>
          <w:color w:val="1A1A19"/>
          <w:sz w:val="20"/>
          <w:szCs w:val="20"/>
          <w:lang w:val="en-CA"/>
        </w:rPr>
        <w:t>]  Q.</w:t>
      </w:r>
      <w:proofErr w:type="gramEnd"/>
      <w:r w:rsidRPr="00BE4F47">
        <w:rPr>
          <w:rFonts w:ascii="Aptos" w:eastAsia="Calibri" w:hAnsi="Aptos" w:cs="Calibri"/>
          <w:color w:val="1A1A19"/>
          <w:sz w:val="20"/>
          <w:szCs w:val="20"/>
          <w:lang w:val="en-CA"/>
        </w:rPr>
        <w:t xml:space="preserve"> Huang et al., « Shaping the future of nuclear reactors with digital twins: current developments and perspectives », Applied Energy, vol. 402, art. 126922, 2025.  </w:t>
      </w:r>
      <w:hyperlink r:id="rId24">
        <w:r w:rsidR="00F50D70" w:rsidRPr="00BE4F47">
          <w:rPr>
            <w:rFonts w:ascii="Aptos" w:hAnsi="Aptos"/>
            <w:color w:val="1155CC"/>
            <w:sz w:val="18"/>
            <w:u w:val="single"/>
            <w:lang w:val="en-CA"/>
          </w:rPr>
          <w:t>https://doi.org/10.1016/j.apenergy.2025.126922</w:t>
        </w:r>
        <w:bookmarkEnd w:id="1455"/>
        <w:bookmarkEnd w:id="1456"/>
        <w:bookmarkEnd w:id="1457"/>
        <w:bookmarkEnd w:id="1458"/>
      </w:hyperlink>
    </w:p>
    <w:p w14:paraId="69052533" w14:textId="77777777" w:rsidR="00F50D70" w:rsidRPr="00BE4F47" w:rsidRDefault="00137D7F" w:rsidP="008E113B">
      <w:pPr>
        <w:spacing w:after="80" w:line="360" w:lineRule="auto"/>
        <w:ind w:left="480" w:hanging="480"/>
        <w:jc w:val="left"/>
        <w:rPr>
          <w:rFonts w:ascii="Aptos" w:hAnsi="Aptos"/>
          <w:lang w:val="en-CA"/>
        </w:rPr>
      </w:pPr>
      <w:bookmarkStart w:id="1459" w:name="_Toc241083194"/>
      <w:bookmarkStart w:id="1460" w:name="_Toc241670369"/>
      <w:bookmarkStart w:id="1461" w:name="_Toc241708077"/>
      <w:bookmarkStart w:id="1462" w:name="_Toc241792024"/>
      <w:r w:rsidRPr="00BE4F47">
        <w:rPr>
          <w:rFonts w:ascii="Aptos" w:eastAsia="Calibri" w:hAnsi="Aptos" w:cs="Calibri"/>
          <w:color w:val="1A1A19"/>
          <w:sz w:val="20"/>
          <w:szCs w:val="20"/>
          <w:lang w:val="en-CA"/>
        </w:rPr>
        <w:t>[6</w:t>
      </w:r>
      <w:proofErr w:type="gramStart"/>
      <w:r w:rsidRPr="00BE4F47">
        <w:rPr>
          <w:rFonts w:ascii="Aptos" w:eastAsia="Calibri" w:hAnsi="Aptos" w:cs="Calibri"/>
          <w:color w:val="1A1A19"/>
          <w:sz w:val="20"/>
          <w:szCs w:val="20"/>
          <w:lang w:val="en-CA"/>
        </w:rPr>
        <w:t>]  H.</w:t>
      </w:r>
      <w:proofErr w:type="gramEnd"/>
      <w:r w:rsidRPr="00BE4F47">
        <w:rPr>
          <w:rFonts w:ascii="Aptos" w:eastAsia="Calibri" w:hAnsi="Aptos" w:cs="Calibri"/>
          <w:color w:val="1A1A19"/>
          <w:sz w:val="20"/>
          <w:szCs w:val="20"/>
          <w:lang w:val="en-CA"/>
        </w:rPr>
        <w:t xml:space="preserve"> Huang, L. Yang, Y. Wang, X. Xu et Y. Lu, « Digital twin-driven online anomaly detection for an automation system based on edge intelligence », Journal of Manufacturing Systems, vol. 59, p. 138-150, 2021.  </w:t>
      </w:r>
      <w:hyperlink r:id="rId25">
        <w:r w:rsidR="00F50D70" w:rsidRPr="00BE4F47">
          <w:rPr>
            <w:rFonts w:ascii="Aptos" w:hAnsi="Aptos"/>
            <w:color w:val="1155CC"/>
            <w:sz w:val="18"/>
            <w:u w:val="single"/>
            <w:lang w:val="en-CA"/>
          </w:rPr>
          <w:t>https://doi.org/10.1016/j.jmsy.2021.02.010</w:t>
        </w:r>
        <w:bookmarkEnd w:id="1459"/>
        <w:bookmarkEnd w:id="1460"/>
        <w:bookmarkEnd w:id="1461"/>
        <w:bookmarkEnd w:id="1462"/>
      </w:hyperlink>
    </w:p>
    <w:p w14:paraId="5A2E28B7" w14:textId="77777777" w:rsidR="00F50D70" w:rsidRPr="00BE4F47" w:rsidRDefault="00137D7F" w:rsidP="008E113B">
      <w:pPr>
        <w:spacing w:after="80" w:line="360" w:lineRule="auto"/>
        <w:ind w:left="480" w:hanging="480"/>
        <w:jc w:val="left"/>
        <w:rPr>
          <w:rFonts w:ascii="Aptos" w:hAnsi="Aptos"/>
          <w:lang w:val="en-CA"/>
        </w:rPr>
      </w:pPr>
      <w:bookmarkStart w:id="1463" w:name="_Toc241083196"/>
      <w:bookmarkStart w:id="1464" w:name="_Toc241670370"/>
      <w:bookmarkStart w:id="1465" w:name="_Toc241708078"/>
      <w:bookmarkStart w:id="1466" w:name="_Toc241792025"/>
      <w:r w:rsidRPr="00BE4F47">
        <w:rPr>
          <w:rFonts w:ascii="Aptos" w:eastAsia="Calibri" w:hAnsi="Aptos" w:cs="Calibri"/>
          <w:color w:val="1A1A19"/>
          <w:sz w:val="20"/>
          <w:szCs w:val="20"/>
          <w:lang w:val="en-CA"/>
        </w:rPr>
        <w:t>[7</w:t>
      </w:r>
      <w:proofErr w:type="gramStart"/>
      <w:r w:rsidRPr="00BE4F47">
        <w:rPr>
          <w:rFonts w:ascii="Aptos" w:eastAsia="Calibri" w:hAnsi="Aptos" w:cs="Calibri"/>
          <w:color w:val="1A1A19"/>
          <w:sz w:val="20"/>
          <w:szCs w:val="20"/>
          <w:lang w:val="en-CA"/>
        </w:rPr>
        <w:t>]  K.</w:t>
      </w:r>
      <w:proofErr w:type="gramEnd"/>
      <w:r w:rsidRPr="00BE4F47">
        <w:rPr>
          <w:rFonts w:ascii="Aptos" w:eastAsia="Calibri" w:hAnsi="Aptos" w:cs="Calibri"/>
          <w:color w:val="1A1A19"/>
          <w:sz w:val="20"/>
          <w:szCs w:val="20"/>
          <w:lang w:val="en-CA"/>
        </w:rPr>
        <w:t xml:space="preserve"> Kobayashi, D. Kumar et S. B. Alam, « AI-driven non-intrusive uncertainty quantification of advanced nuclear fuels for digital twin-enabling technology », Progress in Nuclear Energy, vol. 172, art. 105177, 2024.  </w:t>
      </w:r>
      <w:hyperlink r:id="rId26">
        <w:r w:rsidR="00F50D70" w:rsidRPr="00BE4F47">
          <w:rPr>
            <w:rFonts w:ascii="Aptos" w:hAnsi="Aptos"/>
            <w:color w:val="1155CC"/>
            <w:sz w:val="18"/>
            <w:u w:val="single"/>
            <w:lang w:val="en-CA"/>
          </w:rPr>
          <w:t>https://doi.org/10.1016/j.pnucene.2024.105177</w:t>
        </w:r>
        <w:bookmarkEnd w:id="1463"/>
        <w:bookmarkEnd w:id="1464"/>
        <w:bookmarkEnd w:id="1465"/>
        <w:bookmarkEnd w:id="1466"/>
      </w:hyperlink>
    </w:p>
    <w:p w14:paraId="37DCCC5F" w14:textId="77777777" w:rsidR="00F50D70" w:rsidRPr="004631CD" w:rsidRDefault="00137D7F" w:rsidP="008E113B">
      <w:pPr>
        <w:spacing w:after="80" w:line="360" w:lineRule="auto"/>
        <w:ind w:left="480" w:hanging="480"/>
        <w:jc w:val="left"/>
        <w:rPr>
          <w:rFonts w:ascii="Aptos" w:hAnsi="Aptos"/>
          <w:lang w:val="en-CA"/>
        </w:rPr>
      </w:pPr>
      <w:bookmarkStart w:id="1467" w:name="_Toc241083197"/>
      <w:bookmarkStart w:id="1468" w:name="_Toc241670371"/>
      <w:bookmarkStart w:id="1469" w:name="_Toc241708079"/>
      <w:bookmarkStart w:id="1470" w:name="_Toc241792026"/>
      <w:r w:rsidRPr="00BE4F47">
        <w:rPr>
          <w:rFonts w:ascii="Aptos" w:eastAsia="Calibri" w:hAnsi="Aptos" w:cs="Calibri"/>
          <w:color w:val="1A1A19"/>
          <w:sz w:val="20"/>
          <w:szCs w:val="20"/>
          <w:lang w:val="en-CA"/>
        </w:rPr>
        <w:t>[8</w:t>
      </w:r>
      <w:proofErr w:type="gramStart"/>
      <w:r w:rsidRPr="00BE4F47">
        <w:rPr>
          <w:rFonts w:ascii="Aptos" w:eastAsia="Calibri" w:hAnsi="Aptos" w:cs="Calibri"/>
          <w:color w:val="1A1A19"/>
          <w:sz w:val="20"/>
          <w:szCs w:val="20"/>
          <w:lang w:val="en-CA"/>
        </w:rPr>
        <w:t>]  A.</w:t>
      </w:r>
      <w:proofErr w:type="gramEnd"/>
      <w:r w:rsidRPr="00BE4F47">
        <w:rPr>
          <w:rFonts w:ascii="Aptos" w:eastAsia="Calibri" w:hAnsi="Aptos" w:cs="Calibri"/>
          <w:color w:val="1A1A19"/>
          <w:sz w:val="20"/>
          <w:szCs w:val="20"/>
          <w:lang w:val="en-CA"/>
        </w:rPr>
        <w:t xml:space="preserve"> Sayghe, « Digital twin-driven intrusion detection for industrial SCADA: a cyber-physical case study », Sensors, vol. 25, n° 16, art. 4963, 2025.  </w:t>
      </w:r>
      <w:hyperlink r:id="rId27">
        <w:r w:rsidR="00F50D70" w:rsidRPr="004631CD">
          <w:rPr>
            <w:rFonts w:ascii="Aptos" w:hAnsi="Aptos"/>
            <w:color w:val="1155CC"/>
            <w:sz w:val="18"/>
            <w:u w:val="single"/>
            <w:lang w:val="en-CA"/>
          </w:rPr>
          <w:t>https://doi.org/10.3390/s25164963</w:t>
        </w:r>
        <w:bookmarkEnd w:id="1467"/>
        <w:bookmarkEnd w:id="1468"/>
        <w:bookmarkEnd w:id="1469"/>
        <w:bookmarkEnd w:id="1470"/>
      </w:hyperlink>
    </w:p>
    <w:p w14:paraId="0570F9DC" w14:textId="77777777" w:rsidR="00F50D70" w:rsidRPr="004631CD" w:rsidRDefault="00137D7F" w:rsidP="008E113B">
      <w:pPr>
        <w:spacing w:after="80" w:line="360" w:lineRule="auto"/>
        <w:ind w:left="480" w:hanging="480"/>
        <w:jc w:val="left"/>
        <w:rPr>
          <w:rFonts w:ascii="Aptos" w:hAnsi="Aptos"/>
          <w:lang w:val="fr-FR"/>
        </w:rPr>
      </w:pPr>
      <w:bookmarkStart w:id="1471" w:name="_Toc241083195"/>
      <w:bookmarkStart w:id="1472" w:name="_Toc241670372"/>
      <w:bookmarkStart w:id="1473" w:name="_Toc241708080"/>
      <w:bookmarkStart w:id="1474" w:name="_Toc241792027"/>
      <w:r w:rsidRPr="00BE4F47">
        <w:rPr>
          <w:rFonts w:ascii="Aptos" w:eastAsia="Calibri" w:hAnsi="Aptos" w:cs="Calibri"/>
          <w:color w:val="1A1A19"/>
          <w:sz w:val="20"/>
          <w:szCs w:val="20"/>
          <w:lang w:val="en-CA"/>
        </w:rPr>
        <w:t>[9</w:t>
      </w:r>
      <w:proofErr w:type="gramStart"/>
      <w:r w:rsidRPr="00BE4F47">
        <w:rPr>
          <w:rFonts w:ascii="Aptos" w:eastAsia="Calibri" w:hAnsi="Aptos" w:cs="Calibri"/>
          <w:color w:val="1A1A19"/>
          <w:sz w:val="20"/>
          <w:szCs w:val="20"/>
          <w:lang w:val="en-CA"/>
        </w:rPr>
        <w:t>]  C.</w:t>
      </w:r>
      <w:proofErr w:type="gramEnd"/>
      <w:r w:rsidRPr="00BE4F47">
        <w:rPr>
          <w:rFonts w:ascii="Aptos" w:eastAsia="Calibri" w:hAnsi="Aptos" w:cs="Calibri"/>
          <w:color w:val="1A1A19"/>
          <w:sz w:val="20"/>
          <w:szCs w:val="20"/>
          <w:lang w:val="en-CA"/>
        </w:rPr>
        <w:t xml:space="preserve"> Alcaraz et J. Lopez, « Digital twin-assisted anomaly detection for industrial scenarios », International Journal of Critical Infrastructure Protection, vol. 47, art. 100721, 2024.  </w:t>
      </w:r>
      <w:hyperlink r:id="rId28">
        <w:r w:rsidR="00F50D70" w:rsidRPr="004631CD">
          <w:rPr>
            <w:rFonts w:ascii="Aptos" w:hAnsi="Aptos"/>
            <w:color w:val="1155CC"/>
            <w:sz w:val="18"/>
            <w:u w:val="single"/>
            <w:lang w:val="fr-FR"/>
          </w:rPr>
          <w:t>https://doi.org/10.1016/j.ijcip.2024.100721</w:t>
        </w:r>
        <w:bookmarkEnd w:id="1471"/>
        <w:bookmarkEnd w:id="1472"/>
        <w:bookmarkEnd w:id="1473"/>
        <w:bookmarkEnd w:id="1474"/>
      </w:hyperlink>
    </w:p>
    <w:p w14:paraId="10872A1D" w14:textId="77777777" w:rsidR="00F50D70" w:rsidRPr="00BE4F47" w:rsidRDefault="00137D7F" w:rsidP="008E113B">
      <w:pPr>
        <w:spacing w:after="80" w:line="360" w:lineRule="auto"/>
        <w:ind w:left="480" w:hanging="480"/>
        <w:jc w:val="left"/>
        <w:rPr>
          <w:rFonts w:ascii="Aptos" w:hAnsi="Aptos"/>
        </w:rPr>
      </w:pPr>
      <w:bookmarkStart w:id="1475" w:name="_Toc241083203"/>
      <w:bookmarkStart w:id="1476" w:name="_Toc241670373"/>
      <w:bookmarkStart w:id="1477" w:name="_Toc241708081"/>
      <w:bookmarkStart w:id="1478" w:name="_Toc241792028"/>
      <w:r w:rsidRPr="00BE4F47">
        <w:rPr>
          <w:rFonts w:ascii="Aptos" w:eastAsia="Calibri" w:hAnsi="Aptos" w:cs="Calibri"/>
          <w:color w:val="1A1A19"/>
          <w:sz w:val="20"/>
          <w:szCs w:val="20"/>
        </w:rPr>
        <w:t>[10</w:t>
      </w:r>
      <w:proofErr w:type="gramStart"/>
      <w:r w:rsidRPr="00BE4F47">
        <w:rPr>
          <w:rFonts w:ascii="Aptos" w:eastAsia="Calibri" w:hAnsi="Aptos" w:cs="Calibri"/>
          <w:color w:val="1A1A19"/>
          <w:sz w:val="20"/>
          <w:szCs w:val="20"/>
        </w:rPr>
        <w:t>]  Ansys</w:t>
      </w:r>
      <w:proofErr w:type="gramEnd"/>
      <w:r w:rsidRPr="00BE4F47">
        <w:rPr>
          <w:rFonts w:ascii="Aptos" w:eastAsia="Calibri" w:hAnsi="Aptos" w:cs="Calibri"/>
          <w:color w:val="1A1A19"/>
          <w:sz w:val="20"/>
          <w:szCs w:val="20"/>
        </w:rPr>
        <w:t xml:space="preserve">, Twin Builder, plateforme de création et de déploiement de jumeaux numériques de systèmes.  </w:t>
      </w:r>
      <w:hyperlink r:id="rId29">
        <w:r w:rsidR="00F50D70" w:rsidRPr="00BE4F47">
          <w:rPr>
            <w:rFonts w:ascii="Aptos" w:hAnsi="Aptos"/>
            <w:color w:val="1155CC"/>
            <w:sz w:val="18"/>
            <w:u w:val="single"/>
          </w:rPr>
          <w:t>https://www.ansys.com/en-gb/products/digital-twin/ansys-twin-builder</w:t>
        </w:r>
        <w:bookmarkEnd w:id="1475"/>
        <w:bookmarkEnd w:id="1476"/>
        <w:bookmarkEnd w:id="1477"/>
        <w:bookmarkEnd w:id="1478"/>
      </w:hyperlink>
    </w:p>
    <w:p w14:paraId="2C674206" w14:textId="77777777" w:rsidR="00F50D70" w:rsidRPr="00BE4F47" w:rsidRDefault="00137D7F" w:rsidP="008E113B">
      <w:pPr>
        <w:spacing w:after="80" w:line="360" w:lineRule="auto"/>
        <w:ind w:left="480" w:hanging="480"/>
        <w:jc w:val="left"/>
        <w:rPr>
          <w:rFonts w:ascii="Aptos" w:hAnsi="Aptos"/>
        </w:rPr>
      </w:pPr>
      <w:bookmarkStart w:id="1479" w:name="_Toc241083204"/>
      <w:bookmarkStart w:id="1480" w:name="_Toc241670374"/>
      <w:bookmarkStart w:id="1481" w:name="_Toc241708082"/>
      <w:bookmarkStart w:id="1482" w:name="_Toc241792029"/>
      <w:r w:rsidRPr="00BE4F47">
        <w:rPr>
          <w:rFonts w:ascii="Aptos" w:eastAsia="Calibri" w:hAnsi="Aptos" w:cs="Calibri"/>
          <w:color w:val="1A1A19"/>
          <w:sz w:val="20"/>
          <w:szCs w:val="20"/>
        </w:rPr>
        <w:t>[11</w:t>
      </w:r>
      <w:proofErr w:type="gramStart"/>
      <w:r w:rsidRPr="00BE4F47">
        <w:rPr>
          <w:rFonts w:ascii="Aptos" w:eastAsia="Calibri" w:hAnsi="Aptos" w:cs="Calibri"/>
          <w:color w:val="1A1A19"/>
          <w:sz w:val="20"/>
          <w:szCs w:val="20"/>
        </w:rPr>
        <w:t>]  Siemens</w:t>
      </w:r>
      <w:proofErr w:type="gramEnd"/>
      <w:r w:rsidRPr="00BE4F47">
        <w:rPr>
          <w:rFonts w:ascii="Aptos" w:eastAsia="Calibri" w:hAnsi="Aptos" w:cs="Calibri"/>
          <w:color w:val="1A1A19"/>
          <w:sz w:val="20"/>
          <w:szCs w:val="20"/>
        </w:rPr>
        <w:t xml:space="preserve">, Simcenter Amesim, environnement de simulation de systèmes multiphysiques, incluant les circuits thermiques et hydrauliques.  </w:t>
      </w:r>
      <w:hyperlink r:id="rId30">
        <w:r w:rsidR="00F50D70" w:rsidRPr="00BE4F47">
          <w:rPr>
            <w:rFonts w:ascii="Aptos" w:hAnsi="Aptos"/>
            <w:color w:val="1155CC"/>
            <w:sz w:val="18"/>
            <w:u w:val="single"/>
          </w:rPr>
          <w:t>https://www.siemens.com/en-us/products/simcenter/systems-simulation/amesim/</w:t>
        </w:r>
        <w:bookmarkEnd w:id="1479"/>
        <w:bookmarkEnd w:id="1480"/>
        <w:bookmarkEnd w:id="1481"/>
        <w:bookmarkEnd w:id="1482"/>
      </w:hyperlink>
    </w:p>
    <w:p w14:paraId="105CAF75" w14:textId="77777777" w:rsidR="00F50D70" w:rsidRPr="00BE4F47" w:rsidRDefault="00137D7F" w:rsidP="008E113B">
      <w:pPr>
        <w:spacing w:after="80" w:line="360" w:lineRule="auto"/>
        <w:ind w:left="480" w:hanging="480"/>
        <w:jc w:val="left"/>
        <w:rPr>
          <w:rFonts w:ascii="Aptos" w:hAnsi="Aptos"/>
        </w:rPr>
      </w:pPr>
      <w:bookmarkStart w:id="1483" w:name="_Toc241083205"/>
      <w:bookmarkStart w:id="1484" w:name="_Toc241670375"/>
      <w:bookmarkStart w:id="1485" w:name="_Toc241708083"/>
      <w:bookmarkStart w:id="1486" w:name="_Toc241792030"/>
      <w:r w:rsidRPr="00BE4F47">
        <w:rPr>
          <w:rFonts w:ascii="Aptos" w:eastAsia="Calibri" w:hAnsi="Aptos" w:cs="Calibri"/>
          <w:color w:val="1A1A19"/>
          <w:sz w:val="20"/>
          <w:szCs w:val="20"/>
        </w:rPr>
        <w:t>[12</w:t>
      </w:r>
      <w:proofErr w:type="gramStart"/>
      <w:r w:rsidRPr="00BE4F47">
        <w:rPr>
          <w:rFonts w:ascii="Aptos" w:eastAsia="Calibri" w:hAnsi="Aptos" w:cs="Calibri"/>
          <w:color w:val="1A1A19"/>
          <w:sz w:val="20"/>
          <w:szCs w:val="20"/>
        </w:rPr>
        <w:t>]  F.</w:t>
      </w:r>
      <w:proofErr w:type="gramEnd"/>
      <w:r w:rsidRPr="00BE4F47">
        <w:rPr>
          <w:rFonts w:ascii="Aptos" w:eastAsia="Calibri" w:hAnsi="Aptos" w:cs="Calibri"/>
          <w:color w:val="1A1A19"/>
          <w:sz w:val="20"/>
          <w:szCs w:val="20"/>
        </w:rPr>
        <w:t xml:space="preserve"> Casella, ThermoPower, bibliothèque Modelica libre pour la modélisation dynamique des centrales thermiques et des systèmes de conversion d’énergie.  </w:t>
      </w:r>
      <w:hyperlink r:id="rId31">
        <w:r w:rsidR="00F50D70" w:rsidRPr="00BE4F47">
          <w:rPr>
            <w:rFonts w:ascii="Aptos" w:hAnsi="Aptos"/>
            <w:color w:val="1155CC"/>
            <w:sz w:val="18"/>
            <w:u w:val="single"/>
          </w:rPr>
          <w:t>https://github.com/casella/ThermoPower</w:t>
        </w:r>
        <w:bookmarkEnd w:id="1483"/>
        <w:bookmarkEnd w:id="1484"/>
        <w:bookmarkEnd w:id="1485"/>
        <w:bookmarkEnd w:id="1486"/>
      </w:hyperlink>
    </w:p>
    <w:p w14:paraId="4EC3D5B9" w14:textId="77777777" w:rsidR="00F50D70" w:rsidRPr="00BE4F47" w:rsidRDefault="00137D7F" w:rsidP="008E113B">
      <w:pPr>
        <w:spacing w:after="80" w:line="360" w:lineRule="auto"/>
        <w:ind w:left="480" w:hanging="480"/>
        <w:jc w:val="left"/>
        <w:rPr>
          <w:rFonts w:ascii="Aptos" w:hAnsi="Aptos"/>
        </w:rPr>
      </w:pPr>
      <w:bookmarkStart w:id="1487" w:name="_Toc241083206"/>
      <w:bookmarkStart w:id="1488" w:name="_Toc241670376"/>
      <w:bookmarkStart w:id="1489" w:name="_Toc241708084"/>
      <w:bookmarkStart w:id="1490" w:name="_Toc241792031"/>
      <w:r w:rsidRPr="00BE4F47">
        <w:rPr>
          <w:rFonts w:ascii="Aptos" w:eastAsia="Calibri" w:hAnsi="Aptos" w:cs="Calibri"/>
          <w:color w:val="1A1A19"/>
          <w:sz w:val="20"/>
          <w:szCs w:val="20"/>
        </w:rPr>
        <w:t>[13</w:t>
      </w:r>
      <w:proofErr w:type="gramStart"/>
      <w:r w:rsidRPr="00BE4F47">
        <w:rPr>
          <w:rFonts w:ascii="Aptos" w:eastAsia="Calibri" w:hAnsi="Aptos" w:cs="Calibri"/>
          <w:color w:val="1A1A19"/>
          <w:sz w:val="20"/>
          <w:szCs w:val="20"/>
        </w:rPr>
        <w:t>]  United</w:t>
      </w:r>
      <w:proofErr w:type="gramEnd"/>
      <w:r w:rsidRPr="00BE4F47">
        <w:rPr>
          <w:rFonts w:ascii="Aptos" w:eastAsia="Calibri" w:hAnsi="Aptos" w:cs="Calibri"/>
          <w:color w:val="1A1A19"/>
          <w:sz w:val="20"/>
          <w:szCs w:val="20"/>
        </w:rPr>
        <w:t xml:space="preserve"> States Nuclear Regulatory Commission, Computer Codes, codes de thermohydraulique TRACE et RELAP5 et leur programme de distribution CAMP.  </w:t>
      </w:r>
      <w:hyperlink r:id="rId32">
        <w:r w:rsidR="00F50D70" w:rsidRPr="00BE4F47">
          <w:rPr>
            <w:rFonts w:ascii="Aptos" w:hAnsi="Aptos"/>
            <w:color w:val="1155CC"/>
            <w:sz w:val="18"/>
            <w:u w:val="single"/>
          </w:rPr>
          <w:t>https://www.nrc.gov/about-nrc/regulatory/research/safetycodes</w:t>
        </w:r>
        <w:bookmarkEnd w:id="1487"/>
        <w:bookmarkEnd w:id="1488"/>
        <w:bookmarkEnd w:id="1489"/>
        <w:bookmarkEnd w:id="1490"/>
      </w:hyperlink>
    </w:p>
    <w:p w14:paraId="2C9934D3" w14:textId="77777777" w:rsidR="00F50D70" w:rsidRPr="00BE4F47" w:rsidRDefault="00137D7F" w:rsidP="008E113B">
      <w:pPr>
        <w:spacing w:after="80" w:line="360" w:lineRule="auto"/>
        <w:ind w:left="480" w:hanging="480"/>
        <w:jc w:val="left"/>
        <w:rPr>
          <w:rFonts w:ascii="Aptos" w:hAnsi="Aptos"/>
        </w:rPr>
      </w:pPr>
      <w:bookmarkStart w:id="1491" w:name="_Toc241083198"/>
      <w:bookmarkStart w:id="1492" w:name="_Toc241670377"/>
      <w:bookmarkStart w:id="1493" w:name="_Toc241708085"/>
      <w:bookmarkStart w:id="1494" w:name="_Toc241792032"/>
      <w:r w:rsidRPr="00BE4F47">
        <w:rPr>
          <w:rFonts w:ascii="Aptos" w:eastAsia="Calibri" w:hAnsi="Aptos" w:cs="Calibri"/>
          <w:color w:val="1A1A19"/>
          <w:sz w:val="20"/>
          <w:szCs w:val="20"/>
        </w:rPr>
        <w:t>[14</w:t>
      </w:r>
      <w:proofErr w:type="gramStart"/>
      <w:r w:rsidRPr="00BE4F47">
        <w:rPr>
          <w:rFonts w:ascii="Aptos" w:eastAsia="Calibri" w:hAnsi="Aptos" w:cs="Calibri"/>
          <w:color w:val="1A1A19"/>
          <w:sz w:val="20"/>
          <w:szCs w:val="20"/>
        </w:rPr>
        <w:t>]  Brevet</w:t>
      </w:r>
      <w:proofErr w:type="gramEnd"/>
      <w:r w:rsidRPr="00BE4F47">
        <w:rPr>
          <w:rFonts w:ascii="Aptos" w:eastAsia="Calibri" w:hAnsi="Aptos" w:cs="Calibri"/>
          <w:color w:val="1A1A19"/>
          <w:sz w:val="20"/>
          <w:szCs w:val="20"/>
        </w:rPr>
        <w:t xml:space="preserve"> CN118709527B, « Implementation method of digital twin model of nuclear power plant based on physical-data hybrid drive », Université Jiao Tong de Shanghai, déposé le 4 juin 2024, délivré le 1er avril 2025.  </w:t>
      </w:r>
      <w:hyperlink r:id="rId33">
        <w:r w:rsidR="00F50D70" w:rsidRPr="00BE4F47">
          <w:rPr>
            <w:rFonts w:ascii="Aptos" w:hAnsi="Aptos"/>
            <w:color w:val="1155CC"/>
            <w:sz w:val="18"/>
            <w:u w:val="single"/>
          </w:rPr>
          <w:t>https://patents.google.com/patent/CN118709527B/en</w:t>
        </w:r>
        <w:bookmarkEnd w:id="1491"/>
        <w:bookmarkEnd w:id="1492"/>
        <w:bookmarkEnd w:id="1493"/>
        <w:bookmarkEnd w:id="1494"/>
      </w:hyperlink>
    </w:p>
    <w:p w14:paraId="0C8C541A" w14:textId="77777777" w:rsidR="00F50D70" w:rsidRPr="00BE4F47" w:rsidRDefault="00137D7F" w:rsidP="008E113B">
      <w:pPr>
        <w:spacing w:after="80" w:line="360" w:lineRule="auto"/>
        <w:ind w:left="480" w:hanging="480"/>
        <w:jc w:val="left"/>
        <w:rPr>
          <w:rFonts w:ascii="Aptos" w:hAnsi="Aptos"/>
          <w:lang w:val="en-CA"/>
        </w:rPr>
      </w:pPr>
      <w:bookmarkStart w:id="1495" w:name="_Toc241083199"/>
      <w:bookmarkStart w:id="1496" w:name="_Toc241670378"/>
      <w:bookmarkStart w:id="1497" w:name="_Toc241708086"/>
      <w:bookmarkStart w:id="1498" w:name="_Toc241792033"/>
      <w:r w:rsidRPr="00BE4F47">
        <w:rPr>
          <w:rFonts w:ascii="Aptos" w:eastAsia="Calibri" w:hAnsi="Aptos" w:cs="Calibri"/>
          <w:color w:val="1A1A19"/>
          <w:sz w:val="20"/>
          <w:szCs w:val="20"/>
        </w:rPr>
        <w:t>[15</w:t>
      </w:r>
      <w:proofErr w:type="gramStart"/>
      <w:r w:rsidRPr="00BE4F47">
        <w:rPr>
          <w:rFonts w:ascii="Aptos" w:eastAsia="Calibri" w:hAnsi="Aptos" w:cs="Calibri"/>
          <w:color w:val="1A1A19"/>
          <w:sz w:val="20"/>
          <w:szCs w:val="20"/>
        </w:rPr>
        <w:t>]  Demande</w:t>
      </w:r>
      <w:proofErr w:type="gramEnd"/>
      <w:r w:rsidRPr="00BE4F47">
        <w:rPr>
          <w:rFonts w:ascii="Aptos" w:eastAsia="Calibri" w:hAnsi="Aptos" w:cs="Calibri"/>
          <w:color w:val="1A1A19"/>
          <w:sz w:val="20"/>
          <w:szCs w:val="20"/>
        </w:rPr>
        <w:t xml:space="preserve"> de brevet CN118228587A, « Uncertainty analysis method of core digital twin system based on MCMC », Université Jiao Tong de Shanghai, déposée le 26 mars 2024, publiée le 21 juin 2024, rejetée après publication.  </w:t>
      </w:r>
      <w:hyperlink r:id="rId34">
        <w:r w:rsidR="00F50D70" w:rsidRPr="00BE4F47">
          <w:rPr>
            <w:rFonts w:ascii="Aptos" w:hAnsi="Aptos"/>
            <w:color w:val="1155CC"/>
            <w:sz w:val="18"/>
            <w:u w:val="single"/>
            <w:lang w:val="en-CA"/>
          </w:rPr>
          <w:t>https://patents.google.com/patent/CN118228587A/en</w:t>
        </w:r>
        <w:bookmarkEnd w:id="1495"/>
        <w:bookmarkEnd w:id="1496"/>
        <w:bookmarkEnd w:id="1497"/>
        <w:bookmarkEnd w:id="1498"/>
      </w:hyperlink>
    </w:p>
    <w:p w14:paraId="7E832DED" w14:textId="77777777" w:rsidR="00F50D70" w:rsidRPr="00BE4F47" w:rsidRDefault="00137D7F" w:rsidP="008E113B">
      <w:pPr>
        <w:spacing w:after="80" w:line="360" w:lineRule="auto"/>
        <w:ind w:left="480" w:hanging="480"/>
        <w:jc w:val="left"/>
        <w:rPr>
          <w:rFonts w:ascii="Aptos" w:hAnsi="Aptos"/>
        </w:rPr>
      </w:pPr>
      <w:bookmarkStart w:id="1499" w:name="_Toc241083200"/>
      <w:bookmarkStart w:id="1500" w:name="_Toc241670379"/>
      <w:bookmarkStart w:id="1501" w:name="_Toc241708087"/>
      <w:bookmarkStart w:id="1502" w:name="_Toc241792034"/>
      <w:r w:rsidRPr="00BE4F47">
        <w:rPr>
          <w:rFonts w:ascii="Aptos" w:eastAsia="Calibri" w:hAnsi="Aptos" w:cs="Calibri"/>
          <w:color w:val="1A1A19"/>
          <w:sz w:val="20"/>
          <w:szCs w:val="20"/>
          <w:lang w:val="en-CA"/>
        </w:rPr>
        <w:t>[16</w:t>
      </w:r>
      <w:proofErr w:type="gramStart"/>
      <w:r w:rsidRPr="00BE4F47">
        <w:rPr>
          <w:rFonts w:ascii="Aptos" w:eastAsia="Calibri" w:hAnsi="Aptos" w:cs="Calibri"/>
          <w:color w:val="1A1A19"/>
          <w:sz w:val="20"/>
          <w:szCs w:val="20"/>
          <w:lang w:val="en-CA"/>
        </w:rPr>
        <w:t>]  Demande</w:t>
      </w:r>
      <w:proofErr w:type="gramEnd"/>
      <w:r w:rsidRPr="00BE4F47">
        <w:rPr>
          <w:rFonts w:ascii="Aptos" w:eastAsia="Calibri" w:hAnsi="Aptos" w:cs="Calibri"/>
          <w:color w:val="1A1A19"/>
          <w:sz w:val="20"/>
          <w:szCs w:val="20"/>
          <w:lang w:val="en-CA"/>
        </w:rPr>
        <w:t xml:space="preserve"> de brevet CN118779601A, « Long-term online prediction and uncertainty analysis method of multi-parameters of digital twin of nuclear power plant », Université Jiao Tong de Shanghai, déposée le 14 juin 2024, publiée le 15 octobre 2024.  </w:t>
      </w:r>
      <w:hyperlink r:id="rId35">
        <w:r w:rsidR="00F50D70" w:rsidRPr="00BE4F47">
          <w:rPr>
            <w:rFonts w:ascii="Aptos" w:hAnsi="Aptos"/>
            <w:color w:val="1155CC"/>
            <w:sz w:val="18"/>
            <w:u w:val="single"/>
          </w:rPr>
          <w:t>https://patents.google.com/patent/CN118779601A/en</w:t>
        </w:r>
        <w:bookmarkEnd w:id="1499"/>
        <w:bookmarkEnd w:id="1500"/>
        <w:bookmarkEnd w:id="1501"/>
        <w:bookmarkEnd w:id="1502"/>
      </w:hyperlink>
    </w:p>
    <w:p w14:paraId="0985DE0E" w14:textId="77777777" w:rsidR="00F50D70" w:rsidRPr="00BE4F47" w:rsidRDefault="00137D7F" w:rsidP="008E113B">
      <w:pPr>
        <w:spacing w:after="80" w:line="360" w:lineRule="auto"/>
        <w:ind w:left="480" w:hanging="480"/>
        <w:jc w:val="left"/>
        <w:rPr>
          <w:rFonts w:ascii="Aptos" w:hAnsi="Aptos"/>
          <w:lang w:val="en-CA"/>
        </w:rPr>
      </w:pPr>
      <w:bookmarkStart w:id="1503" w:name="_Toc241083201"/>
      <w:bookmarkStart w:id="1504" w:name="_Toc241670380"/>
      <w:bookmarkStart w:id="1505" w:name="_Toc241708088"/>
      <w:bookmarkStart w:id="1506" w:name="_Toc241792035"/>
      <w:r w:rsidRPr="00BE4F47">
        <w:rPr>
          <w:rFonts w:ascii="Aptos" w:eastAsia="Calibri" w:hAnsi="Aptos" w:cs="Calibri"/>
          <w:color w:val="1A1A19"/>
          <w:sz w:val="20"/>
          <w:szCs w:val="20"/>
        </w:rPr>
        <w:lastRenderedPageBreak/>
        <w:t>[17</w:t>
      </w:r>
      <w:proofErr w:type="gramStart"/>
      <w:r w:rsidRPr="00BE4F47">
        <w:rPr>
          <w:rFonts w:ascii="Aptos" w:eastAsia="Calibri" w:hAnsi="Aptos" w:cs="Calibri"/>
          <w:color w:val="1A1A19"/>
          <w:sz w:val="20"/>
          <w:szCs w:val="20"/>
        </w:rPr>
        <w:t>]  Demande</w:t>
      </w:r>
      <w:proofErr w:type="gramEnd"/>
      <w:r w:rsidRPr="00BE4F47">
        <w:rPr>
          <w:rFonts w:ascii="Aptos" w:eastAsia="Calibri" w:hAnsi="Aptos" w:cs="Calibri"/>
          <w:color w:val="1A1A19"/>
          <w:sz w:val="20"/>
          <w:szCs w:val="20"/>
        </w:rPr>
        <w:t xml:space="preserve"> de brevet CN118068765A, « Method for constructing anomaly detection model for industrial control systems in process industries based on digital twins », Université des sciences et technologies de Huazhong, déposée le 8 mars 2024, publiée le 24 mai 2024.  </w:t>
      </w:r>
      <w:hyperlink r:id="rId36">
        <w:r w:rsidR="00F50D70" w:rsidRPr="00BE4F47">
          <w:rPr>
            <w:rFonts w:ascii="Aptos" w:hAnsi="Aptos"/>
            <w:color w:val="1155CC"/>
            <w:sz w:val="18"/>
            <w:u w:val="single"/>
            <w:lang w:val="en-CA"/>
          </w:rPr>
          <w:t>https://patents.google.com/patent/CN118068765A/en</w:t>
        </w:r>
        <w:bookmarkEnd w:id="1503"/>
        <w:bookmarkEnd w:id="1504"/>
        <w:bookmarkEnd w:id="1505"/>
        <w:bookmarkEnd w:id="1506"/>
      </w:hyperlink>
    </w:p>
    <w:p w14:paraId="6FA4636C" w14:textId="77777777" w:rsidR="00F50D70" w:rsidRPr="00BE4F47" w:rsidRDefault="00137D7F" w:rsidP="008E113B">
      <w:pPr>
        <w:spacing w:after="80" w:line="360" w:lineRule="auto"/>
        <w:ind w:left="480" w:hanging="480"/>
        <w:jc w:val="left"/>
        <w:rPr>
          <w:rFonts w:ascii="Aptos" w:hAnsi="Aptos"/>
        </w:rPr>
      </w:pPr>
      <w:bookmarkStart w:id="1507" w:name="_Toc241083202"/>
      <w:bookmarkStart w:id="1508" w:name="_Toc241670381"/>
      <w:bookmarkStart w:id="1509" w:name="_Toc241708089"/>
      <w:bookmarkStart w:id="1510" w:name="_Toc241792036"/>
      <w:r w:rsidRPr="00BE4F47">
        <w:rPr>
          <w:rFonts w:ascii="Aptos" w:eastAsia="Calibri" w:hAnsi="Aptos" w:cs="Calibri"/>
          <w:color w:val="1A1A19"/>
          <w:sz w:val="20"/>
          <w:szCs w:val="20"/>
          <w:lang w:val="en-CA"/>
        </w:rPr>
        <w:t>[18</w:t>
      </w:r>
      <w:proofErr w:type="gramStart"/>
      <w:r w:rsidRPr="00BE4F47">
        <w:rPr>
          <w:rFonts w:ascii="Aptos" w:eastAsia="Calibri" w:hAnsi="Aptos" w:cs="Calibri"/>
          <w:color w:val="1A1A19"/>
          <w:sz w:val="20"/>
          <w:szCs w:val="20"/>
          <w:lang w:val="en-CA"/>
        </w:rPr>
        <w:t>]  Brevet</w:t>
      </w:r>
      <w:proofErr w:type="gramEnd"/>
      <w:r w:rsidRPr="00BE4F47">
        <w:rPr>
          <w:rFonts w:ascii="Aptos" w:eastAsia="Calibri" w:hAnsi="Aptos" w:cs="Calibri"/>
          <w:color w:val="1A1A19"/>
          <w:sz w:val="20"/>
          <w:szCs w:val="20"/>
          <w:lang w:val="en-CA"/>
        </w:rPr>
        <w:t xml:space="preserve"> US12093818B2, « Method and system for semi-supervised deep anomaly detection for large-scale industrial monitoring systems based on time-series data utilizing digital twin simulation data », Honda Motor Co., délivré le 17 septembre 2024.  </w:t>
      </w:r>
      <w:hyperlink r:id="rId37">
        <w:r w:rsidR="00F50D70" w:rsidRPr="00BE4F47">
          <w:rPr>
            <w:rFonts w:ascii="Aptos" w:hAnsi="Aptos"/>
            <w:color w:val="1155CC"/>
            <w:sz w:val="18"/>
            <w:u w:val="single"/>
          </w:rPr>
          <w:t>https://patents.google.com/patent/US12093818B2/en</w:t>
        </w:r>
        <w:bookmarkEnd w:id="1507"/>
        <w:bookmarkEnd w:id="1508"/>
        <w:bookmarkEnd w:id="1509"/>
        <w:bookmarkEnd w:id="1510"/>
      </w:hyperlink>
    </w:p>
    <w:p w14:paraId="49EAF937" w14:textId="77777777" w:rsidR="00F50D70" w:rsidRPr="00BE4F47" w:rsidRDefault="00137D7F" w:rsidP="008E113B">
      <w:pPr>
        <w:spacing w:after="80" w:line="360" w:lineRule="auto"/>
        <w:ind w:left="480" w:hanging="480"/>
        <w:jc w:val="left"/>
        <w:rPr>
          <w:rFonts w:ascii="Aptos" w:hAnsi="Aptos"/>
        </w:rPr>
      </w:pPr>
      <w:bookmarkStart w:id="1511" w:name="_Toc241083207"/>
      <w:bookmarkStart w:id="1512" w:name="_Toc241670382"/>
      <w:bookmarkStart w:id="1513" w:name="_Toc241708090"/>
      <w:bookmarkStart w:id="1514" w:name="_Toc241792037"/>
      <w:r w:rsidRPr="00BE4F47">
        <w:rPr>
          <w:rFonts w:ascii="Aptos" w:eastAsia="Calibri" w:hAnsi="Aptos" w:cs="Calibri"/>
          <w:color w:val="1A1A19"/>
          <w:sz w:val="20"/>
          <w:szCs w:val="20"/>
        </w:rPr>
        <w:t>[19</w:t>
      </w:r>
      <w:proofErr w:type="gramStart"/>
      <w:r w:rsidRPr="00BE4F47">
        <w:rPr>
          <w:rFonts w:ascii="Aptos" w:eastAsia="Calibri" w:hAnsi="Aptos" w:cs="Calibri"/>
          <w:color w:val="1A1A19"/>
          <w:sz w:val="20"/>
          <w:szCs w:val="20"/>
        </w:rPr>
        <w:t>]  Québec</w:t>
      </w:r>
      <w:proofErr w:type="gramEnd"/>
      <w:r w:rsidRPr="00BE4F47">
        <w:rPr>
          <w:rFonts w:ascii="Aptos" w:eastAsia="Calibri" w:hAnsi="Aptos" w:cs="Calibri"/>
          <w:color w:val="1A1A19"/>
          <w:sz w:val="20"/>
          <w:szCs w:val="20"/>
        </w:rPr>
        <w:t xml:space="preserve">, Loi sur les ingénieurs, RLRQ, chapitre I-9.  </w:t>
      </w:r>
      <w:hyperlink r:id="rId38">
        <w:r w:rsidR="00F50D70" w:rsidRPr="00BE4F47">
          <w:rPr>
            <w:rFonts w:ascii="Aptos" w:hAnsi="Aptos"/>
            <w:color w:val="1155CC"/>
            <w:sz w:val="18"/>
            <w:u w:val="single"/>
          </w:rPr>
          <w:t>https://www.legisquebec.gouv.qc.ca/fr/document/lc/I-9</w:t>
        </w:r>
        <w:bookmarkEnd w:id="1511"/>
        <w:bookmarkEnd w:id="1512"/>
        <w:bookmarkEnd w:id="1513"/>
        <w:bookmarkEnd w:id="1514"/>
      </w:hyperlink>
    </w:p>
    <w:p w14:paraId="5667991B" w14:textId="77777777" w:rsidR="00F50D70" w:rsidRPr="00BE4F47" w:rsidRDefault="00137D7F" w:rsidP="008E113B">
      <w:pPr>
        <w:spacing w:after="80" w:line="360" w:lineRule="auto"/>
        <w:ind w:left="480" w:hanging="480"/>
        <w:jc w:val="left"/>
        <w:rPr>
          <w:rFonts w:ascii="Aptos" w:hAnsi="Aptos"/>
        </w:rPr>
      </w:pPr>
      <w:bookmarkStart w:id="1515" w:name="_Toc241083208"/>
      <w:bookmarkStart w:id="1516" w:name="_Toc241670383"/>
      <w:bookmarkStart w:id="1517" w:name="_Toc241708091"/>
      <w:bookmarkStart w:id="1518" w:name="_Toc241792038"/>
      <w:r w:rsidRPr="00BE4F47">
        <w:rPr>
          <w:rFonts w:ascii="Aptos" w:eastAsia="Calibri" w:hAnsi="Aptos" w:cs="Calibri"/>
          <w:color w:val="1A1A19"/>
          <w:sz w:val="20"/>
          <w:szCs w:val="20"/>
        </w:rPr>
        <w:t>[20</w:t>
      </w:r>
      <w:proofErr w:type="gramStart"/>
      <w:r w:rsidRPr="00BE4F47">
        <w:rPr>
          <w:rFonts w:ascii="Aptos" w:eastAsia="Calibri" w:hAnsi="Aptos" w:cs="Calibri"/>
          <w:color w:val="1A1A19"/>
          <w:sz w:val="20"/>
          <w:szCs w:val="20"/>
        </w:rPr>
        <w:t>]  Ordre</w:t>
      </w:r>
      <w:proofErr w:type="gramEnd"/>
      <w:r w:rsidRPr="00BE4F47">
        <w:rPr>
          <w:rFonts w:ascii="Aptos" w:eastAsia="Calibri" w:hAnsi="Aptos" w:cs="Calibri"/>
          <w:color w:val="1A1A19"/>
          <w:sz w:val="20"/>
          <w:szCs w:val="20"/>
        </w:rPr>
        <w:t xml:space="preserve"> des ingénieurs du Québec, « Lois et règlements entourant la pratique du génie ».  </w:t>
      </w:r>
      <w:hyperlink r:id="rId39">
        <w:r w:rsidR="00F50D70" w:rsidRPr="00BE4F47">
          <w:rPr>
            <w:rFonts w:ascii="Aptos" w:hAnsi="Aptos"/>
            <w:color w:val="1155CC"/>
            <w:sz w:val="18"/>
            <w:u w:val="single"/>
          </w:rPr>
          <w:t>https://www.oiq.qc.ca/lordre/politiques-lois-et-reglements/lois-et-reglements-entourant-la-pratique-du-genie/</w:t>
        </w:r>
        <w:bookmarkEnd w:id="1515"/>
        <w:bookmarkEnd w:id="1516"/>
        <w:bookmarkEnd w:id="1517"/>
        <w:bookmarkEnd w:id="1518"/>
      </w:hyperlink>
    </w:p>
    <w:p w14:paraId="5F6990C0" w14:textId="77777777" w:rsidR="00F50D70" w:rsidRPr="00BE4F47" w:rsidRDefault="00137D7F" w:rsidP="008E113B">
      <w:pPr>
        <w:spacing w:after="80" w:line="360" w:lineRule="auto"/>
        <w:ind w:left="480" w:hanging="480"/>
        <w:jc w:val="left"/>
        <w:rPr>
          <w:rFonts w:ascii="Aptos" w:hAnsi="Aptos"/>
        </w:rPr>
      </w:pPr>
      <w:bookmarkStart w:id="1519" w:name="_Toc241083209"/>
      <w:bookmarkStart w:id="1520" w:name="_Toc241670384"/>
      <w:bookmarkStart w:id="1521" w:name="_Toc241708092"/>
      <w:bookmarkStart w:id="1522" w:name="_Toc241792039"/>
      <w:r w:rsidRPr="00BE4F47">
        <w:rPr>
          <w:rFonts w:ascii="Aptos" w:eastAsia="Calibri" w:hAnsi="Aptos" w:cs="Calibri"/>
          <w:color w:val="1A1A19"/>
          <w:sz w:val="20"/>
          <w:szCs w:val="20"/>
        </w:rPr>
        <w:t>[21</w:t>
      </w:r>
      <w:proofErr w:type="gramStart"/>
      <w:r w:rsidRPr="00BE4F47">
        <w:rPr>
          <w:rFonts w:ascii="Aptos" w:eastAsia="Calibri" w:hAnsi="Aptos" w:cs="Calibri"/>
          <w:color w:val="1A1A19"/>
          <w:sz w:val="20"/>
          <w:szCs w:val="20"/>
        </w:rPr>
        <w:t>]  Canada</w:t>
      </w:r>
      <w:proofErr w:type="gramEnd"/>
      <w:r w:rsidRPr="00BE4F47">
        <w:rPr>
          <w:rFonts w:ascii="Aptos" w:eastAsia="Calibri" w:hAnsi="Aptos" w:cs="Calibri"/>
          <w:color w:val="1A1A19"/>
          <w:sz w:val="20"/>
          <w:szCs w:val="20"/>
        </w:rPr>
        <w:t xml:space="preserve">, Loi sur la sûreté et la réglementation nucléaires, L.C. 1997, ch. 9.  </w:t>
      </w:r>
      <w:hyperlink r:id="rId40">
        <w:r w:rsidR="00F50D70" w:rsidRPr="00BE4F47">
          <w:rPr>
            <w:rFonts w:ascii="Aptos" w:hAnsi="Aptos"/>
            <w:color w:val="1155CC"/>
            <w:sz w:val="18"/>
            <w:u w:val="single"/>
          </w:rPr>
          <w:t>https://laws-lois.justice.gc.ca/fra/lois/N-28.3/index.html</w:t>
        </w:r>
        <w:bookmarkEnd w:id="1519"/>
        <w:bookmarkEnd w:id="1520"/>
        <w:bookmarkEnd w:id="1521"/>
        <w:bookmarkEnd w:id="1522"/>
      </w:hyperlink>
    </w:p>
    <w:p w14:paraId="6FE2FDD3" w14:textId="77777777" w:rsidR="00F50D70" w:rsidRPr="00BE4F47" w:rsidRDefault="00137D7F" w:rsidP="008E113B">
      <w:pPr>
        <w:spacing w:after="80" w:line="360" w:lineRule="auto"/>
        <w:ind w:left="480" w:hanging="480"/>
        <w:jc w:val="left"/>
        <w:rPr>
          <w:rFonts w:ascii="Aptos" w:hAnsi="Aptos"/>
        </w:rPr>
      </w:pPr>
      <w:bookmarkStart w:id="1523" w:name="_Toc241083210"/>
      <w:bookmarkStart w:id="1524" w:name="_Toc241670385"/>
      <w:bookmarkStart w:id="1525" w:name="_Toc241708093"/>
      <w:bookmarkStart w:id="1526" w:name="_Toc241792040"/>
      <w:r w:rsidRPr="00BE4F47">
        <w:rPr>
          <w:rFonts w:ascii="Aptos" w:eastAsia="Calibri" w:hAnsi="Aptos" w:cs="Calibri"/>
          <w:color w:val="1A1A19"/>
          <w:sz w:val="20"/>
          <w:szCs w:val="20"/>
        </w:rPr>
        <w:t>[22</w:t>
      </w:r>
      <w:proofErr w:type="gramStart"/>
      <w:r w:rsidRPr="00BE4F47">
        <w:rPr>
          <w:rFonts w:ascii="Aptos" w:eastAsia="Calibri" w:hAnsi="Aptos" w:cs="Calibri"/>
          <w:color w:val="1A1A19"/>
          <w:sz w:val="20"/>
          <w:szCs w:val="20"/>
        </w:rPr>
        <w:t>]  Canada</w:t>
      </w:r>
      <w:proofErr w:type="gramEnd"/>
      <w:r w:rsidRPr="00BE4F47">
        <w:rPr>
          <w:rFonts w:ascii="Aptos" w:eastAsia="Calibri" w:hAnsi="Aptos" w:cs="Calibri"/>
          <w:color w:val="1A1A19"/>
          <w:sz w:val="20"/>
          <w:szCs w:val="20"/>
        </w:rPr>
        <w:t xml:space="preserve">, Règlement général sur la sûreté et la réglementation nucléaires, DORS/2000-202.  </w:t>
      </w:r>
      <w:hyperlink r:id="rId41">
        <w:r w:rsidR="00F50D70" w:rsidRPr="00BE4F47">
          <w:rPr>
            <w:rFonts w:ascii="Aptos" w:hAnsi="Aptos"/>
            <w:color w:val="1155CC"/>
            <w:sz w:val="18"/>
            <w:u w:val="single"/>
          </w:rPr>
          <w:t>https://laws-lois.justice.gc.ca/fra/reglements/DORS-2000-202/index.html</w:t>
        </w:r>
        <w:bookmarkEnd w:id="1523"/>
        <w:bookmarkEnd w:id="1524"/>
        <w:bookmarkEnd w:id="1525"/>
        <w:bookmarkEnd w:id="1526"/>
      </w:hyperlink>
    </w:p>
    <w:p w14:paraId="72306CF4" w14:textId="77777777" w:rsidR="00F50D70" w:rsidRPr="00BE4F47" w:rsidRDefault="00137D7F" w:rsidP="008E113B">
      <w:pPr>
        <w:spacing w:after="80" w:line="360" w:lineRule="auto"/>
        <w:ind w:left="480" w:hanging="480"/>
        <w:jc w:val="left"/>
        <w:rPr>
          <w:rFonts w:ascii="Aptos" w:hAnsi="Aptos"/>
        </w:rPr>
      </w:pPr>
      <w:bookmarkStart w:id="1527" w:name="_Toc241083211"/>
      <w:bookmarkStart w:id="1528" w:name="_Toc241670386"/>
      <w:bookmarkStart w:id="1529" w:name="_Toc241708094"/>
      <w:bookmarkStart w:id="1530" w:name="_Toc241792041"/>
      <w:r w:rsidRPr="00BE4F47">
        <w:rPr>
          <w:rFonts w:ascii="Aptos" w:eastAsia="Calibri" w:hAnsi="Aptos" w:cs="Calibri"/>
          <w:color w:val="1A1A19"/>
          <w:sz w:val="20"/>
          <w:szCs w:val="20"/>
        </w:rPr>
        <w:t>[23</w:t>
      </w:r>
      <w:proofErr w:type="gramStart"/>
      <w:r w:rsidRPr="00BE4F47">
        <w:rPr>
          <w:rFonts w:ascii="Aptos" w:eastAsia="Calibri" w:hAnsi="Aptos" w:cs="Calibri"/>
          <w:color w:val="1A1A19"/>
          <w:sz w:val="20"/>
          <w:szCs w:val="20"/>
        </w:rPr>
        <w:t>]  Canada</w:t>
      </w:r>
      <w:proofErr w:type="gramEnd"/>
      <w:r w:rsidRPr="00BE4F47">
        <w:rPr>
          <w:rFonts w:ascii="Aptos" w:eastAsia="Calibri" w:hAnsi="Aptos" w:cs="Calibri"/>
          <w:color w:val="1A1A19"/>
          <w:sz w:val="20"/>
          <w:szCs w:val="20"/>
        </w:rPr>
        <w:t xml:space="preserve">, Règlement sur les installations nucléaires de catégorie I, DORS/2000-204.  </w:t>
      </w:r>
      <w:hyperlink r:id="rId42">
        <w:r w:rsidR="00F50D70" w:rsidRPr="00BE4F47">
          <w:rPr>
            <w:rFonts w:ascii="Aptos" w:hAnsi="Aptos"/>
            <w:color w:val="1155CC"/>
            <w:sz w:val="18"/>
            <w:u w:val="single"/>
          </w:rPr>
          <w:t>https://laws-lois.justice.gc.ca/fra/reglements/DORS-2000-204/index.html</w:t>
        </w:r>
        <w:bookmarkEnd w:id="1527"/>
        <w:bookmarkEnd w:id="1528"/>
        <w:bookmarkEnd w:id="1529"/>
        <w:bookmarkEnd w:id="1530"/>
      </w:hyperlink>
    </w:p>
    <w:p w14:paraId="46D0BCA9" w14:textId="77777777" w:rsidR="00F50D70" w:rsidRPr="00BE4F47" w:rsidRDefault="00137D7F" w:rsidP="008E113B">
      <w:pPr>
        <w:spacing w:after="80" w:line="360" w:lineRule="auto"/>
        <w:ind w:left="480" w:hanging="480"/>
        <w:jc w:val="left"/>
        <w:rPr>
          <w:rFonts w:ascii="Aptos" w:hAnsi="Aptos"/>
        </w:rPr>
      </w:pPr>
      <w:bookmarkStart w:id="1531" w:name="_Toc241083212"/>
      <w:bookmarkStart w:id="1532" w:name="_Toc241670387"/>
      <w:bookmarkStart w:id="1533" w:name="_Toc241708095"/>
      <w:bookmarkStart w:id="1534" w:name="_Toc241792042"/>
      <w:r w:rsidRPr="00BE4F47">
        <w:rPr>
          <w:rFonts w:ascii="Aptos" w:eastAsia="Calibri" w:hAnsi="Aptos" w:cs="Calibri"/>
          <w:color w:val="1A1A19"/>
          <w:sz w:val="20"/>
          <w:szCs w:val="20"/>
          <w:lang w:val="en-CA"/>
        </w:rPr>
        <w:t>[24</w:t>
      </w:r>
      <w:proofErr w:type="gramStart"/>
      <w:r w:rsidRPr="00BE4F47">
        <w:rPr>
          <w:rFonts w:ascii="Aptos" w:eastAsia="Calibri" w:hAnsi="Aptos" w:cs="Calibri"/>
          <w:color w:val="1A1A19"/>
          <w:sz w:val="20"/>
          <w:szCs w:val="20"/>
          <w:lang w:val="en-CA"/>
        </w:rPr>
        <w:t>]  CSA</w:t>
      </w:r>
      <w:proofErr w:type="gramEnd"/>
      <w:r w:rsidRPr="00BE4F47">
        <w:rPr>
          <w:rFonts w:ascii="Aptos" w:eastAsia="Calibri" w:hAnsi="Aptos" w:cs="Calibri"/>
          <w:color w:val="1A1A19"/>
          <w:sz w:val="20"/>
          <w:szCs w:val="20"/>
          <w:lang w:val="en-CA"/>
        </w:rPr>
        <w:t xml:space="preserve"> N290.7:21, Cyber security for nuclear facilities, Groupe CSA, Toronto, 2021.  </w:t>
      </w:r>
      <w:hyperlink r:id="rId43">
        <w:r w:rsidR="00F50D70" w:rsidRPr="00BE4F47">
          <w:rPr>
            <w:rFonts w:ascii="Aptos" w:hAnsi="Aptos"/>
            <w:color w:val="1155CC"/>
            <w:sz w:val="18"/>
            <w:u w:val="single"/>
          </w:rPr>
          <w:t>https://www.csagroup.org/store/product/2428461/</w:t>
        </w:r>
        <w:bookmarkEnd w:id="1531"/>
        <w:bookmarkEnd w:id="1532"/>
        <w:bookmarkEnd w:id="1533"/>
        <w:bookmarkEnd w:id="1534"/>
      </w:hyperlink>
    </w:p>
    <w:p w14:paraId="2EF798C2" w14:textId="77777777" w:rsidR="00F50D70" w:rsidRPr="00BE4F47" w:rsidRDefault="00137D7F" w:rsidP="008E113B">
      <w:pPr>
        <w:spacing w:after="80" w:line="360" w:lineRule="auto"/>
        <w:ind w:left="480" w:hanging="480"/>
        <w:jc w:val="left"/>
        <w:rPr>
          <w:rFonts w:ascii="Aptos" w:hAnsi="Aptos"/>
        </w:rPr>
      </w:pPr>
      <w:bookmarkStart w:id="1535" w:name="_Toc241083190"/>
      <w:bookmarkStart w:id="1536" w:name="_Toc241670388"/>
      <w:bookmarkStart w:id="1537" w:name="_Toc241708096"/>
      <w:bookmarkStart w:id="1538" w:name="_Toc241792043"/>
      <w:r w:rsidRPr="00BE4F47">
        <w:rPr>
          <w:rFonts w:ascii="Aptos" w:eastAsia="Calibri" w:hAnsi="Aptos" w:cs="Calibri"/>
          <w:color w:val="1A1A19"/>
          <w:sz w:val="20"/>
          <w:szCs w:val="20"/>
        </w:rPr>
        <w:t>[25</w:t>
      </w:r>
      <w:proofErr w:type="gramStart"/>
      <w:r w:rsidRPr="00BE4F47">
        <w:rPr>
          <w:rFonts w:ascii="Aptos" w:eastAsia="Calibri" w:hAnsi="Aptos" w:cs="Calibri"/>
          <w:color w:val="1A1A19"/>
          <w:sz w:val="20"/>
          <w:szCs w:val="20"/>
        </w:rPr>
        <w:t>]  Commission</w:t>
      </w:r>
      <w:proofErr w:type="gramEnd"/>
      <w:r w:rsidRPr="00BE4F47">
        <w:rPr>
          <w:rFonts w:ascii="Aptos" w:eastAsia="Calibri" w:hAnsi="Aptos" w:cs="Calibri"/>
          <w:color w:val="1A1A19"/>
          <w:sz w:val="20"/>
          <w:szCs w:val="20"/>
        </w:rPr>
        <w:t xml:space="preserve"> canadienne de sûreté nucléaire, REGDOC-2.5.2, Conception d’installations dotées de réacteurs : centrales nucléaires, version 2.1.  </w:t>
      </w:r>
      <w:hyperlink r:id="rId44">
        <w:r w:rsidR="00F50D70" w:rsidRPr="00BE4F47">
          <w:rPr>
            <w:rFonts w:ascii="Aptos" w:hAnsi="Aptos"/>
            <w:color w:val="1155CC"/>
            <w:sz w:val="18"/>
            <w:u w:val="single"/>
          </w:rPr>
          <w:t>https://www.cnsc-ccsn.gc.ca/fra/acts-and-regulations/regulatory-documents/published/html/regdoc2-5-2-v2-1/</w:t>
        </w:r>
        <w:bookmarkEnd w:id="1535"/>
        <w:bookmarkEnd w:id="1536"/>
        <w:bookmarkEnd w:id="1537"/>
        <w:bookmarkEnd w:id="1538"/>
      </w:hyperlink>
    </w:p>
    <w:p w14:paraId="50E26826" w14:textId="77777777" w:rsidR="00F50D70" w:rsidRPr="00BE4F47" w:rsidRDefault="00137D7F" w:rsidP="008E113B">
      <w:pPr>
        <w:spacing w:after="80" w:line="360" w:lineRule="auto"/>
        <w:ind w:left="480" w:hanging="480"/>
        <w:jc w:val="left"/>
        <w:rPr>
          <w:rFonts w:ascii="Aptos" w:hAnsi="Aptos"/>
        </w:rPr>
      </w:pPr>
      <w:bookmarkStart w:id="1539" w:name="_Toc241083213"/>
      <w:bookmarkStart w:id="1540" w:name="_Toc241670389"/>
      <w:bookmarkStart w:id="1541" w:name="_Toc241708097"/>
      <w:bookmarkStart w:id="1542" w:name="_Toc241792044"/>
      <w:r w:rsidRPr="00BE4F47">
        <w:rPr>
          <w:rFonts w:ascii="Aptos" w:eastAsia="Calibri" w:hAnsi="Aptos" w:cs="Calibri"/>
          <w:color w:val="1A1A19"/>
          <w:sz w:val="20"/>
          <w:szCs w:val="20"/>
        </w:rPr>
        <w:t>[26</w:t>
      </w:r>
      <w:proofErr w:type="gramStart"/>
      <w:r w:rsidRPr="00BE4F47">
        <w:rPr>
          <w:rFonts w:ascii="Aptos" w:eastAsia="Calibri" w:hAnsi="Aptos" w:cs="Calibri"/>
          <w:color w:val="1A1A19"/>
          <w:sz w:val="20"/>
          <w:szCs w:val="20"/>
        </w:rPr>
        <w:t>]  ISO</w:t>
      </w:r>
      <w:proofErr w:type="gramEnd"/>
      <w:r w:rsidRPr="00BE4F47">
        <w:rPr>
          <w:rFonts w:ascii="Aptos" w:eastAsia="Calibri" w:hAnsi="Aptos" w:cs="Calibri"/>
          <w:color w:val="1A1A19"/>
          <w:sz w:val="20"/>
          <w:szCs w:val="20"/>
        </w:rPr>
        <w:t xml:space="preserve">/IEC/IEEE 15288:2023, Ingénierie des systèmes et du logiciel, Processus du cycle de vie du système.  </w:t>
      </w:r>
      <w:hyperlink r:id="rId45">
        <w:r w:rsidR="00F50D70" w:rsidRPr="00BE4F47">
          <w:rPr>
            <w:rFonts w:ascii="Aptos" w:hAnsi="Aptos"/>
            <w:color w:val="1155CC"/>
            <w:sz w:val="18"/>
            <w:u w:val="single"/>
          </w:rPr>
          <w:t>https://www.iso.org/fr/standard/81702.html</w:t>
        </w:r>
        <w:bookmarkEnd w:id="1539"/>
        <w:bookmarkEnd w:id="1540"/>
        <w:bookmarkEnd w:id="1541"/>
        <w:bookmarkEnd w:id="1542"/>
      </w:hyperlink>
    </w:p>
    <w:p w14:paraId="18C261F5" w14:textId="77777777" w:rsidR="00F50D70" w:rsidRPr="00BE4F47" w:rsidRDefault="00137D7F" w:rsidP="008E113B">
      <w:pPr>
        <w:spacing w:after="80" w:line="360" w:lineRule="auto"/>
        <w:ind w:left="480" w:hanging="480"/>
        <w:jc w:val="left"/>
        <w:rPr>
          <w:rFonts w:ascii="Aptos" w:hAnsi="Aptos"/>
        </w:rPr>
      </w:pPr>
      <w:bookmarkStart w:id="1543" w:name="_Toc241083214"/>
      <w:bookmarkStart w:id="1544" w:name="_Toc241670390"/>
      <w:bookmarkStart w:id="1545" w:name="_Toc241708098"/>
      <w:bookmarkStart w:id="1546" w:name="_Toc241792045"/>
      <w:r w:rsidRPr="00BE4F47">
        <w:rPr>
          <w:rFonts w:ascii="Aptos" w:eastAsia="Calibri" w:hAnsi="Aptos" w:cs="Calibri"/>
          <w:color w:val="1A1A19"/>
          <w:sz w:val="20"/>
          <w:szCs w:val="20"/>
        </w:rPr>
        <w:t>[27</w:t>
      </w:r>
      <w:proofErr w:type="gramStart"/>
      <w:r w:rsidRPr="00BE4F47">
        <w:rPr>
          <w:rFonts w:ascii="Aptos" w:eastAsia="Calibri" w:hAnsi="Aptos" w:cs="Calibri"/>
          <w:color w:val="1A1A19"/>
          <w:sz w:val="20"/>
          <w:szCs w:val="20"/>
        </w:rPr>
        <w:t>]  ISO</w:t>
      </w:r>
      <w:proofErr w:type="gramEnd"/>
      <w:r w:rsidRPr="00BE4F47">
        <w:rPr>
          <w:rFonts w:ascii="Aptos" w:eastAsia="Calibri" w:hAnsi="Aptos" w:cs="Calibri"/>
          <w:color w:val="1A1A19"/>
          <w:sz w:val="20"/>
          <w:szCs w:val="20"/>
        </w:rPr>
        <w:t xml:space="preserve"> 23247-1:2021, Systèmes d’automatisation et intégration, Cadre technique de jumeau numérique dans un contexte de fabrication, Partie 1 : Vue d’ensemble et principes généraux.  </w:t>
      </w:r>
      <w:hyperlink r:id="rId46">
        <w:r w:rsidR="00F50D70" w:rsidRPr="00BE4F47">
          <w:rPr>
            <w:rFonts w:ascii="Aptos" w:hAnsi="Aptos"/>
            <w:color w:val="1155CC"/>
            <w:sz w:val="18"/>
            <w:u w:val="single"/>
          </w:rPr>
          <w:t>https://www.iso.org/fr/standard/75066.html</w:t>
        </w:r>
        <w:bookmarkEnd w:id="1543"/>
        <w:bookmarkEnd w:id="1544"/>
        <w:bookmarkEnd w:id="1545"/>
        <w:bookmarkEnd w:id="1546"/>
      </w:hyperlink>
    </w:p>
    <w:p w14:paraId="66863B26" w14:textId="77777777" w:rsidR="00F50D70" w:rsidRPr="00DE097D" w:rsidRDefault="00137D7F" w:rsidP="008E113B">
      <w:pPr>
        <w:spacing w:after="80" w:line="360" w:lineRule="auto"/>
        <w:ind w:left="480" w:hanging="480"/>
        <w:jc w:val="left"/>
        <w:rPr>
          <w:rFonts w:ascii="Aptos" w:hAnsi="Aptos"/>
          <w:lang w:val="fr-FR"/>
        </w:rPr>
      </w:pPr>
      <w:bookmarkStart w:id="1547" w:name="_Toc241083232"/>
      <w:bookmarkStart w:id="1548" w:name="_Toc241670409"/>
      <w:bookmarkStart w:id="1549" w:name="_Toc241708099"/>
      <w:bookmarkStart w:id="1550" w:name="_Toc241792046"/>
      <w:r w:rsidRPr="00BE4F47">
        <w:rPr>
          <w:rFonts w:ascii="Aptos" w:eastAsia="Calibri" w:hAnsi="Aptos" w:cs="Calibri"/>
          <w:color w:val="1A1A19"/>
          <w:sz w:val="20"/>
          <w:szCs w:val="20"/>
        </w:rPr>
        <w:t>[28</w:t>
      </w:r>
      <w:proofErr w:type="gramStart"/>
      <w:r w:rsidRPr="00BE4F47">
        <w:rPr>
          <w:rFonts w:ascii="Aptos" w:eastAsia="Calibri" w:hAnsi="Aptos" w:cs="Calibri"/>
          <w:color w:val="1A1A19"/>
          <w:sz w:val="20"/>
          <w:szCs w:val="20"/>
        </w:rPr>
        <w:t>]  ISO</w:t>
      </w:r>
      <w:proofErr w:type="gramEnd"/>
      <w:r w:rsidRPr="00BE4F47">
        <w:rPr>
          <w:rFonts w:ascii="Aptos" w:eastAsia="Calibri" w:hAnsi="Aptos" w:cs="Calibri"/>
          <w:color w:val="1A1A19"/>
          <w:sz w:val="20"/>
          <w:szCs w:val="20"/>
        </w:rPr>
        <w:t xml:space="preserve"> 23247-2:2021, Systèmes d’automatisation et intégration, Cadre technique de jumeau numérique dans un contexte de fabrication, Partie 2 : Architecture de référence.  </w:t>
      </w:r>
      <w:hyperlink r:id="rId47">
        <w:r w:rsidR="00F50D70" w:rsidRPr="00DE097D">
          <w:rPr>
            <w:rFonts w:ascii="Aptos" w:hAnsi="Aptos"/>
            <w:color w:val="1155CC"/>
            <w:sz w:val="18"/>
            <w:u w:val="single"/>
            <w:lang w:val="fr-FR"/>
          </w:rPr>
          <w:t>https://www.iso.org/fr/standard/78743.html</w:t>
        </w:r>
        <w:bookmarkEnd w:id="1547"/>
        <w:bookmarkEnd w:id="1548"/>
        <w:bookmarkEnd w:id="1549"/>
        <w:bookmarkEnd w:id="1550"/>
      </w:hyperlink>
    </w:p>
    <w:p w14:paraId="7434B9E9" w14:textId="77777777" w:rsidR="00F50D70" w:rsidRPr="00BE4F47" w:rsidRDefault="00137D7F" w:rsidP="008E113B">
      <w:pPr>
        <w:spacing w:after="80" w:line="360" w:lineRule="auto"/>
        <w:ind w:left="480" w:hanging="480"/>
        <w:jc w:val="left"/>
        <w:rPr>
          <w:rFonts w:ascii="Aptos" w:hAnsi="Aptos"/>
        </w:rPr>
      </w:pPr>
      <w:bookmarkStart w:id="1551" w:name="_Toc241083215"/>
      <w:bookmarkStart w:id="1552" w:name="_Toc241670391"/>
      <w:bookmarkStart w:id="1553" w:name="_Toc241708100"/>
      <w:bookmarkStart w:id="1554" w:name="_Toc241792047"/>
      <w:r w:rsidRPr="00BE4F47">
        <w:rPr>
          <w:rFonts w:ascii="Aptos" w:eastAsia="Calibri" w:hAnsi="Aptos" w:cs="Calibri"/>
          <w:color w:val="1A1A19"/>
          <w:sz w:val="20"/>
          <w:szCs w:val="20"/>
        </w:rPr>
        <w:t>[29</w:t>
      </w:r>
      <w:proofErr w:type="gramStart"/>
      <w:r w:rsidRPr="00BE4F47">
        <w:rPr>
          <w:rFonts w:ascii="Aptos" w:eastAsia="Calibri" w:hAnsi="Aptos" w:cs="Calibri"/>
          <w:color w:val="1A1A19"/>
          <w:sz w:val="20"/>
          <w:szCs w:val="20"/>
        </w:rPr>
        <w:t>]  ISO</w:t>
      </w:r>
      <w:proofErr w:type="gramEnd"/>
      <w:r w:rsidRPr="00BE4F47">
        <w:rPr>
          <w:rFonts w:ascii="Aptos" w:eastAsia="Calibri" w:hAnsi="Aptos" w:cs="Calibri"/>
          <w:color w:val="1A1A19"/>
          <w:sz w:val="20"/>
          <w:szCs w:val="20"/>
        </w:rPr>
        <w:t xml:space="preserve">/IEC 25010:2023, Ingénierie des systèmes et du logiciel, Exigences de qualité et évaluation (SQuaRE), Modèle de qualité du produit.  </w:t>
      </w:r>
      <w:hyperlink r:id="rId48">
        <w:r w:rsidR="00F50D70" w:rsidRPr="00BE4F47">
          <w:rPr>
            <w:rFonts w:ascii="Aptos" w:hAnsi="Aptos"/>
            <w:color w:val="1155CC"/>
            <w:sz w:val="18"/>
            <w:u w:val="single"/>
          </w:rPr>
          <w:t>https://www.iso.org/fr/standard/78176.html</w:t>
        </w:r>
        <w:bookmarkEnd w:id="1551"/>
        <w:bookmarkEnd w:id="1552"/>
        <w:bookmarkEnd w:id="1553"/>
        <w:bookmarkEnd w:id="1554"/>
      </w:hyperlink>
    </w:p>
    <w:p w14:paraId="25CD0B8B" w14:textId="77777777" w:rsidR="00F50D70" w:rsidRPr="00BE4F47" w:rsidRDefault="00137D7F" w:rsidP="008E113B">
      <w:pPr>
        <w:spacing w:after="80" w:line="360" w:lineRule="auto"/>
        <w:ind w:left="480" w:hanging="480"/>
        <w:jc w:val="left"/>
        <w:rPr>
          <w:rFonts w:ascii="Aptos" w:hAnsi="Aptos"/>
          <w:lang w:val="en-CA"/>
        </w:rPr>
      </w:pPr>
      <w:bookmarkStart w:id="1555" w:name="_Toc241083216"/>
      <w:bookmarkStart w:id="1556" w:name="_Toc241670392"/>
      <w:bookmarkStart w:id="1557" w:name="_Toc241708101"/>
      <w:bookmarkStart w:id="1558" w:name="_Toc241792048"/>
      <w:r w:rsidRPr="00BE4F47">
        <w:rPr>
          <w:rFonts w:ascii="Aptos" w:eastAsia="Calibri" w:hAnsi="Aptos" w:cs="Calibri"/>
          <w:color w:val="1A1A19"/>
          <w:sz w:val="20"/>
          <w:szCs w:val="20"/>
        </w:rPr>
        <w:t>[30</w:t>
      </w:r>
      <w:proofErr w:type="gramStart"/>
      <w:r w:rsidRPr="00BE4F47">
        <w:rPr>
          <w:rFonts w:ascii="Aptos" w:eastAsia="Calibri" w:hAnsi="Aptos" w:cs="Calibri"/>
          <w:color w:val="1A1A19"/>
          <w:sz w:val="20"/>
          <w:szCs w:val="20"/>
        </w:rPr>
        <w:t>]  ISO</w:t>
      </w:r>
      <w:proofErr w:type="gramEnd"/>
      <w:r w:rsidRPr="00BE4F47">
        <w:rPr>
          <w:rFonts w:ascii="Aptos" w:eastAsia="Calibri" w:hAnsi="Aptos" w:cs="Calibri"/>
          <w:color w:val="1A1A19"/>
          <w:sz w:val="20"/>
          <w:szCs w:val="20"/>
        </w:rPr>
        <w:t xml:space="preserve"> 31000:2018, Management du risque, Lignes directrices, Organisation internationale de normalisation, Genève, 2018.  </w:t>
      </w:r>
      <w:hyperlink r:id="rId49">
        <w:r w:rsidR="00F50D70" w:rsidRPr="00BE4F47">
          <w:rPr>
            <w:rFonts w:ascii="Aptos" w:hAnsi="Aptos"/>
            <w:color w:val="1155CC"/>
            <w:sz w:val="18"/>
            <w:u w:val="single"/>
            <w:lang w:val="en-CA"/>
          </w:rPr>
          <w:t>https://www.iso.org/fr/standard/65694.html</w:t>
        </w:r>
        <w:bookmarkEnd w:id="1555"/>
        <w:bookmarkEnd w:id="1556"/>
        <w:bookmarkEnd w:id="1557"/>
        <w:bookmarkEnd w:id="1558"/>
      </w:hyperlink>
    </w:p>
    <w:p w14:paraId="46409C8D" w14:textId="77777777" w:rsidR="00F50D70" w:rsidRPr="00BE4F47" w:rsidRDefault="00137D7F" w:rsidP="008E113B">
      <w:pPr>
        <w:spacing w:after="80" w:line="360" w:lineRule="auto"/>
        <w:ind w:left="480" w:hanging="480"/>
        <w:jc w:val="left"/>
        <w:rPr>
          <w:rFonts w:ascii="Aptos" w:hAnsi="Aptos"/>
        </w:rPr>
      </w:pPr>
      <w:bookmarkStart w:id="1559" w:name="_Toc241083217"/>
      <w:bookmarkStart w:id="1560" w:name="_Toc241670393"/>
      <w:bookmarkStart w:id="1561" w:name="_Toc241708102"/>
      <w:bookmarkStart w:id="1562" w:name="_Toc241792049"/>
      <w:r w:rsidRPr="00BE4F47">
        <w:rPr>
          <w:rFonts w:ascii="Aptos" w:eastAsia="Calibri" w:hAnsi="Aptos" w:cs="Calibri"/>
          <w:color w:val="1A1A19"/>
          <w:sz w:val="20"/>
          <w:szCs w:val="20"/>
          <w:lang w:val="en-CA"/>
        </w:rPr>
        <w:lastRenderedPageBreak/>
        <w:t>[31</w:t>
      </w:r>
      <w:proofErr w:type="gramStart"/>
      <w:r w:rsidRPr="00BE4F47">
        <w:rPr>
          <w:rFonts w:ascii="Aptos" w:eastAsia="Calibri" w:hAnsi="Aptos" w:cs="Calibri"/>
          <w:color w:val="1A1A19"/>
          <w:sz w:val="20"/>
          <w:szCs w:val="20"/>
          <w:lang w:val="en-CA"/>
        </w:rPr>
        <w:t>]  ASME</w:t>
      </w:r>
      <w:proofErr w:type="gramEnd"/>
      <w:r w:rsidRPr="00BE4F47">
        <w:rPr>
          <w:rFonts w:ascii="Aptos" w:eastAsia="Calibri" w:hAnsi="Aptos" w:cs="Calibri"/>
          <w:color w:val="1A1A19"/>
          <w:sz w:val="20"/>
          <w:szCs w:val="20"/>
          <w:lang w:val="en-CA"/>
        </w:rPr>
        <w:t xml:space="preserve"> V&amp;V 20-2009 (R2021), Standard for Verification and Validation in Computational Fluid Dynamics and Heat Transfer, American Society of Mechanical Engineers.  </w:t>
      </w:r>
      <w:hyperlink r:id="rId50">
        <w:r w:rsidR="00F50D70" w:rsidRPr="00BE4F47">
          <w:rPr>
            <w:rFonts w:ascii="Aptos" w:hAnsi="Aptos"/>
            <w:color w:val="1155CC"/>
            <w:sz w:val="18"/>
            <w:u w:val="single"/>
          </w:rPr>
          <w:t>https://www.asme.org/codes-standards/find-codes-standards/standard-for-verification-and-validation-in-computational-fluid-dynamics-and-heat-transfer</w:t>
        </w:r>
        <w:bookmarkEnd w:id="1559"/>
        <w:bookmarkEnd w:id="1560"/>
        <w:bookmarkEnd w:id="1561"/>
        <w:bookmarkEnd w:id="1562"/>
      </w:hyperlink>
    </w:p>
    <w:p w14:paraId="37C2AAE2" w14:textId="77777777" w:rsidR="00F50D70" w:rsidRPr="00BE4F47" w:rsidRDefault="00137D7F" w:rsidP="008E113B">
      <w:pPr>
        <w:spacing w:after="80" w:line="360" w:lineRule="auto"/>
        <w:ind w:left="480" w:hanging="480"/>
        <w:jc w:val="left"/>
        <w:rPr>
          <w:rFonts w:ascii="Aptos" w:hAnsi="Aptos"/>
        </w:rPr>
      </w:pPr>
      <w:bookmarkStart w:id="1563" w:name="_Toc241083218"/>
      <w:bookmarkStart w:id="1564" w:name="_Toc241670394"/>
      <w:bookmarkStart w:id="1565" w:name="_Toc241708103"/>
      <w:bookmarkStart w:id="1566" w:name="_Toc241792050"/>
      <w:r w:rsidRPr="00BE4F47">
        <w:rPr>
          <w:rFonts w:ascii="Aptos" w:eastAsia="Calibri" w:hAnsi="Aptos" w:cs="Calibri"/>
          <w:color w:val="1A1A19"/>
          <w:sz w:val="20"/>
          <w:szCs w:val="20"/>
          <w:lang w:val="en-CA"/>
        </w:rPr>
        <w:t>[32</w:t>
      </w:r>
      <w:proofErr w:type="gramStart"/>
      <w:r w:rsidRPr="00BE4F47">
        <w:rPr>
          <w:rFonts w:ascii="Aptos" w:eastAsia="Calibri" w:hAnsi="Aptos" w:cs="Calibri"/>
          <w:color w:val="1A1A19"/>
          <w:sz w:val="20"/>
          <w:szCs w:val="20"/>
          <w:lang w:val="en-CA"/>
        </w:rPr>
        <w:t>]  IEEE</w:t>
      </w:r>
      <w:proofErr w:type="gramEnd"/>
      <w:r w:rsidRPr="00BE4F47">
        <w:rPr>
          <w:rFonts w:ascii="Aptos" w:eastAsia="Calibri" w:hAnsi="Aptos" w:cs="Calibri"/>
          <w:color w:val="1A1A19"/>
          <w:sz w:val="20"/>
          <w:szCs w:val="20"/>
          <w:lang w:val="en-CA"/>
        </w:rPr>
        <w:t xml:space="preserve"> 1012-2024, IEEE Standard for System, Software, and Hardware Verification and Validation.  </w:t>
      </w:r>
      <w:hyperlink r:id="rId51">
        <w:r w:rsidR="00F50D70" w:rsidRPr="00BE4F47">
          <w:rPr>
            <w:rFonts w:ascii="Aptos" w:hAnsi="Aptos"/>
            <w:color w:val="1155CC"/>
            <w:sz w:val="18"/>
            <w:u w:val="single"/>
          </w:rPr>
          <w:t>https://standards.ieee.org/ieee/1012/7324</w:t>
        </w:r>
        <w:bookmarkEnd w:id="1563"/>
        <w:bookmarkEnd w:id="1564"/>
        <w:bookmarkEnd w:id="1565"/>
        <w:bookmarkEnd w:id="1566"/>
      </w:hyperlink>
    </w:p>
    <w:p w14:paraId="42227BE4" w14:textId="77777777" w:rsidR="00F50D70" w:rsidRPr="00BE4F47" w:rsidRDefault="00137D7F" w:rsidP="008E113B">
      <w:pPr>
        <w:spacing w:after="80" w:line="360" w:lineRule="auto"/>
        <w:ind w:left="480" w:hanging="480"/>
        <w:jc w:val="left"/>
        <w:rPr>
          <w:rFonts w:ascii="Aptos" w:hAnsi="Aptos"/>
          <w:lang w:val="en-CA"/>
        </w:rPr>
      </w:pPr>
      <w:bookmarkStart w:id="1567" w:name="_Toc241083219"/>
      <w:bookmarkStart w:id="1568" w:name="_Toc241670395"/>
      <w:bookmarkStart w:id="1569" w:name="_Toc241708104"/>
      <w:bookmarkStart w:id="1570" w:name="_Toc241792051"/>
      <w:r w:rsidRPr="00BE4F47">
        <w:rPr>
          <w:rFonts w:ascii="Aptos" w:eastAsia="Calibri" w:hAnsi="Aptos" w:cs="Calibri"/>
          <w:color w:val="1A1A19"/>
          <w:sz w:val="20"/>
          <w:szCs w:val="20"/>
        </w:rPr>
        <w:t>[33</w:t>
      </w:r>
      <w:proofErr w:type="gramStart"/>
      <w:r w:rsidRPr="00BE4F47">
        <w:rPr>
          <w:rFonts w:ascii="Aptos" w:eastAsia="Calibri" w:hAnsi="Aptos" w:cs="Calibri"/>
          <w:color w:val="1A1A19"/>
          <w:sz w:val="20"/>
          <w:szCs w:val="20"/>
        </w:rPr>
        <w:t>]  ISO</w:t>
      </w:r>
      <w:proofErr w:type="gramEnd"/>
      <w:r w:rsidRPr="00BE4F47">
        <w:rPr>
          <w:rFonts w:ascii="Aptos" w:eastAsia="Calibri" w:hAnsi="Aptos" w:cs="Calibri"/>
          <w:color w:val="1A1A19"/>
          <w:sz w:val="20"/>
          <w:szCs w:val="20"/>
        </w:rPr>
        <w:t xml:space="preserve"> 9241-210:2019, Ergonomie de l’interaction homme-système, Partie 210 : Conception centrée sur l’opérateur humain pour les systèmes interactifs.  </w:t>
      </w:r>
      <w:hyperlink r:id="rId52">
        <w:r w:rsidR="00F50D70" w:rsidRPr="00BE4F47">
          <w:rPr>
            <w:rFonts w:ascii="Aptos" w:hAnsi="Aptos"/>
            <w:color w:val="1155CC"/>
            <w:sz w:val="18"/>
            <w:u w:val="single"/>
            <w:lang w:val="en-CA"/>
          </w:rPr>
          <w:t>https://www.iso.org/fr/standard/77520.html</w:t>
        </w:r>
        <w:bookmarkEnd w:id="1567"/>
        <w:bookmarkEnd w:id="1568"/>
        <w:bookmarkEnd w:id="1569"/>
        <w:bookmarkEnd w:id="1570"/>
      </w:hyperlink>
    </w:p>
    <w:p w14:paraId="3FF7A0DC" w14:textId="77777777" w:rsidR="00F50D70" w:rsidRPr="00BE4F47" w:rsidRDefault="00137D7F" w:rsidP="008E113B">
      <w:pPr>
        <w:spacing w:after="80" w:line="360" w:lineRule="auto"/>
        <w:ind w:left="480" w:hanging="480"/>
        <w:jc w:val="left"/>
        <w:rPr>
          <w:rFonts w:ascii="Aptos" w:hAnsi="Aptos"/>
          <w:lang w:val="en-CA"/>
        </w:rPr>
      </w:pPr>
      <w:bookmarkStart w:id="1571" w:name="_Toc241083220"/>
      <w:bookmarkStart w:id="1572" w:name="_Toc241670396"/>
      <w:bookmarkStart w:id="1573" w:name="_Toc241708105"/>
      <w:bookmarkStart w:id="1574" w:name="_Toc241792052"/>
      <w:r w:rsidRPr="00BE4F47">
        <w:rPr>
          <w:rFonts w:ascii="Aptos" w:eastAsia="Calibri" w:hAnsi="Aptos" w:cs="Calibri"/>
          <w:color w:val="1A1A19"/>
          <w:sz w:val="20"/>
          <w:szCs w:val="20"/>
          <w:lang w:val="en-CA"/>
        </w:rPr>
        <w:t>[34</w:t>
      </w:r>
      <w:proofErr w:type="gramStart"/>
      <w:r w:rsidRPr="00BE4F47">
        <w:rPr>
          <w:rFonts w:ascii="Aptos" w:eastAsia="Calibri" w:hAnsi="Aptos" w:cs="Calibri"/>
          <w:color w:val="1A1A19"/>
          <w:sz w:val="20"/>
          <w:szCs w:val="20"/>
          <w:lang w:val="en-CA"/>
        </w:rPr>
        <w:t>]  IEC</w:t>
      </w:r>
      <w:proofErr w:type="gramEnd"/>
      <w:r w:rsidRPr="00BE4F47">
        <w:rPr>
          <w:rFonts w:ascii="Aptos" w:eastAsia="Calibri" w:hAnsi="Aptos" w:cs="Calibri"/>
          <w:color w:val="1A1A19"/>
          <w:sz w:val="20"/>
          <w:szCs w:val="20"/>
          <w:lang w:val="en-CA"/>
        </w:rPr>
        <w:t xml:space="preserve"> 62645:2019, Nuclear power plants, Instrumentation, control and electrical power systems, Cybersecurity requirements.  </w:t>
      </w:r>
      <w:hyperlink r:id="rId53">
        <w:r w:rsidR="00F50D70" w:rsidRPr="00BE4F47">
          <w:rPr>
            <w:rFonts w:ascii="Aptos" w:hAnsi="Aptos"/>
            <w:color w:val="1155CC"/>
            <w:sz w:val="18"/>
            <w:u w:val="single"/>
            <w:lang w:val="en-CA"/>
          </w:rPr>
          <w:t>https://webstore.iec.ch/en/publication/32904</w:t>
        </w:r>
        <w:bookmarkEnd w:id="1571"/>
        <w:bookmarkEnd w:id="1572"/>
        <w:bookmarkEnd w:id="1573"/>
        <w:bookmarkEnd w:id="1574"/>
      </w:hyperlink>
    </w:p>
    <w:p w14:paraId="19E2F942" w14:textId="77777777" w:rsidR="00F50D70" w:rsidRPr="00BE4F47" w:rsidRDefault="00137D7F" w:rsidP="008E113B">
      <w:pPr>
        <w:spacing w:after="80" w:line="360" w:lineRule="auto"/>
        <w:ind w:left="480" w:hanging="480"/>
        <w:jc w:val="left"/>
        <w:rPr>
          <w:rFonts w:ascii="Aptos" w:hAnsi="Aptos"/>
          <w:lang w:val="en-CA"/>
        </w:rPr>
      </w:pPr>
      <w:bookmarkStart w:id="1575" w:name="_Toc241083221"/>
      <w:bookmarkStart w:id="1576" w:name="_Toc241670397"/>
      <w:bookmarkStart w:id="1577" w:name="_Toc241708106"/>
      <w:bookmarkStart w:id="1578" w:name="_Toc241792053"/>
      <w:r w:rsidRPr="00BE4F47">
        <w:rPr>
          <w:rFonts w:ascii="Aptos" w:eastAsia="Calibri" w:hAnsi="Aptos" w:cs="Calibri"/>
          <w:color w:val="1A1A19"/>
          <w:sz w:val="20"/>
          <w:szCs w:val="20"/>
          <w:lang w:val="en-CA"/>
        </w:rPr>
        <w:t>[35</w:t>
      </w:r>
      <w:proofErr w:type="gramStart"/>
      <w:r w:rsidRPr="00BE4F47">
        <w:rPr>
          <w:rFonts w:ascii="Aptos" w:eastAsia="Calibri" w:hAnsi="Aptos" w:cs="Calibri"/>
          <w:color w:val="1A1A19"/>
          <w:sz w:val="20"/>
          <w:szCs w:val="20"/>
          <w:lang w:val="en-CA"/>
        </w:rPr>
        <w:t>]  IEC</w:t>
      </w:r>
      <w:proofErr w:type="gramEnd"/>
      <w:r w:rsidRPr="00BE4F47">
        <w:rPr>
          <w:rFonts w:ascii="Aptos" w:eastAsia="Calibri" w:hAnsi="Aptos" w:cs="Calibri"/>
          <w:color w:val="1A1A19"/>
          <w:sz w:val="20"/>
          <w:szCs w:val="20"/>
          <w:lang w:val="en-CA"/>
        </w:rPr>
        <w:t xml:space="preserve"> 63096:2020, Nuclear power plants, Instrumentation, control and electrical power systems, Security controls.  </w:t>
      </w:r>
      <w:hyperlink r:id="rId54">
        <w:r w:rsidR="00F50D70" w:rsidRPr="00BE4F47">
          <w:rPr>
            <w:rFonts w:ascii="Aptos" w:hAnsi="Aptos"/>
            <w:color w:val="1155CC"/>
            <w:sz w:val="18"/>
            <w:u w:val="single"/>
            <w:lang w:val="en-CA"/>
          </w:rPr>
          <w:t>https://webstore.iec.ch/en/publication/32900</w:t>
        </w:r>
        <w:bookmarkEnd w:id="1575"/>
        <w:bookmarkEnd w:id="1576"/>
        <w:bookmarkEnd w:id="1577"/>
        <w:bookmarkEnd w:id="1578"/>
      </w:hyperlink>
    </w:p>
    <w:p w14:paraId="33810A95" w14:textId="77777777" w:rsidR="00F50D70" w:rsidRPr="00BE4F47" w:rsidRDefault="00137D7F" w:rsidP="008E113B">
      <w:pPr>
        <w:spacing w:after="80" w:line="360" w:lineRule="auto"/>
        <w:ind w:left="480" w:hanging="480"/>
        <w:jc w:val="left"/>
        <w:rPr>
          <w:rFonts w:ascii="Aptos" w:hAnsi="Aptos"/>
          <w:lang w:val="en-CA"/>
        </w:rPr>
      </w:pPr>
      <w:bookmarkStart w:id="1579" w:name="_Toc241083222"/>
      <w:bookmarkStart w:id="1580" w:name="_Toc241670398"/>
      <w:bookmarkStart w:id="1581" w:name="_Toc241708107"/>
      <w:bookmarkStart w:id="1582" w:name="_Toc241792054"/>
      <w:r w:rsidRPr="00BE4F47">
        <w:rPr>
          <w:rFonts w:ascii="Aptos" w:eastAsia="Calibri" w:hAnsi="Aptos" w:cs="Calibri"/>
          <w:color w:val="1A1A19"/>
          <w:sz w:val="20"/>
          <w:szCs w:val="20"/>
          <w:lang w:val="en-CA"/>
        </w:rPr>
        <w:t>[36</w:t>
      </w:r>
      <w:proofErr w:type="gramStart"/>
      <w:r w:rsidRPr="00BE4F47">
        <w:rPr>
          <w:rFonts w:ascii="Aptos" w:eastAsia="Calibri" w:hAnsi="Aptos" w:cs="Calibri"/>
          <w:color w:val="1A1A19"/>
          <w:sz w:val="20"/>
          <w:szCs w:val="20"/>
          <w:lang w:val="en-CA"/>
        </w:rPr>
        <w:t>]  IEC</w:t>
      </w:r>
      <w:proofErr w:type="gramEnd"/>
      <w:r w:rsidRPr="00BE4F47">
        <w:rPr>
          <w:rFonts w:ascii="Aptos" w:eastAsia="Calibri" w:hAnsi="Aptos" w:cs="Calibri"/>
          <w:color w:val="1A1A19"/>
          <w:sz w:val="20"/>
          <w:szCs w:val="20"/>
          <w:lang w:val="en-CA"/>
        </w:rPr>
        <w:t xml:space="preserve"> 62859:2016 et son amendement A1:2019, Nuclear power plants, Instrumentation and control systems, Requirements for coordinating safety and cybersecurity.  </w:t>
      </w:r>
      <w:hyperlink r:id="rId55">
        <w:r w:rsidR="00F50D70" w:rsidRPr="00BE4F47">
          <w:rPr>
            <w:rFonts w:ascii="Aptos" w:hAnsi="Aptos"/>
            <w:color w:val="1155CC"/>
            <w:sz w:val="18"/>
            <w:u w:val="single"/>
            <w:lang w:val="en-CA"/>
          </w:rPr>
          <w:t>https://webstore.iec.ch/en/publication/26131</w:t>
        </w:r>
        <w:bookmarkEnd w:id="1579"/>
        <w:bookmarkEnd w:id="1580"/>
        <w:bookmarkEnd w:id="1581"/>
        <w:bookmarkEnd w:id="1582"/>
      </w:hyperlink>
    </w:p>
    <w:p w14:paraId="787FB30B" w14:textId="77777777" w:rsidR="00F50D70" w:rsidRPr="00BE4F47" w:rsidRDefault="00137D7F" w:rsidP="008E113B">
      <w:pPr>
        <w:spacing w:after="80" w:line="360" w:lineRule="auto"/>
        <w:ind w:left="480" w:hanging="480"/>
        <w:jc w:val="left"/>
        <w:rPr>
          <w:rFonts w:ascii="Aptos" w:hAnsi="Aptos"/>
          <w:lang w:val="en-CA"/>
        </w:rPr>
      </w:pPr>
      <w:bookmarkStart w:id="1583" w:name="_Toc241083223"/>
      <w:bookmarkStart w:id="1584" w:name="_Toc241670399"/>
      <w:bookmarkStart w:id="1585" w:name="_Toc241708108"/>
      <w:bookmarkStart w:id="1586" w:name="_Toc241792055"/>
      <w:r w:rsidRPr="00BE4F47">
        <w:rPr>
          <w:rFonts w:ascii="Aptos" w:eastAsia="Calibri" w:hAnsi="Aptos" w:cs="Calibri"/>
          <w:color w:val="1A1A19"/>
          <w:sz w:val="20"/>
          <w:szCs w:val="20"/>
          <w:lang w:val="en-CA"/>
        </w:rPr>
        <w:t>[37</w:t>
      </w:r>
      <w:proofErr w:type="gramStart"/>
      <w:r w:rsidRPr="00BE4F47">
        <w:rPr>
          <w:rFonts w:ascii="Aptos" w:eastAsia="Calibri" w:hAnsi="Aptos" w:cs="Calibri"/>
          <w:color w:val="1A1A19"/>
          <w:sz w:val="20"/>
          <w:szCs w:val="20"/>
          <w:lang w:val="en-CA"/>
        </w:rPr>
        <w:t>]  IEC</w:t>
      </w:r>
      <w:proofErr w:type="gramEnd"/>
      <w:r w:rsidRPr="00BE4F47">
        <w:rPr>
          <w:rFonts w:ascii="Aptos" w:eastAsia="Calibri" w:hAnsi="Aptos" w:cs="Calibri"/>
          <w:color w:val="1A1A19"/>
          <w:sz w:val="20"/>
          <w:szCs w:val="20"/>
          <w:lang w:val="en-CA"/>
        </w:rPr>
        <w:t xml:space="preserve"> 61513:2026 (éd. 3.0), Nuclear power plants, Instrumentation and control important to safety, General requirements for systems.  </w:t>
      </w:r>
      <w:hyperlink r:id="rId56">
        <w:r w:rsidR="00F50D70" w:rsidRPr="00BE4F47">
          <w:rPr>
            <w:rFonts w:ascii="Aptos" w:hAnsi="Aptos"/>
            <w:color w:val="1155CC"/>
            <w:sz w:val="18"/>
            <w:u w:val="single"/>
            <w:lang w:val="en-CA"/>
          </w:rPr>
          <w:t>https://webstore.iec.ch/en/publication/76309</w:t>
        </w:r>
        <w:bookmarkEnd w:id="1583"/>
        <w:bookmarkEnd w:id="1584"/>
        <w:bookmarkEnd w:id="1585"/>
        <w:bookmarkEnd w:id="1586"/>
      </w:hyperlink>
    </w:p>
    <w:p w14:paraId="5604A0AF" w14:textId="77777777" w:rsidR="00F50D70" w:rsidRPr="00BE4F47" w:rsidRDefault="00137D7F" w:rsidP="008E113B">
      <w:pPr>
        <w:spacing w:after="80" w:line="360" w:lineRule="auto"/>
        <w:ind w:left="480" w:hanging="480"/>
        <w:jc w:val="left"/>
        <w:rPr>
          <w:rFonts w:ascii="Aptos" w:hAnsi="Aptos"/>
          <w:lang w:val="en-CA"/>
        </w:rPr>
      </w:pPr>
      <w:bookmarkStart w:id="1587" w:name="_Toc241083224"/>
      <w:bookmarkStart w:id="1588" w:name="_Toc241670400"/>
      <w:bookmarkStart w:id="1589" w:name="_Toc241708109"/>
      <w:bookmarkStart w:id="1590" w:name="_Toc241792056"/>
      <w:r w:rsidRPr="00BE4F47">
        <w:rPr>
          <w:rFonts w:ascii="Aptos" w:eastAsia="Calibri" w:hAnsi="Aptos" w:cs="Calibri"/>
          <w:color w:val="1A1A19"/>
          <w:sz w:val="20"/>
          <w:szCs w:val="20"/>
          <w:lang w:val="en-CA"/>
        </w:rPr>
        <w:t>[38</w:t>
      </w:r>
      <w:proofErr w:type="gramStart"/>
      <w:r w:rsidRPr="00BE4F47">
        <w:rPr>
          <w:rFonts w:ascii="Aptos" w:eastAsia="Calibri" w:hAnsi="Aptos" w:cs="Calibri"/>
          <w:color w:val="1A1A19"/>
          <w:sz w:val="20"/>
          <w:szCs w:val="20"/>
          <w:lang w:val="en-CA"/>
        </w:rPr>
        <w:t>]  IEC</w:t>
      </w:r>
      <w:proofErr w:type="gramEnd"/>
      <w:r w:rsidRPr="00BE4F47">
        <w:rPr>
          <w:rFonts w:ascii="Aptos" w:eastAsia="Calibri" w:hAnsi="Aptos" w:cs="Calibri"/>
          <w:color w:val="1A1A19"/>
          <w:sz w:val="20"/>
          <w:szCs w:val="20"/>
          <w:lang w:val="en-CA"/>
        </w:rPr>
        <w:t xml:space="preserve"> 60880:2006, Nuclear power plants, Instrumentation and control systems important to safety, Software aspects for computer-based systems performing category A functions.  </w:t>
      </w:r>
      <w:hyperlink r:id="rId57">
        <w:r w:rsidR="00F50D70" w:rsidRPr="00BE4F47">
          <w:rPr>
            <w:rFonts w:ascii="Aptos" w:hAnsi="Aptos"/>
            <w:color w:val="1155CC"/>
            <w:sz w:val="18"/>
            <w:u w:val="single"/>
            <w:lang w:val="en-CA"/>
          </w:rPr>
          <w:t>https://webstore.iec.ch/en/publication/3795</w:t>
        </w:r>
        <w:bookmarkEnd w:id="1587"/>
        <w:bookmarkEnd w:id="1588"/>
        <w:bookmarkEnd w:id="1589"/>
        <w:bookmarkEnd w:id="1590"/>
      </w:hyperlink>
    </w:p>
    <w:p w14:paraId="0A9544CD" w14:textId="77777777" w:rsidR="00F50D70" w:rsidRPr="00BE4F47" w:rsidRDefault="00137D7F" w:rsidP="008E113B">
      <w:pPr>
        <w:spacing w:after="80" w:line="360" w:lineRule="auto"/>
        <w:ind w:left="480" w:hanging="480"/>
        <w:jc w:val="left"/>
        <w:rPr>
          <w:rFonts w:ascii="Aptos" w:hAnsi="Aptos"/>
        </w:rPr>
      </w:pPr>
      <w:bookmarkStart w:id="1591" w:name="_Toc241083225"/>
      <w:bookmarkStart w:id="1592" w:name="_Toc241670401"/>
      <w:bookmarkStart w:id="1593" w:name="_Toc241708110"/>
      <w:bookmarkStart w:id="1594" w:name="_Toc241792057"/>
      <w:r w:rsidRPr="00BE4F47">
        <w:rPr>
          <w:rFonts w:ascii="Aptos" w:eastAsia="Calibri" w:hAnsi="Aptos" w:cs="Calibri"/>
          <w:color w:val="1A1A19"/>
          <w:sz w:val="20"/>
          <w:szCs w:val="20"/>
          <w:lang w:val="en-CA"/>
        </w:rPr>
        <w:t>[39</w:t>
      </w:r>
      <w:proofErr w:type="gramStart"/>
      <w:r w:rsidRPr="00BE4F47">
        <w:rPr>
          <w:rFonts w:ascii="Aptos" w:eastAsia="Calibri" w:hAnsi="Aptos" w:cs="Calibri"/>
          <w:color w:val="1A1A19"/>
          <w:sz w:val="20"/>
          <w:szCs w:val="20"/>
          <w:lang w:val="en-CA"/>
        </w:rPr>
        <w:t>]  IEC</w:t>
      </w:r>
      <w:proofErr w:type="gramEnd"/>
      <w:r w:rsidRPr="00BE4F47">
        <w:rPr>
          <w:rFonts w:ascii="Aptos" w:eastAsia="Calibri" w:hAnsi="Aptos" w:cs="Calibri"/>
          <w:color w:val="1A1A19"/>
          <w:sz w:val="20"/>
          <w:szCs w:val="20"/>
          <w:lang w:val="en-CA"/>
        </w:rPr>
        <w:t xml:space="preserve"> 62138:2018, Nuclear power plants, Instrumentation and control systems important to safety, Software aspects for computer-based systems performing category B or C functions.  </w:t>
      </w:r>
      <w:hyperlink r:id="rId58">
        <w:r w:rsidR="00F50D70" w:rsidRPr="00BE4F47">
          <w:rPr>
            <w:rFonts w:ascii="Aptos" w:hAnsi="Aptos"/>
            <w:color w:val="1155CC"/>
            <w:sz w:val="18"/>
            <w:u w:val="single"/>
          </w:rPr>
          <w:t>https://webstore.iec.ch/en/publication/30172</w:t>
        </w:r>
        <w:bookmarkEnd w:id="1591"/>
        <w:bookmarkEnd w:id="1592"/>
        <w:bookmarkEnd w:id="1593"/>
        <w:bookmarkEnd w:id="1594"/>
      </w:hyperlink>
    </w:p>
    <w:p w14:paraId="1B7D1D2E" w14:textId="77777777" w:rsidR="00F50D70" w:rsidRPr="00BE4F47" w:rsidRDefault="00137D7F" w:rsidP="008E113B">
      <w:pPr>
        <w:spacing w:after="80" w:line="360" w:lineRule="auto"/>
        <w:ind w:left="480" w:hanging="480"/>
        <w:jc w:val="left"/>
        <w:rPr>
          <w:rFonts w:ascii="Aptos" w:hAnsi="Aptos"/>
        </w:rPr>
      </w:pPr>
      <w:bookmarkStart w:id="1595" w:name="_Toc241083226"/>
      <w:bookmarkStart w:id="1596" w:name="_Toc241670402"/>
      <w:bookmarkStart w:id="1597" w:name="_Toc241708111"/>
      <w:bookmarkStart w:id="1598" w:name="_Toc241792058"/>
      <w:r w:rsidRPr="00BE4F47">
        <w:rPr>
          <w:rFonts w:ascii="Aptos" w:eastAsia="Calibri" w:hAnsi="Aptos" w:cs="Calibri"/>
          <w:color w:val="1A1A19"/>
          <w:sz w:val="20"/>
          <w:szCs w:val="20"/>
        </w:rPr>
        <w:t>[40</w:t>
      </w:r>
      <w:proofErr w:type="gramStart"/>
      <w:r w:rsidRPr="00BE4F47">
        <w:rPr>
          <w:rFonts w:ascii="Aptos" w:eastAsia="Calibri" w:hAnsi="Aptos" w:cs="Calibri"/>
          <w:color w:val="1A1A19"/>
          <w:sz w:val="20"/>
          <w:szCs w:val="20"/>
        </w:rPr>
        <w:t>]  ISO</w:t>
      </w:r>
      <w:proofErr w:type="gramEnd"/>
      <w:r w:rsidRPr="00BE4F47">
        <w:rPr>
          <w:rFonts w:ascii="Aptos" w:eastAsia="Calibri" w:hAnsi="Aptos" w:cs="Calibri"/>
          <w:color w:val="1A1A19"/>
          <w:sz w:val="20"/>
          <w:szCs w:val="20"/>
        </w:rPr>
        <w:t xml:space="preserve">/IEC 27001:2022, Sécurité de l’information, cybersécurité et protection de la vie privée, Systèmes de management de la sécurité de l’information, Exigences.  </w:t>
      </w:r>
      <w:hyperlink r:id="rId59">
        <w:r w:rsidR="00F50D70" w:rsidRPr="00BE4F47">
          <w:rPr>
            <w:rFonts w:ascii="Aptos" w:hAnsi="Aptos"/>
            <w:color w:val="1155CC"/>
            <w:sz w:val="18"/>
            <w:u w:val="single"/>
          </w:rPr>
          <w:t>https://www.iso.org/fr/standard/82875.html</w:t>
        </w:r>
        <w:bookmarkEnd w:id="1595"/>
        <w:bookmarkEnd w:id="1596"/>
        <w:bookmarkEnd w:id="1597"/>
        <w:bookmarkEnd w:id="1598"/>
      </w:hyperlink>
    </w:p>
    <w:p w14:paraId="29D523BC" w14:textId="77777777" w:rsidR="00F50D70" w:rsidRPr="00BE4F47" w:rsidRDefault="00137D7F" w:rsidP="008E113B">
      <w:pPr>
        <w:spacing w:after="80" w:line="360" w:lineRule="auto"/>
        <w:ind w:left="480" w:hanging="480"/>
        <w:jc w:val="left"/>
        <w:rPr>
          <w:rFonts w:ascii="Aptos" w:hAnsi="Aptos"/>
        </w:rPr>
      </w:pPr>
      <w:bookmarkStart w:id="1599" w:name="_Toc241083227"/>
      <w:bookmarkStart w:id="1600" w:name="_Toc241670403"/>
      <w:bookmarkStart w:id="1601" w:name="_Toc241708112"/>
      <w:bookmarkStart w:id="1602" w:name="_Toc241792059"/>
      <w:r w:rsidRPr="00BE4F47">
        <w:rPr>
          <w:rFonts w:ascii="Aptos" w:eastAsia="Calibri" w:hAnsi="Aptos" w:cs="Calibri"/>
          <w:color w:val="1A1A19"/>
          <w:sz w:val="20"/>
          <w:szCs w:val="20"/>
        </w:rPr>
        <w:t>[41</w:t>
      </w:r>
      <w:proofErr w:type="gramStart"/>
      <w:r w:rsidRPr="00BE4F47">
        <w:rPr>
          <w:rFonts w:ascii="Aptos" w:eastAsia="Calibri" w:hAnsi="Aptos" w:cs="Calibri"/>
          <w:color w:val="1A1A19"/>
          <w:sz w:val="20"/>
          <w:szCs w:val="20"/>
        </w:rPr>
        <w:t>]  ISO</w:t>
      </w:r>
      <w:proofErr w:type="gramEnd"/>
      <w:r w:rsidRPr="00BE4F47">
        <w:rPr>
          <w:rFonts w:ascii="Aptos" w:eastAsia="Calibri" w:hAnsi="Aptos" w:cs="Calibri"/>
          <w:color w:val="1A1A19"/>
          <w:sz w:val="20"/>
          <w:szCs w:val="20"/>
        </w:rPr>
        <w:t xml:space="preserve">/IEC 27005:2022, Sécurité de l’information, cybersécurité et protection de la vie privée, Préconisations pour la gestion des risques liés à la sécurité de l’information.  </w:t>
      </w:r>
      <w:hyperlink r:id="rId60">
        <w:r w:rsidR="00F50D70" w:rsidRPr="00BE4F47">
          <w:rPr>
            <w:rFonts w:ascii="Aptos" w:hAnsi="Aptos"/>
            <w:color w:val="1155CC"/>
            <w:sz w:val="18"/>
            <w:u w:val="single"/>
          </w:rPr>
          <w:t>https://www.iso.org/fr/standard/80585.html</w:t>
        </w:r>
        <w:bookmarkEnd w:id="1599"/>
        <w:bookmarkEnd w:id="1600"/>
        <w:bookmarkEnd w:id="1601"/>
        <w:bookmarkEnd w:id="1602"/>
      </w:hyperlink>
    </w:p>
    <w:p w14:paraId="70C8BBB6" w14:textId="77777777" w:rsidR="00F50D70" w:rsidRPr="00BE4F47" w:rsidRDefault="00137D7F" w:rsidP="008E113B">
      <w:pPr>
        <w:spacing w:after="80" w:line="360" w:lineRule="auto"/>
        <w:ind w:left="480" w:hanging="480"/>
        <w:jc w:val="left"/>
        <w:rPr>
          <w:rFonts w:ascii="Aptos" w:hAnsi="Aptos"/>
        </w:rPr>
      </w:pPr>
      <w:bookmarkStart w:id="1603" w:name="_Toc241083228"/>
      <w:bookmarkStart w:id="1604" w:name="_Toc241670404"/>
      <w:bookmarkStart w:id="1605" w:name="_Toc241708113"/>
      <w:bookmarkStart w:id="1606" w:name="_Toc241792060"/>
      <w:r w:rsidRPr="00BE4F47">
        <w:rPr>
          <w:rFonts w:ascii="Aptos" w:eastAsia="Calibri" w:hAnsi="Aptos" w:cs="Calibri"/>
          <w:color w:val="1A1A19"/>
          <w:sz w:val="20"/>
          <w:szCs w:val="20"/>
        </w:rPr>
        <w:t>[42</w:t>
      </w:r>
      <w:proofErr w:type="gramStart"/>
      <w:r w:rsidRPr="00BE4F47">
        <w:rPr>
          <w:rFonts w:ascii="Aptos" w:eastAsia="Calibri" w:hAnsi="Aptos" w:cs="Calibri"/>
          <w:color w:val="1A1A19"/>
          <w:sz w:val="20"/>
          <w:szCs w:val="20"/>
        </w:rPr>
        <w:t>]  Ordre</w:t>
      </w:r>
      <w:proofErr w:type="gramEnd"/>
      <w:r w:rsidRPr="00BE4F47">
        <w:rPr>
          <w:rFonts w:ascii="Aptos" w:eastAsia="Calibri" w:hAnsi="Aptos" w:cs="Calibri"/>
          <w:color w:val="1A1A19"/>
          <w:sz w:val="20"/>
          <w:szCs w:val="20"/>
        </w:rPr>
        <w:t xml:space="preserve"> des ingénieurs du Québec, « Méthodes d’identification des dangers et d’analyse des risques », Guide de pratique professionnelle.  </w:t>
      </w:r>
      <w:hyperlink r:id="rId61">
        <w:r w:rsidR="00F50D70" w:rsidRPr="00BE4F47">
          <w:rPr>
            <w:rFonts w:ascii="Aptos" w:hAnsi="Aptos"/>
            <w:color w:val="1155CC"/>
            <w:sz w:val="18"/>
            <w:u w:val="single"/>
          </w:rPr>
          <w:t>http://gpp.oiq.qc.ca/Methodes_d_identification_des_dangers_et_d_analyse_des_risques.htm</w:t>
        </w:r>
        <w:bookmarkEnd w:id="1603"/>
        <w:bookmarkEnd w:id="1604"/>
        <w:bookmarkEnd w:id="1605"/>
        <w:bookmarkEnd w:id="1606"/>
      </w:hyperlink>
    </w:p>
    <w:p w14:paraId="5FD61BD8" w14:textId="77777777" w:rsidR="00F50D70" w:rsidRPr="00BE4F47" w:rsidRDefault="00137D7F" w:rsidP="008E113B">
      <w:pPr>
        <w:spacing w:after="80" w:line="360" w:lineRule="auto"/>
        <w:ind w:left="480" w:hanging="480"/>
        <w:jc w:val="left"/>
        <w:rPr>
          <w:rFonts w:ascii="Aptos" w:hAnsi="Aptos"/>
        </w:rPr>
      </w:pPr>
      <w:bookmarkStart w:id="1607" w:name="_Toc241083229"/>
      <w:bookmarkStart w:id="1608" w:name="_Toc241670405"/>
      <w:bookmarkStart w:id="1609" w:name="_Toc241708114"/>
      <w:bookmarkStart w:id="1610" w:name="_Toc241792061"/>
      <w:r w:rsidRPr="00BE4F47">
        <w:rPr>
          <w:rFonts w:ascii="Aptos" w:eastAsia="Calibri" w:hAnsi="Aptos" w:cs="Calibri"/>
          <w:color w:val="1A1A19"/>
          <w:sz w:val="20"/>
          <w:szCs w:val="20"/>
        </w:rPr>
        <w:t>[43</w:t>
      </w:r>
      <w:proofErr w:type="gramStart"/>
      <w:r w:rsidRPr="00BE4F47">
        <w:rPr>
          <w:rFonts w:ascii="Aptos" w:eastAsia="Calibri" w:hAnsi="Aptos" w:cs="Calibri"/>
          <w:color w:val="1A1A19"/>
          <w:sz w:val="20"/>
          <w:szCs w:val="20"/>
        </w:rPr>
        <w:t>]  Québec</w:t>
      </w:r>
      <w:proofErr w:type="gramEnd"/>
      <w:r w:rsidRPr="00BE4F47">
        <w:rPr>
          <w:rFonts w:ascii="Aptos" w:eastAsia="Calibri" w:hAnsi="Aptos" w:cs="Calibri"/>
          <w:color w:val="1A1A19"/>
          <w:sz w:val="20"/>
          <w:szCs w:val="20"/>
        </w:rPr>
        <w:t xml:space="preserve">, Code de déontologie des ingénieurs, RLRQ, chapitre I-9, r. 6.  </w:t>
      </w:r>
      <w:hyperlink r:id="rId62">
        <w:r w:rsidR="00F50D70" w:rsidRPr="00BE4F47">
          <w:rPr>
            <w:rFonts w:ascii="Aptos" w:hAnsi="Aptos"/>
            <w:color w:val="1155CC"/>
            <w:sz w:val="18"/>
            <w:u w:val="single"/>
          </w:rPr>
          <w:t>https://www.legisquebec.gouv.qc.ca/fr/document/rc/I-9,%20r.%206%20/</w:t>
        </w:r>
        <w:bookmarkEnd w:id="1607"/>
        <w:bookmarkEnd w:id="1608"/>
        <w:bookmarkEnd w:id="1609"/>
        <w:bookmarkEnd w:id="1610"/>
      </w:hyperlink>
    </w:p>
    <w:p w14:paraId="33F70882" w14:textId="77777777" w:rsidR="00F50D70" w:rsidRPr="00BE4F47" w:rsidRDefault="00137D7F" w:rsidP="008E113B">
      <w:pPr>
        <w:spacing w:after="80" w:line="360" w:lineRule="auto"/>
        <w:ind w:left="480" w:hanging="480"/>
        <w:jc w:val="left"/>
        <w:rPr>
          <w:rFonts w:ascii="Aptos" w:hAnsi="Aptos"/>
        </w:rPr>
      </w:pPr>
      <w:bookmarkStart w:id="1611" w:name="_Toc241083230"/>
      <w:bookmarkStart w:id="1612" w:name="_Toc241670406"/>
      <w:bookmarkStart w:id="1613" w:name="_Toc241708115"/>
      <w:bookmarkStart w:id="1614" w:name="_Toc241792062"/>
      <w:r w:rsidRPr="00BE4F47">
        <w:rPr>
          <w:rFonts w:ascii="Aptos" w:eastAsia="Calibri" w:hAnsi="Aptos" w:cs="Calibri"/>
          <w:color w:val="1A1A19"/>
          <w:sz w:val="20"/>
          <w:szCs w:val="20"/>
        </w:rPr>
        <w:t>[44</w:t>
      </w:r>
      <w:proofErr w:type="gramStart"/>
      <w:r w:rsidRPr="00BE4F47">
        <w:rPr>
          <w:rFonts w:ascii="Aptos" w:eastAsia="Calibri" w:hAnsi="Aptos" w:cs="Calibri"/>
          <w:color w:val="1A1A19"/>
          <w:sz w:val="20"/>
          <w:szCs w:val="20"/>
        </w:rPr>
        <w:t>]  Organisation</w:t>
      </w:r>
      <w:proofErr w:type="gramEnd"/>
      <w:r w:rsidRPr="00BE4F47">
        <w:rPr>
          <w:rFonts w:ascii="Aptos" w:eastAsia="Calibri" w:hAnsi="Aptos" w:cs="Calibri"/>
          <w:color w:val="1A1A19"/>
          <w:sz w:val="20"/>
          <w:szCs w:val="20"/>
        </w:rPr>
        <w:t xml:space="preserve"> des Nations unies, Objectifs de développement durable, objectifs 7 et 9.  </w:t>
      </w:r>
      <w:hyperlink r:id="rId63">
        <w:r w:rsidR="00F50D70" w:rsidRPr="00BE4F47">
          <w:rPr>
            <w:rFonts w:ascii="Aptos" w:hAnsi="Aptos"/>
            <w:color w:val="1155CC"/>
            <w:sz w:val="18"/>
            <w:u w:val="single"/>
          </w:rPr>
          <w:t>https://www.un.org/sustainabledevelopment/fr/objectifs-de-developpement-durable/</w:t>
        </w:r>
        <w:bookmarkEnd w:id="1611"/>
        <w:bookmarkEnd w:id="1612"/>
        <w:bookmarkEnd w:id="1613"/>
        <w:bookmarkEnd w:id="1614"/>
      </w:hyperlink>
    </w:p>
    <w:p w14:paraId="270E314E" w14:textId="77777777" w:rsidR="00F50D70" w:rsidRPr="00BE4F47" w:rsidRDefault="00137D7F" w:rsidP="008E113B">
      <w:pPr>
        <w:spacing w:after="80" w:line="360" w:lineRule="auto"/>
        <w:ind w:left="480" w:hanging="480"/>
        <w:jc w:val="left"/>
        <w:rPr>
          <w:rFonts w:ascii="Aptos" w:hAnsi="Aptos"/>
        </w:rPr>
      </w:pPr>
      <w:bookmarkStart w:id="1615" w:name="_Toc241083231"/>
      <w:bookmarkStart w:id="1616" w:name="_Toc241670407"/>
      <w:bookmarkStart w:id="1617" w:name="_Toc241708116"/>
      <w:bookmarkStart w:id="1618" w:name="_Toc241792063"/>
      <w:r w:rsidRPr="00BE4F47">
        <w:rPr>
          <w:rFonts w:ascii="Aptos" w:eastAsia="Calibri" w:hAnsi="Aptos" w:cs="Calibri"/>
          <w:color w:val="1A1A19"/>
          <w:sz w:val="20"/>
          <w:szCs w:val="20"/>
          <w:lang w:val="en-CA"/>
        </w:rPr>
        <w:lastRenderedPageBreak/>
        <w:t>[45</w:t>
      </w:r>
      <w:proofErr w:type="gramStart"/>
      <w:r w:rsidRPr="00BE4F47">
        <w:rPr>
          <w:rFonts w:ascii="Aptos" w:eastAsia="Calibri" w:hAnsi="Aptos" w:cs="Calibri"/>
          <w:color w:val="1A1A19"/>
          <w:sz w:val="20"/>
          <w:szCs w:val="20"/>
          <w:lang w:val="en-CA"/>
        </w:rPr>
        <w:t>]  AACE</w:t>
      </w:r>
      <w:proofErr w:type="gramEnd"/>
      <w:r w:rsidRPr="00BE4F47">
        <w:rPr>
          <w:rFonts w:ascii="Aptos" w:eastAsia="Calibri" w:hAnsi="Aptos" w:cs="Calibri"/>
          <w:color w:val="1A1A19"/>
          <w:sz w:val="20"/>
          <w:szCs w:val="20"/>
          <w:lang w:val="en-CA"/>
        </w:rPr>
        <w:t xml:space="preserve"> International, Recommended Practice No. 18R-97, Cost Estimate Classification System as Applied in Engineering, Procurement, and Construction for the Process Industries, rév. du 7 août 2020.  </w:t>
      </w:r>
      <w:hyperlink r:id="rId64">
        <w:r w:rsidR="00F50D70" w:rsidRPr="00BE4F47">
          <w:rPr>
            <w:rFonts w:ascii="Aptos" w:hAnsi="Aptos"/>
            <w:color w:val="1155CC"/>
            <w:sz w:val="18"/>
            <w:u w:val="single"/>
          </w:rPr>
          <w:t>https://web.aacei.org/docs/default-source/toc/toc_18r-97.pdf</w:t>
        </w:r>
        <w:bookmarkEnd w:id="1615"/>
        <w:bookmarkEnd w:id="1616"/>
        <w:bookmarkEnd w:id="1617"/>
        <w:bookmarkEnd w:id="1618"/>
      </w:hyperlink>
    </w:p>
    <w:p w14:paraId="582AE243" w14:textId="77777777" w:rsidR="00F50D70" w:rsidRPr="00DE097D" w:rsidRDefault="00137D7F" w:rsidP="008E113B">
      <w:pPr>
        <w:spacing w:after="80" w:line="360" w:lineRule="auto"/>
        <w:ind w:left="480" w:hanging="480"/>
        <w:jc w:val="left"/>
        <w:rPr>
          <w:rFonts w:ascii="Aptos" w:hAnsi="Aptos"/>
          <w:lang w:val="en-CA"/>
        </w:rPr>
      </w:pPr>
      <w:bookmarkStart w:id="1619" w:name="_Toc241670408"/>
      <w:bookmarkStart w:id="1620" w:name="_Toc241708117"/>
      <w:bookmarkStart w:id="1621" w:name="_Toc241792064"/>
      <w:r w:rsidRPr="00BE4F47">
        <w:rPr>
          <w:rFonts w:ascii="Aptos" w:eastAsia="Calibri" w:hAnsi="Aptos" w:cs="Calibri"/>
          <w:color w:val="1A1A19"/>
          <w:sz w:val="20"/>
          <w:szCs w:val="20"/>
        </w:rPr>
        <w:t>[46</w:t>
      </w:r>
      <w:proofErr w:type="gramStart"/>
      <w:r w:rsidRPr="00BE4F47">
        <w:rPr>
          <w:rFonts w:ascii="Aptos" w:eastAsia="Calibri" w:hAnsi="Aptos" w:cs="Calibri"/>
          <w:color w:val="1A1A19"/>
          <w:sz w:val="20"/>
          <w:szCs w:val="20"/>
        </w:rPr>
        <w:t>]  IEC</w:t>
      </w:r>
      <w:proofErr w:type="gramEnd"/>
      <w:r w:rsidRPr="00BE4F47">
        <w:rPr>
          <w:rFonts w:ascii="Aptos" w:eastAsia="Calibri" w:hAnsi="Aptos" w:cs="Calibri"/>
          <w:color w:val="1A1A19"/>
          <w:sz w:val="20"/>
          <w:szCs w:val="20"/>
        </w:rPr>
        <w:t xml:space="preserve"> TR 62541-1:2020, OPC unified architecture, Partie 1 : Vue d’ensemble et concepts.  </w:t>
      </w:r>
      <w:hyperlink r:id="rId65">
        <w:r w:rsidR="00F50D70" w:rsidRPr="00DE097D">
          <w:rPr>
            <w:rFonts w:ascii="Aptos" w:hAnsi="Aptos"/>
            <w:color w:val="1155CC"/>
            <w:sz w:val="18"/>
            <w:u w:val="single"/>
            <w:lang w:val="en-CA"/>
          </w:rPr>
          <w:t>https://webstore.iec.ch/publication/61109</w:t>
        </w:r>
        <w:bookmarkEnd w:id="1619"/>
        <w:bookmarkEnd w:id="1620"/>
        <w:bookmarkEnd w:id="1621"/>
      </w:hyperlink>
    </w:p>
    <w:p w14:paraId="0036F651" w14:textId="77777777" w:rsidR="00F50D70" w:rsidRPr="00BE4F47" w:rsidRDefault="00137D7F" w:rsidP="008E113B">
      <w:pPr>
        <w:spacing w:after="80" w:line="360" w:lineRule="auto"/>
        <w:ind w:left="480" w:hanging="480"/>
        <w:jc w:val="left"/>
        <w:rPr>
          <w:rFonts w:ascii="Aptos" w:hAnsi="Aptos"/>
        </w:rPr>
      </w:pPr>
      <w:bookmarkStart w:id="1622" w:name="_Toc241670410"/>
      <w:bookmarkStart w:id="1623" w:name="_Toc241708118"/>
      <w:bookmarkStart w:id="1624" w:name="_Toc241792065"/>
      <w:r w:rsidRPr="004631CD">
        <w:rPr>
          <w:rFonts w:ascii="Aptos" w:eastAsia="Calibri" w:hAnsi="Aptos" w:cs="Calibri"/>
          <w:color w:val="1A1A19"/>
          <w:sz w:val="20"/>
          <w:szCs w:val="20"/>
          <w:lang w:val="en-CA"/>
        </w:rPr>
        <w:t>[47</w:t>
      </w:r>
      <w:proofErr w:type="gramStart"/>
      <w:r w:rsidRPr="004631CD">
        <w:rPr>
          <w:rFonts w:ascii="Aptos" w:eastAsia="Calibri" w:hAnsi="Aptos" w:cs="Calibri"/>
          <w:color w:val="1A1A19"/>
          <w:sz w:val="20"/>
          <w:szCs w:val="20"/>
          <w:lang w:val="en-CA"/>
        </w:rPr>
        <w:t>]  Agence</w:t>
      </w:r>
      <w:proofErr w:type="gramEnd"/>
      <w:r w:rsidRPr="004631CD">
        <w:rPr>
          <w:rFonts w:ascii="Aptos" w:eastAsia="Calibri" w:hAnsi="Aptos" w:cs="Calibri"/>
          <w:color w:val="1A1A19"/>
          <w:sz w:val="20"/>
          <w:szCs w:val="20"/>
          <w:lang w:val="en-CA"/>
        </w:rPr>
        <w:t xml:space="preserve"> internationale de l’énergie atomique, Core Knowledge on Instrumentation and Control Systems in Nuclear Power Plants, Nuclear Energy Series n° NP-T-3.12, Vienne, 2011, ISBN 978-92-0-113710-4.  </w:t>
      </w:r>
      <w:hyperlink r:id="rId66">
        <w:r w:rsidR="00F50D70" w:rsidRPr="00BE4F47">
          <w:rPr>
            <w:rFonts w:ascii="Aptos" w:hAnsi="Aptos"/>
            <w:color w:val="1155CC"/>
            <w:sz w:val="18"/>
            <w:u w:val="single"/>
          </w:rPr>
          <w:t>https://www-pub.iaea.org/MTCD/Publications/PDF/Pub1495_web.pdf</w:t>
        </w:r>
        <w:bookmarkEnd w:id="1622"/>
        <w:bookmarkEnd w:id="1623"/>
        <w:bookmarkEnd w:id="1624"/>
      </w:hyperlink>
    </w:p>
    <w:p w14:paraId="46981B63" w14:textId="77777777" w:rsidR="00F50D70" w:rsidRPr="00BE4F47" w:rsidRDefault="00137D7F" w:rsidP="008E113B">
      <w:pPr>
        <w:spacing w:after="80" w:line="360" w:lineRule="auto"/>
        <w:ind w:left="480" w:hanging="480"/>
        <w:jc w:val="left"/>
        <w:rPr>
          <w:rFonts w:ascii="Aptos" w:hAnsi="Aptos"/>
        </w:rPr>
      </w:pPr>
      <w:bookmarkStart w:id="1625" w:name="_Toc241083233"/>
      <w:bookmarkStart w:id="1626" w:name="_Toc241670411"/>
      <w:bookmarkStart w:id="1627" w:name="_Toc241708119"/>
      <w:bookmarkStart w:id="1628" w:name="_Toc241792066"/>
      <w:r w:rsidRPr="00BE4F47">
        <w:rPr>
          <w:rFonts w:ascii="Aptos" w:eastAsia="Calibri" w:hAnsi="Aptos" w:cs="Calibri"/>
          <w:color w:val="1A1A19"/>
          <w:sz w:val="20"/>
          <w:szCs w:val="20"/>
          <w:lang w:val="en-CA"/>
        </w:rPr>
        <w:t>[48</w:t>
      </w:r>
      <w:proofErr w:type="gramStart"/>
      <w:r w:rsidRPr="00BE4F47">
        <w:rPr>
          <w:rFonts w:ascii="Aptos" w:eastAsia="Calibri" w:hAnsi="Aptos" w:cs="Calibri"/>
          <w:color w:val="1A1A19"/>
          <w:sz w:val="20"/>
          <w:szCs w:val="20"/>
          <w:lang w:val="en-CA"/>
        </w:rPr>
        <w:t>]  Agence</w:t>
      </w:r>
      <w:proofErr w:type="gramEnd"/>
      <w:r w:rsidRPr="00BE4F47">
        <w:rPr>
          <w:rFonts w:ascii="Aptos" w:eastAsia="Calibri" w:hAnsi="Aptos" w:cs="Calibri"/>
          <w:color w:val="1A1A19"/>
          <w:sz w:val="20"/>
          <w:szCs w:val="20"/>
          <w:lang w:val="en-CA"/>
        </w:rPr>
        <w:t xml:space="preserve"> internationale de l’énergie atomique, Verification and Validation of Software Related to Nuclear Power Plant Instrumentation and Control, Technical Reports Series n° 384, Vienne, 1999, ISBN 92-0-100799-X.  </w:t>
      </w:r>
      <w:hyperlink r:id="rId67">
        <w:r w:rsidR="00F50D70" w:rsidRPr="00BE4F47">
          <w:rPr>
            <w:rFonts w:ascii="Aptos" w:hAnsi="Aptos"/>
            <w:color w:val="1155CC"/>
            <w:sz w:val="18"/>
            <w:u w:val="single"/>
          </w:rPr>
          <w:t>https://www-pub.iaea.org/MTCD/Publications/PDF/TRS384_scr.pdf</w:t>
        </w:r>
        <w:bookmarkEnd w:id="1625"/>
        <w:bookmarkEnd w:id="1626"/>
        <w:bookmarkEnd w:id="1627"/>
        <w:bookmarkEnd w:id="1628"/>
      </w:hyperlink>
    </w:p>
    <w:p w14:paraId="579429F6" w14:textId="77777777" w:rsidR="00F50D70" w:rsidRPr="00BE4F47" w:rsidRDefault="00137D7F" w:rsidP="008E113B">
      <w:pPr>
        <w:spacing w:after="80" w:line="360" w:lineRule="auto"/>
        <w:ind w:left="480" w:hanging="480"/>
        <w:jc w:val="left"/>
        <w:rPr>
          <w:rFonts w:ascii="Aptos" w:hAnsi="Aptos"/>
        </w:rPr>
      </w:pPr>
      <w:bookmarkStart w:id="1629" w:name="_Toc241670412"/>
      <w:bookmarkStart w:id="1630" w:name="_Toc241708120"/>
      <w:bookmarkStart w:id="1631" w:name="_Toc241792067"/>
      <w:r w:rsidRPr="00BE4F47">
        <w:rPr>
          <w:rFonts w:ascii="Aptos" w:eastAsia="Calibri" w:hAnsi="Aptos" w:cs="Calibri"/>
          <w:color w:val="1A1A19"/>
          <w:sz w:val="20"/>
          <w:szCs w:val="20"/>
        </w:rPr>
        <w:t>[49</w:t>
      </w:r>
      <w:proofErr w:type="gramStart"/>
      <w:r w:rsidRPr="00BE4F47">
        <w:rPr>
          <w:rFonts w:ascii="Aptos" w:eastAsia="Calibri" w:hAnsi="Aptos" w:cs="Calibri"/>
          <w:color w:val="1A1A19"/>
          <w:sz w:val="20"/>
          <w:szCs w:val="20"/>
        </w:rPr>
        <w:t>]  Commission</w:t>
      </w:r>
      <w:proofErr w:type="gramEnd"/>
      <w:r w:rsidRPr="00BE4F47">
        <w:rPr>
          <w:rFonts w:ascii="Aptos" w:eastAsia="Calibri" w:hAnsi="Aptos" w:cs="Calibri"/>
          <w:color w:val="1A1A19"/>
          <w:sz w:val="20"/>
          <w:szCs w:val="20"/>
        </w:rPr>
        <w:t xml:space="preserve"> canadienne de sûreté nucléaire, « La CCSN délivre un permis de déclassement pour l’installation de Gentilly-2 », 22 juin 2016.  </w:t>
      </w:r>
      <w:hyperlink r:id="rId68">
        <w:r w:rsidR="00F50D70" w:rsidRPr="00BE4F47">
          <w:rPr>
            <w:rFonts w:ascii="Aptos" w:hAnsi="Aptos"/>
            <w:color w:val="1155CC"/>
            <w:sz w:val="18"/>
            <w:u w:val="single"/>
          </w:rPr>
          <w:t>https://www.canada.ca/fr/commission-surete-nucleaire/nouvelles/2016/06/la-ccsn-delivre-un-permis-de-declassement-pour-l-installation-de-gentilly-2.html</w:t>
        </w:r>
        <w:bookmarkEnd w:id="1629"/>
        <w:bookmarkEnd w:id="1630"/>
        <w:bookmarkEnd w:id="1631"/>
      </w:hyperlink>
    </w:p>
    <w:p w14:paraId="545F8519" w14:textId="77777777" w:rsidR="00F50D70" w:rsidRPr="00BE4F47" w:rsidRDefault="00137D7F" w:rsidP="008E113B">
      <w:pPr>
        <w:spacing w:after="80" w:line="360" w:lineRule="auto"/>
        <w:ind w:left="480" w:hanging="480"/>
        <w:jc w:val="left"/>
        <w:rPr>
          <w:rFonts w:ascii="Aptos" w:hAnsi="Aptos"/>
        </w:rPr>
      </w:pPr>
      <w:bookmarkStart w:id="1632" w:name="_Toc241083234"/>
      <w:bookmarkStart w:id="1633" w:name="_Toc241670413"/>
      <w:bookmarkStart w:id="1634" w:name="_Toc241708121"/>
      <w:bookmarkStart w:id="1635" w:name="_Toc241792068"/>
      <w:r w:rsidRPr="00BE4F47">
        <w:rPr>
          <w:rFonts w:ascii="Aptos" w:eastAsia="Calibri" w:hAnsi="Aptos" w:cs="Calibri"/>
          <w:color w:val="1A1A19"/>
          <w:sz w:val="20"/>
          <w:szCs w:val="20"/>
        </w:rPr>
        <w:t>[50</w:t>
      </w:r>
      <w:proofErr w:type="gramStart"/>
      <w:r w:rsidRPr="00BE4F47">
        <w:rPr>
          <w:rFonts w:ascii="Aptos" w:eastAsia="Calibri" w:hAnsi="Aptos" w:cs="Calibri"/>
          <w:color w:val="1A1A19"/>
          <w:sz w:val="20"/>
          <w:szCs w:val="20"/>
        </w:rPr>
        <w:t>]  Association</w:t>
      </w:r>
      <w:proofErr w:type="gramEnd"/>
      <w:r w:rsidRPr="00BE4F47">
        <w:rPr>
          <w:rFonts w:ascii="Aptos" w:eastAsia="Calibri" w:hAnsi="Aptos" w:cs="Calibri"/>
          <w:color w:val="1A1A19"/>
          <w:sz w:val="20"/>
          <w:szCs w:val="20"/>
        </w:rPr>
        <w:t xml:space="preserve"> des firmes de génie-conseil du Québec, Barème des honoraires, section Documentation et publications. Cité comme point de comparaison seulement.  </w:t>
      </w:r>
      <w:hyperlink r:id="rId69">
        <w:r w:rsidR="00F50D70" w:rsidRPr="00BE4F47">
          <w:rPr>
            <w:rFonts w:ascii="Aptos" w:hAnsi="Aptos"/>
            <w:color w:val="1155CC"/>
            <w:sz w:val="18"/>
            <w:u w:val="single"/>
          </w:rPr>
          <w:t>https://afg.quebec/documentation/publications</w:t>
        </w:r>
        <w:bookmarkEnd w:id="1632"/>
        <w:bookmarkEnd w:id="1633"/>
        <w:bookmarkEnd w:id="1634"/>
        <w:bookmarkEnd w:id="1635"/>
      </w:hyperlink>
    </w:p>
    <w:p w14:paraId="6A1AA678" w14:textId="77777777" w:rsidR="00F50D70" w:rsidRPr="00BE4F47" w:rsidRDefault="00137D7F" w:rsidP="008E113B">
      <w:pPr>
        <w:spacing w:after="80" w:line="360" w:lineRule="auto"/>
        <w:ind w:left="480" w:hanging="480"/>
        <w:jc w:val="left"/>
        <w:rPr>
          <w:rFonts w:ascii="Aptos" w:hAnsi="Aptos"/>
        </w:rPr>
      </w:pPr>
      <w:bookmarkStart w:id="1636" w:name="_Toc241083235"/>
      <w:bookmarkStart w:id="1637" w:name="_Toc241670414"/>
      <w:bookmarkStart w:id="1638" w:name="_Toc241708122"/>
      <w:bookmarkStart w:id="1639" w:name="_Toc241792069"/>
      <w:r w:rsidRPr="00BE4F47">
        <w:rPr>
          <w:rFonts w:ascii="Aptos" w:eastAsia="Calibri" w:hAnsi="Aptos" w:cs="Calibri"/>
          <w:color w:val="1A1A19"/>
          <w:sz w:val="20"/>
          <w:szCs w:val="20"/>
        </w:rPr>
        <w:t>[51</w:t>
      </w:r>
      <w:proofErr w:type="gramStart"/>
      <w:r w:rsidRPr="00BE4F47">
        <w:rPr>
          <w:rFonts w:ascii="Aptos" w:eastAsia="Calibri" w:hAnsi="Aptos" w:cs="Calibri"/>
          <w:color w:val="1A1A19"/>
          <w:sz w:val="20"/>
          <w:szCs w:val="20"/>
        </w:rPr>
        <w:t>]  Université</w:t>
      </w:r>
      <w:proofErr w:type="gramEnd"/>
      <w:r w:rsidRPr="00BE4F47">
        <w:rPr>
          <w:rFonts w:ascii="Aptos" w:eastAsia="Calibri" w:hAnsi="Aptos" w:cs="Calibri"/>
          <w:color w:val="1A1A19"/>
          <w:sz w:val="20"/>
          <w:szCs w:val="20"/>
        </w:rPr>
        <w:t xml:space="preserve"> du Québec à Chicoutimi, Bureau du registraire, Calendrier universitaire, trimestre d’automne 2026.  </w:t>
      </w:r>
      <w:hyperlink r:id="rId70">
        <w:r w:rsidR="00F50D70" w:rsidRPr="00BE4F47">
          <w:rPr>
            <w:rFonts w:ascii="Aptos" w:hAnsi="Aptos"/>
            <w:color w:val="1155CC"/>
            <w:sz w:val="18"/>
            <w:u w:val="single"/>
          </w:rPr>
          <w:t>https://www.uqac.ca/registraire/wp-content/uploads/2026/02/AUTOMNE-2026.pdf</w:t>
        </w:r>
        <w:bookmarkEnd w:id="1636"/>
        <w:bookmarkEnd w:id="1637"/>
        <w:bookmarkEnd w:id="1638"/>
        <w:bookmarkEnd w:id="1639"/>
      </w:hyperlink>
    </w:p>
    <w:p w14:paraId="6639F16E" w14:textId="77777777" w:rsidR="00F50D70" w:rsidRPr="00BE4F47" w:rsidRDefault="00F50D70" w:rsidP="008E113B">
      <w:pPr>
        <w:pStyle w:val="Corpsdetexte"/>
        <w:spacing w:line="360" w:lineRule="auto"/>
        <w:ind w:left="720"/>
        <w:outlineLvl w:val="9"/>
        <w:rPr>
          <w:rFonts w:ascii="Aptos" w:hAnsi="Aptos"/>
          <w:b w:val="0"/>
        </w:rPr>
      </w:pPr>
    </w:p>
    <w:p w14:paraId="57EFF6BB" w14:textId="77777777" w:rsidR="00F50D70" w:rsidRPr="00BE4F47" w:rsidRDefault="00F50D70" w:rsidP="008E113B">
      <w:pPr>
        <w:pStyle w:val="Corpsdetexte"/>
        <w:spacing w:line="360" w:lineRule="auto"/>
        <w:outlineLvl w:val="9"/>
        <w:rPr>
          <w:rFonts w:ascii="Aptos" w:hAnsi="Aptos"/>
          <w:b w:val="0"/>
        </w:rPr>
      </w:pPr>
    </w:p>
    <w:p w14:paraId="2BD941BF" w14:textId="77777777" w:rsidR="00F50D70" w:rsidRPr="00BE4F47" w:rsidRDefault="00F50D70" w:rsidP="008E113B">
      <w:pPr>
        <w:pStyle w:val="Corpsdetexte"/>
        <w:spacing w:line="360" w:lineRule="auto"/>
        <w:outlineLvl w:val="9"/>
        <w:rPr>
          <w:rFonts w:ascii="Aptos" w:hAnsi="Aptos"/>
        </w:rPr>
      </w:pPr>
    </w:p>
    <w:p w14:paraId="48BBFFBF" w14:textId="77777777" w:rsidR="00F50D70" w:rsidRPr="00BE4F47" w:rsidRDefault="00F50D70" w:rsidP="008E113B">
      <w:pPr>
        <w:spacing w:line="360" w:lineRule="auto"/>
        <w:ind w:left="0"/>
        <w:outlineLvl w:val="9"/>
        <w:rPr>
          <w:rFonts w:ascii="Aptos" w:hAnsi="Aptos"/>
        </w:rPr>
      </w:pPr>
    </w:p>
    <w:sectPr w:rsidR="00F50D70" w:rsidRPr="00BE4F47">
      <w:footerReference w:type="default" r:id="rId71"/>
      <w:pgSz w:w="12240" w:h="15840"/>
      <w:pgMar w:top="851" w:right="1701" w:bottom="709" w:left="1701" w:header="0" w:footer="425" w:gutter="0"/>
      <w:cols w:space="720"/>
      <w:formProt w:val="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924367" w14:textId="77777777" w:rsidR="00361962" w:rsidRDefault="00361962">
      <w:r>
        <w:separator/>
      </w:r>
    </w:p>
  </w:endnote>
  <w:endnote w:type="continuationSeparator" w:id="0">
    <w:p w14:paraId="6269D6AE" w14:textId="77777777" w:rsidR="00361962" w:rsidRDefault="003619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w:panose1 w:val="02020603050405020304"/>
    <w:charset w:val="00"/>
    <w:family w:val="roman"/>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Times New Roman"/>
    <w:charset w:val="00"/>
    <w:family w:val="roman"/>
    <w:pitch w:val="variable"/>
  </w:font>
  <w:font w:name="Noto Serif CJK SC">
    <w:panose1 w:val="00000000000000000000"/>
    <w:charset w:val="00"/>
    <w:family w:val="roman"/>
    <w:notTrueType/>
    <w:pitch w:val="default"/>
  </w:font>
  <w:font w:name="FreeSans">
    <w:panose1 w:val="00000000000000000000"/>
    <w:charset w:val="00"/>
    <w:family w:val="roman"/>
    <w:notTrueType/>
    <w:pitch w:val="default"/>
  </w:font>
  <w:font w:name="MS Mincho">
    <w:panose1 w:val="02020609040205080304"/>
    <w:charset w:val="80"/>
    <w:family w:val="modern"/>
    <w:pitch w:val="fixed"/>
    <w:sig w:usb0="E00002FF" w:usb1="6AC7FDFB" w:usb2="08000012" w:usb3="00000000" w:csb0="0002009F" w:csb1="00000000"/>
  </w:font>
  <w:font w:name="Palatino;Book Antiqua">
    <w:panose1 w:val="00000000000000000000"/>
    <w:charset w:val="00"/>
    <w:family w:val="roman"/>
    <w:notTrueType/>
    <w:pitch w:val="default"/>
  </w:font>
  <w:font w:name="Arial Black">
    <w:panose1 w:val="020B0A04020102020204"/>
    <w:charset w:val="00"/>
    <w:family w:val="swiss"/>
    <w:pitch w:val="variable"/>
    <w:sig w:usb0="A00002AF" w:usb1="400078FB" w:usb2="00000000" w:usb3="00000000" w:csb0="0000009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F191E" w14:textId="77777777" w:rsidR="00F50D70" w:rsidRDefault="00137D7F">
    <w:pPr>
      <w:pStyle w:val="Pieddepage"/>
      <w:ind w:left="0"/>
      <w:jc w:val="center"/>
    </w:pPr>
    <w:r>
      <w:fldChar w:fldCharType="begin"/>
    </w:r>
    <w:r>
      <w:instrText xml:space="preserve"> PAGE </w:instrText>
    </w:r>
    <w:r>
      <w:fldChar w:fldCharType="separate"/>
    </w:r>
    <w:r>
      <w:t>47</w:t>
    </w:r>
    <w:r>
      <w:fldChar w:fldCharType="end"/>
    </w:r>
  </w:p>
  <w:p w14:paraId="06136640" w14:textId="77777777" w:rsidR="00F50D70" w:rsidRDefault="00F50D70">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D9DF3D" w14:textId="77777777" w:rsidR="00361962" w:rsidRDefault="00361962">
      <w:r>
        <w:separator/>
      </w:r>
    </w:p>
  </w:footnote>
  <w:footnote w:type="continuationSeparator" w:id="0">
    <w:p w14:paraId="3308D9C7" w14:textId="77777777" w:rsidR="00361962" w:rsidRDefault="0036196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865D0"/>
    <w:multiLevelType w:val="multilevel"/>
    <w:tmpl w:val="040C001F"/>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1" w15:restartNumberingAfterBreak="0">
    <w:nsid w:val="06B74424"/>
    <w:multiLevelType w:val="multilevel"/>
    <w:tmpl w:val="B00E7AA8"/>
    <w:lvl w:ilvl="0">
      <w:start w:val="1"/>
      <w:numFmt w:val="decimal"/>
      <w:pStyle w:val="Style2"/>
      <w:lvlText w:val="%1."/>
      <w:lvlJc w:val="left"/>
      <w:pPr>
        <w:tabs>
          <w:tab w:val="num" w:pos="425"/>
        </w:tabs>
        <w:ind w:left="425" w:hanging="425"/>
      </w:pPr>
      <w:rPr>
        <w:rFonts w:ascii="Times" w:hAnsi="Times" w:cs="Times"/>
        <w:b/>
        <w:i w:val="0"/>
        <w:sz w:val="22"/>
      </w:rPr>
    </w:lvl>
    <w:lvl w:ilvl="1">
      <w:start w:val="1"/>
      <w:numFmt w:val="decimal"/>
      <w:lvlText w:val="%1.%2"/>
      <w:lvlJc w:val="left"/>
      <w:pPr>
        <w:tabs>
          <w:tab w:val="num" w:pos="992"/>
        </w:tabs>
        <w:ind w:left="992" w:hanging="567"/>
      </w:pPr>
    </w:lvl>
    <w:lvl w:ilvl="2">
      <w:start w:val="1"/>
      <w:numFmt w:val="decimal"/>
      <w:lvlText w:val="%1.%2.%3"/>
      <w:lvlJc w:val="left"/>
      <w:pPr>
        <w:tabs>
          <w:tab w:val="num" w:pos="1701"/>
        </w:tabs>
        <w:ind w:left="1701" w:hanging="709"/>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1" w:hanging="1441"/>
      </w:pPr>
    </w:lvl>
  </w:abstractNum>
  <w:abstractNum w:abstractNumId="2" w15:restartNumberingAfterBreak="0">
    <w:nsid w:val="08AE3D62"/>
    <w:multiLevelType w:val="multilevel"/>
    <w:tmpl w:val="113693CE"/>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6.%2.%3."/>
      <w:lvlJc w:val="left"/>
      <w:pPr>
        <w:tabs>
          <w:tab w:val="num" w:pos="0"/>
        </w:tabs>
        <w:ind w:left="1224"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 w15:restartNumberingAfterBreak="0">
    <w:nsid w:val="09540001"/>
    <w:multiLevelType w:val="multilevel"/>
    <w:tmpl w:val="B4F24F9C"/>
    <w:lvl w:ilvl="0">
      <w:start w:val="1"/>
      <w:numFmt w:val="bullet"/>
      <w:lvlText w:val=""/>
      <w:lvlJc w:val="left"/>
      <w:pPr>
        <w:tabs>
          <w:tab w:val="num" w:pos="0"/>
        </w:tabs>
        <w:ind w:left="1440" w:hanging="360"/>
      </w:pPr>
      <w:rPr>
        <w:rFonts w:ascii="Symbol" w:hAnsi="Symbol" w:cs="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0C0D0D21"/>
    <w:multiLevelType w:val="hybridMultilevel"/>
    <w:tmpl w:val="B8B6B41E"/>
    <w:lvl w:ilvl="0" w:tplc="040C0001">
      <w:start w:val="1"/>
      <w:numFmt w:val="bullet"/>
      <w:lvlText w:val=""/>
      <w:lvlJc w:val="left"/>
      <w:pPr>
        <w:ind w:left="1712" w:hanging="360"/>
      </w:pPr>
      <w:rPr>
        <w:rFonts w:ascii="Symbol" w:hAnsi="Symbol" w:hint="default"/>
      </w:rPr>
    </w:lvl>
    <w:lvl w:ilvl="1" w:tplc="040C0003" w:tentative="1">
      <w:start w:val="1"/>
      <w:numFmt w:val="bullet"/>
      <w:lvlText w:val="o"/>
      <w:lvlJc w:val="left"/>
      <w:pPr>
        <w:ind w:left="2432" w:hanging="360"/>
      </w:pPr>
      <w:rPr>
        <w:rFonts w:ascii="Courier New" w:hAnsi="Courier New" w:cs="Courier New" w:hint="default"/>
      </w:rPr>
    </w:lvl>
    <w:lvl w:ilvl="2" w:tplc="040C0005" w:tentative="1">
      <w:start w:val="1"/>
      <w:numFmt w:val="bullet"/>
      <w:lvlText w:val=""/>
      <w:lvlJc w:val="left"/>
      <w:pPr>
        <w:ind w:left="3152" w:hanging="360"/>
      </w:pPr>
      <w:rPr>
        <w:rFonts w:ascii="Wingdings" w:hAnsi="Wingdings" w:hint="default"/>
      </w:rPr>
    </w:lvl>
    <w:lvl w:ilvl="3" w:tplc="040C0001" w:tentative="1">
      <w:start w:val="1"/>
      <w:numFmt w:val="bullet"/>
      <w:lvlText w:val=""/>
      <w:lvlJc w:val="left"/>
      <w:pPr>
        <w:ind w:left="3872" w:hanging="360"/>
      </w:pPr>
      <w:rPr>
        <w:rFonts w:ascii="Symbol" w:hAnsi="Symbol" w:hint="default"/>
      </w:rPr>
    </w:lvl>
    <w:lvl w:ilvl="4" w:tplc="040C0003" w:tentative="1">
      <w:start w:val="1"/>
      <w:numFmt w:val="bullet"/>
      <w:lvlText w:val="o"/>
      <w:lvlJc w:val="left"/>
      <w:pPr>
        <w:ind w:left="4592" w:hanging="360"/>
      </w:pPr>
      <w:rPr>
        <w:rFonts w:ascii="Courier New" w:hAnsi="Courier New" w:cs="Courier New" w:hint="default"/>
      </w:rPr>
    </w:lvl>
    <w:lvl w:ilvl="5" w:tplc="040C0005" w:tentative="1">
      <w:start w:val="1"/>
      <w:numFmt w:val="bullet"/>
      <w:lvlText w:val=""/>
      <w:lvlJc w:val="left"/>
      <w:pPr>
        <w:ind w:left="5312" w:hanging="360"/>
      </w:pPr>
      <w:rPr>
        <w:rFonts w:ascii="Wingdings" w:hAnsi="Wingdings" w:hint="default"/>
      </w:rPr>
    </w:lvl>
    <w:lvl w:ilvl="6" w:tplc="040C0001" w:tentative="1">
      <w:start w:val="1"/>
      <w:numFmt w:val="bullet"/>
      <w:lvlText w:val=""/>
      <w:lvlJc w:val="left"/>
      <w:pPr>
        <w:ind w:left="6032" w:hanging="360"/>
      </w:pPr>
      <w:rPr>
        <w:rFonts w:ascii="Symbol" w:hAnsi="Symbol" w:hint="default"/>
      </w:rPr>
    </w:lvl>
    <w:lvl w:ilvl="7" w:tplc="040C0003" w:tentative="1">
      <w:start w:val="1"/>
      <w:numFmt w:val="bullet"/>
      <w:lvlText w:val="o"/>
      <w:lvlJc w:val="left"/>
      <w:pPr>
        <w:ind w:left="6752" w:hanging="360"/>
      </w:pPr>
      <w:rPr>
        <w:rFonts w:ascii="Courier New" w:hAnsi="Courier New" w:cs="Courier New" w:hint="default"/>
      </w:rPr>
    </w:lvl>
    <w:lvl w:ilvl="8" w:tplc="040C0005" w:tentative="1">
      <w:start w:val="1"/>
      <w:numFmt w:val="bullet"/>
      <w:lvlText w:val=""/>
      <w:lvlJc w:val="left"/>
      <w:pPr>
        <w:ind w:left="7472" w:hanging="360"/>
      </w:pPr>
      <w:rPr>
        <w:rFonts w:ascii="Wingdings" w:hAnsi="Wingdings" w:hint="default"/>
      </w:rPr>
    </w:lvl>
  </w:abstractNum>
  <w:abstractNum w:abstractNumId="5" w15:restartNumberingAfterBreak="0">
    <w:nsid w:val="148E3870"/>
    <w:multiLevelType w:val="multilevel"/>
    <w:tmpl w:val="A9580E9C"/>
    <w:lvl w:ilvl="0">
      <w:start w:val="1"/>
      <w:numFmt w:val="bullet"/>
      <w:pStyle w:val="Listepuces2"/>
      <w:lvlText w:val=""/>
      <w:lvlJc w:val="left"/>
      <w:pPr>
        <w:tabs>
          <w:tab w:val="num" w:pos="643"/>
        </w:tabs>
        <w:ind w:left="643" w:hanging="360"/>
      </w:pPr>
      <w:rPr>
        <w:rFonts w:ascii="Symbol" w:hAnsi="Symbol" w:cs="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219A4083"/>
    <w:multiLevelType w:val="multilevel"/>
    <w:tmpl w:val="39F83072"/>
    <w:lvl w:ilvl="0">
      <w:start w:val="1"/>
      <w:numFmt w:val="bullet"/>
      <w:lvlText w:val=""/>
      <w:lvlJc w:val="left"/>
      <w:pPr>
        <w:tabs>
          <w:tab w:val="num" w:pos="0"/>
        </w:tabs>
        <w:ind w:left="1440" w:hanging="360"/>
      </w:pPr>
      <w:rPr>
        <w:rFonts w:ascii="Symbol" w:hAnsi="Symbol" w:cs="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 w15:restartNumberingAfterBreak="0">
    <w:nsid w:val="36E35684"/>
    <w:multiLevelType w:val="multilevel"/>
    <w:tmpl w:val="BAE47164"/>
    <w:lvl w:ilvl="0">
      <w:start w:val="1"/>
      <w:numFmt w:val="bullet"/>
      <w:lvlText w:val=""/>
      <w:lvlJc w:val="left"/>
      <w:pPr>
        <w:tabs>
          <w:tab w:val="num" w:pos="0"/>
        </w:tabs>
        <w:ind w:left="1712" w:hanging="360"/>
      </w:pPr>
      <w:rPr>
        <w:rFonts w:ascii="Symbol" w:hAnsi="Symbol" w:cs="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15:restartNumberingAfterBreak="0">
    <w:nsid w:val="41116E45"/>
    <w:multiLevelType w:val="multilevel"/>
    <w:tmpl w:val="14705170"/>
    <w:lvl w:ilvl="0">
      <w:start w:val="1"/>
      <w:numFmt w:val="bullet"/>
      <w:lvlText w:val=""/>
      <w:lvlJc w:val="left"/>
      <w:pPr>
        <w:tabs>
          <w:tab w:val="num" w:pos="0"/>
        </w:tabs>
        <w:ind w:left="1712" w:hanging="360"/>
      </w:pPr>
      <w:rPr>
        <w:rFonts w:ascii="Symbol" w:hAnsi="Symbol" w:cs="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 w15:restartNumberingAfterBreak="0">
    <w:nsid w:val="41407C9A"/>
    <w:multiLevelType w:val="multilevel"/>
    <w:tmpl w:val="433A77C2"/>
    <w:lvl w:ilvl="0">
      <w:start w:val="1"/>
      <w:numFmt w:val="bullet"/>
      <w:lvlText w:val=""/>
      <w:lvlJc w:val="left"/>
      <w:pPr>
        <w:tabs>
          <w:tab w:val="num" w:pos="0"/>
        </w:tabs>
        <w:ind w:left="1712" w:hanging="360"/>
      </w:pPr>
      <w:rPr>
        <w:rFonts w:ascii="Symbol" w:hAnsi="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4C552606"/>
    <w:multiLevelType w:val="hybridMultilevel"/>
    <w:tmpl w:val="F4FE70CC"/>
    <w:lvl w:ilvl="0" w:tplc="040C0001">
      <w:start w:val="1"/>
      <w:numFmt w:val="bullet"/>
      <w:lvlText w:val=""/>
      <w:lvlJc w:val="left"/>
      <w:pPr>
        <w:ind w:left="1712" w:hanging="360"/>
      </w:pPr>
      <w:rPr>
        <w:rFonts w:ascii="Symbol" w:hAnsi="Symbol" w:hint="default"/>
      </w:rPr>
    </w:lvl>
    <w:lvl w:ilvl="1" w:tplc="040C0003" w:tentative="1">
      <w:start w:val="1"/>
      <w:numFmt w:val="bullet"/>
      <w:lvlText w:val="o"/>
      <w:lvlJc w:val="left"/>
      <w:pPr>
        <w:ind w:left="2432" w:hanging="360"/>
      </w:pPr>
      <w:rPr>
        <w:rFonts w:ascii="Courier New" w:hAnsi="Courier New" w:cs="Courier New" w:hint="default"/>
      </w:rPr>
    </w:lvl>
    <w:lvl w:ilvl="2" w:tplc="040C0005" w:tentative="1">
      <w:start w:val="1"/>
      <w:numFmt w:val="bullet"/>
      <w:lvlText w:val=""/>
      <w:lvlJc w:val="left"/>
      <w:pPr>
        <w:ind w:left="3152" w:hanging="360"/>
      </w:pPr>
      <w:rPr>
        <w:rFonts w:ascii="Wingdings" w:hAnsi="Wingdings" w:hint="default"/>
      </w:rPr>
    </w:lvl>
    <w:lvl w:ilvl="3" w:tplc="040C0001" w:tentative="1">
      <w:start w:val="1"/>
      <w:numFmt w:val="bullet"/>
      <w:lvlText w:val=""/>
      <w:lvlJc w:val="left"/>
      <w:pPr>
        <w:ind w:left="3872" w:hanging="360"/>
      </w:pPr>
      <w:rPr>
        <w:rFonts w:ascii="Symbol" w:hAnsi="Symbol" w:hint="default"/>
      </w:rPr>
    </w:lvl>
    <w:lvl w:ilvl="4" w:tplc="040C0003" w:tentative="1">
      <w:start w:val="1"/>
      <w:numFmt w:val="bullet"/>
      <w:lvlText w:val="o"/>
      <w:lvlJc w:val="left"/>
      <w:pPr>
        <w:ind w:left="4592" w:hanging="360"/>
      </w:pPr>
      <w:rPr>
        <w:rFonts w:ascii="Courier New" w:hAnsi="Courier New" w:cs="Courier New" w:hint="default"/>
      </w:rPr>
    </w:lvl>
    <w:lvl w:ilvl="5" w:tplc="040C0005" w:tentative="1">
      <w:start w:val="1"/>
      <w:numFmt w:val="bullet"/>
      <w:lvlText w:val=""/>
      <w:lvlJc w:val="left"/>
      <w:pPr>
        <w:ind w:left="5312" w:hanging="360"/>
      </w:pPr>
      <w:rPr>
        <w:rFonts w:ascii="Wingdings" w:hAnsi="Wingdings" w:hint="default"/>
      </w:rPr>
    </w:lvl>
    <w:lvl w:ilvl="6" w:tplc="040C0001" w:tentative="1">
      <w:start w:val="1"/>
      <w:numFmt w:val="bullet"/>
      <w:lvlText w:val=""/>
      <w:lvlJc w:val="left"/>
      <w:pPr>
        <w:ind w:left="6032" w:hanging="360"/>
      </w:pPr>
      <w:rPr>
        <w:rFonts w:ascii="Symbol" w:hAnsi="Symbol" w:hint="default"/>
      </w:rPr>
    </w:lvl>
    <w:lvl w:ilvl="7" w:tplc="040C0003" w:tentative="1">
      <w:start w:val="1"/>
      <w:numFmt w:val="bullet"/>
      <w:lvlText w:val="o"/>
      <w:lvlJc w:val="left"/>
      <w:pPr>
        <w:ind w:left="6752" w:hanging="360"/>
      </w:pPr>
      <w:rPr>
        <w:rFonts w:ascii="Courier New" w:hAnsi="Courier New" w:cs="Courier New" w:hint="default"/>
      </w:rPr>
    </w:lvl>
    <w:lvl w:ilvl="8" w:tplc="040C0005" w:tentative="1">
      <w:start w:val="1"/>
      <w:numFmt w:val="bullet"/>
      <w:lvlText w:val=""/>
      <w:lvlJc w:val="left"/>
      <w:pPr>
        <w:ind w:left="7472" w:hanging="360"/>
      </w:pPr>
      <w:rPr>
        <w:rFonts w:ascii="Wingdings" w:hAnsi="Wingdings" w:hint="default"/>
      </w:rPr>
    </w:lvl>
  </w:abstractNum>
  <w:abstractNum w:abstractNumId="11" w15:restartNumberingAfterBreak="0">
    <w:nsid w:val="4F46695C"/>
    <w:multiLevelType w:val="multilevel"/>
    <w:tmpl w:val="46D6CB34"/>
    <w:lvl w:ilvl="0">
      <w:start w:val="1"/>
      <w:numFmt w:val="decimal"/>
      <w:pStyle w:val="Titre1"/>
      <w:lvlText w:val="%1."/>
      <w:lvlJc w:val="left"/>
      <w:pPr>
        <w:tabs>
          <w:tab w:val="num" w:pos="425"/>
        </w:tabs>
        <w:ind w:left="425" w:hanging="425"/>
      </w:pPr>
      <w:rPr>
        <w:rFonts w:ascii="Times" w:hAnsi="Times" w:cs="Times"/>
        <w:b/>
        <w:i w:val="0"/>
        <w:sz w:val="22"/>
      </w:rPr>
    </w:lvl>
    <w:lvl w:ilvl="1">
      <w:start w:val="1"/>
      <w:numFmt w:val="decimal"/>
      <w:pStyle w:val="Titre2"/>
      <w:lvlText w:val="%1.%2"/>
      <w:lvlJc w:val="left"/>
      <w:pPr>
        <w:tabs>
          <w:tab w:val="num" w:pos="992"/>
        </w:tabs>
        <w:ind w:left="992" w:hanging="567"/>
      </w:pPr>
    </w:lvl>
    <w:lvl w:ilvl="2">
      <w:start w:val="1"/>
      <w:numFmt w:val="decimal"/>
      <w:lvlText w:val="%1.%2.%3"/>
      <w:lvlJc w:val="left"/>
      <w:pPr>
        <w:tabs>
          <w:tab w:val="num" w:pos="1701"/>
        </w:tabs>
        <w:ind w:left="1701" w:hanging="709"/>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1" w:hanging="1441"/>
      </w:pPr>
    </w:lvl>
  </w:abstractNum>
  <w:abstractNum w:abstractNumId="12" w15:restartNumberingAfterBreak="0">
    <w:nsid w:val="51920C22"/>
    <w:multiLevelType w:val="multilevel"/>
    <w:tmpl w:val="53E292A4"/>
    <w:lvl w:ilvl="0">
      <w:start w:val="1"/>
      <w:numFmt w:val="bullet"/>
      <w:lvlText w:val=""/>
      <w:lvlJc w:val="left"/>
      <w:pPr>
        <w:tabs>
          <w:tab w:val="num" w:pos="0"/>
        </w:tabs>
        <w:ind w:left="1440" w:hanging="360"/>
      </w:pPr>
      <w:rPr>
        <w:rFonts w:ascii="Symbol" w:hAnsi="Symbol" w:cs="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3" w15:restartNumberingAfterBreak="0">
    <w:nsid w:val="549E6FED"/>
    <w:multiLevelType w:val="multilevel"/>
    <w:tmpl w:val="2CE6FF32"/>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6.%2.%3."/>
      <w:lvlJc w:val="left"/>
      <w:pPr>
        <w:tabs>
          <w:tab w:val="num" w:pos="0"/>
        </w:tabs>
        <w:ind w:left="1224"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14" w15:restartNumberingAfterBreak="0">
    <w:nsid w:val="598F7E0F"/>
    <w:multiLevelType w:val="multilevel"/>
    <w:tmpl w:val="D34CBE96"/>
    <w:lvl w:ilvl="0">
      <w:start w:val="1"/>
      <w:numFmt w:val="bullet"/>
      <w:lvlText w:val=""/>
      <w:lvlJc w:val="left"/>
      <w:pPr>
        <w:tabs>
          <w:tab w:val="num" w:pos="0"/>
        </w:tabs>
        <w:ind w:left="1140" w:hanging="360"/>
      </w:pPr>
      <w:rPr>
        <w:rFonts w:ascii="Symbol" w:hAnsi="Symbol" w:cs="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5" w15:restartNumberingAfterBreak="0">
    <w:nsid w:val="5BE415A7"/>
    <w:multiLevelType w:val="hybridMultilevel"/>
    <w:tmpl w:val="B34E271A"/>
    <w:lvl w:ilvl="0" w:tplc="040C0001">
      <w:start w:val="1"/>
      <w:numFmt w:val="bullet"/>
      <w:lvlText w:val=""/>
      <w:lvlJc w:val="left"/>
      <w:pPr>
        <w:ind w:left="1712" w:hanging="360"/>
      </w:pPr>
      <w:rPr>
        <w:rFonts w:ascii="Symbol" w:hAnsi="Symbol" w:hint="default"/>
      </w:rPr>
    </w:lvl>
    <w:lvl w:ilvl="1" w:tplc="040C0003" w:tentative="1">
      <w:start w:val="1"/>
      <w:numFmt w:val="bullet"/>
      <w:lvlText w:val="o"/>
      <w:lvlJc w:val="left"/>
      <w:pPr>
        <w:ind w:left="2432" w:hanging="360"/>
      </w:pPr>
      <w:rPr>
        <w:rFonts w:ascii="Courier New" w:hAnsi="Courier New" w:cs="Courier New" w:hint="default"/>
      </w:rPr>
    </w:lvl>
    <w:lvl w:ilvl="2" w:tplc="040C0005" w:tentative="1">
      <w:start w:val="1"/>
      <w:numFmt w:val="bullet"/>
      <w:lvlText w:val=""/>
      <w:lvlJc w:val="left"/>
      <w:pPr>
        <w:ind w:left="3152" w:hanging="360"/>
      </w:pPr>
      <w:rPr>
        <w:rFonts w:ascii="Wingdings" w:hAnsi="Wingdings" w:hint="default"/>
      </w:rPr>
    </w:lvl>
    <w:lvl w:ilvl="3" w:tplc="040C0001" w:tentative="1">
      <w:start w:val="1"/>
      <w:numFmt w:val="bullet"/>
      <w:lvlText w:val=""/>
      <w:lvlJc w:val="left"/>
      <w:pPr>
        <w:ind w:left="3872" w:hanging="360"/>
      </w:pPr>
      <w:rPr>
        <w:rFonts w:ascii="Symbol" w:hAnsi="Symbol" w:hint="default"/>
      </w:rPr>
    </w:lvl>
    <w:lvl w:ilvl="4" w:tplc="040C0003" w:tentative="1">
      <w:start w:val="1"/>
      <w:numFmt w:val="bullet"/>
      <w:lvlText w:val="o"/>
      <w:lvlJc w:val="left"/>
      <w:pPr>
        <w:ind w:left="4592" w:hanging="360"/>
      </w:pPr>
      <w:rPr>
        <w:rFonts w:ascii="Courier New" w:hAnsi="Courier New" w:cs="Courier New" w:hint="default"/>
      </w:rPr>
    </w:lvl>
    <w:lvl w:ilvl="5" w:tplc="040C0005" w:tentative="1">
      <w:start w:val="1"/>
      <w:numFmt w:val="bullet"/>
      <w:lvlText w:val=""/>
      <w:lvlJc w:val="left"/>
      <w:pPr>
        <w:ind w:left="5312" w:hanging="360"/>
      </w:pPr>
      <w:rPr>
        <w:rFonts w:ascii="Wingdings" w:hAnsi="Wingdings" w:hint="default"/>
      </w:rPr>
    </w:lvl>
    <w:lvl w:ilvl="6" w:tplc="040C0001" w:tentative="1">
      <w:start w:val="1"/>
      <w:numFmt w:val="bullet"/>
      <w:lvlText w:val=""/>
      <w:lvlJc w:val="left"/>
      <w:pPr>
        <w:ind w:left="6032" w:hanging="360"/>
      </w:pPr>
      <w:rPr>
        <w:rFonts w:ascii="Symbol" w:hAnsi="Symbol" w:hint="default"/>
      </w:rPr>
    </w:lvl>
    <w:lvl w:ilvl="7" w:tplc="040C0003" w:tentative="1">
      <w:start w:val="1"/>
      <w:numFmt w:val="bullet"/>
      <w:lvlText w:val="o"/>
      <w:lvlJc w:val="left"/>
      <w:pPr>
        <w:ind w:left="6752" w:hanging="360"/>
      </w:pPr>
      <w:rPr>
        <w:rFonts w:ascii="Courier New" w:hAnsi="Courier New" w:cs="Courier New" w:hint="default"/>
      </w:rPr>
    </w:lvl>
    <w:lvl w:ilvl="8" w:tplc="040C0005" w:tentative="1">
      <w:start w:val="1"/>
      <w:numFmt w:val="bullet"/>
      <w:lvlText w:val=""/>
      <w:lvlJc w:val="left"/>
      <w:pPr>
        <w:ind w:left="7472" w:hanging="360"/>
      </w:pPr>
      <w:rPr>
        <w:rFonts w:ascii="Wingdings" w:hAnsi="Wingdings" w:hint="default"/>
      </w:rPr>
    </w:lvl>
  </w:abstractNum>
  <w:abstractNum w:abstractNumId="16" w15:restartNumberingAfterBreak="0">
    <w:nsid w:val="5E967BF2"/>
    <w:multiLevelType w:val="multilevel"/>
    <w:tmpl w:val="82927CCC"/>
    <w:lvl w:ilvl="0">
      <w:start w:val="1"/>
      <w:numFmt w:val="decimal"/>
      <w:lvlText w:val="3.%1"/>
      <w:lvlJc w:val="left"/>
      <w:pPr>
        <w:tabs>
          <w:tab w:val="num" w:pos="0"/>
        </w:tabs>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7" w15:restartNumberingAfterBreak="0">
    <w:nsid w:val="609B5662"/>
    <w:multiLevelType w:val="hybridMultilevel"/>
    <w:tmpl w:val="80664FA6"/>
    <w:lvl w:ilvl="0" w:tplc="040C0001">
      <w:start w:val="1"/>
      <w:numFmt w:val="bullet"/>
      <w:lvlText w:val=""/>
      <w:lvlJc w:val="left"/>
      <w:pPr>
        <w:ind w:left="1712" w:hanging="360"/>
      </w:pPr>
      <w:rPr>
        <w:rFonts w:ascii="Symbol" w:hAnsi="Symbol" w:hint="default"/>
      </w:rPr>
    </w:lvl>
    <w:lvl w:ilvl="1" w:tplc="040C0003" w:tentative="1">
      <w:start w:val="1"/>
      <w:numFmt w:val="bullet"/>
      <w:lvlText w:val="o"/>
      <w:lvlJc w:val="left"/>
      <w:pPr>
        <w:ind w:left="2432" w:hanging="360"/>
      </w:pPr>
      <w:rPr>
        <w:rFonts w:ascii="Courier New" w:hAnsi="Courier New" w:cs="Courier New" w:hint="default"/>
      </w:rPr>
    </w:lvl>
    <w:lvl w:ilvl="2" w:tplc="040C0005" w:tentative="1">
      <w:start w:val="1"/>
      <w:numFmt w:val="bullet"/>
      <w:lvlText w:val=""/>
      <w:lvlJc w:val="left"/>
      <w:pPr>
        <w:ind w:left="3152" w:hanging="360"/>
      </w:pPr>
      <w:rPr>
        <w:rFonts w:ascii="Wingdings" w:hAnsi="Wingdings" w:hint="default"/>
      </w:rPr>
    </w:lvl>
    <w:lvl w:ilvl="3" w:tplc="040C0001" w:tentative="1">
      <w:start w:val="1"/>
      <w:numFmt w:val="bullet"/>
      <w:lvlText w:val=""/>
      <w:lvlJc w:val="left"/>
      <w:pPr>
        <w:ind w:left="3872" w:hanging="360"/>
      </w:pPr>
      <w:rPr>
        <w:rFonts w:ascii="Symbol" w:hAnsi="Symbol" w:hint="default"/>
      </w:rPr>
    </w:lvl>
    <w:lvl w:ilvl="4" w:tplc="040C0003" w:tentative="1">
      <w:start w:val="1"/>
      <w:numFmt w:val="bullet"/>
      <w:lvlText w:val="o"/>
      <w:lvlJc w:val="left"/>
      <w:pPr>
        <w:ind w:left="4592" w:hanging="360"/>
      </w:pPr>
      <w:rPr>
        <w:rFonts w:ascii="Courier New" w:hAnsi="Courier New" w:cs="Courier New" w:hint="default"/>
      </w:rPr>
    </w:lvl>
    <w:lvl w:ilvl="5" w:tplc="040C0005" w:tentative="1">
      <w:start w:val="1"/>
      <w:numFmt w:val="bullet"/>
      <w:lvlText w:val=""/>
      <w:lvlJc w:val="left"/>
      <w:pPr>
        <w:ind w:left="5312" w:hanging="360"/>
      </w:pPr>
      <w:rPr>
        <w:rFonts w:ascii="Wingdings" w:hAnsi="Wingdings" w:hint="default"/>
      </w:rPr>
    </w:lvl>
    <w:lvl w:ilvl="6" w:tplc="040C0001" w:tentative="1">
      <w:start w:val="1"/>
      <w:numFmt w:val="bullet"/>
      <w:lvlText w:val=""/>
      <w:lvlJc w:val="left"/>
      <w:pPr>
        <w:ind w:left="6032" w:hanging="360"/>
      </w:pPr>
      <w:rPr>
        <w:rFonts w:ascii="Symbol" w:hAnsi="Symbol" w:hint="default"/>
      </w:rPr>
    </w:lvl>
    <w:lvl w:ilvl="7" w:tplc="040C0003" w:tentative="1">
      <w:start w:val="1"/>
      <w:numFmt w:val="bullet"/>
      <w:lvlText w:val="o"/>
      <w:lvlJc w:val="left"/>
      <w:pPr>
        <w:ind w:left="6752" w:hanging="360"/>
      </w:pPr>
      <w:rPr>
        <w:rFonts w:ascii="Courier New" w:hAnsi="Courier New" w:cs="Courier New" w:hint="default"/>
      </w:rPr>
    </w:lvl>
    <w:lvl w:ilvl="8" w:tplc="040C0005" w:tentative="1">
      <w:start w:val="1"/>
      <w:numFmt w:val="bullet"/>
      <w:lvlText w:val=""/>
      <w:lvlJc w:val="left"/>
      <w:pPr>
        <w:ind w:left="7472" w:hanging="360"/>
      </w:pPr>
      <w:rPr>
        <w:rFonts w:ascii="Wingdings" w:hAnsi="Wingdings" w:hint="default"/>
      </w:rPr>
    </w:lvl>
  </w:abstractNum>
  <w:abstractNum w:abstractNumId="18" w15:restartNumberingAfterBreak="0">
    <w:nsid w:val="6D4E0793"/>
    <w:multiLevelType w:val="multilevel"/>
    <w:tmpl w:val="94EC9E2C"/>
    <w:lvl w:ilvl="0">
      <w:start w:val="1"/>
      <w:numFmt w:val="bullet"/>
      <w:lvlText w:val=""/>
      <w:lvlJc w:val="left"/>
      <w:pPr>
        <w:tabs>
          <w:tab w:val="num" w:pos="0"/>
        </w:tabs>
        <w:ind w:left="1712" w:hanging="360"/>
      </w:pPr>
      <w:rPr>
        <w:rFonts w:ascii="Symbol" w:hAnsi="Symbol" w:cs="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9" w15:restartNumberingAfterBreak="0">
    <w:nsid w:val="73317B21"/>
    <w:multiLevelType w:val="multilevel"/>
    <w:tmpl w:val="013A5ACA"/>
    <w:lvl w:ilvl="0">
      <w:start w:val="1"/>
      <w:numFmt w:val="bullet"/>
      <w:lvlText w:val=""/>
      <w:lvlJc w:val="left"/>
      <w:pPr>
        <w:tabs>
          <w:tab w:val="num" w:pos="0"/>
        </w:tabs>
        <w:ind w:left="1712" w:hanging="360"/>
      </w:pPr>
      <w:rPr>
        <w:rFonts w:ascii="Symbol" w:hAnsi="Symbol" w:cs="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869533442">
    <w:abstractNumId w:val="11"/>
  </w:num>
  <w:num w:numId="2" w16cid:durableId="879246760">
    <w:abstractNumId w:val="5"/>
  </w:num>
  <w:num w:numId="3" w16cid:durableId="1087926495">
    <w:abstractNumId w:val="1"/>
  </w:num>
  <w:num w:numId="4" w16cid:durableId="286081102">
    <w:abstractNumId w:val="14"/>
  </w:num>
  <w:num w:numId="5" w16cid:durableId="195780179">
    <w:abstractNumId w:val="8"/>
  </w:num>
  <w:num w:numId="6" w16cid:durableId="1059936052">
    <w:abstractNumId w:val="3"/>
  </w:num>
  <w:num w:numId="7" w16cid:durableId="832138966">
    <w:abstractNumId w:val="13"/>
  </w:num>
  <w:num w:numId="8" w16cid:durableId="1108311080">
    <w:abstractNumId w:val="6"/>
  </w:num>
  <w:num w:numId="9" w16cid:durableId="1263495185">
    <w:abstractNumId w:val="18"/>
  </w:num>
  <w:num w:numId="10" w16cid:durableId="843278149">
    <w:abstractNumId w:val="12"/>
  </w:num>
  <w:num w:numId="11" w16cid:durableId="2014990922">
    <w:abstractNumId w:val="19"/>
  </w:num>
  <w:num w:numId="12" w16cid:durableId="1225415507">
    <w:abstractNumId w:val="2"/>
  </w:num>
  <w:num w:numId="13" w16cid:durableId="1961842731">
    <w:abstractNumId w:val="16"/>
  </w:num>
  <w:num w:numId="14" w16cid:durableId="940066933">
    <w:abstractNumId w:val="0"/>
  </w:num>
  <w:num w:numId="15" w16cid:durableId="296952054">
    <w:abstractNumId w:val="7"/>
  </w:num>
  <w:num w:numId="16" w16cid:durableId="175099873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687633788">
    <w:abstractNumId w:val="11"/>
  </w:num>
  <w:num w:numId="18" w16cid:durableId="1778479020">
    <w:abstractNumId w:val="17"/>
  </w:num>
  <w:num w:numId="19" w16cid:durableId="1847792681">
    <w:abstractNumId w:val="4"/>
  </w:num>
  <w:num w:numId="20" w16cid:durableId="743335554">
    <w:abstractNumId w:val="10"/>
  </w:num>
  <w:num w:numId="21" w16cid:durableId="1697191494">
    <w:abstractNumId w:val="9"/>
  </w:num>
  <w:num w:numId="22" w16cid:durableId="1362776611">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autoHyphenation/>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0D70"/>
    <w:rsid w:val="00006655"/>
    <w:rsid w:val="00026264"/>
    <w:rsid w:val="00055087"/>
    <w:rsid w:val="000D4376"/>
    <w:rsid w:val="0010676F"/>
    <w:rsid w:val="00136F18"/>
    <w:rsid w:val="00137D7F"/>
    <w:rsid w:val="0015050D"/>
    <w:rsid w:val="00170BF3"/>
    <w:rsid w:val="001975F5"/>
    <w:rsid w:val="001C6F35"/>
    <w:rsid w:val="001E0B13"/>
    <w:rsid w:val="00246F82"/>
    <w:rsid w:val="00256140"/>
    <w:rsid w:val="00273A91"/>
    <w:rsid w:val="002A1CE1"/>
    <w:rsid w:val="002D6186"/>
    <w:rsid w:val="002F3B50"/>
    <w:rsid w:val="003139CB"/>
    <w:rsid w:val="003578D3"/>
    <w:rsid w:val="00361962"/>
    <w:rsid w:val="0036725C"/>
    <w:rsid w:val="00397AD8"/>
    <w:rsid w:val="003D3A94"/>
    <w:rsid w:val="0041475B"/>
    <w:rsid w:val="004631CD"/>
    <w:rsid w:val="00574A8E"/>
    <w:rsid w:val="005A1D5D"/>
    <w:rsid w:val="005E5B35"/>
    <w:rsid w:val="00664824"/>
    <w:rsid w:val="00665895"/>
    <w:rsid w:val="006A6C35"/>
    <w:rsid w:val="006D5CA3"/>
    <w:rsid w:val="007E5FC7"/>
    <w:rsid w:val="00885DAC"/>
    <w:rsid w:val="008E113B"/>
    <w:rsid w:val="008F5FA3"/>
    <w:rsid w:val="00921BA6"/>
    <w:rsid w:val="00927E59"/>
    <w:rsid w:val="00962984"/>
    <w:rsid w:val="009A4383"/>
    <w:rsid w:val="009C0602"/>
    <w:rsid w:val="009D5A87"/>
    <w:rsid w:val="009F7B47"/>
    <w:rsid w:val="00A36E61"/>
    <w:rsid w:val="00A5527D"/>
    <w:rsid w:val="00A879DF"/>
    <w:rsid w:val="00AA05CF"/>
    <w:rsid w:val="00AE3247"/>
    <w:rsid w:val="00AF05CA"/>
    <w:rsid w:val="00B03F2E"/>
    <w:rsid w:val="00B22FB4"/>
    <w:rsid w:val="00B36301"/>
    <w:rsid w:val="00B50D9A"/>
    <w:rsid w:val="00B8237B"/>
    <w:rsid w:val="00BE4F47"/>
    <w:rsid w:val="00C34399"/>
    <w:rsid w:val="00C57ECE"/>
    <w:rsid w:val="00C64550"/>
    <w:rsid w:val="00CE67BA"/>
    <w:rsid w:val="00D154C8"/>
    <w:rsid w:val="00D269BD"/>
    <w:rsid w:val="00D40E65"/>
    <w:rsid w:val="00D503D7"/>
    <w:rsid w:val="00D64E37"/>
    <w:rsid w:val="00DA7337"/>
    <w:rsid w:val="00DB0A89"/>
    <w:rsid w:val="00DD219E"/>
    <w:rsid w:val="00DE097D"/>
    <w:rsid w:val="00DE546E"/>
    <w:rsid w:val="00E03DB9"/>
    <w:rsid w:val="00E062E1"/>
    <w:rsid w:val="00F355AE"/>
    <w:rsid w:val="00F4666D"/>
    <w:rsid w:val="00F50D70"/>
    <w:rsid w:val="00F515F9"/>
    <w:rsid w:val="00FC71D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457C82"/>
  <w15:docId w15:val="{85478345-9B3E-44FF-9FF5-ABE588B1BE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erif CJK SC" w:hAnsi="Liberation Serif" w:cs="FreeSans"/>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ind w:left="1701"/>
      <w:jc w:val="both"/>
      <w:outlineLvl w:val="2"/>
    </w:pPr>
    <w:rPr>
      <w:rFonts w:ascii="Times" w:eastAsia="MS Mincho" w:hAnsi="Times" w:cs="Times"/>
      <w:sz w:val="22"/>
      <w:szCs w:val="22"/>
      <w:lang w:val="fr-CA" w:eastAsia="zh-CN"/>
    </w:rPr>
  </w:style>
  <w:style w:type="paragraph" w:styleId="Titre1">
    <w:name w:val="heading 1"/>
    <w:basedOn w:val="Normal"/>
    <w:next w:val="Normal"/>
    <w:uiPriority w:val="9"/>
    <w:qFormat/>
    <w:pPr>
      <w:keepNext/>
      <w:numPr>
        <w:numId w:val="1"/>
      </w:numPr>
      <w:spacing w:before="240" w:after="60"/>
      <w:outlineLvl w:val="0"/>
    </w:pPr>
    <w:rPr>
      <w:b/>
      <w:bCs/>
      <w:kern w:val="2"/>
    </w:rPr>
  </w:style>
  <w:style w:type="paragraph" w:styleId="Titre2">
    <w:name w:val="heading 2"/>
    <w:basedOn w:val="Normal"/>
    <w:next w:val="Normal"/>
    <w:link w:val="Titre2Car"/>
    <w:uiPriority w:val="9"/>
    <w:unhideWhenUsed/>
    <w:qFormat/>
    <w:pPr>
      <w:keepNext/>
      <w:numPr>
        <w:ilvl w:val="1"/>
        <w:numId w:val="1"/>
      </w:numPr>
      <w:spacing w:before="240" w:after="60"/>
      <w:outlineLvl w:val="1"/>
    </w:pPr>
    <w:rPr>
      <w:b/>
      <w:bCs/>
    </w:rPr>
  </w:style>
  <w:style w:type="paragraph" w:styleId="Titre3">
    <w:name w:val="heading 3"/>
    <w:basedOn w:val="Retraitcorpsdetexte3"/>
    <w:next w:val="Retraitcorpsdetexte3"/>
    <w:unhideWhenUsed/>
    <w:qFormat/>
    <w:pPr>
      <w:keepNext/>
      <w:spacing w:before="240" w:after="60"/>
      <w:ind w:left="0" w:firstLine="0"/>
    </w:pPr>
  </w:style>
  <w:style w:type="paragraph" w:styleId="Titre4">
    <w:name w:val="heading 4"/>
    <w:basedOn w:val="Normal"/>
    <w:next w:val="Normal"/>
    <w:uiPriority w:val="9"/>
    <w:unhideWhenUsed/>
    <w:qFormat/>
    <w:pPr>
      <w:keepNext/>
      <w:ind w:left="0"/>
      <w:outlineLvl w:val="3"/>
    </w:pPr>
    <w:rPr>
      <w:b/>
      <w:bCs/>
    </w:rPr>
  </w:style>
  <w:style w:type="paragraph" w:styleId="Titre5">
    <w:name w:val="heading 5"/>
    <w:basedOn w:val="Normal"/>
    <w:next w:val="Normal"/>
    <w:uiPriority w:val="9"/>
    <w:semiHidden/>
    <w:unhideWhenUsed/>
    <w:qFormat/>
    <w:pPr>
      <w:keepNext/>
      <w:ind w:left="72"/>
      <w:outlineLvl w:val="4"/>
    </w:pPr>
    <w:rPr>
      <w:b/>
      <w:bCs/>
    </w:rPr>
  </w:style>
  <w:style w:type="paragraph" w:styleId="Titre6">
    <w:name w:val="heading 6"/>
    <w:basedOn w:val="Normal"/>
    <w:next w:val="Normal"/>
    <w:uiPriority w:val="9"/>
    <w:semiHidden/>
    <w:unhideWhenUsed/>
    <w:qFormat/>
    <w:pPr>
      <w:keepNext/>
      <w:ind w:left="0" w:hanging="7"/>
      <w:jc w:val="left"/>
      <w:outlineLvl w:val="5"/>
    </w:pPr>
    <w:rPr>
      <w:b/>
      <w:bCs/>
    </w:rPr>
  </w:style>
  <w:style w:type="paragraph" w:styleId="Titre7">
    <w:name w:val="heading 7"/>
    <w:basedOn w:val="Normal"/>
    <w:next w:val="Normal"/>
    <w:qFormat/>
    <w:pPr>
      <w:keepNext/>
      <w:ind w:left="0" w:hanging="7"/>
      <w:outlineLvl w:val="6"/>
    </w:pPr>
    <w:rPr>
      <w:b/>
      <w:bCs/>
    </w:rPr>
  </w:style>
  <w:style w:type="paragraph" w:styleId="Titre8">
    <w:name w:val="heading 8"/>
    <w:basedOn w:val="Normal"/>
    <w:next w:val="Normal"/>
    <w:qFormat/>
    <w:pPr>
      <w:keepNext/>
      <w:ind w:left="2120" w:hanging="2080"/>
      <w:jc w:val="center"/>
      <w:outlineLvl w:val="7"/>
    </w:pPr>
    <w:rPr>
      <w:u w:val="single"/>
    </w:rPr>
  </w:style>
  <w:style w:type="paragraph" w:styleId="Titre9">
    <w:name w:val="heading 9"/>
    <w:basedOn w:val="Normal"/>
    <w:next w:val="Normal"/>
    <w:qFormat/>
    <w:pPr>
      <w:keepNext/>
      <w:ind w:left="567" w:hanging="574"/>
      <w:outlineLvl w:val="8"/>
    </w:pPr>
    <w:rPr>
      <w:b/>
      <w:bCs/>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WW8Num1z0">
    <w:name w:val="WW8Num1z0"/>
    <w:qFormat/>
    <w:rPr>
      <w:rFonts w:ascii="Symbol" w:hAnsi="Symbol" w:cs="Symbol"/>
    </w:rPr>
  </w:style>
  <w:style w:type="character" w:customStyle="1" w:styleId="WW8Num2z0">
    <w:name w:val="WW8Num2z0"/>
    <w:qFormat/>
  </w:style>
  <w:style w:type="character" w:customStyle="1" w:styleId="WW8Num3z0">
    <w:name w:val="WW8Num3z0"/>
    <w:qFormat/>
  </w:style>
  <w:style w:type="character" w:customStyle="1" w:styleId="WW8Num4z0">
    <w:name w:val="WW8Num4z0"/>
    <w:qFormat/>
    <w:rPr>
      <w:rFonts w:ascii="Times" w:hAnsi="Times" w:cs="Times"/>
      <w:b/>
      <w:i w:val="0"/>
      <w:sz w:val="22"/>
    </w:rPr>
  </w:style>
  <w:style w:type="character" w:customStyle="1" w:styleId="WW8Num5z0">
    <w:name w:val="WW8Num5z0"/>
    <w:qFormat/>
    <w:rPr>
      <w:rFonts w:ascii="Times" w:hAnsi="Times" w:cs="Times"/>
      <w:b/>
      <w:i w:val="0"/>
      <w:sz w:val="22"/>
    </w:rPr>
  </w:style>
  <w:style w:type="character" w:customStyle="1" w:styleId="WW8Num5z1">
    <w:name w:val="WW8Num5z1"/>
    <w:qFormat/>
  </w:style>
  <w:style w:type="character" w:customStyle="1" w:styleId="WW8Num6z0">
    <w:name w:val="WW8Num6z0"/>
    <w:qFormat/>
    <w:rPr>
      <w:rFonts w:ascii="Symbol" w:hAnsi="Symbol" w:cs="Symbol"/>
    </w:rPr>
  </w:style>
  <w:style w:type="character" w:customStyle="1" w:styleId="WW8Num6z1">
    <w:name w:val="WW8Num6z1"/>
    <w:qFormat/>
    <w:rPr>
      <w:rFonts w:ascii="Courier New" w:hAnsi="Courier New" w:cs="Courier New"/>
    </w:rPr>
  </w:style>
  <w:style w:type="character" w:customStyle="1" w:styleId="WW8Num6z2">
    <w:name w:val="WW8Num6z2"/>
    <w:qFormat/>
    <w:rPr>
      <w:rFonts w:ascii="Wingdings" w:hAnsi="Wingdings" w:cs="Wingdings"/>
    </w:rPr>
  </w:style>
  <w:style w:type="character" w:customStyle="1" w:styleId="WW8Num7z0">
    <w:name w:val="WW8Num7z0"/>
    <w:qFormat/>
    <w:rPr>
      <w:rFonts w:ascii="Symbol" w:hAnsi="Symbol" w:cs="Symbol"/>
    </w:rPr>
  </w:style>
  <w:style w:type="character" w:customStyle="1" w:styleId="WW8Num7z1">
    <w:name w:val="WW8Num7z1"/>
    <w:qFormat/>
    <w:rPr>
      <w:rFonts w:ascii="Courier New" w:hAnsi="Courier New" w:cs="Courier New"/>
    </w:rPr>
  </w:style>
  <w:style w:type="character" w:customStyle="1" w:styleId="WW8Num7z2">
    <w:name w:val="WW8Num7z2"/>
    <w:qFormat/>
    <w:rPr>
      <w:rFonts w:ascii="Wingdings" w:hAnsi="Wingdings" w:cs="Wingdings"/>
    </w:rPr>
  </w:style>
  <w:style w:type="character" w:customStyle="1" w:styleId="WW8Num8z0">
    <w:name w:val="WW8Num8z0"/>
    <w:qFormat/>
  </w:style>
  <w:style w:type="character" w:customStyle="1" w:styleId="WW8Num10z0">
    <w:name w:val="WW8Num10z0"/>
    <w:qFormat/>
    <w:rPr>
      <w:rFonts w:ascii="Symbol" w:hAnsi="Symbol" w:cs="Symbol"/>
    </w:rPr>
  </w:style>
  <w:style w:type="character" w:customStyle="1" w:styleId="WW8Num10z1">
    <w:name w:val="WW8Num10z1"/>
    <w:qFormat/>
    <w:rPr>
      <w:rFonts w:ascii="Courier New" w:hAnsi="Courier New" w:cs="Courier New"/>
    </w:rPr>
  </w:style>
  <w:style w:type="character" w:customStyle="1" w:styleId="WW8Num10z2">
    <w:name w:val="WW8Num10z2"/>
    <w:qFormat/>
    <w:rPr>
      <w:rFonts w:ascii="Wingdings" w:hAnsi="Wingdings" w:cs="Wingdings"/>
    </w:rPr>
  </w:style>
  <w:style w:type="character" w:customStyle="1" w:styleId="WW8Num11z0">
    <w:name w:val="WW8Num11z0"/>
    <w:qFormat/>
  </w:style>
  <w:style w:type="character" w:customStyle="1" w:styleId="WW8Num13z0">
    <w:name w:val="WW8Num13z0"/>
    <w:qFormat/>
  </w:style>
  <w:style w:type="character" w:customStyle="1" w:styleId="WW8Num14z0">
    <w:name w:val="WW8Num14z0"/>
    <w:qFormat/>
  </w:style>
  <w:style w:type="character" w:customStyle="1" w:styleId="WW8Num15z0">
    <w:name w:val="WW8Num15z0"/>
    <w:qFormat/>
    <w:rPr>
      <w:rFonts w:ascii="Symbol" w:hAnsi="Symbol" w:cs="Symbol"/>
    </w:rPr>
  </w:style>
  <w:style w:type="character" w:customStyle="1" w:styleId="WW8Num15z1">
    <w:name w:val="WW8Num15z1"/>
    <w:qFormat/>
    <w:rPr>
      <w:rFonts w:ascii="Courier New" w:hAnsi="Courier New" w:cs="Courier New"/>
    </w:rPr>
  </w:style>
  <w:style w:type="character" w:customStyle="1" w:styleId="WW8Num15z2">
    <w:name w:val="WW8Num15z2"/>
    <w:qFormat/>
    <w:rPr>
      <w:rFonts w:ascii="Wingdings" w:hAnsi="Wingdings" w:cs="Wingdings"/>
    </w:rPr>
  </w:style>
  <w:style w:type="character" w:customStyle="1" w:styleId="WW8Num16z0">
    <w:name w:val="WW8Num16z0"/>
    <w:qFormat/>
    <w:rPr>
      <w:rFonts w:ascii="Symbol" w:hAnsi="Symbol" w:cs="Symbol"/>
    </w:rPr>
  </w:style>
  <w:style w:type="character" w:customStyle="1" w:styleId="WW8Num16z1">
    <w:name w:val="WW8Num16z1"/>
    <w:qFormat/>
    <w:rPr>
      <w:rFonts w:ascii="Courier New" w:hAnsi="Courier New" w:cs="Courier New"/>
    </w:rPr>
  </w:style>
  <w:style w:type="character" w:customStyle="1" w:styleId="WW8Num16z2">
    <w:name w:val="WW8Num16z2"/>
    <w:qFormat/>
    <w:rPr>
      <w:rFonts w:ascii="Wingdings" w:hAnsi="Wingdings" w:cs="Wingdings"/>
    </w:rPr>
  </w:style>
  <w:style w:type="character" w:customStyle="1" w:styleId="WW8Num17z0">
    <w:name w:val="WW8Num17z0"/>
    <w:qFormat/>
    <w:rPr>
      <w:rFonts w:ascii="Symbol" w:hAnsi="Symbol" w:cs="Symbol"/>
    </w:rPr>
  </w:style>
  <w:style w:type="character" w:customStyle="1" w:styleId="WW8Num17z1">
    <w:name w:val="WW8Num17z1"/>
    <w:qFormat/>
    <w:rPr>
      <w:rFonts w:ascii="Courier New" w:hAnsi="Courier New" w:cs="Courier New"/>
    </w:rPr>
  </w:style>
  <w:style w:type="character" w:customStyle="1" w:styleId="WW8Num17z2">
    <w:name w:val="WW8Num17z2"/>
    <w:qFormat/>
    <w:rPr>
      <w:rFonts w:ascii="Wingdings" w:hAnsi="Wingdings" w:cs="Wingdings"/>
    </w:rPr>
  </w:style>
  <w:style w:type="character" w:customStyle="1" w:styleId="WW8Num18z0">
    <w:name w:val="WW8Num18z0"/>
    <w:qFormat/>
  </w:style>
  <w:style w:type="character" w:customStyle="1" w:styleId="WW8Num19z0">
    <w:name w:val="WW8Num19z0"/>
    <w:qFormat/>
    <w:rPr>
      <w:rFonts w:ascii="Symbol" w:hAnsi="Symbol" w:cs="Symbol"/>
    </w:rPr>
  </w:style>
  <w:style w:type="character" w:customStyle="1" w:styleId="WW8Num19z1">
    <w:name w:val="WW8Num19z1"/>
    <w:qFormat/>
    <w:rPr>
      <w:rFonts w:ascii="Courier New" w:hAnsi="Courier New" w:cs="Courier New"/>
    </w:rPr>
  </w:style>
  <w:style w:type="character" w:customStyle="1" w:styleId="WW8Num19z2">
    <w:name w:val="WW8Num19z2"/>
    <w:qFormat/>
    <w:rPr>
      <w:rFonts w:ascii="Wingdings" w:hAnsi="Wingdings" w:cs="Wingdings"/>
    </w:rPr>
  </w:style>
  <w:style w:type="character" w:customStyle="1" w:styleId="WW8Num20z0">
    <w:name w:val="WW8Num20z0"/>
    <w:qFormat/>
  </w:style>
  <w:style w:type="character" w:customStyle="1" w:styleId="WW8Num21z0">
    <w:name w:val="WW8Num21z0"/>
    <w:qFormat/>
    <w:rPr>
      <w:rFonts w:ascii="Symbol" w:hAnsi="Symbol" w:cs="Symbol"/>
    </w:rPr>
  </w:style>
  <w:style w:type="character" w:customStyle="1" w:styleId="WW8Num21z1">
    <w:name w:val="WW8Num21z1"/>
    <w:qFormat/>
    <w:rPr>
      <w:rFonts w:ascii="Courier New" w:hAnsi="Courier New" w:cs="Courier New"/>
    </w:rPr>
  </w:style>
  <w:style w:type="character" w:customStyle="1" w:styleId="WW8Num21z2">
    <w:name w:val="WW8Num21z2"/>
    <w:qFormat/>
    <w:rPr>
      <w:rFonts w:ascii="Wingdings" w:hAnsi="Wingdings" w:cs="Wingdings"/>
    </w:rPr>
  </w:style>
  <w:style w:type="character" w:customStyle="1" w:styleId="WW8Num23z0">
    <w:name w:val="WW8Num23z0"/>
    <w:qFormat/>
  </w:style>
  <w:style w:type="character" w:customStyle="1" w:styleId="WW8Num24z0">
    <w:name w:val="WW8Num24z0"/>
    <w:qFormat/>
  </w:style>
  <w:style w:type="character" w:customStyle="1" w:styleId="WW8Num26z0">
    <w:name w:val="WW8Num26z0"/>
    <w:qFormat/>
    <w:rPr>
      <w:rFonts w:ascii="Symbol" w:hAnsi="Symbol" w:cs="Symbol"/>
    </w:rPr>
  </w:style>
  <w:style w:type="character" w:customStyle="1" w:styleId="WW8Num26z1">
    <w:name w:val="WW8Num26z1"/>
    <w:qFormat/>
    <w:rPr>
      <w:rFonts w:ascii="Courier New" w:hAnsi="Courier New" w:cs="Courier New"/>
    </w:rPr>
  </w:style>
  <w:style w:type="character" w:customStyle="1" w:styleId="WW8Num26z2">
    <w:name w:val="WW8Num26z2"/>
    <w:qFormat/>
    <w:rPr>
      <w:rFonts w:ascii="Wingdings" w:hAnsi="Wingdings" w:cs="Wingdings"/>
    </w:rPr>
  </w:style>
  <w:style w:type="character" w:customStyle="1" w:styleId="WW8Num27z0">
    <w:name w:val="WW8Num27z0"/>
    <w:qFormat/>
  </w:style>
  <w:style w:type="character" w:customStyle="1" w:styleId="EndnoteCharacters">
    <w:name w:val="Endnote Characters"/>
    <w:qFormat/>
    <w:rPr>
      <w:vertAlign w:val="superscript"/>
    </w:rPr>
  </w:style>
  <w:style w:type="character" w:customStyle="1" w:styleId="FootnoteCharacters">
    <w:name w:val="Footnote Characters"/>
    <w:qFormat/>
    <w:rPr>
      <w:sz w:val="16"/>
      <w:szCs w:val="16"/>
      <w:vertAlign w:val="superscript"/>
    </w:rPr>
  </w:style>
  <w:style w:type="character" w:styleId="Numrodepage">
    <w:name w:val="page number"/>
    <w:rPr>
      <w:rFonts w:ascii="Palatino;Book Antiqua" w:hAnsi="Palatino;Book Antiqua" w:cs="Palatino;Book Antiqua"/>
    </w:rPr>
  </w:style>
  <w:style w:type="character" w:styleId="Hyperlien">
    <w:name w:val="Hyperlink"/>
    <w:uiPriority w:val="99"/>
    <w:rPr>
      <w:color w:val="0000FF"/>
      <w:u w:val="single"/>
    </w:rPr>
  </w:style>
  <w:style w:type="character" w:styleId="Accentuation">
    <w:name w:val="Emphasis"/>
    <w:qFormat/>
    <w:rPr>
      <w:i/>
      <w:iCs/>
    </w:rPr>
  </w:style>
  <w:style w:type="character" w:customStyle="1" w:styleId="CarCar">
    <w:name w:val="Car Car"/>
    <w:qFormat/>
    <w:rPr>
      <w:rFonts w:ascii="Arial Black" w:hAnsi="Arial Black" w:cs="Arial Black"/>
      <w:spacing w:val="-30"/>
      <w:kern w:val="2"/>
      <w:sz w:val="40"/>
      <w:lang w:val="fr-CA" w:bidi="ar-SA"/>
    </w:rPr>
  </w:style>
  <w:style w:type="character" w:customStyle="1" w:styleId="CarCar3">
    <w:name w:val="Car Car3"/>
    <w:qFormat/>
    <w:rPr>
      <w:smallCaps/>
      <w:sz w:val="52"/>
      <w:szCs w:val="52"/>
    </w:rPr>
  </w:style>
  <w:style w:type="character" w:customStyle="1" w:styleId="CarCar4">
    <w:name w:val="Car Car4"/>
    <w:qFormat/>
    <w:rPr>
      <w:rFonts w:ascii="Times" w:hAnsi="Times" w:cs="Times"/>
      <w:b/>
      <w:bCs/>
      <w:kern w:val="2"/>
      <w:sz w:val="22"/>
      <w:szCs w:val="22"/>
      <w:lang w:val="fr-CA" w:bidi="ar-SA"/>
    </w:rPr>
  </w:style>
  <w:style w:type="character" w:customStyle="1" w:styleId="CarCar2">
    <w:name w:val="Car Car2"/>
    <w:qFormat/>
    <w:rPr>
      <w:rFonts w:ascii="Times" w:hAnsi="Times" w:cs="Times"/>
      <w:sz w:val="22"/>
      <w:szCs w:val="22"/>
      <w:lang w:val="fr-CA"/>
    </w:rPr>
  </w:style>
  <w:style w:type="character" w:styleId="Lienvisit">
    <w:name w:val="FollowedHyperlink"/>
    <w:rPr>
      <w:color w:val="800080"/>
      <w:u w:val="single"/>
    </w:rPr>
  </w:style>
  <w:style w:type="character" w:customStyle="1" w:styleId="libelleod1">
    <w:name w:val="libelleod1"/>
    <w:qFormat/>
    <w:rPr>
      <w:rFonts w:cs="Times New Roman"/>
      <w:b/>
      <w:bCs/>
    </w:rPr>
  </w:style>
  <w:style w:type="character" w:customStyle="1" w:styleId="Titre5Car">
    <w:name w:val="Titre 5 Car"/>
    <w:qFormat/>
    <w:rPr>
      <w:rFonts w:ascii="Times" w:hAnsi="Times" w:cs="Times"/>
      <w:b/>
      <w:bCs/>
      <w:sz w:val="22"/>
      <w:szCs w:val="22"/>
      <w:lang w:val="fr-CA" w:bidi="ar-SA"/>
    </w:rPr>
  </w:style>
  <w:style w:type="character" w:customStyle="1" w:styleId="TextedebullesCar">
    <w:name w:val="Texte de bulles Car"/>
    <w:qFormat/>
    <w:rPr>
      <w:rFonts w:ascii="Tahoma" w:hAnsi="Tahoma" w:cs="Tahoma"/>
      <w:sz w:val="16"/>
      <w:szCs w:val="16"/>
    </w:rPr>
  </w:style>
  <w:style w:type="character" w:customStyle="1" w:styleId="PieddepageCar">
    <w:name w:val="Pied de page Car"/>
    <w:qFormat/>
    <w:rPr>
      <w:rFonts w:ascii="Times" w:hAnsi="Times" w:cs="Times"/>
      <w:sz w:val="22"/>
      <w:szCs w:val="22"/>
    </w:rPr>
  </w:style>
  <w:style w:type="character" w:styleId="Mentionnonrsolue">
    <w:name w:val="Unresolved Mention"/>
    <w:uiPriority w:val="99"/>
    <w:qFormat/>
    <w:rPr>
      <w:color w:val="605E5C"/>
      <w:shd w:val="clear" w:color="auto" w:fill="E1DFDD"/>
    </w:rPr>
  </w:style>
  <w:style w:type="character" w:styleId="Marquedecommentaire">
    <w:name w:val="annotation reference"/>
    <w:qFormat/>
    <w:rPr>
      <w:sz w:val="16"/>
      <w:szCs w:val="16"/>
    </w:rPr>
  </w:style>
  <w:style w:type="character" w:customStyle="1" w:styleId="CommentaireCar">
    <w:name w:val="Commentaire Car"/>
    <w:qFormat/>
    <w:rPr>
      <w:rFonts w:ascii="Times" w:hAnsi="Times" w:cs="Times"/>
      <w:lang w:val="fr-CA"/>
    </w:rPr>
  </w:style>
  <w:style w:type="character" w:customStyle="1" w:styleId="ObjetducommentaireCar">
    <w:name w:val="Objet du commentaire Car"/>
    <w:qFormat/>
    <w:rPr>
      <w:rFonts w:ascii="Times" w:hAnsi="Times" w:cs="Times"/>
      <w:b/>
      <w:bCs/>
      <w:lang w:val="fr-CA"/>
    </w:rPr>
  </w:style>
  <w:style w:type="character" w:styleId="lev">
    <w:name w:val="Strong"/>
    <w:uiPriority w:val="22"/>
    <w:qFormat/>
    <w:rPr>
      <w:b/>
      <w:bCs/>
    </w:rPr>
  </w:style>
  <w:style w:type="character" w:customStyle="1" w:styleId="IndexLink">
    <w:name w:val="Index Link"/>
    <w:qFormat/>
  </w:style>
  <w:style w:type="paragraph" w:customStyle="1" w:styleId="Heading">
    <w:name w:val="Heading"/>
    <w:basedOn w:val="Normal"/>
    <w:next w:val="Sous-titre"/>
    <w:qFormat/>
    <w:pPr>
      <w:keepNext/>
      <w:keepLines/>
      <w:pBdr>
        <w:bottom w:val="single" w:sz="6" w:space="16" w:color="000000"/>
      </w:pBdr>
      <w:spacing w:before="220" w:after="60" w:line="320" w:lineRule="atLeast"/>
      <w:ind w:left="0"/>
      <w:jc w:val="left"/>
      <w:outlineLvl w:val="9"/>
    </w:pPr>
    <w:rPr>
      <w:rFonts w:ascii="Arial Black" w:hAnsi="Arial Black" w:cs="Times New Roman"/>
      <w:spacing w:val="-30"/>
      <w:kern w:val="2"/>
      <w:sz w:val="40"/>
      <w:szCs w:val="20"/>
    </w:rPr>
  </w:style>
  <w:style w:type="paragraph" w:styleId="Corpsdetexte">
    <w:name w:val="Body Text"/>
    <w:basedOn w:val="Normal"/>
    <w:pPr>
      <w:ind w:left="0"/>
      <w:jc w:val="left"/>
    </w:pPr>
    <w:rPr>
      <w:b/>
      <w:bCs/>
    </w:rPr>
  </w:style>
  <w:style w:type="paragraph" w:styleId="Liste">
    <w:name w:val="List"/>
    <w:basedOn w:val="Normal"/>
    <w:pPr>
      <w:ind w:left="283" w:hanging="283"/>
    </w:pPr>
  </w:style>
  <w:style w:type="paragraph" w:styleId="Lgende">
    <w:name w:val="caption"/>
    <w:basedOn w:val="Normal"/>
    <w:next w:val="Normal"/>
    <w:qFormat/>
    <w:pPr>
      <w:spacing w:before="120" w:after="120"/>
    </w:pPr>
    <w:rPr>
      <w:b/>
      <w:bCs/>
    </w:rPr>
  </w:style>
  <w:style w:type="paragraph" w:customStyle="1" w:styleId="Index">
    <w:name w:val="Index"/>
    <w:basedOn w:val="Normal"/>
    <w:qFormat/>
    <w:pPr>
      <w:suppressLineNumbers/>
    </w:pPr>
    <w:rPr>
      <w:rFonts w:cs="FreeSans"/>
    </w:rPr>
  </w:style>
  <w:style w:type="paragraph" w:styleId="Retraitcorpsdetexte3">
    <w:name w:val="Body Text Indent 3"/>
    <w:basedOn w:val="Normal"/>
    <w:qFormat/>
    <w:pPr>
      <w:spacing w:line="240" w:lineRule="atLeast"/>
      <w:ind w:firstLine="23"/>
      <w:jc w:val="left"/>
    </w:pPr>
  </w:style>
  <w:style w:type="paragraph" w:styleId="TM3">
    <w:name w:val="toc 3"/>
    <w:basedOn w:val="Normal"/>
    <w:next w:val="Normal"/>
    <w:uiPriority w:val="39"/>
    <w:pPr>
      <w:tabs>
        <w:tab w:val="right" w:leader="dot" w:pos="8504"/>
      </w:tabs>
      <w:ind w:left="1860" w:right="850" w:hanging="760"/>
    </w:pPr>
  </w:style>
  <w:style w:type="paragraph" w:styleId="TM2">
    <w:name w:val="toc 2"/>
    <w:basedOn w:val="Normal"/>
    <w:next w:val="Normal"/>
    <w:uiPriority w:val="39"/>
    <w:pPr>
      <w:tabs>
        <w:tab w:val="right" w:leader="dot" w:pos="8504"/>
      </w:tabs>
      <w:spacing w:line="360" w:lineRule="atLeast"/>
      <w:ind w:left="1100" w:right="850" w:hanging="600"/>
    </w:pPr>
  </w:style>
  <w:style w:type="paragraph" w:styleId="TM1">
    <w:name w:val="toc 1"/>
    <w:basedOn w:val="Normal"/>
    <w:next w:val="Normal"/>
    <w:uiPriority w:val="39"/>
    <w:pPr>
      <w:tabs>
        <w:tab w:val="right" w:leader="dot" w:pos="8504"/>
      </w:tabs>
      <w:spacing w:line="480" w:lineRule="atLeast"/>
      <w:ind w:left="520" w:right="850" w:hanging="520"/>
    </w:pPr>
  </w:style>
  <w:style w:type="paragraph" w:customStyle="1" w:styleId="HeaderandFooter">
    <w:name w:val="Header and Footer"/>
    <w:basedOn w:val="Normal"/>
    <w:qFormat/>
    <w:pPr>
      <w:suppressLineNumbers/>
      <w:tabs>
        <w:tab w:val="center" w:pos="4819"/>
        <w:tab w:val="right" w:pos="9638"/>
      </w:tabs>
    </w:pPr>
  </w:style>
  <w:style w:type="paragraph" w:styleId="Pieddepage">
    <w:name w:val="footer"/>
    <w:basedOn w:val="Normal"/>
    <w:pPr>
      <w:tabs>
        <w:tab w:val="center" w:pos="4252"/>
        <w:tab w:val="right" w:pos="8504"/>
      </w:tabs>
    </w:pPr>
  </w:style>
  <w:style w:type="paragraph" w:styleId="En-tte">
    <w:name w:val="header"/>
    <w:basedOn w:val="Normal"/>
    <w:pPr>
      <w:tabs>
        <w:tab w:val="center" w:pos="4320"/>
        <w:tab w:val="right" w:pos="8640"/>
      </w:tabs>
    </w:pPr>
  </w:style>
  <w:style w:type="paragraph" w:styleId="Notedebasdepage">
    <w:name w:val="footnote text"/>
    <w:basedOn w:val="Normal"/>
    <w:rPr>
      <w:sz w:val="20"/>
      <w:szCs w:val="20"/>
    </w:rPr>
  </w:style>
  <w:style w:type="paragraph" w:styleId="Retraitcorpsdetexte">
    <w:name w:val="Body Text Indent"/>
    <w:basedOn w:val="Normal"/>
    <w:pPr>
      <w:ind w:left="520"/>
    </w:pPr>
  </w:style>
  <w:style w:type="paragraph" w:styleId="Retraitcorpsdetexte2">
    <w:name w:val="Body Text Indent 2"/>
    <w:basedOn w:val="Normal"/>
    <w:qFormat/>
    <w:pPr>
      <w:ind w:left="992"/>
      <w:outlineLvl w:val="1"/>
    </w:pPr>
  </w:style>
  <w:style w:type="paragraph" w:styleId="Listepuces">
    <w:name w:val="List Bullet"/>
    <w:basedOn w:val="Normal"/>
    <w:qFormat/>
    <w:pPr>
      <w:ind w:left="0"/>
    </w:pPr>
  </w:style>
  <w:style w:type="paragraph" w:customStyle="1" w:styleId="Style1">
    <w:name w:val="Style1"/>
    <w:basedOn w:val="Titre3"/>
    <w:qFormat/>
    <w:pPr>
      <w:outlineLvl w:val="9"/>
    </w:pPr>
  </w:style>
  <w:style w:type="paragraph" w:customStyle="1" w:styleId="Style2">
    <w:name w:val="Style2"/>
    <w:basedOn w:val="Style1"/>
    <w:qFormat/>
    <w:pPr>
      <w:numPr>
        <w:numId w:val="3"/>
      </w:numPr>
    </w:pPr>
  </w:style>
  <w:style w:type="paragraph" w:styleId="Corpsdetexte2">
    <w:name w:val="Body Text 2"/>
    <w:basedOn w:val="Normal"/>
    <w:qFormat/>
    <w:pPr>
      <w:ind w:left="0"/>
    </w:pPr>
    <w:rPr>
      <w:rFonts w:ascii="Helvetica" w:hAnsi="Helvetica" w:cs="Helvetica"/>
      <w:sz w:val="18"/>
      <w:szCs w:val="18"/>
    </w:rPr>
  </w:style>
  <w:style w:type="paragraph" w:styleId="Corpsdetexte3">
    <w:name w:val="Body Text 3"/>
    <w:basedOn w:val="Normal"/>
    <w:qFormat/>
    <w:pPr>
      <w:spacing w:line="360" w:lineRule="auto"/>
      <w:ind w:left="0" w:right="1190"/>
    </w:pPr>
    <w:rPr>
      <w:i/>
      <w:iCs/>
    </w:rPr>
  </w:style>
  <w:style w:type="paragraph" w:styleId="TM4">
    <w:name w:val="toc 4"/>
    <w:basedOn w:val="Normal"/>
    <w:next w:val="Normal"/>
    <w:uiPriority w:val="39"/>
    <w:pPr>
      <w:ind w:left="660"/>
    </w:pPr>
  </w:style>
  <w:style w:type="paragraph" w:styleId="TM5">
    <w:name w:val="toc 5"/>
    <w:basedOn w:val="Normal"/>
    <w:next w:val="Normal"/>
    <w:uiPriority w:val="39"/>
    <w:pPr>
      <w:ind w:left="880"/>
    </w:pPr>
  </w:style>
  <w:style w:type="paragraph" w:styleId="TM6">
    <w:name w:val="toc 6"/>
    <w:basedOn w:val="Normal"/>
    <w:next w:val="Normal"/>
    <w:uiPriority w:val="39"/>
    <w:pPr>
      <w:ind w:left="1100"/>
    </w:pPr>
  </w:style>
  <w:style w:type="paragraph" w:styleId="TM7">
    <w:name w:val="toc 7"/>
    <w:basedOn w:val="Normal"/>
    <w:next w:val="Normal"/>
    <w:uiPriority w:val="39"/>
    <w:pPr>
      <w:ind w:left="1320"/>
    </w:pPr>
  </w:style>
  <w:style w:type="paragraph" w:styleId="TM8">
    <w:name w:val="toc 8"/>
    <w:basedOn w:val="Normal"/>
    <w:next w:val="Normal"/>
    <w:uiPriority w:val="39"/>
    <w:pPr>
      <w:ind w:left="1540"/>
    </w:pPr>
  </w:style>
  <w:style w:type="paragraph" w:styleId="TM9">
    <w:name w:val="toc 9"/>
    <w:basedOn w:val="Normal"/>
    <w:next w:val="Normal"/>
    <w:uiPriority w:val="39"/>
    <w:pPr>
      <w:ind w:left="1760"/>
    </w:pPr>
  </w:style>
  <w:style w:type="paragraph" w:styleId="Normalcentr">
    <w:name w:val="Block Text"/>
    <w:basedOn w:val="Normal"/>
    <w:qFormat/>
    <w:pPr>
      <w:tabs>
        <w:tab w:val="right" w:leader="dot" w:pos="8504"/>
      </w:tabs>
      <w:ind w:left="1418" w:right="900" w:hanging="1418"/>
    </w:pPr>
  </w:style>
  <w:style w:type="paragraph" w:styleId="Notedefin">
    <w:name w:val="endnote text"/>
    <w:basedOn w:val="Normal"/>
    <w:rPr>
      <w:sz w:val="20"/>
      <w:szCs w:val="20"/>
    </w:rPr>
  </w:style>
  <w:style w:type="paragraph" w:styleId="Liste2">
    <w:name w:val="List 2"/>
    <w:basedOn w:val="Normal"/>
    <w:qFormat/>
    <w:pPr>
      <w:ind w:left="566" w:hanging="283"/>
    </w:pPr>
  </w:style>
  <w:style w:type="paragraph" w:styleId="Listepuces2">
    <w:name w:val="List Bullet 2"/>
    <w:basedOn w:val="Normal"/>
    <w:qFormat/>
    <w:pPr>
      <w:numPr>
        <w:numId w:val="2"/>
      </w:numPr>
    </w:pPr>
  </w:style>
  <w:style w:type="paragraph" w:styleId="Listecontinue2">
    <w:name w:val="List Continue 2"/>
    <w:basedOn w:val="Normal"/>
    <w:qFormat/>
    <w:pPr>
      <w:spacing w:after="120"/>
      <w:ind w:left="566"/>
    </w:pPr>
  </w:style>
  <w:style w:type="paragraph" w:customStyle="1" w:styleId="Adressedest">
    <w:name w:val="Adresse dest."/>
    <w:basedOn w:val="Normal"/>
    <w:qFormat/>
  </w:style>
  <w:style w:type="paragraph" w:customStyle="1" w:styleId="lattention">
    <w:name w:val="À l'attention"/>
    <w:basedOn w:val="Corpsdetexte"/>
    <w:qFormat/>
  </w:style>
  <w:style w:type="paragraph" w:styleId="NormalWeb">
    <w:name w:val="Normal (Web)"/>
    <w:basedOn w:val="Normal"/>
    <w:qFormat/>
    <w:pPr>
      <w:spacing w:before="100" w:after="100"/>
      <w:ind w:left="0"/>
      <w:jc w:val="left"/>
      <w:outlineLvl w:val="9"/>
    </w:pPr>
    <w:rPr>
      <w:rFonts w:ascii="Times New Roman" w:hAnsi="Times New Roman" w:cs="Times New Roman"/>
      <w:sz w:val="24"/>
      <w:szCs w:val="24"/>
      <w:lang w:val="fr-FR"/>
    </w:rPr>
  </w:style>
  <w:style w:type="paragraph" w:customStyle="1" w:styleId="Enttedetableau">
    <w:name w:val="Entête de tableau"/>
    <w:basedOn w:val="Normal"/>
    <w:qFormat/>
    <w:pPr>
      <w:spacing w:before="60"/>
      <w:ind w:left="0"/>
      <w:jc w:val="center"/>
      <w:outlineLvl w:val="9"/>
    </w:pPr>
    <w:rPr>
      <w:rFonts w:ascii="Arial Black" w:hAnsi="Arial Black" w:cs="Times New Roman"/>
      <w:spacing w:val="-5"/>
      <w:sz w:val="16"/>
      <w:szCs w:val="20"/>
    </w:rPr>
  </w:style>
  <w:style w:type="paragraph" w:styleId="Sous-titre">
    <w:name w:val="Subtitle"/>
    <w:basedOn w:val="Heading"/>
    <w:next w:val="Corpsdetexte"/>
    <w:uiPriority w:val="11"/>
    <w:qFormat/>
    <w:pPr>
      <w:spacing w:before="60" w:after="120" w:line="340" w:lineRule="atLeast"/>
    </w:pPr>
    <w:rPr>
      <w:rFonts w:ascii="Arial" w:hAnsi="Arial" w:cs="Arial"/>
      <w:b/>
      <w:i/>
      <w:spacing w:val="-16"/>
      <w:sz w:val="32"/>
    </w:rPr>
  </w:style>
  <w:style w:type="paragraph" w:customStyle="1" w:styleId="Textedetableau">
    <w:name w:val="Texte de tableau"/>
    <w:basedOn w:val="Normal"/>
    <w:qFormat/>
    <w:pPr>
      <w:spacing w:before="60"/>
      <w:ind w:left="0"/>
      <w:jc w:val="left"/>
      <w:outlineLvl w:val="9"/>
    </w:pPr>
    <w:rPr>
      <w:rFonts w:ascii="Arial" w:hAnsi="Arial" w:cs="Times New Roman"/>
      <w:spacing w:val="-5"/>
      <w:sz w:val="16"/>
      <w:szCs w:val="20"/>
    </w:rPr>
  </w:style>
  <w:style w:type="paragraph" w:styleId="Paragraphedeliste">
    <w:name w:val="List Paragraph"/>
    <w:basedOn w:val="Normal"/>
    <w:qFormat/>
    <w:pPr>
      <w:spacing w:after="200" w:line="276" w:lineRule="auto"/>
      <w:ind w:left="720"/>
      <w:contextualSpacing/>
      <w:jc w:val="left"/>
      <w:outlineLvl w:val="9"/>
    </w:pPr>
    <w:rPr>
      <w:rFonts w:ascii="Cambria" w:eastAsia="Calibri" w:hAnsi="Cambria" w:cs="Times New Roman"/>
      <w:lang w:val="en-US" w:bidi="en-US"/>
    </w:rPr>
  </w:style>
  <w:style w:type="paragraph" w:customStyle="1" w:styleId="desc">
    <w:name w:val="desc"/>
    <w:basedOn w:val="Normal"/>
    <w:qFormat/>
    <w:pPr>
      <w:spacing w:before="100" w:after="100"/>
      <w:ind w:left="0"/>
      <w:jc w:val="left"/>
      <w:outlineLvl w:val="9"/>
    </w:pPr>
    <w:rPr>
      <w:rFonts w:ascii="Times New Roman" w:eastAsia="Calibri" w:hAnsi="Times New Roman" w:cs="Times New Roman"/>
      <w:sz w:val="24"/>
      <w:szCs w:val="24"/>
    </w:rPr>
  </w:style>
  <w:style w:type="paragraph" w:styleId="Textedebulles">
    <w:name w:val="Balloon Text"/>
    <w:basedOn w:val="Normal"/>
    <w:qFormat/>
    <w:rPr>
      <w:rFonts w:ascii="Tahoma" w:hAnsi="Tahoma" w:cs="Times New Roman"/>
      <w:sz w:val="16"/>
      <w:szCs w:val="16"/>
      <w:lang w:val="en-US"/>
    </w:rPr>
  </w:style>
  <w:style w:type="paragraph" w:styleId="Commentaire">
    <w:name w:val="annotation text"/>
    <w:basedOn w:val="Normal"/>
    <w:qFormat/>
    <w:rPr>
      <w:sz w:val="20"/>
      <w:szCs w:val="20"/>
    </w:rPr>
  </w:style>
  <w:style w:type="paragraph" w:styleId="Objetducommentaire">
    <w:name w:val="annotation subject"/>
    <w:basedOn w:val="Commentaire"/>
    <w:next w:val="Commentaire"/>
    <w:qFormat/>
    <w:rPr>
      <w:b/>
      <w:bCs/>
    </w:rPr>
  </w:style>
  <w:style w:type="paragraph" w:styleId="Rvision">
    <w:name w:val="Revision"/>
    <w:qFormat/>
    <w:pPr>
      <w:suppressAutoHyphens/>
    </w:pPr>
    <w:rPr>
      <w:rFonts w:ascii="Times" w:eastAsia="MS Mincho" w:hAnsi="Times" w:cs="Times"/>
      <w:sz w:val="22"/>
      <w:szCs w:val="22"/>
      <w:lang w:val="fr-CA" w:eastAsia="zh-CN"/>
    </w:rPr>
  </w:style>
  <w:style w:type="paragraph" w:styleId="En-ttedetabledesmatires">
    <w:name w:val="TOC Heading"/>
    <w:basedOn w:val="Titre1"/>
    <w:next w:val="Normal"/>
    <w:uiPriority w:val="39"/>
    <w:qFormat/>
    <w:pPr>
      <w:keepLines/>
      <w:numPr>
        <w:numId w:val="0"/>
      </w:numPr>
      <w:spacing w:after="0" w:line="256" w:lineRule="auto"/>
      <w:jc w:val="left"/>
      <w:outlineLvl w:val="9"/>
    </w:pPr>
    <w:rPr>
      <w:rFonts w:ascii="Aptos Display" w:eastAsia="Times New Roman" w:hAnsi="Aptos Display" w:cs="Times New Roman"/>
      <w:b w:val="0"/>
      <w:bCs w:val="0"/>
      <w:color w:val="0F4761"/>
      <w:kern w:val="0"/>
      <w:sz w:val="32"/>
      <w:szCs w:val="32"/>
      <w:lang w:val="fr-FR"/>
    </w:rP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paragraph" w:customStyle="1" w:styleId="FrameContents">
    <w:name w:val="Frame Contents"/>
    <w:basedOn w:val="Normal"/>
    <w:qFormat/>
  </w:style>
  <w:style w:type="numbering" w:customStyle="1" w:styleId="WW8Num1">
    <w:name w:val="WW8Num1"/>
    <w:qFormat/>
  </w:style>
  <w:style w:type="numbering" w:customStyle="1" w:styleId="WW8Num2">
    <w:name w:val="WW8Num2"/>
    <w:qFormat/>
  </w:style>
  <w:style w:type="numbering" w:customStyle="1" w:styleId="WW8Num3">
    <w:name w:val="WW8Num3"/>
    <w:qFormat/>
  </w:style>
  <w:style w:type="numbering" w:customStyle="1" w:styleId="WW8Num4">
    <w:name w:val="WW8Num4"/>
    <w:qFormat/>
  </w:style>
  <w:style w:type="numbering" w:customStyle="1" w:styleId="WW8Num5">
    <w:name w:val="WW8Num5"/>
    <w:qFormat/>
  </w:style>
  <w:style w:type="numbering" w:customStyle="1" w:styleId="WW8Num6">
    <w:name w:val="WW8Num6"/>
    <w:qFormat/>
  </w:style>
  <w:style w:type="numbering" w:customStyle="1" w:styleId="WW8Num7">
    <w:name w:val="WW8Num7"/>
    <w:qFormat/>
  </w:style>
  <w:style w:type="numbering" w:customStyle="1" w:styleId="WW8Num8">
    <w:name w:val="WW8Num8"/>
    <w:qFormat/>
  </w:style>
  <w:style w:type="numbering" w:customStyle="1" w:styleId="WW8Num9">
    <w:name w:val="WW8Num9"/>
    <w:qFormat/>
  </w:style>
  <w:style w:type="numbering" w:customStyle="1" w:styleId="WW8Num10">
    <w:name w:val="WW8Num10"/>
    <w:qFormat/>
  </w:style>
  <w:style w:type="numbering" w:customStyle="1" w:styleId="WW8Num11">
    <w:name w:val="WW8Num11"/>
    <w:qFormat/>
  </w:style>
  <w:style w:type="numbering" w:customStyle="1" w:styleId="WW8Num12">
    <w:name w:val="WW8Num12"/>
    <w:qFormat/>
  </w:style>
  <w:style w:type="numbering" w:customStyle="1" w:styleId="WW8Num13">
    <w:name w:val="WW8Num13"/>
    <w:qFormat/>
  </w:style>
  <w:style w:type="numbering" w:customStyle="1" w:styleId="WW8Num14">
    <w:name w:val="WW8Num14"/>
    <w:qFormat/>
  </w:style>
  <w:style w:type="numbering" w:customStyle="1" w:styleId="WW8Num15">
    <w:name w:val="WW8Num15"/>
    <w:qFormat/>
  </w:style>
  <w:style w:type="numbering" w:customStyle="1" w:styleId="WW8Num16">
    <w:name w:val="WW8Num16"/>
    <w:qFormat/>
  </w:style>
  <w:style w:type="numbering" w:customStyle="1" w:styleId="WW8Num17">
    <w:name w:val="WW8Num17"/>
    <w:qFormat/>
  </w:style>
  <w:style w:type="numbering" w:customStyle="1" w:styleId="WW8Num18">
    <w:name w:val="WW8Num18"/>
    <w:qFormat/>
  </w:style>
  <w:style w:type="numbering" w:customStyle="1" w:styleId="WW8Num19">
    <w:name w:val="WW8Num19"/>
    <w:qFormat/>
  </w:style>
  <w:style w:type="numbering" w:customStyle="1" w:styleId="WW8Num20">
    <w:name w:val="WW8Num20"/>
    <w:qFormat/>
  </w:style>
  <w:style w:type="numbering" w:customStyle="1" w:styleId="WW8Num21">
    <w:name w:val="WW8Num21"/>
    <w:qFormat/>
  </w:style>
  <w:style w:type="numbering" w:customStyle="1" w:styleId="WW8Num22">
    <w:name w:val="WW8Num22"/>
    <w:qFormat/>
  </w:style>
  <w:style w:type="numbering" w:customStyle="1" w:styleId="WW8Num23">
    <w:name w:val="WW8Num23"/>
    <w:qFormat/>
  </w:style>
  <w:style w:type="numbering" w:customStyle="1" w:styleId="WW8Num24">
    <w:name w:val="WW8Num24"/>
    <w:qFormat/>
  </w:style>
  <w:style w:type="numbering" w:customStyle="1" w:styleId="WW8Num25">
    <w:name w:val="WW8Num25"/>
    <w:qFormat/>
  </w:style>
  <w:style w:type="numbering" w:customStyle="1" w:styleId="WW8Num26">
    <w:name w:val="WW8Num26"/>
    <w:qFormat/>
  </w:style>
  <w:style w:type="numbering" w:customStyle="1" w:styleId="WW8Num27">
    <w:name w:val="WW8Num27"/>
    <w:qFormat/>
  </w:style>
  <w:style w:type="character" w:customStyle="1" w:styleId="Titre2Car">
    <w:name w:val="Titre 2 Car"/>
    <w:link w:val="Titre2"/>
    <w:uiPriority w:val="9"/>
    <w:rsid w:val="00927E59"/>
    <w:rPr>
      <w:rFonts w:ascii="Times" w:eastAsia="MS Mincho" w:hAnsi="Times" w:cs="Times"/>
      <w:b/>
      <w:bCs/>
      <w:sz w:val="22"/>
      <w:szCs w:val="22"/>
      <w:lang w:val="fr-CA"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i.org/10.1016/j.pnucene.2024.105177" TargetMode="External"/><Relationship Id="rId21" Type="http://schemas.openxmlformats.org/officeDocument/2006/relationships/hyperlink" Target="https://www.cnsc-ccsn.gc.ca/fra/acts-and-regulations/regulatory-documents/published/html/regdoc2-1-1/" TargetMode="External"/><Relationship Id="rId42" Type="http://schemas.openxmlformats.org/officeDocument/2006/relationships/hyperlink" Target="https://laws-lois.justice.gc.ca/fra/reglements/DORS-2000-204/index.html" TargetMode="External"/><Relationship Id="rId47" Type="http://schemas.openxmlformats.org/officeDocument/2006/relationships/hyperlink" Target="https://www.iso.org/fr/standard/78743.html" TargetMode="External"/><Relationship Id="rId63" Type="http://schemas.openxmlformats.org/officeDocument/2006/relationships/hyperlink" Target="https://www.un.org/sustainabledevelopment/fr/objectifs-de-developpement-durable/" TargetMode="External"/><Relationship Id="rId68" Type="http://schemas.openxmlformats.org/officeDocument/2006/relationships/hyperlink" Target="https://www.canada.ca/fr/commission-surete-nucleaire/nouvelles/2016/06/la-ccsn-delivre-un-permis-de-declassement-pour-l-installation-de-gentilly-2.html" TargetMode="Externa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hyperlink" Target="https://www.ansys.com/en-gb/products/digital-twin/ansys-twin-builder" TargetMode="External"/><Relationship Id="rId11" Type="http://schemas.openxmlformats.org/officeDocument/2006/relationships/image" Target="media/image1.jpeg"/><Relationship Id="rId24" Type="http://schemas.openxmlformats.org/officeDocument/2006/relationships/hyperlink" Target="https://doi.org/10.1016/j.apenergy.2025.126922" TargetMode="External"/><Relationship Id="rId32" Type="http://schemas.openxmlformats.org/officeDocument/2006/relationships/hyperlink" Target="https://www.nrc.gov/about-nrc/regulatory/research/safetycodes" TargetMode="External"/><Relationship Id="rId37" Type="http://schemas.openxmlformats.org/officeDocument/2006/relationships/hyperlink" Target="https://patents.google.com/patent/US12093818B2/en" TargetMode="External"/><Relationship Id="rId40" Type="http://schemas.openxmlformats.org/officeDocument/2006/relationships/hyperlink" Target="https://laws-lois.justice.gc.ca/fra/lois/N-28.3/index.html" TargetMode="External"/><Relationship Id="rId45" Type="http://schemas.openxmlformats.org/officeDocument/2006/relationships/hyperlink" Target="https://www.iso.org/fr/standard/81702.html" TargetMode="External"/><Relationship Id="rId53" Type="http://schemas.openxmlformats.org/officeDocument/2006/relationships/hyperlink" Target="https://webstore.iec.ch/en/publication/32904" TargetMode="External"/><Relationship Id="rId58" Type="http://schemas.openxmlformats.org/officeDocument/2006/relationships/hyperlink" Target="https://webstore.iec.ch/en/publication/30172" TargetMode="External"/><Relationship Id="rId66" Type="http://schemas.openxmlformats.org/officeDocument/2006/relationships/hyperlink" Target="https://www-pub.iaea.org/MTCD/Publications/PDF/Pub1495_web.pdf" TargetMode="External"/><Relationship Id="rId5" Type="http://schemas.openxmlformats.org/officeDocument/2006/relationships/numbering" Target="numbering.xml"/><Relationship Id="rId61" Type="http://schemas.openxmlformats.org/officeDocument/2006/relationships/hyperlink" Target="http://gpp.oiq.qc.ca/Methodes_d_identification_des_dangers_et_d_analyse_des_risques.htm" TargetMode="External"/><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hyperlink" Target="https://www.iso.org/fr/standard/90219.html" TargetMode="External"/><Relationship Id="rId27" Type="http://schemas.openxmlformats.org/officeDocument/2006/relationships/hyperlink" Target="https://doi.org/10.3390/s25164963" TargetMode="External"/><Relationship Id="rId30" Type="http://schemas.openxmlformats.org/officeDocument/2006/relationships/hyperlink" Target="https://www.siemens.com/en-us/products/simcenter/systems-simulation/amesim/" TargetMode="External"/><Relationship Id="rId35" Type="http://schemas.openxmlformats.org/officeDocument/2006/relationships/hyperlink" Target="https://patents.google.com/patent/CN118779601A/en" TargetMode="External"/><Relationship Id="rId43" Type="http://schemas.openxmlformats.org/officeDocument/2006/relationships/hyperlink" Target="https://www.csagroup.org/store/product/2428461/" TargetMode="External"/><Relationship Id="rId48" Type="http://schemas.openxmlformats.org/officeDocument/2006/relationships/hyperlink" Target="https://www.iso.org/fr/standard/78176.html" TargetMode="External"/><Relationship Id="rId56" Type="http://schemas.openxmlformats.org/officeDocument/2006/relationships/hyperlink" Target="https://webstore.iec.ch/en/publication/76309" TargetMode="External"/><Relationship Id="rId64" Type="http://schemas.openxmlformats.org/officeDocument/2006/relationships/hyperlink" Target="https://web.aacei.org/docs/default-source/toc/toc_18r-97.pdf" TargetMode="External"/><Relationship Id="rId69" Type="http://schemas.openxmlformats.org/officeDocument/2006/relationships/hyperlink" Target="https://afg.quebec/documentation/publications" TargetMode="External"/><Relationship Id="rId8" Type="http://schemas.openxmlformats.org/officeDocument/2006/relationships/webSettings" Target="webSettings.xml"/><Relationship Id="rId51" Type="http://schemas.openxmlformats.org/officeDocument/2006/relationships/hyperlink" Target="https://standards.ieee.org/ieee/1012/7324" TargetMode="External"/><Relationship Id="rId72" Type="http://schemas.openxmlformats.org/officeDocument/2006/relationships/fontTable" Target="fontTable.xml"/><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hyperlink" Target="https://doi.org/10.1016/j.jmsy.2021.02.010" TargetMode="External"/><Relationship Id="rId33" Type="http://schemas.openxmlformats.org/officeDocument/2006/relationships/hyperlink" Target="https://patents.google.com/patent/CN118709527B/en" TargetMode="External"/><Relationship Id="rId38" Type="http://schemas.openxmlformats.org/officeDocument/2006/relationships/hyperlink" Target="https://www.legisquebec.gouv.qc.ca/fr/document/lc/I-9" TargetMode="External"/><Relationship Id="rId46" Type="http://schemas.openxmlformats.org/officeDocument/2006/relationships/hyperlink" Target="https://www.iso.org/fr/standard/75066.html" TargetMode="External"/><Relationship Id="rId59" Type="http://schemas.openxmlformats.org/officeDocument/2006/relationships/hyperlink" Target="https://www.iso.org/fr/standard/82875.html" TargetMode="External"/><Relationship Id="rId67" Type="http://schemas.openxmlformats.org/officeDocument/2006/relationships/hyperlink" Target="https://www-pub.iaea.org/MTCD/Publications/PDF/TRS384_scr.pdf" TargetMode="External"/><Relationship Id="rId20" Type="http://schemas.openxmlformats.org/officeDocument/2006/relationships/hyperlink" Target="https://www.iso.org/fr/standard/72089.html" TargetMode="External"/><Relationship Id="rId41" Type="http://schemas.openxmlformats.org/officeDocument/2006/relationships/hyperlink" Target="https://laws-lois.justice.gc.ca/fra/reglements/DORS-2000-202/index.html" TargetMode="External"/><Relationship Id="rId54" Type="http://schemas.openxmlformats.org/officeDocument/2006/relationships/hyperlink" Target="https://webstore.iec.ch/en/publication/32900" TargetMode="External"/><Relationship Id="rId62" Type="http://schemas.openxmlformats.org/officeDocument/2006/relationships/hyperlink" Target="https://www.legisquebec.gouv.qc.ca/fr/document/rc/I-9,%20r.%206%20/" TargetMode="External"/><Relationship Id="rId70" Type="http://schemas.openxmlformats.org/officeDocument/2006/relationships/hyperlink" Target="https://www.uqac.ca/registraire/wp-content/uploads/2026/02/AUTOMNE-2026.pdf"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hyperlink" Target="https://doi.org/10.1016/j.anucene.2024.110491" TargetMode="External"/><Relationship Id="rId28" Type="http://schemas.openxmlformats.org/officeDocument/2006/relationships/hyperlink" Target="https://doi.org/10.1016/j.ijcip.2024.100721" TargetMode="External"/><Relationship Id="rId36" Type="http://schemas.openxmlformats.org/officeDocument/2006/relationships/hyperlink" Target="https://patents.google.com/patent/CN118068765A/en" TargetMode="External"/><Relationship Id="rId49" Type="http://schemas.openxmlformats.org/officeDocument/2006/relationships/hyperlink" Target="https://www.iso.org/fr/standard/65694.html" TargetMode="External"/><Relationship Id="rId57" Type="http://schemas.openxmlformats.org/officeDocument/2006/relationships/hyperlink" Target="https://webstore.iec.ch/en/publication/3795" TargetMode="External"/><Relationship Id="rId10" Type="http://schemas.openxmlformats.org/officeDocument/2006/relationships/endnotes" Target="endnotes.xml"/><Relationship Id="rId31" Type="http://schemas.openxmlformats.org/officeDocument/2006/relationships/hyperlink" Target="https://github.com/casella/ThermoPower" TargetMode="External"/><Relationship Id="rId44" Type="http://schemas.openxmlformats.org/officeDocument/2006/relationships/hyperlink" Target="https://www.cnsc-ccsn.gc.ca/fra/acts-and-regulations/regulatory-documents/published/html/regdoc2-5-2-v2-1/" TargetMode="External"/><Relationship Id="rId52" Type="http://schemas.openxmlformats.org/officeDocument/2006/relationships/hyperlink" Target="https://www.iso.org/fr/standard/77520.html" TargetMode="External"/><Relationship Id="rId60" Type="http://schemas.openxmlformats.org/officeDocument/2006/relationships/hyperlink" Target="https://www.iso.org/fr/standard/80585.html" TargetMode="External"/><Relationship Id="rId65" Type="http://schemas.openxmlformats.org/officeDocument/2006/relationships/hyperlink" Target="https://webstore.iec.ch/publication/61109" TargetMode="External"/><Relationship Id="rId73"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hyperlink" Target="https://www.oiq.qc.ca/lordre/politiques-lois-et-reglements/lois-et-reglements-entourant-la-pratique-du-genie/" TargetMode="External"/><Relationship Id="rId34" Type="http://schemas.openxmlformats.org/officeDocument/2006/relationships/hyperlink" Target="https://patents.google.com/patent/CN118228587A/en" TargetMode="External"/><Relationship Id="rId50" Type="http://schemas.openxmlformats.org/officeDocument/2006/relationships/hyperlink" Target="https://www.asme.org/codes-standards/find-codes-standards/standard-for-verification-and-validation-in-computational-fluid-dynamics-and-heat-transfer" TargetMode="External"/><Relationship Id="rId55" Type="http://schemas.openxmlformats.org/officeDocument/2006/relationships/hyperlink" Target="https://webstore.iec.ch/en/publication/26131" TargetMode="External"/><Relationship Id="rId7" Type="http://schemas.openxmlformats.org/officeDocument/2006/relationships/settings" Target="settings.xml"/><Relationship Id="rId71" Type="http://schemas.openxmlformats.org/officeDocument/2006/relationships/footer" Target="footer1.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2CADAF5620CD54AA5F65188030E7CD3" ma:contentTypeVersion="3" ma:contentTypeDescription="Crée un document." ma:contentTypeScope="" ma:versionID="58294c6d4a74a5a8f505087f6adebe93">
  <xsd:schema xmlns:xsd="http://www.w3.org/2001/XMLSchema" xmlns:xs="http://www.w3.org/2001/XMLSchema" xmlns:p="http://schemas.microsoft.com/office/2006/metadata/properties" xmlns:ns2="cca4720d-7861-448a-906e-9eecdd53594f" targetNamespace="http://schemas.microsoft.com/office/2006/metadata/properties" ma:root="true" ma:fieldsID="83fcd88ce5d98e92350d7fdd1631802f" ns2:_="">
    <xsd:import namespace="cca4720d-7861-448a-906e-9eecdd53594f"/>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ca4720d-7861-448a-906e-9eecdd5359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FA1A051-324B-48A8-884D-EB851ED9DAD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ca4720d-7861-448a-906e-9eecdd53594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56760C4-E648-448F-8CEE-670A281FDE38}">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C6CCB4AD-D83F-4CBB-B16E-59EC1CFA305D}">
  <ds:schemaRefs>
    <ds:schemaRef ds:uri="http://schemas.openxmlformats.org/officeDocument/2006/bibliography"/>
  </ds:schemaRefs>
</ds:datastoreItem>
</file>

<file path=customXml/itemProps4.xml><?xml version="1.0" encoding="utf-8"?>
<ds:datastoreItem xmlns:ds="http://schemas.openxmlformats.org/officeDocument/2006/customXml" ds:itemID="{6416BBB1-BC8A-42BC-B73B-FD6A3B525F1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301</TotalTime>
  <Pages>1</Pages>
  <Words>23974</Words>
  <Characters>131861</Characters>
  <Application>Microsoft Office Word</Application>
  <DocSecurity>0</DocSecurity>
  <Lines>1098</Lines>
  <Paragraphs>311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155524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Christian Sawadogo</dc:creator>
  <cp:lastModifiedBy>Christian Sawadogo</cp:lastModifiedBy>
  <cp:revision>13</cp:revision>
  <cp:lastPrinted>2026-10-02T05:40:00Z</cp:lastPrinted>
  <dcterms:created xsi:type="dcterms:W3CDTF">2026-10-01T05:08:00Z</dcterms:created>
  <dcterms:modified xsi:type="dcterms:W3CDTF">2026-10-02T05:42:00Z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2016-09-26T21:09:00Z</dcterms:created>
  <dc:creator>Service informatique LAB 3-519</dc:creator>
  <dc:description/>
  <cp:keywords/>
  <dc:language>en-US</dc:language>
  <cp:lastModifiedBy>Christian Sawadogo</cp:lastModifiedBy>
  <cp:lastPrinted>2016-09-26T17:09:00Z</cp:lastPrinted>
  <dcterms:modified xsi:type="dcterms:W3CDTF">2026-09-20T16:31:00Z</dcterms:modified>
  <cp:revision>36</cp:revision>
  <dc:subject/>
  <dc:title>Plan de cours</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0x010100A2CADAF5620CD54AA5F65188030E7CD3</vt:lpwstr>
  </property>
</Properties>
</file>